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8.xml" ContentType="application/vnd.openxmlformats-officedocument.wordprocessingml.header+xml"/>
  <Override PartName="/word/footer18.xml" ContentType="application/vnd.openxmlformats-officedocument.wordprocessingml.footer+xml"/>
  <Override PartName="/word/header9.xml" ContentType="application/vnd.openxmlformats-officedocument.wordprocessingml.header+xml"/>
  <Override PartName="/word/footer1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2747" w:right="3762" w:firstLine="0"/>
        <w:jc w:val="center"/>
        <w:rPr>
          <w:rFonts w:ascii="宋体" w:hAnsi="宋体" w:cs="宋体" w:eastAsia="宋体" w:hint="default"/>
          <w:sz w:val="36"/>
          <w:szCs w:val="36"/>
        </w:rPr>
      </w:pPr>
      <w:r>
        <w:rPr/>
        <w:pict>
          <v:group style="position:absolute;margin-left:56.700001pt;margin-top:-84.896545pt;width:481.9pt;height:.1pt;mso-position-horizontal-relative:page;mso-position-vertical-relative:paragraph;z-index:0" coordorigin="1134,-1698" coordsize="9638,2">
            <v:shape style="position:absolute;left:1134;top:-1698;width:9638;height:2" coordorigin="1134,-1698" coordsize="9638,0" path="m1134,-1698l10772,-1698e" filled="false" stroked="true" strokeweight=".72pt" strokecolor="#000000">
              <v:path arrowok="t"/>
            </v:shape>
            <w10:wrap type="none"/>
          </v:group>
        </w:pict>
      </w:r>
      <w:r>
        <w:rPr>
          <w:rFonts w:ascii="宋体" w:hAnsi="宋体" w:cs="宋体" w:eastAsia="宋体" w:hint="default"/>
          <w:b/>
          <w:bCs/>
          <w:sz w:val="36"/>
          <w:szCs w:val="36"/>
        </w:rPr>
        <w:t>北京华宇软件股份有限公司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745" w:right="3762" w:firstLine="0"/>
        <w:jc w:val="center"/>
        <w:rPr>
          <w:rFonts w:ascii="宋体" w:hAnsi="宋体" w:cs="宋体" w:eastAsia="宋体" w:hint="default"/>
          <w:sz w:val="32"/>
          <w:szCs w:val="32"/>
        </w:rPr>
      </w:pPr>
      <w:r>
        <w:rPr>
          <w:rFonts w:ascii="Arial" w:hAnsi="Arial" w:cs="Arial" w:eastAsia="Arial" w:hint="default"/>
          <w:b/>
          <w:bCs/>
          <w:sz w:val="32"/>
          <w:szCs w:val="32"/>
        </w:rPr>
        <w:t>2018</w:t>
      </w:r>
      <w:r>
        <w:rPr>
          <w:rFonts w:ascii="Arial" w:hAnsi="Arial" w:cs="Arial" w:eastAsia="Arial" w:hint="default"/>
          <w:b/>
          <w:bCs/>
          <w:spacing w:val="-18"/>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6"/>
        <w:rPr>
          <w:rFonts w:ascii="宋体" w:hAnsi="宋体" w:cs="宋体" w:eastAsia="宋体" w:hint="default"/>
          <w:b/>
          <w:bCs/>
          <w:sz w:val="40"/>
          <w:szCs w:val="40"/>
        </w:rPr>
      </w:pPr>
    </w:p>
    <w:p>
      <w:pPr>
        <w:spacing w:before="0"/>
        <w:ind w:left="2747" w:right="3762" w:firstLine="0"/>
        <w:jc w:val="center"/>
        <w:rPr>
          <w:rFonts w:ascii="宋体" w:hAnsi="宋体" w:cs="宋体" w:eastAsia="宋体" w:hint="default"/>
          <w:sz w:val="32"/>
          <w:szCs w:val="32"/>
        </w:rPr>
      </w:pPr>
      <w:r>
        <w:rPr>
          <w:rFonts w:ascii="Arial" w:hAnsi="Arial" w:cs="Arial" w:eastAsia="Arial" w:hint="default"/>
          <w:b/>
          <w:bCs/>
          <w:sz w:val="32"/>
          <w:szCs w:val="32"/>
        </w:rPr>
        <w:t>2019</w:t>
      </w:r>
      <w:r>
        <w:rPr>
          <w:rFonts w:ascii="Arial" w:hAnsi="Arial" w:cs="Arial" w:eastAsia="Arial" w:hint="default"/>
          <w:b/>
          <w:bCs/>
          <w:spacing w:val="-1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Arial" w:hAnsi="Arial" w:cs="Arial" w:eastAsia="Arial" w:hint="default"/>
          <w:b/>
          <w:bCs/>
          <w:sz w:val="32"/>
          <w:szCs w:val="32"/>
        </w:rPr>
        <w:t>04</w:t>
      </w:r>
      <w:r>
        <w:rPr>
          <w:rFonts w:ascii="Arial" w:hAnsi="Arial" w:cs="Arial" w:eastAsia="Arial" w:hint="default"/>
          <w:b/>
          <w:bCs/>
          <w:spacing w:val="-1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6" w:footer="978" w:top="1060" w:bottom="1160" w:left="1020" w:right="0"/>
        </w:sectPr>
      </w:pPr>
    </w:p>
    <w:p>
      <w:pPr>
        <w:spacing w:line="240" w:lineRule="auto" w:before="10"/>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1"/>
          <w:szCs w:val="21"/>
        </w:rPr>
      </w:pPr>
    </w:p>
    <w:p>
      <w:pPr>
        <w:pStyle w:val="Heading1"/>
        <w:spacing w:line="439" w:lineRule="exact"/>
        <w:ind w:left="2772" w:right="996"/>
        <w:jc w:val="left"/>
        <w:rPr>
          <w:b w:val="0"/>
          <w:bCs w:val="0"/>
        </w:rPr>
      </w:pPr>
      <w:bookmarkStart w:name="第一节 重要提示、目录和释义" w:id="1"/>
      <w:bookmarkEnd w:id="1"/>
      <w:r>
        <w:rPr>
          <w:b w:val="0"/>
          <w:bCs w:val="0"/>
        </w:rPr>
      </w:r>
      <w:r>
        <w:rPr/>
        <w:t>第一节</w:t>
      </w:r>
      <w:r>
        <w:rPr>
          <w:spacing w:val="60"/>
        </w:rPr>
        <w:t> </w:t>
      </w:r>
      <w:r>
        <w:rPr/>
        <w:t>重要提示、目录和释义</w:t>
      </w:r>
      <w:r>
        <w:rPr>
          <w:b w:val="0"/>
          <w:bCs w:val="0"/>
        </w:rPr>
      </w:r>
    </w:p>
    <w:p>
      <w:pPr>
        <w:spacing w:line="240" w:lineRule="auto" w:before="12"/>
        <w:rPr>
          <w:rFonts w:ascii="微软雅黑" w:hAnsi="微软雅黑" w:cs="微软雅黑" w:eastAsia="微软雅黑" w:hint="default"/>
          <w:b/>
          <w:bCs/>
          <w:sz w:val="28"/>
          <w:szCs w:val="28"/>
        </w:rPr>
      </w:pPr>
    </w:p>
    <w:p>
      <w:pPr>
        <w:pStyle w:val="Heading3"/>
        <w:spacing w:line="300" w:lineRule="auto"/>
        <w:ind w:right="996" w:firstLine="480"/>
        <w:jc w:val="left"/>
      </w:pPr>
      <w:r>
        <w:rPr/>
        <w:t>公司董事会、监事会及董事、监事、高级管理人员保证年度报告内容的真实、准确、完 整，不存在虚假记载、误导性陈述或重大遗漏，并承担个别和连带的法律责任。</w:t>
      </w:r>
    </w:p>
    <w:p>
      <w:pPr>
        <w:pStyle w:val="Heading3"/>
        <w:spacing w:line="283" w:lineRule="auto" w:before="170"/>
        <w:ind w:right="996" w:firstLine="480"/>
        <w:jc w:val="left"/>
      </w:pPr>
      <w:r>
        <w:rPr>
          <w:spacing w:val="2"/>
        </w:rPr>
        <w:t>公司负责人邵学、主管会计工作负责人王琰及会计机构负责人</w:t>
      </w:r>
      <w:r>
        <w:rPr>
          <w:rFonts w:ascii="Arial" w:hAnsi="Arial" w:cs="Arial" w:eastAsia="Arial" w:hint="default"/>
          <w:spacing w:val="2"/>
        </w:rPr>
        <w:t>(</w:t>
      </w:r>
      <w:r>
        <w:rPr>
          <w:spacing w:val="2"/>
        </w:rPr>
        <w:t>会计主管人员</w:t>
      </w:r>
      <w:r>
        <w:rPr>
          <w:rFonts w:ascii="Arial" w:hAnsi="Arial" w:cs="Arial" w:eastAsia="Arial" w:hint="default"/>
          <w:spacing w:val="2"/>
        </w:rPr>
        <w:t>)</w:t>
      </w:r>
      <w:r>
        <w:rPr>
          <w:spacing w:val="2"/>
        </w:rPr>
        <w:t>张绪梅声</w:t>
      </w:r>
      <w:r>
        <w:rPr/>
        <w:t> 明：保证年度报告中财务报告的真实、准确、完整。</w:t>
      </w:r>
    </w:p>
    <w:p>
      <w:pPr>
        <w:pStyle w:val="Heading3"/>
        <w:spacing w:line="240" w:lineRule="auto" w:before="187"/>
        <w:ind w:left="592" w:right="996"/>
        <w:jc w:val="left"/>
      </w:pPr>
      <w:r>
        <w:rPr/>
        <w:t>所有董事均已出席了审议本报告的董事会会议。</w:t>
      </w:r>
    </w:p>
    <w:p>
      <w:pPr>
        <w:spacing w:after="0" w:line="240" w:lineRule="auto"/>
        <w:jc w:val="left"/>
        <w:sectPr>
          <w:footerReference w:type="default" r:id="rId7"/>
          <w:pgSz w:w="11910" w:h="16840"/>
          <w:pgMar w:footer="978" w:header="746" w:top="1060" w:bottom="1160" w:left="1020" w:right="0"/>
          <w:pgNumType w:start="2"/>
        </w:sectPr>
      </w:pPr>
    </w:p>
    <w:p>
      <w:pPr>
        <w:spacing w:line="240" w:lineRule="auto" w:before="10"/>
        <w:rPr>
          <w:rFonts w:ascii="宋体" w:hAnsi="宋体" w:cs="宋体" w:eastAsia="宋体" w:hint="default"/>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2"/>
        <w:spacing w:line="240" w:lineRule="auto" w:before="109"/>
        <w:ind w:right="996"/>
        <w:jc w:val="left"/>
        <w:rPr>
          <w:rFonts w:ascii="微软雅黑" w:hAnsi="微软雅黑" w:cs="微软雅黑" w:eastAsia="微软雅黑" w:hint="default"/>
          <w:b w:val="0"/>
          <w:bCs w:val="0"/>
        </w:rPr>
      </w:pPr>
      <w:r>
        <w:rPr>
          <w:rFonts w:ascii="微软雅黑" w:hAnsi="微软雅黑" w:cs="微软雅黑" w:eastAsia="微软雅黑" w:hint="default"/>
        </w:rPr>
        <w:t>重要提示：</w:t>
      </w:r>
      <w:r>
        <w:rPr>
          <w:rFonts w:ascii="微软雅黑" w:hAnsi="微软雅黑" w:cs="微软雅黑" w:eastAsia="微软雅黑" w:hint="default"/>
          <w:b w:val="0"/>
          <w:bCs w:val="0"/>
        </w:rPr>
      </w:r>
    </w:p>
    <w:p>
      <w:pPr>
        <w:spacing w:line="240" w:lineRule="auto" w:before="16"/>
        <w:rPr>
          <w:rFonts w:ascii="微软雅黑" w:hAnsi="微软雅黑" w:cs="微软雅黑" w:eastAsia="微软雅黑" w:hint="default"/>
          <w:b/>
          <w:bCs/>
          <w:sz w:val="13"/>
          <w:szCs w:val="13"/>
        </w:rPr>
      </w:pPr>
    </w:p>
    <w:p>
      <w:pPr>
        <w:pStyle w:val="Heading3"/>
        <w:spacing w:line="273" w:lineRule="auto"/>
        <w:ind w:left="592" w:right="996" w:hanging="480"/>
        <w:jc w:val="left"/>
      </w:pPr>
      <w:r>
        <w:rPr/>
        <w:t>对年度报告涉及未来计划等前瞻性陈述的风险提示 公司敬请投资者注意：本年度报告可能涉及未来计划等前瞻性陈述，该等计划并不构成</w:t>
      </w:r>
    </w:p>
    <w:p>
      <w:pPr>
        <w:pStyle w:val="Heading3"/>
        <w:spacing w:line="273" w:lineRule="auto" w:before="12"/>
        <w:ind w:right="996"/>
        <w:jc w:val="left"/>
      </w:pPr>
      <w:r>
        <w:rPr/>
        <w:t>公司对投资者的实质承诺，投资者及相关人士均应对此保持足够的风险意识，并且应当理解</w:t>
      </w:r>
      <w:r>
        <w:rPr>
          <w:spacing w:val="-89"/>
        </w:rPr>
        <w:t> </w:t>
      </w:r>
      <w:r>
        <w:rPr>
          <w:spacing w:val="-89"/>
        </w:rPr>
      </w:r>
      <w:r>
        <w:rPr/>
        <w:t>计划、预测与承诺之间的差异。</w:t>
      </w:r>
    </w:p>
    <w:p>
      <w:pPr>
        <w:pStyle w:val="Heading3"/>
        <w:spacing w:line="240" w:lineRule="auto" w:before="12"/>
        <w:ind w:left="592" w:right="996"/>
        <w:jc w:val="left"/>
      </w:pPr>
      <w:r>
        <w:rPr>
          <w:rFonts w:ascii="Arial" w:hAnsi="Arial" w:cs="Arial" w:eastAsia="Arial" w:hint="default"/>
        </w:rPr>
        <w:t>1</w:t>
      </w:r>
      <w:r>
        <w:rPr/>
        <w:t>、经济环境风险</w:t>
      </w:r>
    </w:p>
    <w:p>
      <w:pPr>
        <w:pStyle w:val="Heading3"/>
        <w:spacing w:line="271" w:lineRule="auto" w:before="29"/>
        <w:ind w:right="996" w:firstLine="480"/>
        <w:jc w:val="left"/>
      </w:pPr>
      <w:r>
        <w:rPr>
          <w:rFonts w:ascii="Arial" w:hAnsi="Arial" w:cs="Arial" w:eastAsia="Arial" w:hint="default"/>
        </w:rPr>
        <w:t>2018</w:t>
      </w:r>
      <w:r>
        <w:rPr>
          <w:rFonts w:ascii="Arial" w:hAnsi="Arial" w:cs="Arial" w:eastAsia="Arial" w:hint="default"/>
          <w:spacing w:val="-8"/>
        </w:rPr>
        <w:t> </w:t>
      </w:r>
      <w:r>
        <w:rPr/>
        <w:t>年，国际政治经济环境错综复杂，世界经济呈现温和增长但动能趋缓、分化明显、 下行风险上升、规则调整加快的特点；国内改革发展稳定任务艰巨，我国发展面临多年少有</w:t>
      </w:r>
      <w:r>
        <w:rPr>
          <w:spacing w:val="-89"/>
        </w:rPr>
        <w:t> </w:t>
      </w:r>
      <w:r>
        <w:rPr>
          <w:spacing w:val="-89"/>
        </w:rPr>
      </w:r>
      <w:r>
        <w:rPr/>
        <w:t>的国内外复杂严峻形势，经济出现新的下行压力。发达国家在工业互联网、智能制造、人工</w:t>
      </w:r>
      <w:r>
        <w:rPr>
          <w:spacing w:val="-89"/>
        </w:rPr>
        <w:t> </w:t>
      </w:r>
      <w:r>
        <w:rPr>
          <w:spacing w:val="-89"/>
        </w:rPr>
      </w:r>
      <w:r>
        <w:rPr/>
        <w:t>智能、大数据等领域加速战略布局，抢占未来发展主导权，给我国软件和信息技术服务业跨</w:t>
      </w:r>
      <w:r>
        <w:rPr>
          <w:spacing w:val="-89"/>
        </w:rPr>
        <w:t> </w:t>
      </w:r>
      <w:r>
        <w:rPr>
          <w:spacing w:val="-89"/>
        </w:rPr>
      </w:r>
      <w:r>
        <w:rPr/>
        <w:t>越发展带来深刻影响。我国加快新旧发展动能接续转换。深入开展</w:t>
      </w:r>
      <w:r>
        <w:rPr>
          <w:rFonts w:ascii="Arial" w:hAnsi="Arial" w:cs="Arial" w:eastAsia="Arial" w:hint="default"/>
        </w:rPr>
        <w:t>“</w:t>
      </w:r>
      <w:r>
        <w:rPr/>
        <w:t>互联网</w:t>
      </w:r>
      <w:r>
        <w:rPr>
          <w:rFonts w:ascii="Arial" w:hAnsi="Arial" w:cs="Arial" w:eastAsia="Arial" w:hint="default"/>
        </w:rPr>
        <w:t>+”</w:t>
      </w:r>
      <w:r>
        <w:rPr/>
        <w:t>行动，实行包容</w:t>
      </w:r>
      <w:r>
        <w:rPr>
          <w:w w:val="99"/>
        </w:rPr>
        <w:t> </w:t>
      </w:r>
      <w:r>
        <w:rPr>
          <w:spacing w:val="-2"/>
        </w:rPr>
        <w:t>审慎监管，推动大数据、云计算、物联网广泛应用，新兴产业蓬勃发展，传统产业深刻重塑。</w:t>
      </w:r>
      <w:r>
        <w:rPr>
          <w:spacing w:val="-118"/>
        </w:rPr>
        <w:t> </w:t>
      </w:r>
      <w:r>
        <w:rPr>
          <w:spacing w:val="-118"/>
        </w:rPr>
      </w:r>
      <w:r>
        <w:rPr/>
        <w:t>针对制约产业发展的各项问题，国家正积极部署新举措。我国推进减税降费措施、积极发挥</w:t>
      </w:r>
      <w:r>
        <w:rPr>
          <w:spacing w:val="-89"/>
        </w:rPr>
        <w:t> </w:t>
      </w:r>
      <w:r>
        <w:rPr>
          <w:spacing w:val="-89"/>
        </w:rPr>
      </w:r>
      <w:r>
        <w:rPr/>
        <w:t>财政资金效应。同时积极推进科技创新，增强核心竞争力，加快推进新旧动能转换。面对经</w:t>
      </w:r>
      <w:r>
        <w:rPr>
          <w:spacing w:val="-89"/>
        </w:rPr>
        <w:t> </w:t>
      </w:r>
      <w:r>
        <w:rPr>
          <w:spacing w:val="-89"/>
        </w:rPr>
      </w:r>
      <w:r>
        <w:rPr/>
        <w:t>济环境可能存在的问题和变化，公司积极响应国家稳定增长的号召，紧抓科技政策带来的优</w:t>
      </w:r>
      <w:r>
        <w:rPr>
          <w:spacing w:val="-89"/>
        </w:rPr>
        <w:t> </w:t>
      </w:r>
      <w:r>
        <w:rPr>
          <w:spacing w:val="-89"/>
        </w:rPr>
      </w:r>
      <w:r>
        <w:rPr/>
        <w:t>势，积极拓展市场，提升公司盈利能力。公司将持续增加自主研发投入，鼓励科技创新，努</w:t>
      </w:r>
      <w:r>
        <w:rPr>
          <w:spacing w:val="-89"/>
        </w:rPr>
        <w:t> </w:t>
      </w:r>
      <w:r>
        <w:rPr>
          <w:spacing w:val="-89"/>
        </w:rPr>
      </w:r>
      <w:r>
        <w:rPr/>
        <w:t>力提高产品竞争力及公司核心竞争力，提高公司的抗风险能力。</w:t>
      </w:r>
    </w:p>
    <w:p>
      <w:pPr>
        <w:pStyle w:val="Heading3"/>
        <w:spacing w:line="259" w:lineRule="auto" w:before="14"/>
        <w:ind w:left="592" w:right="996"/>
        <w:jc w:val="left"/>
      </w:pPr>
      <w:r>
        <w:rPr>
          <w:rFonts w:ascii="Arial" w:hAnsi="Arial" w:cs="Arial" w:eastAsia="Arial" w:hint="default"/>
        </w:rPr>
        <w:t>2</w:t>
      </w:r>
      <w:r>
        <w:rPr/>
        <w:t>、行业政策风险 </w:t>
      </w:r>
      <w:r>
        <w:rPr>
          <w:spacing w:val="-3"/>
        </w:rPr>
        <w:t>我国大力推动软件行业、电子政务等行业发展，政府部门先后颁布财税、投融资、研发、</w:t>
      </w:r>
    </w:p>
    <w:p>
      <w:pPr>
        <w:pStyle w:val="Heading3"/>
        <w:spacing w:line="271" w:lineRule="auto" w:before="26"/>
        <w:ind w:right="996"/>
        <w:jc w:val="left"/>
      </w:pPr>
      <w:r>
        <w:rPr>
          <w:spacing w:val="-2"/>
        </w:rPr>
        <w:t>知识产权等多项扶持政策，为行业发展提供强有力的政策支持、营造良好的发展环境。目前，</w:t>
      </w:r>
      <w:r>
        <w:rPr/>
        <w:t> 我国统一完整的国家电子政务网络基本形成，网络安全审查、信息安全等级保护等制度不断</w:t>
      </w:r>
      <w:r>
        <w:rPr>
          <w:spacing w:val="-89"/>
        </w:rPr>
        <w:t> </w:t>
      </w:r>
      <w:r>
        <w:rPr>
          <w:spacing w:val="-89"/>
        </w:rPr>
      </w:r>
      <w:r>
        <w:rPr>
          <w:spacing w:val="2"/>
        </w:rPr>
        <w:t>完善，网络空间日益清朗。根据</w:t>
      </w:r>
      <w:r>
        <w:rPr>
          <w:rFonts w:ascii="Arial" w:hAnsi="Arial" w:cs="Arial" w:eastAsia="Arial" w:hint="default"/>
          <w:spacing w:val="2"/>
        </w:rPr>
        <w:t>“</w:t>
      </w:r>
      <w:r>
        <w:rPr>
          <w:spacing w:val="2"/>
        </w:rPr>
        <w:t>十三五</w:t>
      </w:r>
      <w:r>
        <w:rPr>
          <w:rFonts w:ascii="Arial" w:hAnsi="Arial" w:cs="Arial" w:eastAsia="Arial" w:hint="default"/>
          <w:spacing w:val="2"/>
        </w:rPr>
        <w:t>”</w:t>
      </w:r>
      <w:r>
        <w:rPr>
          <w:spacing w:val="2"/>
        </w:rPr>
        <w:t>对国家信息化的规划，在今后一段时期内，我国信</w:t>
      </w:r>
      <w:r>
        <w:rPr>
          <w:spacing w:val="-105"/>
        </w:rPr>
        <w:t> </w:t>
      </w:r>
      <w:r>
        <w:rPr>
          <w:spacing w:val="-105"/>
        </w:rPr>
      </w:r>
      <w:r>
        <w:rPr/>
        <w:t>息化还将处于一个持续发展期。发展过程中存在的问题，需要通过政策规范的有效引导，逐</w:t>
      </w:r>
      <w:r>
        <w:rPr>
          <w:spacing w:val="-89"/>
        </w:rPr>
        <w:t> </w:t>
      </w:r>
      <w:r>
        <w:rPr>
          <w:spacing w:val="-89"/>
        </w:rPr>
      </w:r>
      <w:r>
        <w:rPr/>
        <w:t>步解决。如果未来国家产业政策出现重大变动，对软件和信息技术服务行业的产业政策发生</w:t>
      </w:r>
      <w:r>
        <w:rPr>
          <w:spacing w:val="-89"/>
        </w:rPr>
        <w:t> </w:t>
      </w:r>
      <w:r>
        <w:rPr>
          <w:spacing w:val="-89"/>
        </w:rPr>
      </w:r>
      <w:r>
        <w:rPr/>
        <w:t>不利变化，将可能导致公司的市场环境和发展空间发生变化，给公司经营带来风险。公司会</w:t>
      </w:r>
      <w:r>
        <w:rPr>
          <w:spacing w:val="-89"/>
        </w:rPr>
        <w:t> </w:t>
      </w:r>
      <w:r>
        <w:rPr>
          <w:spacing w:val="-89"/>
        </w:rPr>
      </w:r>
      <w:r>
        <w:rPr/>
        <w:t>积极把握政策动向，持续提升自身管理水平及风险抵抗能力，提高公司市场竞争力。</w:t>
      </w:r>
    </w:p>
    <w:p>
      <w:pPr>
        <w:pStyle w:val="Heading3"/>
        <w:spacing w:line="261" w:lineRule="auto" w:before="12"/>
        <w:ind w:left="592" w:right="996"/>
        <w:jc w:val="left"/>
      </w:pPr>
      <w:r>
        <w:rPr>
          <w:rFonts w:ascii="Arial" w:hAnsi="Arial" w:cs="Arial" w:eastAsia="Arial" w:hint="default"/>
        </w:rPr>
        <w:t>3</w:t>
      </w:r>
      <w:r>
        <w:rPr/>
        <w:t>、技术风险 我国信息化发展中还存在一些突出短板，主要是技术产业生态系统不完善、信息资源开</w:t>
      </w:r>
    </w:p>
    <w:p>
      <w:pPr>
        <w:pStyle w:val="Heading3"/>
        <w:spacing w:line="273" w:lineRule="auto" w:before="22"/>
        <w:ind w:right="996"/>
        <w:jc w:val="left"/>
      </w:pPr>
      <w:r>
        <w:rPr/>
        <w:t>发利用和公共数据开放共享水平不高、网络空间安全面临严峻挑战等。信息技术更新换代较</w:t>
      </w:r>
      <w:r>
        <w:rPr>
          <w:spacing w:val="-89"/>
        </w:rPr>
        <w:t> </w:t>
      </w:r>
      <w:r>
        <w:rPr>
          <w:spacing w:val="-89"/>
        </w:rPr>
      </w:r>
      <w:r>
        <w:rPr/>
        <w:t>快，由于外部环境的不确定性，技术创新本身的复杂性，可能会导致达不到预期目标。公司</w:t>
      </w:r>
      <w:r>
        <w:rPr>
          <w:spacing w:val="-89"/>
        </w:rPr>
        <w:t> </w:t>
      </w:r>
      <w:r>
        <w:rPr>
          <w:spacing w:val="-89"/>
        </w:rPr>
      </w:r>
      <w:r>
        <w:rPr>
          <w:spacing w:val="-2"/>
        </w:rPr>
        <w:t>会不断完善技术研发、技术创新体系，逐步提高自主创新能力，同时紧跟行业技术发展趋势，</w:t>
      </w:r>
      <w:r>
        <w:rPr/>
        <w:t> 把握产品和技术研发方向，让技术研发面向市场，及时根据市场变化和客户需求推出新产品</w:t>
      </w:r>
      <w:r>
        <w:rPr>
          <w:spacing w:val="-89"/>
        </w:rPr>
        <w:t> </w:t>
      </w:r>
      <w:r>
        <w:rPr>
          <w:spacing w:val="-89"/>
        </w:rPr>
      </w:r>
      <w:r>
        <w:rPr/>
        <w:t>和解决方案，保障技术的创新性和领先性，持续提高公司的市场竞争力。</w:t>
      </w:r>
    </w:p>
    <w:p>
      <w:pPr>
        <w:pStyle w:val="Heading3"/>
        <w:spacing w:line="259" w:lineRule="auto" w:before="12"/>
        <w:ind w:left="592" w:right="996"/>
        <w:jc w:val="left"/>
      </w:pPr>
      <w:r>
        <w:rPr>
          <w:rFonts w:ascii="Arial" w:hAnsi="Arial" w:cs="Arial" w:eastAsia="Arial" w:hint="default"/>
        </w:rPr>
        <w:t>4</w:t>
      </w:r>
      <w:r>
        <w:rPr/>
        <w:t>、管理风险 近几年公司的业务规模不断拓展，业务范围也不断扩大，组织结构日益复杂，一定程度</w:t>
      </w:r>
    </w:p>
    <w:p>
      <w:pPr>
        <w:pStyle w:val="Heading3"/>
        <w:spacing w:line="273" w:lineRule="auto" w:before="26"/>
        <w:ind w:right="996"/>
        <w:jc w:val="left"/>
      </w:pPr>
      <w:r>
        <w:rPr/>
        <w:t>上加大了公司经营决策和控制风险的难度，对公司的管理提出了更高的要求。目前公司管理</w:t>
      </w:r>
      <w:r>
        <w:rPr>
          <w:spacing w:val="-89"/>
        </w:rPr>
        <w:t> </w:t>
      </w:r>
      <w:r>
        <w:rPr>
          <w:spacing w:val="-89"/>
        </w:rPr>
      </w:r>
      <w:r>
        <w:rPr/>
        <w:t>制度不断完善，已经形成了较为健全的公司治理体系，并在实际执行中运作良好。公司加强</w:t>
      </w:r>
    </w:p>
    <w:p>
      <w:pPr>
        <w:spacing w:after="0" w:line="273" w:lineRule="auto"/>
        <w:jc w:val="left"/>
        <w:sectPr>
          <w:pgSz w:w="11910" w:h="16840"/>
          <w:pgMar w:header="746" w:footer="978" w:top="1060" w:bottom="1160" w:left="1020" w:right="0"/>
        </w:sectPr>
      </w:pPr>
    </w:p>
    <w:p>
      <w:pPr>
        <w:spacing w:line="240" w:lineRule="auto" w:before="3"/>
        <w:rPr>
          <w:rFonts w:ascii="宋体" w:hAnsi="宋体" w:cs="宋体" w:eastAsia="宋体" w:hint="default"/>
          <w:sz w:val="25"/>
          <w:szCs w:val="25"/>
        </w:rPr>
      </w:pPr>
    </w:p>
    <w:p>
      <w:pPr>
        <w:pStyle w:val="Heading3"/>
        <w:spacing w:line="273" w:lineRule="auto" w:before="26"/>
        <w:ind w:right="1132"/>
        <w:jc w:val="both"/>
      </w:pPr>
      <w:r>
        <w:rPr/>
        <w:t>了内部沟通机制、建立健全子公司管理制度，准确的收集与传递内部控制相关的信息，确保</w:t>
      </w:r>
      <w:r>
        <w:rPr>
          <w:spacing w:val="-89"/>
        </w:rPr>
        <w:t> </w:t>
      </w:r>
      <w:r>
        <w:rPr>
          <w:spacing w:val="-89"/>
        </w:rPr>
      </w:r>
      <w:r>
        <w:rPr/>
        <w:t>信息在企业内部、企业与外部之间及时有效传递。此外，公司还注重人才的选拔、考评、晋</w:t>
      </w:r>
      <w:r>
        <w:rPr>
          <w:spacing w:val="-89"/>
        </w:rPr>
        <w:t> </w:t>
      </w:r>
      <w:r>
        <w:rPr>
          <w:spacing w:val="-89"/>
        </w:rPr>
      </w:r>
      <w:r>
        <w:rPr/>
        <w:t>升、激励和培养，防止关键人才流失。公司会继续提升管理团队的管理能力和业务能力，完</w:t>
      </w:r>
      <w:r>
        <w:rPr>
          <w:spacing w:val="-89"/>
        </w:rPr>
        <w:t> </w:t>
      </w:r>
      <w:r>
        <w:rPr>
          <w:spacing w:val="-89"/>
        </w:rPr>
      </w:r>
      <w:r>
        <w:rPr/>
        <w:t>善法人治理结构，规范公司运作体系，加强内部控制，强化各项决策的科学性，促进公司的</w:t>
      </w:r>
      <w:r>
        <w:rPr>
          <w:spacing w:val="-89"/>
        </w:rPr>
        <w:t> </w:t>
      </w:r>
      <w:r>
        <w:rPr>
          <w:spacing w:val="-89"/>
        </w:rPr>
      </w:r>
      <w:r>
        <w:rPr/>
        <w:t>机制创新和管理升级。</w:t>
      </w:r>
    </w:p>
    <w:p>
      <w:pPr>
        <w:pStyle w:val="Heading3"/>
        <w:spacing w:line="259" w:lineRule="auto" w:before="12"/>
        <w:ind w:left="592" w:right="996"/>
        <w:jc w:val="left"/>
      </w:pPr>
      <w:r>
        <w:rPr>
          <w:rFonts w:ascii="Arial" w:hAnsi="Arial" w:cs="Arial" w:eastAsia="Arial" w:hint="default"/>
        </w:rPr>
        <w:t>5</w:t>
      </w:r>
      <w:r>
        <w:rPr/>
        <w:t>、业务拓展风险 在主营业务上，公司加快大数据、人工智能技术的研究和落地，拓展法律科技、教育信</w:t>
      </w:r>
    </w:p>
    <w:p>
      <w:pPr>
        <w:pStyle w:val="Heading3"/>
        <w:spacing w:line="273" w:lineRule="auto" w:before="26"/>
        <w:ind w:right="996"/>
        <w:jc w:val="left"/>
      </w:pPr>
      <w:r>
        <w:rPr/>
        <w:t>息化、安全可靠、市场监管等新兴市场。在资本市场上，公司适时拓展，通过对外投资、并</w:t>
      </w:r>
      <w:r>
        <w:rPr>
          <w:spacing w:val="-89"/>
        </w:rPr>
        <w:t> </w:t>
      </w:r>
      <w:r>
        <w:rPr>
          <w:spacing w:val="-89"/>
        </w:rPr>
      </w:r>
      <w:r>
        <w:rPr/>
        <w:t>购等方式开拓业务，进行前瞻性布局。公司业务的拓展对公司集团化管理、文化认同、业务</w:t>
      </w:r>
      <w:r>
        <w:rPr>
          <w:spacing w:val="-89"/>
        </w:rPr>
        <w:t> </w:t>
      </w:r>
      <w:r>
        <w:rPr>
          <w:spacing w:val="-89"/>
        </w:rPr>
      </w:r>
      <w:r>
        <w:rPr>
          <w:spacing w:val="-2"/>
        </w:rPr>
        <w:t>协同以及风险控制提出更高要求。公司将继续坚持稳健的业务发展策略，有效整合公司技术、</w:t>
      </w:r>
      <w:r>
        <w:rPr/>
        <w:t> 产品和业务资源，积极开展在战略、市场和产品层面的合作，促进公司产生协同效应，实现</w:t>
      </w:r>
      <w:r>
        <w:rPr>
          <w:spacing w:val="-89"/>
        </w:rPr>
        <w:t> </w:t>
      </w:r>
      <w:r>
        <w:rPr>
          <w:spacing w:val="-89"/>
        </w:rPr>
      </w:r>
      <w:r>
        <w:rPr/>
        <w:t>规模经济和优势互补。同时公司将加强风险控制，明确自身战略目标，建立科学风险管理机</w:t>
      </w:r>
      <w:r>
        <w:rPr>
          <w:spacing w:val="-89"/>
        </w:rPr>
        <w:t> </w:t>
      </w:r>
      <w:r>
        <w:rPr>
          <w:spacing w:val="-89"/>
        </w:rPr>
      </w:r>
      <w:r>
        <w:rPr/>
        <w:t>制，提升公司整体优势，不断强化市场领先地位，以防范业务扩张带来的风险，保证公司业</w:t>
      </w:r>
      <w:r>
        <w:rPr>
          <w:spacing w:val="-89"/>
        </w:rPr>
        <w:t> </w:t>
      </w:r>
      <w:r>
        <w:rPr>
          <w:spacing w:val="-89"/>
        </w:rPr>
      </w:r>
      <w:r>
        <w:rPr/>
        <w:t>务持续、健康、高效的成长。</w:t>
      </w:r>
    </w:p>
    <w:p>
      <w:pPr>
        <w:pStyle w:val="Heading3"/>
        <w:spacing w:line="240" w:lineRule="auto" w:before="50"/>
        <w:ind w:left="592" w:right="996"/>
        <w:jc w:val="left"/>
        <w:rPr>
          <w:rFonts w:ascii="Arial" w:hAnsi="Arial" w:cs="Arial" w:eastAsia="Arial" w:hint="default"/>
        </w:rPr>
      </w:pPr>
      <w:r>
        <w:rPr/>
        <w:t>公司</w:t>
      </w:r>
      <w:r>
        <w:rPr>
          <w:spacing w:val="2"/>
        </w:rPr>
        <w:t>经</w:t>
      </w:r>
      <w:r>
        <w:rPr/>
        <w:t>本次董事会</w:t>
      </w:r>
      <w:r>
        <w:rPr>
          <w:spacing w:val="2"/>
        </w:rPr>
        <w:t>审</w:t>
      </w:r>
      <w:r>
        <w:rPr/>
        <w:t>议通过的</w:t>
      </w:r>
      <w:r>
        <w:rPr>
          <w:spacing w:val="2"/>
        </w:rPr>
        <w:t>利</w:t>
      </w:r>
      <w:r>
        <w:rPr/>
        <w:t>润分配预案</w:t>
      </w:r>
      <w:r>
        <w:rPr>
          <w:spacing w:val="2"/>
        </w:rPr>
        <w:t>为</w:t>
      </w:r>
      <w:r>
        <w:rPr>
          <w:spacing w:val="-120"/>
        </w:rPr>
        <w:t>：</w:t>
      </w:r>
      <w:r>
        <w:rPr/>
        <w:t>以</w:t>
      </w:r>
      <w:r>
        <w:rPr>
          <w:spacing w:val="-63"/>
        </w:rPr>
        <w:t> </w:t>
      </w: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w w:val="99"/>
        </w:rPr>
        <w:t>8</w:t>
      </w:r>
      <w:r>
        <w:rPr>
          <w:rFonts w:ascii="Arial" w:hAnsi="Arial" w:cs="Arial" w:eastAsia="Arial" w:hint="default"/>
          <w:spacing w:val="-11"/>
        </w:rPr>
        <w:t> </w:t>
      </w:r>
      <w:r>
        <w:rPr/>
        <w:t>年</w:t>
      </w:r>
      <w:r>
        <w:rPr>
          <w:spacing w:val="-63"/>
        </w:rPr>
        <w:t> </w:t>
      </w:r>
      <w:r>
        <w:rPr>
          <w:rFonts w:ascii="Arial" w:hAnsi="Arial" w:cs="Arial" w:eastAsia="Arial" w:hint="default"/>
          <w:spacing w:val="-2"/>
          <w:w w:val="99"/>
        </w:rPr>
        <w:t>1</w:t>
      </w:r>
      <w:r>
        <w:rPr>
          <w:rFonts w:ascii="Arial" w:hAnsi="Arial" w:cs="Arial" w:eastAsia="Arial" w:hint="default"/>
          <w:w w:val="99"/>
        </w:rPr>
        <w:t>2</w:t>
      </w:r>
      <w:r>
        <w:rPr>
          <w:rFonts w:ascii="Arial" w:hAnsi="Arial" w:cs="Arial" w:eastAsia="Arial" w:hint="default"/>
          <w:spacing w:val="-9"/>
        </w:rPr>
        <w:t> </w:t>
      </w:r>
      <w:r>
        <w:rPr/>
        <w:t>月</w:t>
      </w:r>
      <w:r>
        <w:rPr>
          <w:spacing w:val="-65"/>
        </w:rPr>
        <w:t> </w:t>
      </w:r>
      <w:r>
        <w:rPr>
          <w:rFonts w:ascii="Arial" w:hAnsi="Arial" w:cs="Arial" w:eastAsia="Arial" w:hint="default"/>
          <w:w w:val="99"/>
        </w:rPr>
        <w:t>31</w:t>
      </w:r>
      <w:r>
        <w:rPr>
          <w:rFonts w:ascii="Arial" w:hAnsi="Arial" w:cs="Arial" w:eastAsia="Arial" w:hint="default"/>
          <w:spacing w:val="-11"/>
        </w:rPr>
        <w:t> </w:t>
      </w:r>
      <w:r>
        <w:rPr/>
        <w:t>日</w:t>
      </w:r>
      <w:r>
        <w:rPr>
          <w:spacing w:val="2"/>
        </w:rPr>
        <w:t>股</w:t>
      </w:r>
      <w:r>
        <w:rPr/>
        <w:t>本</w:t>
      </w:r>
      <w:r>
        <w:rPr>
          <w:spacing w:val="-65"/>
        </w:rPr>
        <w:t> </w:t>
      </w:r>
      <w:r>
        <w:rPr>
          <w:rFonts w:ascii="Arial" w:hAnsi="Arial" w:cs="Arial" w:eastAsia="Arial" w:hint="default"/>
          <w:w w:val="99"/>
        </w:rPr>
        <w:t>75</w:t>
      </w:r>
      <w:r>
        <w:rPr>
          <w:rFonts w:ascii="Arial" w:hAnsi="Arial" w:cs="Arial" w:eastAsia="Arial" w:hint="default"/>
          <w:spacing w:val="-2"/>
          <w:w w:val="99"/>
        </w:rPr>
        <w:t>4</w:t>
      </w:r>
      <w:r>
        <w:rPr>
          <w:rFonts w:ascii="Arial" w:hAnsi="Arial" w:cs="Arial" w:eastAsia="Arial" w:hint="default"/>
          <w:w w:val="99"/>
        </w:rPr>
        <w:t>,</w:t>
      </w:r>
      <w:r>
        <w:rPr>
          <w:rFonts w:ascii="Arial" w:hAnsi="Arial" w:cs="Arial" w:eastAsia="Arial" w:hint="default"/>
          <w:w w:val="99"/>
        </w:rPr>
        <w:t>4</w:t>
      </w:r>
      <w:r>
        <w:rPr>
          <w:rFonts w:ascii="Arial" w:hAnsi="Arial" w:cs="Arial" w:eastAsia="Arial" w:hint="default"/>
          <w:spacing w:val="-2"/>
          <w:w w:val="99"/>
        </w:rPr>
        <w:t>9</w:t>
      </w:r>
      <w:r>
        <w:rPr>
          <w:rFonts w:ascii="Arial" w:hAnsi="Arial" w:cs="Arial" w:eastAsia="Arial" w:hint="default"/>
          <w:w w:val="99"/>
        </w:rPr>
        <w:t>1</w:t>
      </w:r>
      <w:r>
        <w:rPr>
          <w:rFonts w:ascii="Arial" w:hAnsi="Arial" w:cs="Arial" w:eastAsia="Arial" w:hint="default"/>
          <w:w w:val="99"/>
        </w:rPr>
        <w:t>,</w:t>
      </w:r>
      <w:r>
        <w:rPr>
          <w:rFonts w:ascii="Arial" w:hAnsi="Arial" w:cs="Arial" w:eastAsia="Arial" w:hint="default"/>
          <w:spacing w:val="-2"/>
          <w:w w:val="99"/>
        </w:rPr>
        <w:t>4</w:t>
      </w:r>
      <w:r>
        <w:rPr>
          <w:rFonts w:ascii="Arial" w:hAnsi="Arial" w:cs="Arial" w:eastAsia="Arial" w:hint="default"/>
          <w:spacing w:val="1"/>
          <w:w w:val="99"/>
        </w:rPr>
        <w:t>6</w:t>
      </w:r>
      <w:r>
        <w:rPr>
          <w:rFonts w:ascii="Arial" w:hAnsi="Arial" w:cs="Arial" w:eastAsia="Arial" w:hint="default"/>
          <w:w w:val="99"/>
        </w:rPr>
        <w:t>0</w:t>
      </w:r>
      <w:r>
        <w:rPr>
          <w:rFonts w:ascii="Arial" w:hAnsi="Arial" w:cs="Arial" w:eastAsia="Arial" w:hint="default"/>
        </w:rPr>
      </w:r>
    </w:p>
    <w:p>
      <w:pPr>
        <w:pStyle w:val="Heading3"/>
        <w:spacing w:line="240" w:lineRule="auto" w:before="26"/>
        <w:ind w:right="996"/>
        <w:jc w:val="left"/>
      </w:pPr>
      <w:r>
        <w:rPr/>
        <w:t>股为基数，向全体股东每</w:t>
      </w:r>
      <w:r>
        <w:rPr>
          <w:spacing w:val="-61"/>
        </w:rPr>
        <w:t> </w:t>
      </w:r>
      <w:r>
        <w:rPr>
          <w:rFonts w:ascii="Arial" w:hAnsi="Arial" w:cs="Arial" w:eastAsia="Arial" w:hint="default"/>
        </w:rPr>
        <w:t>10</w:t>
      </w:r>
      <w:r>
        <w:rPr>
          <w:rFonts w:ascii="Arial" w:hAnsi="Arial" w:cs="Arial" w:eastAsia="Arial" w:hint="default"/>
          <w:spacing w:val="-10"/>
        </w:rPr>
        <w:t> </w:t>
      </w:r>
      <w:r>
        <w:rPr/>
        <w:t>股派发现金红利</w:t>
      </w:r>
      <w:r>
        <w:rPr>
          <w:spacing w:val="-61"/>
        </w:rPr>
        <w:t> </w:t>
      </w:r>
      <w:r>
        <w:rPr>
          <w:rFonts w:ascii="Arial" w:hAnsi="Arial" w:cs="Arial" w:eastAsia="Arial" w:hint="default"/>
        </w:rPr>
        <w:t>0.66</w:t>
      </w:r>
      <w:r>
        <w:rPr>
          <w:rFonts w:ascii="Arial" w:hAnsi="Arial" w:cs="Arial" w:eastAsia="Arial" w:hint="default"/>
          <w:spacing w:val="-10"/>
        </w:rPr>
        <w:t> </w:t>
      </w:r>
      <w:r>
        <w:rPr/>
        <w:t>元（含税）。</w:t>
      </w:r>
    </w:p>
    <w:p>
      <w:pPr>
        <w:spacing w:after="0" w:line="240" w:lineRule="auto"/>
        <w:jc w:val="left"/>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29"/>
        <w:ind w:left="2741" w:right="3762" w:firstLine="0"/>
        <w:jc w:val="center"/>
        <w:rPr>
          <w:rFonts w:ascii="微软雅黑" w:hAnsi="微软雅黑" w:cs="微软雅黑" w:eastAsia="微软雅黑" w:hint="default"/>
          <w:sz w:val="36"/>
          <w:szCs w:val="36"/>
        </w:rPr>
      </w:pPr>
      <w:r>
        <w:rPr>
          <w:rFonts w:ascii="微软雅黑" w:hAnsi="微软雅黑" w:cs="微软雅黑" w:eastAsia="微软雅黑" w:hint="default"/>
          <w:b/>
          <w:bCs/>
          <w:sz w:val="36"/>
          <w:szCs w:val="36"/>
        </w:rPr>
        <w:t>目录</w:t>
      </w:r>
      <w:r>
        <w:rPr>
          <w:rFonts w:ascii="微软雅黑" w:hAnsi="微软雅黑" w:cs="微软雅黑" w:eastAsia="微软雅黑" w:hint="default"/>
          <w:sz w:val="36"/>
          <w:szCs w:val="36"/>
        </w:rPr>
      </w:r>
    </w:p>
    <w:p>
      <w:pPr>
        <w:spacing w:line="240" w:lineRule="auto" w:before="0"/>
        <w:rPr>
          <w:rFonts w:ascii="微软雅黑" w:hAnsi="微软雅黑" w:cs="微软雅黑" w:eastAsia="微软雅黑" w:hint="default"/>
          <w:b/>
          <w:bCs/>
          <w:sz w:val="36"/>
          <w:szCs w:val="36"/>
        </w:rPr>
      </w:pPr>
    </w:p>
    <w:p>
      <w:pPr>
        <w:spacing w:line="240" w:lineRule="auto" w:before="9"/>
        <w:rPr>
          <w:rFonts w:ascii="微软雅黑" w:hAnsi="微软雅黑" w:cs="微软雅黑" w:eastAsia="微软雅黑" w:hint="default"/>
          <w:b/>
          <w:bCs/>
          <w:sz w:val="52"/>
          <w:szCs w:val="52"/>
        </w:rPr>
      </w:pPr>
    </w:p>
    <w:sdt>
      <w:sdtPr>
        <w:docPartObj>
          <w:docPartGallery w:val="Table of Contents"/>
          <w:docPartUnique/>
        </w:docPartObj>
      </w:sdtPr>
      <w:sdtEndPr/>
      <w:sdtContent>
        <w:p>
          <w:pPr>
            <w:pStyle w:val="TOC1"/>
            <w:tabs>
              <w:tab w:pos="9742" w:val="right" w:leader="dot"/>
            </w:tabs>
            <w:spacing w:line="240" w:lineRule="auto" w:before="0"/>
            <w:ind w:right="0"/>
            <w:jc w:val="left"/>
            <w:rPr>
              <w:rFonts w:ascii="Arial" w:hAnsi="Arial" w:cs="Arial" w:eastAsia="Arial" w:hint="default"/>
              <w:b w:val="0"/>
              <w:bCs w:val="0"/>
            </w:rPr>
          </w:pPr>
          <w:hyperlink w:history="true" w:anchor="_bookmark0">
            <w:r>
              <w:rPr/>
              <w:t>第一节</w:t>
            </w:r>
            <w:r>
              <w:rPr>
                <w:spacing w:val="48"/>
              </w:rPr>
              <w:t> </w:t>
            </w:r>
            <w:r>
              <w:rPr/>
              <w:t>重要提示、目录和释义</w:t>
            </w:r>
            <w:r>
              <w:rPr>
                <w:rFonts w:ascii="Times New Roman" w:hAnsi="Times New Roman" w:cs="Times New Roman" w:eastAsia="Times New Roman" w:hint="default"/>
                <w:b w:val="0"/>
                <w:bCs w:val="0"/>
              </w:rPr>
              <w:tab/>
            </w:r>
            <w:r>
              <w:rPr>
                <w:rFonts w:ascii="Arial" w:hAnsi="Arial" w:cs="Arial" w:eastAsia="Arial" w:hint="default"/>
              </w:rPr>
              <w:t>7</w:t>
            </w:r>
            <w:r>
              <w:rPr>
                <w:rFonts w:ascii="Arial" w:hAnsi="Arial" w:cs="Arial" w:eastAsia="Arial" w:hint="default"/>
                <w:b w:val="0"/>
                <w:bCs w:val="0"/>
              </w:rPr>
            </w:r>
          </w:hyperlink>
        </w:p>
        <w:p>
          <w:pPr>
            <w:pStyle w:val="TOC1"/>
            <w:tabs>
              <w:tab w:pos="9745" w:val="right" w:leader="dot"/>
            </w:tabs>
            <w:spacing w:line="240" w:lineRule="auto"/>
            <w:ind w:right="0"/>
            <w:jc w:val="left"/>
            <w:rPr>
              <w:rFonts w:ascii="Arial" w:hAnsi="Arial" w:cs="Arial" w:eastAsia="Arial" w:hint="default"/>
              <w:b w:val="0"/>
              <w:bCs w:val="0"/>
            </w:rPr>
          </w:pPr>
          <w:hyperlink w:history="true" w:anchor="_bookmark1">
            <w:r>
              <w:rPr/>
              <w:t>第二节</w:t>
            </w:r>
            <w:r>
              <w:rPr>
                <w:spacing w:val="48"/>
              </w:rPr>
              <w:t> </w:t>
            </w:r>
            <w:r>
              <w:rPr/>
              <w:t>公司简介和主要财务指标</w:t>
            </w:r>
            <w:r>
              <w:rPr>
                <w:rFonts w:ascii="Times New Roman" w:hAnsi="Times New Roman" w:cs="Times New Roman" w:eastAsia="Times New Roman" w:hint="default"/>
                <w:b w:val="0"/>
                <w:bCs w:val="0"/>
              </w:rPr>
              <w:tab/>
            </w:r>
            <w:r>
              <w:rPr>
                <w:rFonts w:ascii="Arial" w:hAnsi="Arial" w:cs="Arial" w:eastAsia="Arial" w:hint="default"/>
                <w:spacing w:val="-6"/>
              </w:rPr>
              <w:t>11</w:t>
            </w:r>
            <w:r>
              <w:rPr>
                <w:rFonts w:ascii="Arial" w:hAnsi="Arial" w:cs="Arial" w:eastAsia="Arial" w:hint="default"/>
                <w:b w:val="0"/>
                <w:bCs w:val="0"/>
                <w:spacing w:val="-6"/>
              </w:rPr>
            </w:r>
          </w:hyperlink>
        </w:p>
        <w:p>
          <w:pPr>
            <w:pStyle w:val="TOC1"/>
            <w:tabs>
              <w:tab w:pos="9742" w:val="right" w:leader="dot"/>
            </w:tabs>
            <w:spacing w:line="240" w:lineRule="auto"/>
            <w:ind w:right="0"/>
            <w:jc w:val="left"/>
            <w:rPr>
              <w:rFonts w:ascii="Arial" w:hAnsi="Arial" w:cs="Arial" w:eastAsia="Arial" w:hint="default"/>
              <w:b w:val="0"/>
              <w:bCs w:val="0"/>
            </w:rPr>
          </w:pPr>
          <w:hyperlink w:history="true" w:anchor="_bookmark2">
            <w:r>
              <w:rPr/>
              <w:t>第三节</w:t>
            </w:r>
            <w:r>
              <w:rPr>
                <w:spacing w:val="48"/>
              </w:rPr>
              <w:t> </w:t>
            </w:r>
            <w:r>
              <w:rPr/>
              <w:t>公司业务概要</w:t>
            </w:r>
            <w:r>
              <w:rPr>
                <w:rFonts w:ascii="Times New Roman" w:hAnsi="Times New Roman" w:cs="Times New Roman" w:eastAsia="Times New Roman" w:hint="default"/>
                <w:b w:val="0"/>
                <w:bCs w:val="0"/>
              </w:rPr>
              <w:tab/>
            </w:r>
            <w:r>
              <w:rPr>
                <w:rFonts w:ascii="Arial" w:hAnsi="Arial" w:cs="Arial" w:eastAsia="Arial" w:hint="default"/>
              </w:rPr>
              <w:t>18</w:t>
            </w:r>
            <w:r>
              <w:rPr>
                <w:rFonts w:ascii="Arial" w:hAnsi="Arial" w:cs="Arial" w:eastAsia="Arial" w:hint="default"/>
                <w:b w:val="0"/>
                <w:bCs w:val="0"/>
              </w:rPr>
            </w:r>
          </w:hyperlink>
        </w:p>
        <w:p>
          <w:pPr>
            <w:pStyle w:val="TOC1"/>
            <w:tabs>
              <w:tab w:pos="9742" w:val="right" w:leader="dot"/>
            </w:tabs>
            <w:spacing w:line="240" w:lineRule="auto"/>
            <w:ind w:right="0"/>
            <w:jc w:val="left"/>
            <w:rPr>
              <w:rFonts w:ascii="Arial" w:hAnsi="Arial" w:cs="Arial" w:eastAsia="Arial" w:hint="default"/>
              <w:b w:val="0"/>
              <w:bCs w:val="0"/>
            </w:rPr>
          </w:pPr>
          <w:hyperlink w:history="true" w:anchor="_bookmark3">
            <w:r>
              <w:rPr/>
              <w:t>第四节</w:t>
            </w:r>
            <w:r>
              <w:rPr>
                <w:spacing w:val="48"/>
              </w:rPr>
              <w:t> </w:t>
            </w:r>
            <w:r>
              <w:rPr/>
              <w:t>经营情况讨论与分析</w:t>
            </w:r>
            <w:r>
              <w:rPr>
                <w:rFonts w:ascii="Times New Roman" w:hAnsi="Times New Roman" w:cs="Times New Roman" w:eastAsia="Times New Roman" w:hint="default"/>
                <w:b w:val="0"/>
                <w:bCs w:val="0"/>
              </w:rPr>
              <w:tab/>
            </w:r>
            <w:r>
              <w:rPr>
                <w:rFonts w:ascii="Arial" w:hAnsi="Arial" w:cs="Arial" w:eastAsia="Arial" w:hint="default"/>
              </w:rPr>
              <w:t>42</w:t>
            </w:r>
            <w:r>
              <w:rPr>
                <w:rFonts w:ascii="Arial" w:hAnsi="Arial" w:cs="Arial" w:eastAsia="Arial" w:hint="default"/>
                <w:b w:val="0"/>
                <w:bCs w:val="0"/>
              </w:rPr>
            </w:r>
          </w:hyperlink>
        </w:p>
        <w:p>
          <w:pPr>
            <w:pStyle w:val="TOC1"/>
            <w:tabs>
              <w:tab w:pos="9742" w:val="right" w:leader="dot"/>
            </w:tabs>
            <w:spacing w:line="240" w:lineRule="auto"/>
            <w:ind w:right="0"/>
            <w:jc w:val="left"/>
            <w:rPr>
              <w:rFonts w:ascii="Arial" w:hAnsi="Arial" w:cs="Arial" w:eastAsia="Arial" w:hint="default"/>
              <w:b w:val="0"/>
              <w:bCs w:val="0"/>
            </w:rPr>
          </w:pPr>
          <w:hyperlink w:history="true" w:anchor="_bookmark4">
            <w:r>
              <w:rPr/>
              <w:t>第五节</w:t>
            </w:r>
            <w:r>
              <w:rPr>
                <w:spacing w:val="48"/>
              </w:rPr>
              <w:t> </w:t>
            </w:r>
            <w:r>
              <w:rPr/>
              <w:t>重要事项</w:t>
            </w:r>
            <w:r>
              <w:rPr>
                <w:rFonts w:ascii="Times New Roman" w:hAnsi="Times New Roman" w:cs="Times New Roman" w:eastAsia="Times New Roman" w:hint="default"/>
                <w:b w:val="0"/>
                <w:bCs w:val="0"/>
              </w:rPr>
              <w:tab/>
            </w:r>
            <w:r>
              <w:rPr>
                <w:rFonts w:ascii="Arial" w:hAnsi="Arial" w:cs="Arial" w:eastAsia="Arial" w:hint="default"/>
              </w:rPr>
              <w:t>63</w:t>
            </w:r>
            <w:r>
              <w:rPr>
                <w:rFonts w:ascii="Arial" w:hAnsi="Arial" w:cs="Arial" w:eastAsia="Arial" w:hint="default"/>
                <w:b w:val="0"/>
                <w:bCs w:val="0"/>
              </w:rPr>
            </w:r>
          </w:hyperlink>
        </w:p>
        <w:p>
          <w:pPr>
            <w:pStyle w:val="TOC1"/>
            <w:tabs>
              <w:tab w:pos="9742" w:val="right" w:leader="dot"/>
            </w:tabs>
            <w:spacing w:line="240" w:lineRule="auto"/>
            <w:ind w:right="0"/>
            <w:jc w:val="left"/>
            <w:rPr>
              <w:rFonts w:ascii="Arial" w:hAnsi="Arial" w:cs="Arial" w:eastAsia="Arial" w:hint="default"/>
              <w:b w:val="0"/>
              <w:bCs w:val="0"/>
            </w:rPr>
          </w:pPr>
          <w:hyperlink w:history="true" w:anchor="_bookmark5">
            <w:r>
              <w:rPr/>
              <w:t>第六节</w:t>
            </w:r>
            <w:r>
              <w:rPr>
                <w:spacing w:val="48"/>
              </w:rPr>
              <w:t> </w:t>
            </w:r>
            <w:r>
              <w:rPr/>
              <w:t>股份变动及股东情况</w:t>
            </w:r>
            <w:r>
              <w:rPr>
                <w:rFonts w:ascii="Times New Roman" w:hAnsi="Times New Roman" w:cs="Times New Roman" w:eastAsia="Times New Roman" w:hint="default"/>
                <w:b w:val="0"/>
                <w:bCs w:val="0"/>
              </w:rPr>
              <w:tab/>
            </w:r>
            <w:r>
              <w:rPr>
                <w:rFonts w:ascii="Arial" w:hAnsi="Arial" w:cs="Arial" w:eastAsia="Arial" w:hint="default"/>
              </w:rPr>
              <w:t>70</w:t>
            </w:r>
            <w:r>
              <w:rPr>
                <w:rFonts w:ascii="Arial" w:hAnsi="Arial" w:cs="Arial" w:eastAsia="Arial" w:hint="default"/>
                <w:b w:val="0"/>
                <w:bCs w:val="0"/>
              </w:rPr>
            </w:r>
          </w:hyperlink>
        </w:p>
        <w:p>
          <w:pPr>
            <w:pStyle w:val="TOC1"/>
            <w:tabs>
              <w:tab w:pos="9742" w:val="right" w:leader="dot"/>
            </w:tabs>
            <w:spacing w:line="240" w:lineRule="auto"/>
            <w:ind w:right="0"/>
            <w:jc w:val="left"/>
            <w:rPr>
              <w:rFonts w:ascii="Arial" w:hAnsi="Arial" w:cs="Arial" w:eastAsia="Arial" w:hint="default"/>
              <w:b w:val="0"/>
              <w:bCs w:val="0"/>
            </w:rPr>
          </w:pPr>
          <w:hyperlink w:history="true" w:anchor="_bookmark5">
            <w:r>
              <w:rPr/>
              <w:t>第七节</w:t>
            </w:r>
            <w:r>
              <w:rPr>
                <w:spacing w:val="48"/>
              </w:rPr>
              <w:t> </w:t>
            </w:r>
            <w:r>
              <w:rPr/>
              <w:t>优先股相关情况</w:t>
            </w:r>
            <w:r>
              <w:rPr>
                <w:rFonts w:ascii="Times New Roman" w:hAnsi="Times New Roman" w:cs="Times New Roman" w:eastAsia="Times New Roman" w:hint="default"/>
                <w:b w:val="0"/>
                <w:bCs w:val="0"/>
              </w:rPr>
              <w:tab/>
            </w:r>
            <w:r>
              <w:rPr>
                <w:rFonts w:ascii="Arial" w:hAnsi="Arial" w:cs="Arial" w:eastAsia="Arial" w:hint="default"/>
              </w:rPr>
              <w:t>70</w:t>
            </w:r>
            <w:r>
              <w:rPr>
                <w:rFonts w:ascii="Arial" w:hAnsi="Arial" w:cs="Arial" w:eastAsia="Arial" w:hint="default"/>
                <w:b w:val="0"/>
                <w:bCs w:val="0"/>
              </w:rPr>
            </w:r>
          </w:hyperlink>
        </w:p>
        <w:p>
          <w:pPr>
            <w:pStyle w:val="TOC1"/>
            <w:tabs>
              <w:tab w:pos="9742" w:val="right" w:leader="dot"/>
            </w:tabs>
            <w:spacing w:line="240" w:lineRule="auto"/>
            <w:ind w:right="0"/>
            <w:jc w:val="left"/>
            <w:rPr>
              <w:rFonts w:ascii="Arial" w:hAnsi="Arial" w:cs="Arial" w:eastAsia="Arial" w:hint="default"/>
              <w:b w:val="0"/>
              <w:bCs w:val="0"/>
            </w:rPr>
          </w:pPr>
          <w:hyperlink w:history="true" w:anchor="_bookmark6">
            <w:r>
              <w:rPr/>
              <w:t>第八节</w:t>
            </w:r>
            <w:r>
              <w:rPr>
                <w:spacing w:val="48"/>
              </w:rPr>
              <w:t> </w:t>
            </w:r>
            <w:r>
              <w:rPr/>
              <w:t>董事、监事、高级管理人员和员工情况</w:t>
            </w:r>
            <w:r>
              <w:rPr>
                <w:rFonts w:ascii="Times New Roman" w:hAnsi="Times New Roman" w:cs="Times New Roman" w:eastAsia="Times New Roman" w:hint="default"/>
                <w:b w:val="0"/>
                <w:bCs w:val="0"/>
              </w:rPr>
              <w:tab/>
            </w:r>
            <w:r>
              <w:rPr>
                <w:rFonts w:ascii="Arial" w:hAnsi="Arial" w:cs="Arial" w:eastAsia="Arial" w:hint="default"/>
              </w:rPr>
              <w:t>71</w:t>
            </w:r>
            <w:r>
              <w:rPr>
                <w:rFonts w:ascii="Arial" w:hAnsi="Arial" w:cs="Arial" w:eastAsia="Arial" w:hint="default"/>
                <w:b w:val="0"/>
                <w:bCs w:val="0"/>
              </w:rPr>
            </w:r>
          </w:hyperlink>
        </w:p>
        <w:p>
          <w:pPr>
            <w:pStyle w:val="TOC1"/>
            <w:tabs>
              <w:tab w:pos="9742" w:val="right" w:leader="dot"/>
            </w:tabs>
            <w:spacing w:line="240" w:lineRule="auto"/>
            <w:ind w:right="0"/>
            <w:jc w:val="left"/>
            <w:rPr>
              <w:rFonts w:ascii="Arial" w:hAnsi="Arial" w:cs="Arial" w:eastAsia="Arial" w:hint="default"/>
              <w:b w:val="0"/>
              <w:bCs w:val="0"/>
            </w:rPr>
          </w:pPr>
          <w:hyperlink w:history="true" w:anchor="_bookmark7">
            <w:r>
              <w:rPr/>
              <w:t>第九节</w:t>
            </w:r>
            <w:r>
              <w:rPr>
                <w:spacing w:val="48"/>
              </w:rPr>
              <w:t> </w:t>
            </w:r>
            <w:r>
              <w:rPr/>
              <w:t>公司治理</w:t>
            </w:r>
            <w:r>
              <w:rPr>
                <w:rFonts w:ascii="Times New Roman" w:hAnsi="Times New Roman" w:cs="Times New Roman" w:eastAsia="Times New Roman" w:hint="default"/>
                <w:b w:val="0"/>
                <w:bCs w:val="0"/>
              </w:rPr>
              <w:tab/>
            </w:r>
            <w:r>
              <w:rPr>
                <w:rFonts w:ascii="Arial" w:hAnsi="Arial" w:cs="Arial" w:eastAsia="Arial" w:hint="default"/>
              </w:rPr>
              <w:t>77</w:t>
            </w:r>
            <w:r>
              <w:rPr>
                <w:rFonts w:ascii="Arial" w:hAnsi="Arial" w:cs="Arial" w:eastAsia="Arial" w:hint="default"/>
                <w:b w:val="0"/>
                <w:bCs w:val="0"/>
              </w:rPr>
            </w:r>
          </w:hyperlink>
        </w:p>
        <w:p>
          <w:pPr>
            <w:pStyle w:val="TOC1"/>
            <w:tabs>
              <w:tab w:pos="9742" w:val="right" w:leader="dot"/>
            </w:tabs>
            <w:spacing w:line="240" w:lineRule="auto"/>
            <w:ind w:right="0"/>
            <w:jc w:val="left"/>
            <w:rPr>
              <w:rFonts w:ascii="Arial" w:hAnsi="Arial" w:cs="Arial" w:eastAsia="Arial" w:hint="default"/>
              <w:b w:val="0"/>
              <w:bCs w:val="0"/>
            </w:rPr>
          </w:pPr>
          <w:hyperlink w:history="true" w:anchor="_bookmark8">
            <w:r>
              <w:rPr/>
              <w:t>第十节</w:t>
            </w:r>
            <w:r>
              <w:rPr>
                <w:spacing w:val="48"/>
              </w:rPr>
              <w:t> </w:t>
            </w:r>
            <w:r>
              <w:rPr/>
              <w:t>公司债券相关情况</w:t>
            </w:r>
            <w:r>
              <w:rPr>
                <w:rFonts w:ascii="Times New Roman" w:hAnsi="Times New Roman" w:cs="Times New Roman" w:eastAsia="Times New Roman" w:hint="default"/>
                <w:b w:val="0"/>
                <w:bCs w:val="0"/>
              </w:rPr>
              <w:tab/>
            </w:r>
            <w:r>
              <w:rPr>
                <w:rFonts w:ascii="Arial" w:hAnsi="Arial" w:cs="Arial" w:eastAsia="Arial" w:hint="default"/>
              </w:rPr>
              <w:t>82</w:t>
            </w:r>
            <w:r>
              <w:rPr>
                <w:rFonts w:ascii="Arial" w:hAnsi="Arial" w:cs="Arial" w:eastAsia="Arial" w:hint="default"/>
                <w:b w:val="0"/>
                <w:bCs w:val="0"/>
              </w:rPr>
            </w:r>
          </w:hyperlink>
        </w:p>
        <w:p>
          <w:pPr>
            <w:pStyle w:val="TOC1"/>
            <w:tabs>
              <w:tab w:pos="9742" w:val="right" w:leader="dot"/>
            </w:tabs>
            <w:spacing w:line="240" w:lineRule="auto"/>
            <w:ind w:right="0"/>
            <w:jc w:val="left"/>
            <w:rPr>
              <w:rFonts w:ascii="Arial" w:hAnsi="Arial" w:cs="Arial" w:eastAsia="Arial" w:hint="default"/>
              <w:b w:val="0"/>
              <w:bCs w:val="0"/>
            </w:rPr>
          </w:pPr>
          <w:hyperlink w:history="true" w:anchor="_bookmark9">
            <w:r>
              <w:rPr/>
              <w:t>第十一节</w:t>
            </w:r>
            <w:r>
              <w:rPr>
                <w:spacing w:val="48"/>
              </w:rPr>
              <w:t> </w:t>
            </w:r>
            <w:r>
              <w:rPr/>
              <w:t>财务报告</w:t>
            </w:r>
            <w:r>
              <w:rPr>
                <w:rFonts w:ascii="Times New Roman" w:hAnsi="Times New Roman" w:cs="Times New Roman" w:eastAsia="Times New Roman" w:hint="default"/>
                <w:b w:val="0"/>
                <w:bCs w:val="0"/>
              </w:rPr>
              <w:tab/>
            </w:r>
            <w:r>
              <w:rPr>
                <w:rFonts w:ascii="Arial" w:hAnsi="Arial" w:cs="Arial" w:eastAsia="Arial" w:hint="default"/>
              </w:rPr>
              <w:t>83</w:t>
            </w:r>
            <w:r>
              <w:rPr>
                <w:rFonts w:ascii="Arial" w:hAnsi="Arial" w:cs="Arial" w:eastAsia="Arial" w:hint="default"/>
                <w:b w:val="0"/>
                <w:bCs w:val="0"/>
              </w:rPr>
            </w:r>
          </w:hyperlink>
        </w:p>
        <w:p>
          <w:pPr>
            <w:pStyle w:val="TOC1"/>
            <w:tabs>
              <w:tab w:pos="9742" w:val="right" w:leader="dot"/>
            </w:tabs>
            <w:spacing w:line="240" w:lineRule="auto"/>
            <w:ind w:right="0"/>
            <w:jc w:val="left"/>
            <w:rPr>
              <w:rFonts w:ascii="Arial" w:hAnsi="Arial" w:cs="Arial" w:eastAsia="Arial" w:hint="default"/>
              <w:b w:val="0"/>
              <w:bCs w:val="0"/>
            </w:rPr>
          </w:pPr>
          <w:hyperlink w:history="true" w:anchor="_bookmark10">
            <w:r>
              <w:rPr/>
              <w:t>第十二节</w:t>
            </w:r>
            <w:r>
              <w:rPr>
                <w:spacing w:val="48"/>
              </w:rPr>
              <w:t> </w:t>
            </w:r>
            <w:r>
              <w:rPr/>
              <w:t>备查文件目录</w:t>
            </w:r>
            <w:r>
              <w:rPr>
                <w:rFonts w:ascii="Times New Roman" w:hAnsi="Times New Roman" w:cs="Times New Roman" w:eastAsia="Times New Roman" w:hint="default"/>
                <w:b w:val="0"/>
                <w:bCs w:val="0"/>
              </w:rPr>
              <w:tab/>
            </w:r>
            <w:r>
              <w:rPr>
                <w:rFonts w:ascii="Arial" w:hAnsi="Arial" w:cs="Arial" w:eastAsia="Arial" w:hint="default"/>
              </w:rPr>
              <w:t>174</w:t>
            </w:r>
            <w:r>
              <w:rPr>
                <w:rFonts w:ascii="Arial" w:hAnsi="Arial" w:cs="Arial" w:eastAsia="Arial" w:hint="default"/>
                <w:b w:val="0"/>
                <w:bCs w:val="0"/>
              </w:rPr>
            </w:r>
          </w:hyperlink>
        </w:p>
      </w:sdtContent>
    </w:sdt>
    <w:p>
      <w:pPr>
        <w:spacing w:after="0" w:line="240" w:lineRule="auto"/>
        <w:jc w:val="left"/>
        <w:rPr>
          <w:rFonts w:ascii="Arial" w:hAnsi="Arial" w:cs="Arial" w:eastAsia="Arial" w:hint="default"/>
        </w:rPr>
        <w:sectPr>
          <w:pgSz w:w="11910" w:h="16840"/>
          <w:pgMar w:header="746" w:footer="978" w:top="1060" w:bottom="1160" w:left="1020" w:right="0"/>
        </w:sectPr>
      </w:pPr>
    </w:p>
    <w:p>
      <w:pPr>
        <w:spacing w:before="861"/>
        <w:ind w:left="2742" w:right="3762" w:firstLine="0"/>
        <w:jc w:val="center"/>
        <w:rPr>
          <w:rFonts w:ascii="微软雅黑" w:hAnsi="微软雅黑" w:cs="微软雅黑" w:eastAsia="微软雅黑" w:hint="default"/>
          <w:sz w:val="32"/>
          <w:szCs w:val="32"/>
        </w:rPr>
      </w:pPr>
      <w:r>
        <w:rPr>
          <w:rFonts w:ascii="微软雅黑" w:hAnsi="微软雅黑" w:cs="微软雅黑" w:eastAsia="微软雅黑" w:hint="default"/>
          <w:b/>
          <w:bCs/>
          <w:sz w:val="32"/>
          <w:szCs w:val="32"/>
        </w:rPr>
        <w:t>释义</w:t>
      </w:r>
      <w:r>
        <w:rPr>
          <w:rFonts w:ascii="微软雅黑" w:hAnsi="微软雅黑" w:cs="微软雅黑" w:eastAsia="微软雅黑" w:hint="default"/>
          <w:sz w:val="32"/>
          <w:szCs w:val="32"/>
        </w:rPr>
      </w:r>
    </w:p>
    <w:p>
      <w:pPr>
        <w:spacing w:line="240" w:lineRule="auto" w:before="0"/>
        <w:rPr>
          <w:rFonts w:ascii="微软雅黑" w:hAnsi="微软雅黑" w:cs="微软雅黑" w:eastAsia="微软雅黑" w:hint="default"/>
          <w:b/>
          <w:bCs/>
          <w:sz w:val="20"/>
          <w:szCs w:val="20"/>
        </w:rPr>
      </w:pPr>
    </w:p>
    <w:p>
      <w:pPr>
        <w:spacing w:line="240" w:lineRule="auto" w:before="7"/>
        <w:rPr>
          <w:rFonts w:ascii="微软雅黑" w:hAnsi="微软雅黑" w:cs="微软雅黑" w:eastAsia="微软雅黑"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2127"/>
        <w:gridCol w:w="567"/>
        <w:gridCol w:w="6875"/>
      </w:tblGrid>
      <w:tr>
        <w:trPr>
          <w:trHeight w:val="480"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b/>
                <w:bCs/>
                <w:sz w:val="21"/>
                <w:szCs w:val="21"/>
              </w:rPr>
              <w:t>释义项</w:t>
            </w:r>
            <w:r>
              <w:rPr>
                <w:rFonts w:ascii="宋体" w:hAnsi="宋体" w:cs="宋体" w:eastAsia="宋体" w:hint="default"/>
                <w:sz w:val="21"/>
                <w:szCs w:val="21"/>
              </w:rPr>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b/>
                <w:bCs/>
                <w:w w:val="99"/>
                <w:sz w:val="21"/>
                <w:szCs w:val="21"/>
              </w:rPr>
              <w:t>指</w:t>
            </w:r>
            <w:r>
              <w:rPr>
                <w:rFonts w:ascii="宋体" w:hAnsi="宋体" w:cs="宋体" w:eastAsia="宋体" w:hint="default"/>
                <w:sz w:val="21"/>
                <w:szCs w:val="21"/>
              </w:rPr>
            </w:r>
          </w:p>
        </w:tc>
        <w:tc>
          <w:tcPr>
            <w:tcW w:w="6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b/>
                <w:bCs/>
                <w:sz w:val="21"/>
                <w:szCs w:val="21"/>
              </w:rPr>
              <w:t>释义内容</w:t>
            </w:r>
            <w:r>
              <w:rPr>
                <w:rFonts w:ascii="宋体" w:hAnsi="宋体" w:cs="宋体" w:eastAsia="宋体" w:hint="default"/>
                <w:sz w:val="21"/>
                <w:szCs w:val="21"/>
              </w:rPr>
            </w:r>
          </w:p>
        </w:tc>
      </w:tr>
      <w:tr>
        <w:trPr>
          <w:trHeight w:val="48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21"/>
                <w:szCs w:val="21"/>
              </w:rPr>
            </w:pPr>
            <w:r>
              <w:rPr>
                <w:rFonts w:ascii="宋体" w:hAnsi="宋体" w:cs="宋体" w:eastAsia="宋体" w:hint="default"/>
                <w:sz w:val="21"/>
                <w:szCs w:val="21"/>
              </w:rPr>
              <w:t>证监会</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w w:val="99"/>
                <w:sz w:val="21"/>
                <w:szCs w:val="21"/>
              </w:rPr>
              <w:t>指</w:t>
            </w:r>
            <w:r>
              <w:rPr>
                <w:rFonts w:ascii="宋体" w:hAnsi="宋体" w:cs="宋体" w:eastAsia="宋体" w:hint="default"/>
                <w:sz w:val="21"/>
                <w:szCs w:val="21"/>
              </w:rPr>
            </w:r>
          </w:p>
        </w:tc>
        <w:tc>
          <w:tcPr>
            <w:tcW w:w="6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48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Arial" w:hAnsi="Arial" w:cs="Arial" w:eastAsia="Arial" w:hint="default"/>
                <w:sz w:val="21"/>
                <w:szCs w:val="21"/>
              </w:rPr>
              <w:t>/</w:t>
            </w:r>
            <w:r>
              <w:rPr>
                <w:rFonts w:ascii="宋体" w:hAnsi="宋体" w:cs="宋体" w:eastAsia="宋体" w:hint="default"/>
                <w:sz w:val="21"/>
                <w:szCs w:val="21"/>
              </w:rPr>
              <w:t>华宇软件</w:t>
            </w:r>
            <w:r>
              <w:rPr>
                <w:rFonts w:ascii="Arial" w:hAnsi="Arial" w:cs="Arial" w:eastAsia="Arial" w:hint="default"/>
                <w:sz w:val="21"/>
                <w:szCs w:val="21"/>
              </w:rPr>
              <w:t>/</w:t>
            </w:r>
            <w:r>
              <w:rPr>
                <w:rFonts w:ascii="宋体" w:hAnsi="宋体" w:cs="宋体" w:eastAsia="宋体" w:hint="default"/>
                <w:sz w:val="21"/>
                <w:szCs w:val="21"/>
              </w:rPr>
              <w:t>华宇</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w w:val="99"/>
                <w:sz w:val="21"/>
                <w:szCs w:val="21"/>
              </w:rPr>
              <w:t>指</w:t>
            </w:r>
            <w:r>
              <w:rPr>
                <w:rFonts w:ascii="宋体" w:hAnsi="宋体" w:cs="宋体" w:eastAsia="宋体" w:hint="default"/>
                <w:sz w:val="21"/>
                <w:szCs w:val="21"/>
              </w:rPr>
            </w:r>
          </w:p>
        </w:tc>
        <w:tc>
          <w:tcPr>
            <w:tcW w:w="6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21"/>
                <w:szCs w:val="21"/>
              </w:rPr>
            </w:pPr>
            <w:r>
              <w:rPr>
                <w:rFonts w:ascii="宋体" w:hAnsi="宋体" w:cs="宋体" w:eastAsia="宋体" w:hint="default"/>
                <w:sz w:val="21"/>
                <w:szCs w:val="21"/>
              </w:rPr>
              <w:t>北京华宇软件股份有限公司</w:t>
            </w:r>
          </w:p>
        </w:tc>
      </w:tr>
      <w:tr>
        <w:trPr>
          <w:trHeight w:val="48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21"/>
                <w:szCs w:val="21"/>
              </w:rPr>
            </w:pPr>
            <w:r>
              <w:rPr>
                <w:rFonts w:ascii="宋体" w:hAnsi="宋体" w:cs="宋体" w:eastAsia="宋体" w:hint="default"/>
                <w:sz w:val="21"/>
                <w:szCs w:val="21"/>
              </w:rPr>
              <w:t>华宇信息</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w w:val="99"/>
                <w:sz w:val="21"/>
                <w:szCs w:val="21"/>
              </w:rPr>
              <w:t>指</w:t>
            </w:r>
            <w:r>
              <w:rPr>
                <w:rFonts w:ascii="宋体" w:hAnsi="宋体" w:cs="宋体" w:eastAsia="宋体" w:hint="default"/>
                <w:sz w:val="21"/>
                <w:szCs w:val="21"/>
              </w:rPr>
            </w:r>
          </w:p>
        </w:tc>
        <w:tc>
          <w:tcPr>
            <w:tcW w:w="6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21"/>
                <w:szCs w:val="21"/>
              </w:rPr>
            </w:pPr>
            <w:r>
              <w:rPr>
                <w:rFonts w:ascii="宋体" w:hAnsi="宋体" w:cs="宋体" w:eastAsia="宋体" w:hint="default"/>
                <w:sz w:val="21"/>
                <w:szCs w:val="21"/>
              </w:rPr>
              <w:t>北京华宇信息技术有限公司</w:t>
            </w:r>
          </w:p>
        </w:tc>
      </w:tr>
      <w:tr>
        <w:trPr>
          <w:trHeight w:val="48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21"/>
                <w:szCs w:val="21"/>
              </w:rPr>
            </w:pPr>
            <w:r>
              <w:rPr>
                <w:rFonts w:ascii="宋体" w:hAnsi="宋体" w:cs="宋体" w:eastAsia="宋体" w:hint="default"/>
                <w:sz w:val="21"/>
                <w:szCs w:val="21"/>
              </w:rPr>
              <w:t>亿信华辰</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w w:val="99"/>
                <w:sz w:val="21"/>
                <w:szCs w:val="21"/>
              </w:rPr>
              <w:t>指</w:t>
            </w:r>
            <w:r>
              <w:rPr>
                <w:rFonts w:ascii="宋体" w:hAnsi="宋体" w:cs="宋体" w:eastAsia="宋体" w:hint="default"/>
                <w:sz w:val="21"/>
                <w:szCs w:val="21"/>
              </w:rPr>
            </w:r>
          </w:p>
        </w:tc>
        <w:tc>
          <w:tcPr>
            <w:tcW w:w="6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21"/>
                <w:szCs w:val="21"/>
              </w:rPr>
            </w:pPr>
            <w:r>
              <w:rPr>
                <w:rFonts w:ascii="宋体" w:hAnsi="宋体" w:cs="宋体" w:eastAsia="宋体" w:hint="default"/>
                <w:sz w:val="21"/>
                <w:szCs w:val="21"/>
              </w:rPr>
              <w:t>北京亿信华辰软件有限责任公司</w:t>
            </w:r>
          </w:p>
        </w:tc>
      </w:tr>
      <w:tr>
        <w:trPr>
          <w:trHeight w:val="48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21"/>
                <w:szCs w:val="21"/>
              </w:rPr>
            </w:pPr>
            <w:r>
              <w:rPr>
                <w:rFonts w:ascii="宋体" w:hAnsi="宋体" w:cs="宋体" w:eastAsia="宋体" w:hint="default"/>
                <w:sz w:val="21"/>
                <w:szCs w:val="21"/>
              </w:rPr>
              <w:t>广州华宇</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w w:val="99"/>
                <w:sz w:val="21"/>
                <w:szCs w:val="21"/>
              </w:rPr>
              <w:t>指</w:t>
            </w:r>
            <w:r>
              <w:rPr>
                <w:rFonts w:ascii="宋体" w:hAnsi="宋体" w:cs="宋体" w:eastAsia="宋体" w:hint="default"/>
                <w:sz w:val="21"/>
                <w:szCs w:val="21"/>
              </w:rPr>
            </w:r>
          </w:p>
        </w:tc>
        <w:tc>
          <w:tcPr>
            <w:tcW w:w="6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21"/>
                <w:szCs w:val="21"/>
              </w:rPr>
            </w:pPr>
            <w:r>
              <w:rPr>
                <w:rFonts w:ascii="宋体" w:hAnsi="宋体" w:cs="宋体" w:eastAsia="宋体" w:hint="default"/>
                <w:sz w:val="21"/>
                <w:szCs w:val="21"/>
              </w:rPr>
              <w:t>广州华宇信息技术有限公司</w:t>
            </w:r>
          </w:p>
        </w:tc>
      </w:tr>
      <w:tr>
        <w:trPr>
          <w:trHeight w:val="48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21"/>
                <w:szCs w:val="21"/>
              </w:rPr>
            </w:pPr>
            <w:r>
              <w:rPr>
                <w:rFonts w:ascii="宋体" w:hAnsi="宋体" w:cs="宋体" w:eastAsia="宋体" w:hint="default"/>
                <w:sz w:val="21"/>
                <w:szCs w:val="21"/>
              </w:rPr>
              <w:t>华宇金信</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w w:val="99"/>
                <w:sz w:val="21"/>
                <w:szCs w:val="21"/>
              </w:rPr>
              <w:t>指</w:t>
            </w:r>
            <w:r>
              <w:rPr>
                <w:rFonts w:ascii="宋体" w:hAnsi="宋体" w:cs="宋体" w:eastAsia="宋体" w:hint="default"/>
                <w:sz w:val="21"/>
                <w:szCs w:val="21"/>
              </w:rPr>
            </w:r>
          </w:p>
        </w:tc>
        <w:tc>
          <w:tcPr>
            <w:tcW w:w="6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Arial" w:hAnsi="Arial" w:cs="Arial" w:eastAsia="Arial" w:hint="default"/>
                <w:sz w:val="21"/>
                <w:szCs w:val="21"/>
              </w:rPr>
            </w:pPr>
            <w:r>
              <w:rPr>
                <w:rFonts w:ascii="宋体" w:hAnsi="宋体" w:cs="宋体" w:eastAsia="宋体" w:hint="default"/>
                <w:sz w:val="21"/>
                <w:szCs w:val="21"/>
              </w:rPr>
              <w:t>华宇金信（北京）软件有限公司，原</w:t>
            </w:r>
            <w:r>
              <w:rPr>
                <w:rFonts w:ascii="Arial" w:hAnsi="Arial" w:cs="Arial" w:eastAsia="Arial" w:hint="default"/>
                <w:sz w:val="21"/>
                <w:szCs w:val="21"/>
              </w:rPr>
              <w:t>“</w:t>
            </w:r>
            <w:r>
              <w:rPr>
                <w:rFonts w:ascii="宋体" w:hAnsi="宋体" w:cs="宋体" w:eastAsia="宋体" w:hint="default"/>
                <w:sz w:val="21"/>
                <w:szCs w:val="21"/>
              </w:rPr>
              <w:t>航宇金信（北京）软件有限公司</w:t>
            </w:r>
            <w:r>
              <w:rPr>
                <w:rFonts w:ascii="Arial" w:hAnsi="Arial" w:cs="Arial" w:eastAsia="Arial" w:hint="default"/>
                <w:sz w:val="21"/>
                <w:szCs w:val="21"/>
              </w:rPr>
              <w:t>”</w:t>
            </w:r>
          </w:p>
        </w:tc>
      </w:tr>
      <w:tr>
        <w:trPr>
          <w:trHeight w:val="48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21"/>
                <w:szCs w:val="21"/>
              </w:rPr>
            </w:pPr>
            <w:r>
              <w:rPr>
                <w:rFonts w:ascii="宋体" w:hAnsi="宋体" w:cs="宋体" w:eastAsia="宋体" w:hint="default"/>
                <w:sz w:val="21"/>
                <w:szCs w:val="21"/>
              </w:rPr>
              <w:t>大连华宇</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w w:val="99"/>
                <w:sz w:val="21"/>
                <w:szCs w:val="21"/>
              </w:rPr>
              <w:t>指</w:t>
            </w:r>
            <w:r>
              <w:rPr>
                <w:rFonts w:ascii="宋体" w:hAnsi="宋体" w:cs="宋体" w:eastAsia="宋体" w:hint="default"/>
                <w:sz w:val="21"/>
                <w:szCs w:val="21"/>
              </w:rPr>
            </w:r>
          </w:p>
        </w:tc>
        <w:tc>
          <w:tcPr>
            <w:tcW w:w="6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21"/>
                <w:szCs w:val="21"/>
              </w:rPr>
            </w:pPr>
            <w:r>
              <w:rPr>
                <w:rFonts w:ascii="宋体" w:hAnsi="宋体" w:cs="宋体" w:eastAsia="宋体" w:hint="default"/>
                <w:sz w:val="21"/>
                <w:szCs w:val="21"/>
              </w:rPr>
              <w:t>华宇（大连）信息服务有限公司</w:t>
            </w:r>
          </w:p>
        </w:tc>
      </w:tr>
      <w:tr>
        <w:trPr>
          <w:trHeight w:val="48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21"/>
                <w:szCs w:val="21"/>
              </w:rPr>
            </w:pPr>
            <w:r>
              <w:rPr>
                <w:rFonts w:ascii="宋体" w:hAnsi="宋体" w:cs="宋体" w:eastAsia="宋体" w:hint="default"/>
                <w:sz w:val="21"/>
                <w:szCs w:val="21"/>
              </w:rPr>
              <w:t>捷视飞通</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w w:val="99"/>
                <w:sz w:val="21"/>
                <w:szCs w:val="21"/>
              </w:rPr>
              <w:t>指</w:t>
            </w:r>
            <w:r>
              <w:rPr>
                <w:rFonts w:ascii="宋体" w:hAnsi="宋体" w:cs="宋体" w:eastAsia="宋体" w:hint="default"/>
                <w:sz w:val="21"/>
                <w:szCs w:val="21"/>
              </w:rPr>
            </w:r>
          </w:p>
        </w:tc>
        <w:tc>
          <w:tcPr>
            <w:tcW w:w="6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Arial" w:hAnsi="Arial" w:cs="Arial" w:eastAsia="Arial" w:hint="default"/>
                <w:sz w:val="21"/>
                <w:szCs w:val="21"/>
              </w:rPr>
            </w:pPr>
            <w:r>
              <w:rPr>
                <w:rFonts w:ascii="宋体" w:hAnsi="宋体" w:cs="宋体" w:eastAsia="宋体" w:hint="default"/>
                <w:sz w:val="21"/>
                <w:szCs w:val="21"/>
              </w:rPr>
              <w:t>深圳市捷视飞通科技股份有限公司，原</w:t>
            </w:r>
            <w:r>
              <w:rPr>
                <w:rFonts w:ascii="Arial" w:hAnsi="Arial" w:cs="Arial" w:eastAsia="Arial" w:hint="default"/>
                <w:sz w:val="21"/>
                <w:szCs w:val="21"/>
              </w:rPr>
              <w:t>“</w:t>
            </w:r>
            <w:r>
              <w:rPr>
                <w:rFonts w:ascii="宋体" w:hAnsi="宋体" w:cs="宋体" w:eastAsia="宋体" w:hint="default"/>
                <w:sz w:val="21"/>
                <w:szCs w:val="21"/>
              </w:rPr>
              <w:t>深圳市捷视飞通科技有限公司</w:t>
            </w:r>
            <w:r>
              <w:rPr>
                <w:rFonts w:ascii="Arial" w:hAnsi="Arial" w:cs="Arial" w:eastAsia="Arial" w:hint="default"/>
                <w:sz w:val="21"/>
                <w:szCs w:val="21"/>
              </w:rPr>
              <w:t>”</w:t>
            </w:r>
          </w:p>
        </w:tc>
      </w:tr>
      <w:tr>
        <w:trPr>
          <w:trHeight w:val="48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21"/>
                <w:szCs w:val="21"/>
              </w:rPr>
            </w:pPr>
            <w:r>
              <w:rPr>
                <w:rFonts w:ascii="宋体" w:hAnsi="宋体" w:cs="宋体" w:eastAsia="宋体" w:hint="default"/>
                <w:sz w:val="21"/>
                <w:szCs w:val="21"/>
              </w:rPr>
              <w:t>浦东华宇</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w w:val="99"/>
                <w:sz w:val="21"/>
                <w:szCs w:val="21"/>
              </w:rPr>
              <w:t>指</w:t>
            </w:r>
            <w:r>
              <w:rPr>
                <w:rFonts w:ascii="宋体" w:hAnsi="宋体" w:cs="宋体" w:eastAsia="宋体" w:hint="default"/>
                <w:sz w:val="21"/>
                <w:szCs w:val="21"/>
              </w:rPr>
            </w:r>
          </w:p>
        </w:tc>
        <w:tc>
          <w:tcPr>
            <w:tcW w:w="6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Arial" w:hAnsi="Arial" w:cs="Arial" w:eastAsia="Arial" w:hint="default"/>
                <w:sz w:val="21"/>
                <w:szCs w:val="21"/>
              </w:rPr>
            </w:pPr>
            <w:r>
              <w:rPr>
                <w:rFonts w:ascii="宋体" w:hAnsi="宋体" w:cs="宋体" w:eastAsia="宋体" w:hint="default"/>
                <w:sz w:val="21"/>
                <w:szCs w:val="21"/>
              </w:rPr>
              <w:t>上海浦东华宇信息技术有限公司，原</w:t>
            </w:r>
            <w:r>
              <w:rPr>
                <w:rFonts w:ascii="Arial" w:hAnsi="Arial" w:cs="Arial" w:eastAsia="Arial" w:hint="default"/>
                <w:sz w:val="21"/>
                <w:szCs w:val="21"/>
              </w:rPr>
              <w:t>“</w:t>
            </w:r>
            <w:r>
              <w:rPr>
                <w:rFonts w:ascii="宋体" w:hAnsi="宋体" w:cs="宋体" w:eastAsia="宋体" w:hint="default"/>
                <w:sz w:val="21"/>
                <w:szCs w:val="21"/>
              </w:rPr>
              <w:t>上海浦东中软科技发展有限公司</w:t>
            </w:r>
            <w:r>
              <w:rPr>
                <w:rFonts w:ascii="Arial" w:hAnsi="Arial" w:cs="Arial" w:eastAsia="Arial" w:hint="default"/>
                <w:sz w:val="21"/>
                <w:szCs w:val="21"/>
              </w:rPr>
              <w:t>”</w:t>
            </w:r>
          </w:p>
        </w:tc>
      </w:tr>
      <w:tr>
        <w:trPr>
          <w:trHeight w:val="48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21"/>
                <w:szCs w:val="21"/>
              </w:rPr>
            </w:pPr>
            <w:r>
              <w:rPr>
                <w:rFonts w:ascii="宋体" w:hAnsi="宋体" w:cs="宋体" w:eastAsia="宋体" w:hint="default"/>
                <w:sz w:val="21"/>
                <w:szCs w:val="21"/>
              </w:rPr>
              <w:t>万户网络</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w w:val="99"/>
                <w:sz w:val="21"/>
                <w:szCs w:val="21"/>
              </w:rPr>
              <w:t>指</w:t>
            </w:r>
            <w:r>
              <w:rPr>
                <w:rFonts w:ascii="宋体" w:hAnsi="宋体" w:cs="宋体" w:eastAsia="宋体" w:hint="default"/>
                <w:sz w:val="21"/>
                <w:szCs w:val="21"/>
              </w:rPr>
            </w:r>
          </w:p>
        </w:tc>
        <w:tc>
          <w:tcPr>
            <w:tcW w:w="6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21"/>
                <w:szCs w:val="21"/>
              </w:rPr>
            </w:pPr>
            <w:r>
              <w:rPr>
                <w:rFonts w:ascii="宋体" w:hAnsi="宋体" w:cs="宋体" w:eastAsia="宋体" w:hint="default"/>
                <w:sz w:val="21"/>
                <w:szCs w:val="21"/>
              </w:rPr>
              <w:t>北京万户网络技术有限公司</w:t>
            </w:r>
          </w:p>
        </w:tc>
      </w:tr>
      <w:tr>
        <w:trPr>
          <w:trHeight w:val="48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21"/>
                <w:szCs w:val="21"/>
              </w:rPr>
            </w:pPr>
            <w:r>
              <w:rPr>
                <w:rFonts w:ascii="宋体" w:hAnsi="宋体" w:cs="宋体" w:eastAsia="宋体" w:hint="default"/>
                <w:sz w:val="21"/>
                <w:szCs w:val="21"/>
              </w:rPr>
              <w:t>华宇元典</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w w:val="99"/>
                <w:sz w:val="21"/>
                <w:szCs w:val="21"/>
              </w:rPr>
              <w:t>指</w:t>
            </w:r>
            <w:r>
              <w:rPr>
                <w:rFonts w:ascii="宋体" w:hAnsi="宋体" w:cs="宋体" w:eastAsia="宋体" w:hint="default"/>
                <w:sz w:val="21"/>
                <w:szCs w:val="21"/>
              </w:rPr>
            </w:r>
          </w:p>
        </w:tc>
        <w:tc>
          <w:tcPr>
            <w:tcW w:w="6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21"/>
                <w:szCs w:val="21"/>
              </w:rPr>
            </w:pPr>
            <w:r>
              <w:rPr>
                <w:rFonts w:ascii="宋体" w:hAnsi="宋体" w:cs="宋体" w:eastAsia="宋体" w:hint="default"/>
                <w:sz w:val="21"/>
                <w:szCs w:val="21"/>
              </w:rPr>
              <w:t>北京华宇元典信息服务有限公司</w:t>
            </w:r>
          </w:p>
        </w:tc>
      </w:tr>
      <w:tr>
        <w:trPr>
          <w:trHeight w:val="48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21"/>
                <w:szCs w:val="21"/>
              </w:rPr>
            </w:pPr>
            <w:r>
              <w:rPr>
                <w:rFonts w:ascii="宋体" w:hAnsi="宋体" w:cs="宋体" w:eastAsia="宋体" w:hint="default"/>
                <w:sz w:val="21"/>
                <w:szCs w:val="21"/>
              </w:rPr>
              <w:t>溯源云</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w w:val="99"/>
                <w:sz w:val="21"/>
                <w:szCs w:val="21"/>
              </w:rPr>
              <w:t>指</w:t>
            </w:r>
            <w:r>
              <w:rPr>
                <w:rFonts w:ascii="宋体" w:hAnsi="宋体" w:cs="宋体" w:eastAsia="宋体" w:hint="default"/>
                <w:sz w:val="21"/>
                <w:szCs w:val="21"/>
              </w:rPr>
            </w:r>
          </w:p>
        </w:tc>
        <w:tc>
          <w:tcPr>
            <w:tcW w:w="6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21"/>
                <w:szCs w:val="21"/>
              </w:rPr>
            </w:pPr>
            <w:r>
              <w:rPr>
                <w:rFonts w:ascii="宋体" w:hAnsi="宋体" w:cs="宋体" w:eastAsia="宋体" w:hint="default"/>
                <w:sz w:val="21"/>
                <w:szCs w:val="21"/>
              </w:rPr>
              <w:t>溯源云（北京）科技服务有限公司</w:t>
            </w:r>
          </w:p>
        </w:tc>
      </w:tr>
      <w:tr>
        <w:trPr>
          <w:trHeight w:val="48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21"/>
                <w:szCs w:val="21"/>
              </w:rPr>
            </w:pPr>
            <w:r>
              <w:rPr>
                <w:rFonts w:ascii="宋体" w:hAnsi="宋体" w:cs="宋体" w:eastAsia="宋体" w:hint="default"/>
                <w:sz w:val="21"/>
                <w:szCs w:val="21"/>
              </w:rPr>
              <w:t>联奕科技</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w w:val="99"/>
                <w:sz w:val="21"/>
                <w:szCs w:val="21"/>
              </w:rPr>
              <w:t>指</w:t>
            </w:r>
            <w:r>
              <w:rPr>
                <w:rFonts w:ascii="宋体" w:hAnsi="宋体" w:cs="宋体" w:eastAsia="宋体" w:hint="default"/>
                <w:sz w:val="21"/>
                <w:szCs w:val="21"/>
              </w:rPr>
            </w:r>
          </w:p>
        </w:tc>
        <w:tc>
          <w:tcPr>
            <w:tcW w:w="6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Arial" w:hAnsi="Arial" w:cs="Arial" w:eastAsia="Arial" w:hint="default"/>
                <w:sz w:val="21"/>
                <w:szCs w:val="21"/>
              </w:rPr>
            </w:pPr>
            <w:r>
              <w:rPr>
                <w:rFonts w:ascii="宋体" w:hAnsi="宋体" w:cs="宋体" w:eastAsia="宋体" w:hint="default"/>
                <w:sz w:val="21"/>
                <w:szCs w:val="21"/>
              </w:rPr>
              <w:t>联奕科技有限公司，原</w:t>
            </w:r>
            <w:r>
              <w:rPr>
                <w:rFonts w:ascii="Arial" w:hAnsi="Arial" w:cs="Arial" w:eastAsia="Arial" w:hint="default"/>
                <w:sz w:val="21"/>
                <w:szCs w:val="21"/>
              </w:rPr>
              <w:t>“</w:t>
            </w:r>
            <w:r>
              <w:rPr>
                <w:rFonts w:ascii="宋体" w:hAnsi="宋体" w:cs="宋体" w:eastAsia="宋体" w:hint="default"/>
                <w:sz w:val="21"/>
                <w:szCs w:val="21"/>
              </w:rPr>
              <w:t>联奕科技股份有限公司</w:t>
            </w:r>
            <w:r>
              <w:rPr>
                <w:rFonts w:ascii="Arial" w:hAnsi="Arial" w:cs="Arial" w:eastAsia="Arial" w:hint="default"/>
                <w:sz w:val="21"/>
                <w:szCs w:val="21"/>
              </w:rPr>
              <w:t>”</w:t>
            </w:r>
          </w:p>
        </w:tc>
      </w:tr>
      <w:tr>
        <w:trPr>
          <w:trHeight w:val="48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21"/>
                <w:szCs w:val="21"/>
              </w:rPr>
            </w:pPr>
            <w:r>
              <w:rPr>
                <w:rFonts w:ascii="宋体" w:hAnsi="宋体" w:cs="宋体" w:eastAsia="宋体" w:hint="default"/>
                <w:sz w:val="21"/>
                <w:szCs w:val="21"/>
              </w:rPr>
              <w:t>数字方舟</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w w:val="99"/>
                <w:sz w:val="21"/>
                <w:szCs w:val="21"/>
              </w:rPr>
              <w:t>指</w:t>
            </w:r>
            <w:r>
              <w:rPr>
                <w:rFonts w:ascii="宋体" w:hAnsi="宋体" w:cs="宋体" w:eastAsia="宋体" w:hint="default"/>
                <w:sz w:val="21"/>
                <w:szCs w:val="21"/>
              </w:rPr>
            </w:r>
          </w:p>
        </w:tc>
        <w:tc>
          <w:tcPr>
            <w:tcW w:w="6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21"/>
                <w:szCs w:val="21"/>
              </w:rPr>
            </w:pPr>
            <w:r>
              <w:rPr>
                <w:rFonts w:ascii="宋体" w:hAnsi="宋体" w:cs="宋体" w:eastAsia="宋体" w:hint="default"/>
                <w:sz w:val="21"/>
                <w:szCs w:val="21"/>
              </w:rPr>
              <w:t>广州数字方舟信息技术股份有限公司</w:t>
            </w:r>
          </w:p>
        </w:tc>
      </w:tr>
    </w:tbl>
    <w:p>
      <w:pPr>
        <w:spacing w:after="0" w:line="240" w:lineRule="auto"/>
        <w:jc w:val="left"/>
        <w:rPr>
          <w:rFonts w:ascii="宋体" w:hAnsi="宋体" w:cs="宋体" w:eastAsia="宋体" w:hint="default"/>
          <w:sz w:val="21"/>
          <w:szCs w:val="21"/>
        </w:rPr>
        <w:sectPr>
          <w:pgSz w:w="11910" w:h="16840"/>
          <w:pgMar w:header="746" w:footer="978" w:top="1060" w:bottom="1160" w:left="1020" w:right="0"/>
        </w:sectPr>
      </w:pPr>
    </w:p>
    <w:p>
      <w:pPr>
        <w:spacing w:line="240" w:lineRule="auto" w:before="0"/>
        <w:rPr>
          <w:rFonts w:ascii="微软雅黑" w:hAnsi="微软雅黑" w:cs="微软雅黑" w:eastAsia="微软雅黑" w:hint="default"/>
          <w:b/>
          <w:bCs/>
          <w:sz w:val="20"/>
          <w:szCs w:val="20"/>
        </w:rPr>
      </w:pPr>
    </w:p>
    <w:p>
      <w:pPr>
        <w:spacing w:line="240" w:lineRule="auto" w:before="7"/>
        <w:rPr>
          <w:rFonts w:ascii="微软雅黑" w:hAnsi="微软雅黑" w:cs="微软雅黑" w:eastAsia="微软雅黑" w:hint="default"/>
          <w:b/>
          <w:bCs/>
          <w:sz w:val="27"/>
          <w:szCs w:val="27"/>
        </w:rPr>
      </w:pPr>
    </w:p>
    <w:p>
      <w:pPr>
        <w:pStyle w:val="Heading1"/>
        <w:spacing w:line="439" w:lineRule="exact"/>
        <w:ind w:left="2613" w:right="996"/>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57"/>
        </w:rPr>
        <w:t> </w:t>
      </w:r>
      <w:r>
        <w:rPr/>
        <w:t>公司简介和主要财务指标</w:t>
      </w:r>
      <w:r>
        <w:rPr>
          <w:b w:val="0"/>
          <w:bCs w:val="0"/>
        </w:rPr>
      </w:r>
    </w:p>
    <w:p>
      <w:pPr>
        <w:spacing w:line="240" w:lineRule="auto" w:before="16"/>
        <w:rPr>
          <w:rFonts w:ascii="微软雅黑" w:hAnsi="微软雅黑" w:cs="微软雅黑" w:eastAsia="微软雅黑" w:hint="default"/>
          <w:b/>
          <w:bCs/>
          <w:sz w:val="24"/>
          <w:szCs w:val="24"/>
        </w:rPr>
      </w:pPr>
    </w:p>
    <w:p>
      <w:pPr>
        <w:pStyle w:val="Heading2"/>
        <w:spacing w:line="240" w:lineRule="auto"/>
        <w:ind w:right="996"/>
        <w:jc w:val="left"/>
        <w:rPr>
          <w:b w:val="0"/>
          <w:bCs w:val="0"/>
        </w:rPr>
      </w:pPr>
      <w:bookmarkStart w:name="一、公司信息" w:id="4"/>
      <w:bookmarkEnd w:id="4"/>
      <w:r>
        <w:rPr>
          <w:b w:val="0"/>
          <w:bCs w:val="0"/>
        </w:rPr>
      </w: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84"/>
        <w:gridCol w:w="2953"/>
        <w:gridCol w:w="2156"/>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3" w:right="0"/>
              <w:jc w:val="left"/>
              <w:rPr>
                <w:rFonts w:ascii="宋体" w:hAnsi="宋体" w:cs="宋体" w:eastAsia="宋体" w:hint="default"/>
                <w:sz w:val="21"/>
                <w:szCs w:val="21"/>
              </w:rPr>
            </w:pPr>
            <w:r>
              <w:rPr>
                <w:rFonts w:ascii="宋体" w:hAnsi="宋体" w:cs="宋体" w:eastAsia="宋体" w:hint="default"/>
                <w:sz w:val="21"/>
                <w:szCs w:val="21"/>
              </w:rPr>
              <w:t>华宇软件</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4" w:right="0"/>
              <w:jc w:val="left"/>
              <w:rPr>
                <w:rFonts w:ascii="Arial" w:hAnsi="Arial" w:cs="Arial" w:eastAsia="Arial" w:hint="default"/>
                <w:sz w:val="21"/>
                <w:szCs w:val="21"/>
              </w:rPr>
            </w:pPr>
            <w:r>
              <w:rPr>
                <w:rFonts w:ascii="Arial"/>
                <w:sz w:val="21"/>
              </w:rPr>
              <w:t>300271</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21"/>
                <w:szCs w:val="21"/>
              </w:rPr>
            </w:pPr>
            <w:r>
              <w:rPr>
                <w:rFonts w:ascii="宋体" w:hAnsi="宋体" w:cs="宋体" w:eastAsia="宋体" w:hint="default"/>
                <w:sz w:val="21"/>
                <w:szCs w:val="21"/>
              </w:rPr>
              <w:t>北京华宇软件股份有限公司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3" w:right="0"/>
              <w:jc w:val="left"/>
              <w:rPr>
                <w:rFonts w:ascii="宋体" w:hAnsi="宋体" w:cs="宋体" w:eastAsia="宋体" w:hint="default"/>
                <w:sz w:val="21"/>
                <w:szCs w:val="21"/>
              </w:rPr>
            </w:pPr>
            <w:r>
              <w:rPr>
                <w:rFonts w:ascii="宋体" w:hAnsi="宋体" w:cs="宋体" w:eastAsia="宋体" w:hint="default"/>
                <w:sz w:val="21"/>
                <w:szCs w:val="21"/>
              </w:rPr>
              <w:t>华宇软件</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Arial" w:hAnsi="Arial" w:cs="Arial" w:eastAsia="Arial" w:hint="default"/>
                <w:sz w:val="21"/>
                <w:szCs w:val="21"/>
              </w:rPr>
            </w:pPr>
            <w:r>
              <w:rPr>
                <w:rFonts w:ascii="Arial"/>
                <w:sz w:val="21"/>
              </w:rPr>
              <w:t>Beijing Thunisoft</w:t>
            </w:r>
            <w:r>
              <w:rPr>
                <w:rFonts w:ascii="Arial"/>
                <w:spacing w:val="-12"/>
                <w:sz w:val="21"/>
              </w:rPr>
              <w:t> </w:t>
            </w:r>
            <w:r>
              <w:rPr>
                <w:rFonts w:ascii="Arial"/>
                <w:sz w:val="21"/>
              </w:rPr>
              <w:t>Co.,Ltd.</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Arial" w:hAnsi="Arial" w:cs="Arial" w:eastAsia="Arial" w:hint="default"/>
                <w:sz w:val="21"/>
                <w:szCs w:val="21"/>
              </w:rPr>
            </w:pPr>
            <w:r>
              <w:rPr>
                <w:rFonts w:ascii="Arial"/>
                <w:sz w:val="21"/>
              </w:rPr>
              <w:t>Thunisoft</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21"/>
                <w:szCs w:val="21"/>
              </w:rPr>
            </w:pPr>
            <w:r>
              <w:rPr>
                <w:rFonts w:ascii="宋体" w:hAnsi="宋体" w:cs="宋体" w:eastAsia="宋体" w:hint="default"/>
                <w:sz w:val="21"/>
                <w:szCs w:val="21"/>
              </w:rPr>
              <w:t>邵学</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3" w:right="0"/>
              <w:jc w:val="left"/>
              <w:rPr>
                <w:rFonts w:ascii="宋体" w:hAnsi="宋体" w:cs="宋体" w:eastAsia="宋体" w:hint="default"/>
                <w:sz w:val="21"/>
                <w:szCs w:val="21"/>
              </w:rPr>
            </w:pPr>
            <w:r>
              <w:rPr>
                <w:rFonts w:ascii="宋体" w:hAnsi="宋体" w:cs="宋体" w:eastAsia="宋体" w:hint="default"/>
                <w:sz w:val="21"/>
                <w:szCs w:val="21"/>
              </w:rPr>
              <w:t>北京市海淀区中关村东路</w:t>
            </w:r>
            <w:r>
              <w:rPr>
                <w:rFonts w:ascii="宋体" w:hAnsi="宋体" w:cs="宋体" w:eastAsia="宋体" w:hint="default"/>
                <w:spacing w:val="-56"/>
                <w:sz w:val="21"/>
                <w:szCs w:val="21"/>
              </w:rPr>
              <w:t> </w:t>
            </w:r>
            <w:r>
              <w:rPr>
                <w:rFonts w:ascii="Arial" w:hAnsi="Arial" w:cs="Arial" w:eastAsia="Arial" w:hint="default"/>
                <w:sz w:val="21"/>
                <w:szCs w:val="21"/>
              </w:rPr>
              <w:t>1</w:t>
            </w:r>
            <w:r>
              <w:rPr>
                <w:rFonts w:ascii="Arial" w:hAnsi="Arial" w:cs="Arial" w:eastAsia="Arial" w:hint="default"/>
                <w:spacing w:val="-10"/>
                <w:sz w:val="21"/>
                <w:szCs w:val="21"/>
              </w:rPr>
              <w:t> </w:t>
            </w:r>
            <w:r>
              <w:rPr>
                <w:rFonts w:ascii="宋体" w:hAnsi="宋体" w:cs="宋体" w:eastAsia="宋体" w:hint="default"/>
                <w:sz w:val="21"/>
                <w:szCs w:val="21"/>
              </w:rPr>
              <w:t>号院清华科技园科技大厦</w:t>
            </w:r>
            <w:r>
              <w:rPr>
                <w:rFonts w:ascii="宋体" w:hAnsi="宋体" w:cs="宋体" w:eastAsia="宋体" w:hint="default"/>
                <w:spacing w:val="-54"/>
                <w:sz w:val="21"/>
                <w:szCs w:val="21"/>
              </w:rPr>
              <w:t> </w:t>
            </w:r>
            <w:r>
              <w:rPr>
                <w:rFonts w:ascii="Arial" w:hAnsi="Arial" w:cs="Arial" w:eastAsia="Arial" w:hint="default"/>
                <w:sz w:val="21"/>
                <w:szCs w:val="21"/>
              </w:rPr>
              <w:t>C</w:t>
            </w:r>
            <w:r>
              <w:rPr>
                <w:rFonts w:ascii="Arial" w:hAnsi="Arial" w:cs="Arial" w:eastAsia="Arial" w:hint="default"/>
                <w:spacing w:val="-9"/>
                <w:sz w:val="21"/>
                <w:szCs w:val="21"/>
              </w:rPr>
              <w:t> </w:t>
            </w:r>
            <w:r>
              <w:rPr>
                <w:rFonts w:ascii="宋体" w:hAnsi="宋体" w:cs="宋体" w:eastAsia="宋体" w:hint="default"/>
                <w:sz w:val="21"/>
                <w:szCs w:val="21"/>
              </w:rPr>
              <w:t>座</w:t>
            </w:r>
            <w:r>
              <w:rPr>
                <w:rFonts w:ascii="宋体" w:hAnsi="宋体" w:cs="宋体" w:eastAsia="宋体" w:hint="default"/>
                <w:spacing w:val="-56"/>
                <w:sz w:val="21"/>
                <w:szCs w:val="21"/>
              </w:rPr>
              <w:t> </w:t>
            </w:r>
            <w:r>
              <w:rPr>
                <w:rFonts w:ascii="Arial" w:hAnsi="Arial" w:cs="Arial" w:eastAsia="Arial" w:hint="default"/>
                <w:sz w:val="21"/>
                <w:szCs w:val="21"/>
              </w:rPr>
              <w:t>25</w:t>
            </w:r>
            <w:r>
              <w:rPr>
                <w:rFonts w:ascii="Arial" w:hAnsi="Arial" w:cs="Arial" w:eastAsia="Arial" w:hint="default"/>
                <w:spacing w:val="-6"/>
                <w:sz w:val="21"/>
                <w:szCs w:val="21"/>
              </w:rPr>
              <w:t> </w:t>
            </w:r>
            <w:r>
              <w:rPr>
                <w:rFonts w:ascii="宋体" w:hAnsi="宋体" w:cs="宋体" w:eastAsia="宋体" w:hint="default"/>
                <w:sz w:val="21"/>
                <w:szCs w:val="21"/>
              </w:rPr>
              <w:t>层</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Arial" w:hAnsi="Arial" w:cs="Arial" w:eastAsia="Arial" w:hint="default"/>
                <w:sz w:val="21"/>
                <w:szCs w:val="21"/>
              </w:rPr>
            </w:pPr>
            <w:r>
              <w:rPr>
                <w:rFonts w:ascii="Arial"/>
                <w:sz w:val="21"/>
              </w:rPr>
              <w:t>100084</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3" w:right="0"/>
              <w:jc w:val="left"/>
              <w:rPr>
                <w:rFonts w:ascii="宋体" w:hAnsi="宋体" w:cs="宋体" w:eastAsia="宋体" w:hint="default"/>
                <w:sz w:val="21"/>
                <w:szCs w:val="21"/>
              </w:rPr>
            </w:pPr>
            <w:r>
              <w:rPr>
                <w:rFonts w:ascii="宋体" w:hAnsi="宋体" w:cs="宋体" w:eastAsia="宋体" w:hint="default"/>
                <w:sz w:val="21"/>
                <w:szCs w:val="21"/>
              </w:rPr>
              <w:t>北京市海淀区中关村东路</w:t>
            </w:r>
            <w:r>
              <w:rPr>
                <w:rFonts w:ascii="宋体" w:hAnsi="宋体" w:cs="宋体" w:eastAsia="宋体" w:hint="default"/>
                <w:spacing w:val="-56"/>
                <w:sz w:val="21"/>
                <w:szCs w:val="21"/>
              </w:rPr>
              <w:t> </w:t>
            </w:r>
            <w:r>
              <w:rPr>
                <w:rFonts w:ascii="Arial" w:hAnsi="Arial" w:cs="Arial" w:eastAsia="Arial" w:hint="default"/>
                <w:sz w:val="21"/>
                <w:szCs w:val="21"/>
              </w:rPr>
              <w:t>1</w:t>
            </w:r>
            <w:r>
              <w:rPr>
                <w:rFonts w:ascii="Arial" w:hAnsi="Arial" w:cs="Arial" w:eastAsia="Arial" w:hint="default"/>
                <w:spacing w:val="-10"/>
                <w:sz w:val="21"/>
                <w:szCs w:val="21"/>
              </w:rPr>
              <w:t> </w:t>
            </w:r>
            <w:r>
              <w:rPr>
                <w:rFonts w:ascii="宋体" w:hAnsi="宋体" w:cs="宋体" w:eastAsia="宋体" w:hint="default"/>
                <w:sz w:val="21"/>
                <w:szCs w:val="21"/>
              </w:rPr>
              <w:t>号院清华科技园科技大厦</w:t>
            </w:r>
            <w:r>
              <w:rPr>
                <w:rFonts w:ascii="宋体" w:hAnsi="宋体" w:cs="宋体" w:eastAsia="宋体" w:hint="default"/>
                <w:spacing w:val="-54"/>
                <w:sz w:val="21"/>
                <w:szCs w:val="21"/>
              </w:rPr>
              <w:t> </w:t>
            </w:r>
            <w:r>
              <w:rPr>
                <w:rFonts w:ascii="Arial" w:hAnsi="Arial" w:cs="Arial" w:eastAsia="Arial" w:hint="default"/>
                <w:sz w:val="21"/>
                <w:szCs w:val="21"/>
              </w:rPr>
              <w:t>C</w:t>
            </w:r>
            <w:r>
              <w:rPr>
                <w:rFonts w:ascii="Arial" w:hAnsi="Arial" w:cs="Arial" w:eastAsia="Arial" w:hint="default"/>
                <w:spacing w:val="-9"/>
                <w:sz w:val="21"/>
                <w:szCs w:val="21"/>
              </w:rPr>
              <w:t> </w:t>
            </w:r>
            <w:r>
              <w:rPr>
                <w:rFonts w:ascii="宋体" w:hAnsi="宋体" w:cs="宋体" w:eastAsia="宋体" w:hint="default"/>
                <w:sz w:val="21"/>
                <w:szCs w:val="21"/>
              </w:rPr>
              <w:t>座</w:t>
            </w:r>
            <w:r>
              <w:rPr>
                <w:rFonts w:ascii="宋体" w:hAnsi="宋体" w:cs="宋体" w:eastAsia="宋体" w:hint="default"/>
                <w:spacing w:val="-56"/>
                <w:sz w:val="21"/>
                <w:szCs w:val="21"/>
              </w:rPr>
              <w:t> </w:t>
            </w:r>
            <w:r>
              <w:rPr>
                <w:rFonts w:ascii="Arial" w:hAnsi="Arial" w:cs="Arial" w:eastAsia="Arial" w:hint="default"/>
                <w:sz w:val="21"/>
                <w:szCs w:val="21"/>
              </w:rPr>
              <w:t>25</w:t>
            </w:r>
            <w:r>
              <w:rPr>
                <w:rFonts w:ascii="Arial" w:hAnsi="Arial" w:cs="Arial" w:eastAsia="Arial" w:hint="default"/>
                <w:spacing w:val="-6"/>
                <w:sz w:val="21"/>
                <w:szCs w:val="21"/>
              </w:rPr>
              <w:t> </w:t>
            </w:r>
            <w:r>
              <w:rPr>
                <w:rFonts w:ascii="宋体" w:hAnsi="宋体" w:cs="宋体" w:eastAsia="宋体" w:hint="default"/>
                <w:sz w:val="21"/>
                <w:szCs w:val="21"/>
              </w:rPr>
              <w:t>层</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Arial" w:hAnsi="Arial" w:cs="Arial" w:eastAsia="Arial" w:hint="default"/>
                <w:sz w:val="21"/>
                <w:szCs w:val="21"/>
              </w:rPr>
            </w:pPr>
            <w:r>
              <w:rPr>
                <w:rFonts w:ascii="Arial"/>
                <w:sz w:val="21"/>
              </w:rPr>
              <w:t>100084</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Arial" w:hAnsi="Arial" w:cs="Arial" w:eastAsia="Arial" w:hint="default"/>
                <w:sz w:val="21"/>
                <w:szCs w:val="21"/>
              </w:rPr>
            </w:pPr>
            <w:hyperlink r:id="rId8">
              <w:r>
                <w:rPr>
                  <w:rFonts w:ascii="Arial"/>
                  <w:sz w:val="21"/>
                </w:rPr>
                <w:t>http://www.thunisoft.com/</w:t>
              </w:r>
            </w:hyperlink>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Arial" w:hAnsi="Arial" w:cs="Arial" w:eastAsia="Arial" w:hint="default"/>
                <w:sz w:val="21"/>
                <w:szCs w:val="21"/>
              </w:rPr>
            </w:pPr>
            <w:hyperlink r:id="rId9">
              <w:r>
                <w:rPr>
                  <w:rFonts w:ascii="Arial"/>
                  <w:sz w:val="21"/>
                </w:rPr>
                <w:t>IR@thunisoft.com</w:t>
              </w:r>
            </w:hyperlink>
          </w:p>
        </w:tc>
      </w:tr>
    </w:tbl>
    <w:p>
      <w:pPr>
        <w:spacing w:line="240" w:lineRule="auto" w:before="1"/>
        <w:rPr>
          <w:rFonts w:ascii="宋体" w:hAnsi="宋体" w:cs="宋体" w:eastAsia="宋体" w:hint="default"/>
          <w:b/>
          <w:bCs/>
          <w:sz w:val="18"/>
          <w:szCs w:val="18"/>
        </w:rPr>
      </w:pPr>
    </w:p>
    <w:p>
      <w:pPr>
        <w:pStyle w:val="Heading2"/>
        <w:spacing w:line="240" w:lineRule="auto"/>
        <w:ind w:right="996"/>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35"/>
        <w:gridCol w:w="3667"/>
        <w:gridCol w:w="3667"/>
      </w:tblGrid>
      <w:tr>
        <w:trPr>
          <w:trHeight w:val="402"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402"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韦光宇</w:t>
            </w:r>
          </w:p>
        </w:tc>
        <w:tc>
          <w:tcPr>
            <w:tcW w:w="3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遇晗</w:t>
            </w:r>
          </w:p>
        </w:tc>
      </w:tr>
      <w:tr>
        <w:trPr>
          <w:trHeight w:val="714"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667"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5"/>
              <w:ind w:left="691" w:right="37" w:hanging="653"/>
              <w:jc w:val="left"/>
              <w:rPr>
                <w:rFonts w:ascii="宋体" w:hAnsi="宋体" w:cs="宋体" w:eastAsia="宋体" w:hint="default"/>
                <w:sz w:val="21"/>
                <w:szCs w:val="21"/>
              </w:rPr>
            </w:pPr>
            <w:r>
              <w:rPr>
                <w:rFonts w:ascii="宋体" w:hAnsi="宋体" w:cs="宋体" w:eastAsia="宋体" w:hint="default"/>
                <w:sz w:val="21"/>
                <w:szCs w:val="21"/>
              </w:rPr>
              <w:t>北京市海淀区中关村东路</w:t>
            </w:r>
            <w:r>
              <w:rPr>
                <w:rFonts w:ascii="宋体" w:hAnsi="宋体" w:cs="宋体" w:eastAsia="宋体" w:hint="default"/>
                <w:spacing w:val="-57"/>
                <w:sz w:val="21"/>
                <w:szCs w:val="21"/>
              </w:rPr>
              <w:t> </w:t>
            </w:r>
            <w:r>
              <w:rPr>
                <w:rFonts w:ascii="Arial" w:hAnsi="Arial" w:cs="Arial" w:eastAsia="Arial" w:hint="default"/>
                <w:sz w:val="21"/>
                <w:szCs w:val="21"/>
              </w:rPr>
              <w:t>1</w:t>
            </w:r>
            <w:r>
              <w:rPr>
                <w:rFonts w:ascii="Arial" w:hAnsi="Arial" w:cs="Arial" w:eastAsia="Arial" w:hint="default"/>
                <w:spacing w:val="-11"/>
                <w:sz w:val="21"/>
                <w:szCs w:val="21"/>
              </w:rPr>
              <w:t> </w:t>
            </w:r>
            <w:r>
              <w:rPr>
                <w:rFonts w:ascii="宋体" w:hAnsi="宋体" w:cs="宋体" w:eastAsia="宋体" w:hint="default"/>
                <w:sz w:val="21"/>
                <w:szCs w:val="21"/>
              </w:rPr>
              <w:t>号院清华科</w:t>
            </w:r>
            <w:r>
              <w:rPr>
                <w:rFonts w:ascii="宋体" w:hAnsi="宋体" w:cs="宋体" w:eastAsia="宋体" w:hint="default"/>
                <w:w w:val="99"/>
                <w:sz w:val="21"/>
                <w:szCs w:val="21"/>
              </w:rPr>
              <w:t> </w:t>
            </w:r>
            <w:r>
              <w:rPr>
                <w:rFonts w:ascii="宋体" w:hAnsi="宋体" w:cs="宋体" w:eastAsia="宋体" w:hint="default"/>
                <w:sz w:val="21"/>
                <w:szCs w:val="21"/>
              </w:rPr>
              <w:t>技园科技大厦</w:t>
            </w:r>
            <w:r>
              <w:rPr>
                <w:rFonts w:ascii="宋体" w:hAnsi="宋体" w:cs="宋体" w:eastAsia="宋体" w:hint="default"/>
                <w:spacing w:val="-53"/>
                <w:sz w:val="21"/>
                <w:szCs w:val="21"/>
              </w:rPr>
              <w:t> </w:t>
            </w:r>
            <w:r>
              <w:rPr>
                <w:rFonts w:ascii="Arial" w:hAnsi="Arial" w:cs="Arial" w:eastAsia="Arial" w:hint="default"/>
                <w:sz w:val="21"/>
                <w:szCs w:val="21"/>
              </w:rPr>
              <w:t>C</w:t>
            </w:r>
            <w:r>
              <w:rPr>
                <w:rFonts w:ascii="Arial" w:hAnsi="Arial" w:cs="Arial" w:eastAsia="Arial" w:hint="default"/>
                <w:spacing w:val="-9"/>
                <w:sz w:val="21"/>
                <w:szCs w:val="21"/>
              </w:rPr>
              <w:t> </w:t>
            </w:r>
            <w:r>
              <w:rPr>
                <w:rFonts w:ascii="宋体" w:hAnsi="宋体" w:cs="宋体" w:eastAsia="宋体" w:hint="default"/>
                <w:sz w:val="21"/>
                <w:szCs w:val="21"/>
              </w:rPr>
              <w:t>座</w:t>
            </w:r>
            <w:r>
              <w:rPr>
                <w:rFonts w:ascii="宋体" w:hAnsi="宋体" w:cs="宋体" w:eastAsia="宋体" w:hint="default"/>
                <w:spacing w:val="-56"/>
                <w:sz w:val="21"/>
                <w:szCs w:val="21"/>
              </w:rPr>
              <w:t> </w:t>
            </w:r>
            <w:r>
              <w:rPr>
                <w:rFonts w:ascii="Arial" w:hAnsi="Arial" w:cs="Arial" w:eastAsia="Arial" w:hint="default"/>
                <w:sz w:val="21"/>
                <w:szCs w:val="21"/>
              </w:rPr>
              <w:t>25</w:t>
            </w:r>
            <w:r>
              <w:rPr>
                <w:rFonts w:ascii="Arial" w:hAnsi="Arial" w:cs="Arial" w:eastAsia="Arial" w:hint="default"/>
                <w:spacing w:val="-5"/>
                <w:sz w:val="21"/>
                <w:szCs w:val="21"/>
              </w:rPr>
              <w:t> </w:t>
            </w:r>
            <w:r>
              <w:rPr>
                <w:rFonts w:ascii="宋体" w:hAnsi="宋体" w:cs="宋体" w:eastAsia="宋体" w:hint="default"/>
                <w:sz w:val="21"/>
                <w:szCs w:val="21"/>
              </w:rPr>
              <w:t>层</w:t>
            </w:r>
          </w:p>
        </w:tc>
        <w:tc>
          <w:tcPr>
            <w:tcW w:w="3667"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5"/>
              <w:ind w:left="691" w:right="37" w:hanging="653"/>
              <w:jc w:val="left"/>
              <w:rPr>
                <w:rFonts w:ascii="宋体" w:hAnsi="宋体" w:cs="宋体" w:eastAsia="宋体" w:hint="default"/>
                <w:sz w:val="21"/>
                <w:szCs w:val="21"/>
              </w:rPr>
            </w:pPr>
            <w:r>
              <w:rPr>
                <w:rFonts w:ascii="宋体" w:hAnsi="宋体" w:cs="宋体" w:eastAsia="宋体" w:hint="default"/>
                <w:sz w:val="21"/>
                <w:szCs w:val="21"/>
              </w:rPr>
              <w:t>北京市海淀区中关村东路</w:t>
            </w:r>
            <w:r>
              <w:rPr>
                <w:rFonts w:ascii="宋体" w:hAnsi="宋体" w:cs="宋体" w:eastAsia="宋体" w:hint="default"/>
                <w:spacing w:val="-57"/>
                <w:sz w:val="21"/>
                <w:szCs w:val="21"/>
              </w:rPr>
              <w:t> </w:t>
            </w:r>
            <w:r>
              <w:rPr>
                <w:rFonts w:ascii="Arial" w:hAnsi="Arial" w:cs="Arial" w:eastAsia="Arial" w:hint="default"/>
                <w:sz w:val="21"/>
                <w:szCs w:val="21"/>
              </w:rPr>
              <w:t>1</w:t>
            </w:r>
            <w:r>
              <w:rPr>
                <w:rFonts w:ascii="Arial" w:hAnsi="Arial" w:cs="Arial" w:eastAsia="Arial" w:hint="default"/>
                <w:spacing w:val="-11"/>
                <w:sz w:val="21"/>
                <w:szCs w:val="21"/>
              </w:rPr>
              <w:t> </w:t>
            </w:r>
            <w:r>
              <w:rPr>
                <w:rFonts w:ascii="宋体" w:hAnsi="宋体" w:cs="宋体" w:eastAsia="宋体" w:hint="default"/>
                <w:sz w:val="21"/>
                <w:szCs w:val="21"/>
              </w:rPr>
              <w:t>号院清华科</w:t>
            </w:r>
            <w:r>
              <w:rPr>
                <w:rFonts w:ascii="宋体" w:hAnsi="宋体" w:cs="宋体" w:eastAsia="宋体" w:hint="default"/>
                <w:w w:val="99"/>
                <w:sz w:val="21"/>
                <w:szCs w:val="21"/>
              </w:rPr>
              <w:t> </w:t>
            </w:r>
            <w:r>
              <w:rPr>
                <w:rFonts w:ascii="宋体" w:hAnsi="宋体" w:cs="宋体" w:eastAsia="宋体" w:hint="default"/>
                <w:sz w:val="21"/>
                <w:szCs w:val="21"/>
              </w:rPr>
              <w:t>技园科技大厦</w:t>
            </w:r>
            <w:r>
              <w:rPr>
                <w:rFonts w:ascii="宋体" w:hAnsi="宋体" w:cs="宋体" w:eastAsia="宋体" w:hint="default"/>
                <w:spacing w:val="-53"/>
                <w:sz w:val="21"/>
                <w:szCs w:val="21"/>
              </w:rPr>
              <w:t> </w:t>
            </w:r>
            <w:r>
              <w:rPr>
                <w:rFonts w:ascii="Arial" w:hAnsi="Arial" w:cs="Arial" w:eastAsia="Arial" w:hint="default"/>
                <w:sz w:val="21"/>
                <w:szCs w:val="21"/>
              </w:rPr>
              <w:t>C</w:t>
            </w:r>
            <w:r>
              <w:rPr>
                <w:rFonts w:ascii="Arial" w:hAnsi="Arial" w:cs="Arial" w:eastAsia="Arial" w:hint="default"/>
                <w:spacing w:val="-9"/>
                <w:sz w:val="21"/>
                <w:szCs w:val="21"/>
              </w:rPr>
              <w:t> </w:t>
            </w:r>
            <w:r>
              <w:rPr>
                <w:rFonts w:ascii="宋体" w:hAnsi="宋体" w:cs="宋体" w:eastAsia="宋体" w:hint="default"/>
                <w:sz w:val="21"/>
                <w:szCs w:val="21"/>
              </w:rPr>
              <w:t>座</w:t>
            </w:r>
            <w:r>
              <w:rPr>
                <w:rFonts w:ascii="宋体" w:hAnsi="宋体" w:cs="宋体" w:eastAsia="宋体" w:hint="default"/>
                <w:spacing w:val="-56"/>
                <w:sz w:val="21"/>
                <w:szCs w:val="21"/>
              </w:rPr>
              <w:t> </w:t>
            </w:r>
            <w:r>
              <w:rPr>
                <w:rFonts w:ascii="Arial" w:hAnsi="Arial" w:cs="Arial" w:eastAsia="Arial" w:hint="default"/>
                <w:sz w:val="21"/>
                <w:szCs w:val="21"/>
              </w:rPr>
              <w:t>25</w:t>
            </w:r>
            <w:r>
              <w:rPr>
                <w:rFonts w:ascii="Arial" w:hAnsi="Arial" w:cs="Arial" w:eastAsia="Arial" w:hint="default"/>
                <w:spacing w:val="-8"/>
                <w:sz w:val="21"/>
                <w:szCs w:val="21"/>
              </w:rPr>
              <w:t> </w:t>
            </w:r>
            <w:r>
              <w:rPr>
                <w:rFonts w:ascii="宋体" w:hAnsi="宋体" w:cs="宋体" w:eastAsia="宋体" w:hint="default"/>
                <w:sz w:val="21"/>
                <w:szCs w:val="21"/>
              </w:rPr>
              <w:t>层</w:t>
            </w:r>
          </w:p>
        </w:tc>
      </w:tr>
      <w:tr>
        <w:trPr>
          <w:trHeight w:val="402"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Arial" w:hAnsi="Arial" w:cs="Arial" w:eastAsia="Arial" w:hint="default"/>
                <w:sz w:val="21"/>
                <w:szCs w:val="21"/>
              </w:rPr>
            </w:pPr>
            <w:r>
              <w:rPr>
                <w:rFonts w:ascii="Arial"/>
                <w:sz w:val="21"/>
              </w:rPr>
              <w:t>010-82150085</w:t>
            </w:r>
          </w:p>
        </w:tc>
        <w:tc>
          <w:tcPr>
            <w:tcW w:w="3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 w:right="0"/>
              <w:jc w:val="center"/>
              <w:rPr>
                <w:rFonts w:ascii="Arial" w:hAnsi="Arial" w:cs="Arial" w:eastAsia="Arial" w:hint="default"/>
                <w:sz w:val="21"/>
                <w:szCs w:val="21"/>
              </w:rPr>
            </w:pPr>
            <w:r>
              <w:rPr>
                <w:rFonts w:ascii="Arial"/>
                <w:sz w:val="21"/>
              </w:rPr>
              <w:t>010-82150085</w:t>
            </w:r>
          </w:p>
        </w:tc>
      </w:tr>
      <w:tr>
        <w:trPr>
          <w:trHeight w:val="402"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Arial" w:hAnsi="Arial" w:cs="Arial" w:eastAsia="Arial" w:hint="default"/>
                <w:sz w:val="21"/>
                <w:szCs w:val="21"/>
              </w:rPr>
            </w:pPr>
            <w:r>
              <w:rPr>
                <w:rFonts w:ascii="Arial"/>
                <w:sz w:val="21"/>
              </w:rPr>
              <w:t>010-82150616</w:t>
            </w:r>
          </w:p>
        </w:tc>
        <w:tc>
          <w:tcPr>
            <w:tcW w:w="3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 w:right="0"/>
              <w:jc w:val="center"/>
              <w:rPr>
                <w:rFonts w:ascii="Arial" w:hAnsi="Arial" w:cs="Arial" w:eastAsia="Arial" w:hint="default"/>
                <w:sz w:val="21"/>
                <w:szCs w:val="21"/>
              </w:rPr>
            </w:pPr>
            <w:r>
              <w:rPr>
                <w:rFonts w:ascii="Arial"/>
                <w:sz w:val="21"/>
              </w:rPr>
              <w:t>010-82150616</w:t>
            </w:r>
          </w:p>
        </w:tc>
      </w:tr>
      <w:tr>
        <w:trPr>
          <w:trHeight w:val="402" w:hRule="exact"/>
        </w:trPr>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Arial" w:hAnsi="Arial" w:cs="Arial" w:eastAsia="Arial" w:hint="default"/>
                <w:sz w:val="21"/>
                <w:szCs w:val="21"/>
              </w:rPr>
            </w:pPr>
            <w:hyperlink r:id="rId9">
              <w:r>
                <w:rPr>
                  <w:rFonts w:ascii="Arial"/>
                  <w:sz w:val="21"/>
                </w:rPr>
                <w:t>IR@thunisoft.com</w:t>
              </w:r>
            </w:hyperlink>
          </w:p>
        </w:tc>
        <w:tc>
          <w:tcPr>
            <w:tcW w:w="3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 w:right="0"/>
              <w:jc w:val="center"/>
              <w:rPr>
                <w:rFonts w:ascii="Arial" w:hAnsi="Arial" w:cs="Arial" w:eastAsia="Arial" w:hint="default"/>
                <w:sz w:val="21"/>
                <w:szCs w:val="21"/>
              </w:rPr>
            </w:pPr>
            <w:hyperlink r:id="rId9">
              <w:r>
                <w:rPr>
                  <w:rFonts w:ascii="Arial"/>
                  <w:sz w:val="21"/>
                </w:rPr>
                <w:t>IR@thunisoft.com</w:t>
              </w:r>
            </w:hyperlink>
          </w:p>
        </w:tc>
      </w:tr>
    </w:tbl>
    <w:p>
      <w:pPr>
        <w:spacing w:line="240" w:lineRule="auto" w:before="2"/>
        <w:rPr>
          <w:rFonts w:ascii="宋体" w:hAnsi="宋体" w:cs="宋体" w:eastAsia="宋体" w:hint="default"/>
          <w:b/>
          <w:bCs/>
          <w:sz w:val="18"/>
          <w:szCs w:val="18"/>
        </w:rPr>
      </w:pPr>
    </w:p>
    <w:p>
      <w:pPr>
        <w:pStyle w:val="Heading2"/>
        <w:spacing w:line="240" w:lineRule="auto"/>
        <w:ind w:right="996"/>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395"/>
        <w:gridCol w:w="5173"/>
      </w:tblGrid>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公司选定的信息披露媒体的名称</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《证券日报》</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Arial" w:hAnsi="Arial" w:cs="Arial" w:eastAsia="Arial" w:hint="default"/>
                <w:sz w:val="21"/>
                <w:szCs w:val="21"/>
              </w:rPr>
            </w:pPr>
            <w:hyperlink r:id="rId10">
              <w:r>
                <w:rPr>
                  <w:rFonts w:ascii="Arial"/>
                  <w:sz w:val="21"/>
                </w:rPr>
                <w:t>http://www.cninfo.com.cn</w:t>
              </w:r>
            </w:hyperlink>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董事会办公室</w:t>
            </w:r>
          </w:p>
        </w:tc>
      </w:tr>
    </w:tbl>
    <w:p>
      <w:pPr>
        <w:spacing w:line="240" w:lineRule="auto" w:before="2"/>
        <w:rPr>
          <w:rFonts w:ascii="宋体" w:hAnsi="宋体" w:cs="宋体" w:eastAsia="宋体" w:hint="default"/>
          <w:b/>
          <w:bCs/>
          <w:sz w:val="18"/>
          <w:szCs w:val="18"/>
        </w:rPr>
      </w:pPr>
    </w:p>
    <w:p>
      <w:pPr>
        <w:spacing w:line="468" w:lineRule="auto" w:before="26"/>
        <w:ind w:left="112" w:right="8114" w:firstLine="0"/>
        <w:jc w:val="left"/>
        <w:rPr>
          <w:rFonts w:ascii="宋体" w:hAnsi="宋体" w:cs="宋体" w:eastAsia="宋体" w:hint="default"/>
          <w:sz w:val="24"/>
          <w:szCs w:val="24"/>
        </w:rPr>
      </w:pPr>
      <w:bookmarkStart w:name="四、其他有关资料" w:id="7"/>
      <w:bookmarkEnd w:id="7"/>
      <w:r>
        <w:rPr/>
      </w:r>
      <w:r>
        <w:rPr>
          <w:rFonts w:ascii="宋体" w:hAnsi="宋体" w:cs="宋体" w:eastAsia="宋体" w:hint="default"/>
          <w:b/>
          <w:bCs/>
          <w:sz w:val="24"/>
          <w:szCs w:val="24"/>
        </w:rPr>
        <w:t>四、其他有关资料</w:t>
      </w:r>
      <w:r>
        <w:rPr>
          <w:rFonts w:ascii="宋体" w:hAnsi="宋体" w:cs="宋体" w:eastAsia="宋体" w:hint="default"/>
          <w:b/>
          <w:bCs/>
          <w:w w:val="99"/>
          <w:sz w:val="24"/>
          <w:szCs w:val="24"/>
        </w:rPr>
        <w:t> </w:t>
      </w:r>
      <w:r>
        <w:rPr>
          <w:rFonts w:ascii="宋体" w:hAnsi="宋体" w:cs="宋体" w:eastAsia="宋体" w:hint="default"/>
          <w:sz w:val="24"/>
          <w:szCs w:val="24"/>
        </w:rPr>
        <w:t>公司聘请的会计师事务所</w:t>
      </w:r>
    </w:p>
    <w:p>
      <w:pPr>
        <w:spacing w:after="0" w:line="468" w:lineRule="auto"/>
        <w:jc w:val="left"/>
        <w:rPr>
          <w:rFonts w:ascii="宋体" w:hAnsi="宋体" w:cs="宋体" w:eastAsia="宋体" w:hint="default"/>
          <w:sz w:val="24"/>
          <w:szCs w:val="24"/>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北京市朝阳区建国门外大街</w:t>
            </w:r>
            <w:r>
              <w:rPr>
                <w:rFonts w:ascii="宋体" w:hAnsi="宋体" w:cs="宋体" w:eastAsia="宋体" w:hint="default"/>
                <w:spacing w:val="-54"/>
                <w:sz w:val="21"/>
                <w:szCs w:val="21"/>
              </w:rPr>
              <w:t> </w:t>
            </w:r>
            <w:r>
              <w:rPr>
                <w:rFonts w:ascii="Arial" w:hAnsi="Arial" w:cs="Arial" w:eastAsia="Arial" w:hint="default"/>
                <w:sz w:val="21"/>
                <w:szCs w:val="21"/>
              </w:rPr>
              <w:t>22</w:t>
            </w:r>
            <w:r>
              <w:rPr>
                <w:rFonts w:ascii="Arial" w:hAnsi="Arial" w:cs="Arial" w:eastAsia="Arial" w:hint="default"/>
                <w:spacing w:val="-9"/>
                <w:sz w:val="21"/>
                <w:szCs w:val="21"/>
              </w:rPr>
              <w:t> </w:t>
            </w:r>
            <w:r>
              <w:rPr>
                <w:rFonts w:ascii="宋体" w:hAnsi="宋体" w:cs="宋体" w:eastAsia="宋体" w:hint="default"/>
                <w:sz w:val="21"/>
                <w:szCs w:val="21"/>
              </w:rPr>
              <w:t>号赛特广场</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11"/>
                <w:sz w:val="21"/>
                <w:szCs w:val="21"/>
              </w:rPr>
              <w:t> </w:t>
            </w:r>
            <w:r>
              <w:rPr>
                <w:rFonts w:ascii="宋体" w:hAnsi="宋体" w:cs="宋体" w:eastAsia="宋体" w:hint="default"/>
                <w:sz w:val="21"/>
                <w:szCs w:val="21"/>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陈平、吴亮</w:t>
            </w:r>
          </w:p>
        </w:tc>
      </w:tr>
    </w:tbl>
    <w:p>
      <w:pPr>
        <w:pStyle w:val="Heading3"/>
        <w:spacing w:line="240" w:lineRule="auto" w:before="2"/>
        <w:ind w:right="996"/>
        <w:jc w:val="left"/>
      </w:pPr>
      <w:r>
        <w:rPr/>
        <w:t>公司聘请的报告期内履行持续督导职责的保荐机构</w:t>
      </w:r>
    </w:p>
    <w:p>
      <w:pPr>
        <w:pStyle w:val="Heading3"/>
        <w:spacing w:line="254" w:lineRule="auto" w:before="38"/>
        <w:ind w:right="547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公司聘请的报告期内履行持续督导职责的财务顾问</w:t>
      </w:r>
    </w:p>
    <w:p>
      <w:pPr>
        <w:pStyle w:val="Heading3"/>
        <w:spacing w:line="240" w:lineRule="auto" w:before="24"/>
        <w:ind w:right="996"/>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6"/>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2694"/>
        <w:gridCol w:w="2693"/>
        <w:gridCol w:w="2268"/>
        <w:gridCol w:w="1913"/>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财务顾问名称</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01" w:right="0"/>
              <w:jc w:val="left"/>
              <w:rPr>
                <w:rFonts w:ascii="宋体" w:hAnsi="宋体" w:cs="宋体" w:eastAsia="宋体" w:hint="default"/>
                <w:sz w:val="21"/>
                <w:szCs w:val="21"/>
              </w:rPr>
            </w:pPr>
            <w:r>
              <w:rPr>
                <w:rFonts w:ascii="宋体" w:hAnsi="宋体" w:cs="宋体" w:eastAsia="宋体" w:hint="default"/>
                <w:sz w:val="21"/>
                <w:szCs w:val="21"/>
              </w:rPr>
              <w:t>财务顾问办公地址</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84" w:right="0"/>
              <w:jc w:val="left"/>
              <w:rPr>
                <w:rFonts w:ascii="宋体" w:hAnsi="宋体" w:cs="宋体" w:eastAsia="宋体" w:hint="default"/>
                <w:sz w:val="21"/>
                <w:szCs w:val="21"/>
              </w:rPr>
            </w:pPr>
            <w:r>
              <w:rPr>
                <w:rFonts w:ascii="宋体" w:hAnsi="宋体" w:cs="宋体" w:eastAsia="宋体" w:hint="default"/>
                <w:sz w:val="21"/>
                <w:szCs w:val="21"/>
              </w:rPr>
              <w:t>财务顾问主办人姓名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321" w:right="0"/>
              <w:jc w:val="left"/>
              <w:rPr>
                <w:rFonts w:ascii="宋体" w:hAnsi="宋体" w:cs="宋体" w:eastAsia="宋体" w:hint="default"/>
                <w:sz w:val="21"/>
                <w:szCs w:val="21"/>
              </w:rPr>
            </w:pPr>
            <w:r>
              <w:rPr>
                <w:rFonts w:ascii="宋体" w:hAnsi="宋体" w:cs="宋体" w:eastAsia="宋体" w:hint="default"/>
                <w:sz w:val="21"/>
                <w:szCs w:val="21"/>
              </w:rPr>
              <w:t>持续督导期间</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19"/>
              <w:jc w:val="center"/>
              <w:rPr>
                <w:rFonts w:ascii="宋体" w:hAnsi="宋体" w:cs="宋体" w:eastAsia="宋体" w:hint="default"/>
                <w:sz w:val="21"/>
                <w:szCs w:val="21"/>
              </w:rPr>
            </w:pPr>
            <w:r>
              <w:rPr>
                <w:rFonts w:ascii="宋体" w:hAnsi="宋体" w:cs="宋体" w:eastAsia="宋体" w:hint="default"/>
                <w:sz w:val="21"/>
                <w:szCs w:val="21"/>
              </w:rPr>
              <w:t>华泰联合证券有限责任公司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5"/>
              <w:ind w:left="23" w:right="22"/>
              <w:jc w:val="left"/>
              <w:rPr>
                <w:rFonts w:ascii="宋体" w:hAnsi="宋体" w:cs="宋体" w:eastAsia="宋体" w:hint="default"/>
                <w:sz w:val="21"/>
                <w:szCs w:val="21"/>
              </w:rPr>
            </w:pPr>
            <w:r>
              <w:rPr>
                <w:rFonts w:ascii="宋体" w:hAnsi="宋体" w:cs="宋体" w:eastAsia="宋体" w:hint="default"/>
                <w:sz w:val="21"/>
                <w:szCs w:val="21"/>
              </w:rPr>
              <w:t>北京市西城区丰盛胡同</w:t>
            </w:r>
            <w:r>
              <w:rPr>
                <w:rFonts w:ascii="宋体" w:hAnsi="宋体" w:cs="宋体" w:eastAsia="宋体" w:hint="default"/>
                <w:spacing w:val="-62"/>
                <w:sz w:val="21"/>
                <w:szCs w:val="21"/>
              </w:rPr>
              <w:t> </w:t>
            </w:r>
            <w:r>
              <w:rPr>
                <w:rFonts w:ascii="Arial" w:hAnsi="Arial" w:cs="Arial" w:eastAsia="Arial" w:hint="default"/>
                <w:sz w:val="21"/>
                <w:szCs w:val="21"/>
              </w:rPr>
              <w:t>22</w:t>
            </w:r>
            <w:r>
              <w:rPr>
                <w:rFonts w:ascii="Arial" w:hAnsi="Arial" w:cs="Arial" w:eastAsia="Arial" w:hint="default"/>
                <w:spacing w:val="-16"/>
                <w:sz w:val="21"/>
                <w:szCs w:val="21"/>
              </w:rPr>
              <w:t> </w:t>
            </w:r>
            <w:r>
              <w:rPr>
                <w:rFonts w:ascii="宋体" w:hAnsi="宋体" w:cs="宋体" w:eastAsia="宋体" w:hint="default"/>
                <w:sz w:val="21"/>
                <w:szCs w:val="21"/>
              </w:rPr>
              <w:t>号</w:t>
            </w:r>
            <w:r>
              <w:rPr>
                <w:rFonts w:ascii="宋体" w:hAnsi="宋体" w:cs="宋体" w:eastAsia="宋体" w:hint="default"/>
                <w:w w:val="99"/>
                <w:sz w:val="21"/>
                <w:szCs w:val="21"/>
              </w:rPr>
              <w:t> </w:t>
            </w:r>
            <w:r>
              <w:rPr>
                <w:rFonts w:ascii="宋体" w:hAnsi="宋体" w:cs="宋体" w:eastAsia="宋体" w:hint="default"/>
                <w:sz w:val="21"/>
                <w:szCs w:val="21"/>
              </w:rPr>
              <w:t>丰铭国际大厦</w:t>
            </w:r>
            <w:r>
              <w:rPr>
                <w:rFonts w:ascii="宋体" w:hAnsi="宋体" w:cs="宋体" w:eastAsia="宋体" w:hint="default"/>
                <w:spacing w:val="-56"/>
                <w:sz w:val="21"/>
                <w:szCs w:val="21"/>
              </w:rPr>
              <w:t> </w:t>
            </w:r>
            <w:r>
              <w:rPr>
                <w:rFonts w:ascii="Arial" w:hAnsi="Arial" w:cs="Arial" w:eastAsia="Arial" w:hint="default"/>
                <w:sz w:val="21"/>
                <w:szCs w:val="21"/>
              </w:rPr>
              <w:t>A</w:t>
            </w:r>
            <w:r>
              <w:rPr>
                <w:rFonts w:ascii="Arial" w:hAnsi="Arial" w:cs="Arial" w:eastAsia="Arial" w:hint="default"/>
                <w:spacing w:val="-7"/>
                <w:sz w:val="21"/>
                <w:szCs w:val="21"/>
              </w:rPr>
              <w:t> </w:t>
            </w:r>
            <w:r>
              <w:rPr>
                <w:rFonts w:ascii="宋体" w:hAnsi="宋体" w:cs="宋体" w:eastAsia="宋体" w:hint="default"/>
                <w:sz w:val="21"/>
                <w:szCs w:val="21"/>
              </w:rPr>
              <w:t>座</w:t>
            </w:r>
            <w:r>
              <w:rPr>
                <w:rFonts w:ascii="宋体" w:hAnsi="宋体" w:cs="宋体" w:eastAsia="宋体" w:hint="default"/>
                <w:spacing w:val="-56"/>
                <w:sz w:val="21"/>
                <w:szCs w:val="21"/>
              </w:rPr>
              <w:t> </w:t>
            </w:r>
            <w:r>
              <w:rPr>
                <w:rFonts w:ascii="Arial" w:hAnsi="Arial" w:cs="Arial" w:eastAsia="Arial" w:hint="default"/>
                <w:sz w:val="21"/>
                <w:szCs w:val="21"/>
              </w:rPr>
              <w:t>6</w:t>
            </w:r>
            <w:r>
              <w:rPr>
                <w:rFonts w:ascii="Arial" w:hAnsi="Arial" w:cs="Arial" w:eastAsia="Arial" w:hint="default"/>
                <w:spacing w:val="-10"/>
                <w:sz w:val="21"/>
                <w:szCs w:val="21"/>
              </w:rPr>
              <w:t> </w:t>
            </w:r>
            <w:r>
              <w:rPr>
                <w:rFonts w:ascii="宋体" w:hAnsi="宋体" w:cs="宋体" w:eastAsia="宋体" w:hint="default"/>
                <w:sz w:val="21"/>
                <w:szCs w:val="21"/>
              </w:rPr>
              <w:t>层</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于洋、王阳白</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9</w:t>
            </w:r>
            <w:r>
              <w:rPr>
                <w:rFonts w:ascii="Arial" w:hAnsi="Arial" w:cs="Arial" w:eastAsia="Arial"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7</w:t>
            </w:r>
            <w:r>
              <w:rPr>
                <w:rFonts w:ascii="Arial" w:hAnsi="Arial" w:cs="Arial" w:eastAsia="Arial" w:hint="default"/>
                <w:spacing w:val="-7"/>
                <w:sz w:val="21"/>
                <w:szCs w:val="21"/>
              </w:rPr>
              <w:t> </w:t>
            </w:r>
            <w:r>
              <w:rPr>
                <w:rFonts w:ascii="宋体" w:hAnsi="宋体" w:cs="宋体" w:eastAsia="宋体" w:hint="default"/>
                <w:sz w:val="21"/>
                <w:szCs w:val="21"/>
              </w:rPr>
              <w:t>日至</w:t>
            </w:r>
          </w:p>
          <w:p>
            <w:pPr>
              <w:pStyle w:val="TableParagraph"/>
              <w:spacing w:line="240" w:lineRule="auto" w:before="22"/>
              <w:ind w:left="23" w:right="0"/>
              <w:jc w:val="left"/>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r>
    </w:tbl>
    <w:p>
      <w:pPr>
        <w:spacing w:line="240" w:lineRule="auto" w:before="2"/>
        <w:rPr>
          <w:rFonts w:ascii="宋体" w:hAnsi="宋体" w:cs="宋体" w:eastAsia="宋体" w:hint="default"/>
          <w:sz w:val="18"/>
          <w:szCs w:val="18"/>
        </w:rPr>
      </w:pPr>
    </w:p>
    <w:p>
      <w:pPr>
        <w:pStyle w:val="Heading2"/>
        <w:spacing w:line="240" w:lineRule="auto"/>
        <w:ind w:right="996"/>
        <w:jc w:val="left"/>
        <w:rPr>
          <w:b w:val="0"/>
          <w:bCs w:val="0"/>
        </w:rPr>
      </w:pPr>
      <w:bookmarkStart w:name="五、主要会计数据和财务指标" w:id="8"/>
      <w:bookmarkEnd w:id="8"/>
      <w:r>
        <w:rPr>
          <w:b w:val="0"/>
          <w:bCs w:val="0"/>
        </w:rPr>
      </w:r>
      <w:r>
        <w:rPr/>
        <w:t>五、主要会计数据和财务指标</w:t>
      </w:r>
      <w:r>
        <w:rPr>
          <w:b w:val="0"/>
          <w:bCs w:val="0"/>
        </w:rPr>
      </w:r>
    </w:p>
    <w:p>
      <w:pPr>
        <w:spacing w:line="240" w:lineRule="auto" w:before="10"/>
        <w:rPr>
          <w:rFonts w:ascii="宋体" w:hAnsi="宋体" w:cs="宋体" w:eastAsia="宋体" w:hint="default"/>
          <w:b/>
          <w:bCs/>
          <w:sz w:val="22"/>
          <w:szCs w:val="22"/>
        </w:rPr>
      </w:pPr>
    </w:p>
    <w:p>
      <w:pPr>
        <w:pStyle w:val="Heading3"/>
        <w:spacing w:line="240" w:lineRule="auto"/>
        <w:ind w:right="996"/>
        <w:jc w:val="left"/>
      </w:pPr>
      <w:r>
        <w:rPr/>
        <w:t>公司是否需追溯调整或重述以前年度会计数据</w:t>
      </w:r>
    </w:p>
    <w:p>
      <w:pPr>
        <w:pStyle w:val="Heading3"/>
        <w:spacing w:line="240" w:lineRule="auto" w:before="38"/>
        <w:ind w:right="996"/>
        <w:jc w:val="left"/>
      </w:pPr>
      <w:r>
        <w:rPr/>
        <w:pict>
          <v:shape style="position:absolute;margin-left:181.080002pt;margin-top:97.675636pt;width:93.5pt;height:35.3pt;mso-position-horizontal-relative:page;mso-position-vertical-relative:paragraph;z-index:-863008" type="#_x0000_t202" filled="false" stroked="false">
            <v:textbox inset="0,0,0,0">
              <w:txbxContent>
                <w:p>
                  <w:pPr>
                    <w:spacing w:line="240" w:lineRule="auto" w:before="12"/>
                    <w:rPr>
                      <w:rFonts w:ascii="宋体" w:hAnsi="宋体" w:cs="宋体" w:eastAsia="宋体" w:hint="default"/>
                      <w:sz w:val="25"/>
                      <w:szCs w:val="25"/>
                    </w:rPr>
                  </w:pPr>
                </w:p>
                <w:p>
                  <w:pPr>
                    <w:pStyle w:val="BodyText"/>
                    <w:spacing w:line="240" w:lineRule="auto" w:before="0"/>
                    <w:ind w:left="0" w:right="0"/>
                    <w:jc w:val="left"/>
                  </w:pPr>
                  <w:r>
                    <w:rPr>
                      <w:w w:val="99"/>
                    </w:rPr>
                    <w:t>）</w:t>
                  </w:r>
                  <w:r>
                    <w:rPr/>
                  </w:r>
                </w:p>
              </w:txbxContent>
            </v:textbox>
            <w10:wrap type="none"/>
          </v:shape>
        </w:pict>
      </w:r>
      <w:r>
        <w:rPr/>
        <w:pict>
          <v:group style="position:absolute;margin-left:187.899994pt;margin-top:97.675636pt;width:86.65pt;height:35.450pt;mso-position-horizontal-relative:page;mso-position-vertical-relative:paragraph;z-index:-862984" coordorigin="3758,1954" coordsize="1733,709">
            <v:shape style="position:absolute;left:3758;top:1954;width:1733;height:709" coordorigin="3758,1954" coordsize="1733,709" path="m3758,1954l5491,1954,5491,2663,3758,2663,3758,1954xe" filled="true" fillcolor="#ffffff" stroked="false">
              <v:path arrowok="t"/>
              <v:fill type="solid"/>
            </v:shape>
            <w10:wrap type="none"/>
          </v:group>
        </w:pict>
      </w: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8"/>
        </w:rPr>
        <w:t> </w:t>
      </w:r>
      <w:r>
        <w:rPr/>
        <w:t>否</w:t>
      </w:r>
    </w:p>
    <w:p>
      <w:pPr>
        <w:spacing w:line="240" w:lineRule="auto" w:before="6"/>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2621"/>
        <w:gridCol w:w="1738"/>
        <w:gridCol w:w="1737"/>
        <w:gridCol w:w="1737"/>
        <w:gridCol w:w="1736"/>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500" w:right="0"/>
              <w:jc w:val="left"/>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10"/>
                <w:sz w:val="21"/>
                <w:szCs w:val="21"/>
              </w:rPr>
              <w:t> </w:t>
            </w:r>
            <w:r>
              <w:rPr>
                <w:rFonts w:ascii="宋体" w:hAnsi="宋体" w:cs="宋体" w:eastAsia="宋体" w:hint="default"/>
                <w:sz w:val="21"/>
                <w:szCs w:val="21"/>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99" w:right="0"/>
              <w:jc w:val="left"/>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10"/>
                <w:sz w:val="21"/>
                <w:szCs w:val="21"/>
              </w:rPr>
              <w:t> </w:t>
            </w:r>
            <w:r>
              <w:rPr>
                <w:rFonts w:ascii="宋体" w:hAnsi="宋体" w:cs="宋体" w:eastAsia="宋体" w:hint="default"/>
                <w:sz w:val="21"/>
                <w:szCs w:val="21"/>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128"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98" w:right="0"/>
              <w:jc w:val="left"/>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10"/>
                <w:sz w:val="21"/>
                <w:szCs w:val="21"/>
              </w:rPr>
              <w:t> </w:t>
            </w:r>
            <w:r>
              <w:rPr>
                <w:rFonts w:ascii="宋体" w:hAnsi="宋体" w:cs="宋体" w:eastAsia="宋体" w:hint="default"/>
                <w:sz w:val="21"/>
                <w:szCs w:val="21"/>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3"/>
              <w:jc w:val="right"/>
              <w:rPr>
                <w:rFonts w:ascii="Arial" w:hAnsi="Arial" w:cs="Arial" w:eastAsia="Arial" w:hint="default"/>
                <w:sz w:val="21"/>
                <w:szCs w:val="21"/>
              </w:rPr>
            </w:pPr>
            <w:r>
              <w:rPr>
                <w:rFonts w:ascii="Arial"/>
                <w:w w:val="95"/>
                <w:sz w:val="21"/>
              </w:rPr>
              <w:t>2,708,496,168.56</w:t>
            </w:r>
            <w:r>
              <w:rPr>
                <w:rFonts w:ascii="Arial"/>
                <w:sz w:val="21"/>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2"/>
              <w:jc w:val="right"/>
              <w:rPr>
                <w:rFonts w:ascii="Arial" w:hAnsi="Arial" w:cs="Arial" w:eastAsia="Arial" w:hint="default"/>
                <w:sz w:val="21"/>
                <w:szCs w:val="21"/>
              </w:rPr>
            </w:pPr>
            <w:r>
              <w:rPr>
                <w:rFonts w:ascii="Arial"/>
                <w:w w:val="95"/>
                <w:sz w:val="21"/>
              </w:rPr>
              <w:t>2,338,145,133.75</w:t>
            </w:r>
            <w:r>
              <w:rPr>
                <w:rFonts w:ascii="Arial"/>
                <w:sz w:val="21"/>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95"/>
                <w:sz w:val="21"/>
              </w:rPr>
              <w:t>15.84%</w:t>
            </w:r>
            <w:r>
              <w:rPr>
                <w:rFonts w:ascii="Arial"/>
                <w:sz w:val="21"/>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2"/>
              <w:jc w:val="right"/>
              <w:rPr>
                <w:rFonts w:ascii="Arial" w:hAnsi="Arial" w:cs="Arial" w:eastAsia="Arial" w:hint="default"/>
                <w:sz w:val="21"/>
                <w:szCs w:val="21"/>
              </w:rPr>
            </w:pPr>
            <w:r>
              <w:rPr>
                <w:rFonts w:ascii="Arial"/>
                <w:w w:val="95"/>
                <w:sz w:val="21"/>
              </w:rPr>
              <w:t>1,820,108,218.46</w:t>
            </w:r>
            <w:r>
              <w:rPr>
                <w:rFonts w:ascii="Arial"/>
                <w:sz w:val="21"/>
              </w:rPr>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22" w:right="68"/>
              <w:jc w:val="left"/>
              <w:rPr>
                <w:rFonts w:ascii="宋体" w:hAnsi="宋体" w:cs="宋体" w:eastAsia="宋体" w:hint="default"/>
                <w:sz w:val="21"/>
                <w:szCs w:val="21"/>
              </w:rPr>
            </w:pPr>
            <w:r>
              <w:rPr>
                <w:rFonts w:ascii="宋体" w:hAnsi="宋体" w:cs="宋体" w:eastAsia="宋体" w:hint="default"/>
                <w:sz w:val="21"/>
                <w:szCs w:val="21"/>
              </w:rPr>
              <w:t>归属于上市公司股东的净利</w:t>
            </w:r>
            <w:r>
              <w:rPr>
                <w:rFonts w:ascii="宋体" w:hAnsi="宋体" w:cs="宋体" w:eastAsia="宋体" w:hint="default"/>
                <w:w w:val="99"/>
                <w:sz w:val="21"/>
                <w:szCs w:val="21"/>
              </w:rPr>
              <w:t> </w:t>
            </w:r>
            <w:r>
              <w:rPr>
                <w:rFonts w:ascii="宋体" w:hAnsi="宋体" w:cs="宋体" w:eastAsia="宋体" w:hint="default"/>
                <w:sz w:val="21"/>
                <w:szCs w:val="21"/>
              </w:rPr>
              <w:t>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3"/>
              <w:jc w:val="right"/>
              <w:rPr>
                <w:rFonts w:ascii="Arial" w:hAnsi="Arial" w:cs="Arial" w:eastAsia="Arial" w:hint="default"/>
                <w:sz w:val="21"/>
                <w:szCs w:val="21"/>
              </w:rPr>
            </w:pPr>
            <w:r>
              <w:rPr>
                <w:rFonts w:ascii="Arial"/>
                <w:w w:val="95"/>
                <w:sz w:val="21"/>
              </w:rPr>
              <w:t>497,708,243.20</w:t>
            </w:r>
            <w:r>
              <w:rPr>
                <w:rFonts w:ascii="Arial"/>
                <w:sz w:val="21"/>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2"/>
              <w:jc w:val="right"/>
              <w:rPr>
                <w:rFonts w:ascii="Arial" w:hAnsi="Arial" w:cs="Arial" w:eastAsia="Arial" w:hint="default"/>
                <w:sz w:val="21"/>
                <w:szCs w:val="21"/>
              </w:rPr>
            </w:pPr>
            <w:r>
              <w:rPr>
                <w:rFonts w:ascii="Arial"/>
                <w:w w:val="95"/>
                <w:sz w:val="21"/>
              </w:rPr>
              <w:t>381,166,148.13</w:t>
            </w:r>
            <w:r>
              <w:rPr>
                <w:rFonts w:ascii="Arial"/>
                <w:sz w:val="21"/>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95"/>
                <w:sz w:val="21"/>
              </w:rPr>
              <w:t>30.58%</w:t>
            </w:r>
            <w:r>
              <w:rPr>
                <w:rFonts w:ascii="Arial"/>
                <w:sz w:val="21"/>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2"/>
              <w:jc w:val="right"/>
              <w:rPr>
                <w:rFonts w:ascii="Arial" w:hAnsi="Arial" w:cs="Arial" w:eastAsia="Arial" w:hint="default"/>
                <w:sz w:val="21"/>
                <w:szCs w:val="21"/>
              </w:rPr>
            </w:pPr>
            <w:r>
              <w:rPr>
                <w:rFonts w:ascii="Arial"/>
                <w:w w:val="95"/>
                <w:sz w:val="21"/>
              </w:rPr>
              <w:t>271,694,183.15</w:t>
            </w:r>
            <w:r>
              <w:rPr>
                <w:rFonts w:ascii="Arial"/>
                <w:sz w:val="21"/>
              </w:rPr>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68"/>
              <w:jc w:val="left"/>
              <w:rPr>
                <w:rFonts w:ascii="宋体" w:hAnsi="宋体" w:cs="宋体" w:eastAsia="宋体" w:hint="default"/>
                <w:sz w:val="21"/>
                <w:szCs w:val="21"/>
              </w:rPr>
            </w:pPr>
            <w:r>
              <w:rPr>
                <w:rFonts w:ascii="宋体" w:hAnsi="宋体" w:cs="宋体" w:eastAsia="宋体" w:hint="default"/>
                <w:sz w:val="21"/>
                <w:szCs w:val="21"/>
              </w:rPr>
              <w:t>归属于上市公司股东的扣除</w:t>
            </w:r>
            <w:r>
              <w:rPr>
                <w:rFonts w:ascii="宋体" w:hAnsi="宋体" w:cs="宋体" w:eastAsia="宋体" w:hint="default"/>
                <w:w w:val="99"/>
                <w:sz w:val="21"/>
                <w:szCs w:val="21"/>
              </w:rPr>
              <w:t> </w:t>
            </w:r>
            <w:r>
              <w:rPr>
                <w:rFonts w:ascii="宋体" w:hAnsi="宋体" w:cs="宋体" w:eastAsia="宋体" w:hint="default"/>
                <w:spacing w:val="-5"/>
                <w:sz w:val="21"/>
                <w:szCs w:val="21"/>
              </w:rPr>
              <w:t>非经常性损益的净利润（元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3"/>
              <w:jc w:val="right"/>
              <w:rPr>
                <w:rFonts w:ascii="Arial" w:hAnsi="Arial" w:cs="Arial" w:eastAsia="Arial" w:hint="default"/>
                <w:sz w:val="21"/>
                <w:szCs w:val="21"/>
              </w:rPr>
            </w:pPr>
            <w:r>
              <w:rPr>
                <w:rFonts w:ascii="Arial"/>
                <w:w w:val="95"/>
                <w:sz w:val="21"/>
              </w:rPr>
              <w:t>455,820,545.23</w:t>
            </w:r>
            <w:r>
              <w:rPr>
                <w:rFonts w:ascii="Arial"/>
                <w:sz w:val="21"/>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2"/>
              <w:jc w:val="right"/>
              <w:rPr>
                <w:rFonts w:ascii="Arial" w:hAnsi="Arial" w:cs="Arial" w:eastAsia="Arial" w:hint="default"/>
                <w:sz w:val="21"/>
                <w:szCs w:val="21"/>
              </w:rPr>
            </w:pPr>
            <w:r>
              <w:rPr>
                <w:rFonts w:ascii="Arial"/>
                <w:w w:val="95"/>
                <w:sz w:val="21"/>
              </w:rPr>
              <w:t>375,472,664.45</w:t>
            </w:r>
            <w:r>
              <w:rPr>
                <w:rFonts w:ascii="Arial"/>
                <w:sz w:val="21"/>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95"/>
                <w:sz w:val="21"/>
              </w:rPr>
              <w:t>21.40%</w:t>
            </w:r>
            <w:r>
              <w:rPr>
                <w:rFonts w:ascii="Arial"/>
                <w:sz w:val="21"/>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2"/>
              <w:jc w:val="right"/>
              <w:rPr>
                <w:rFonts w:ascii="Arial" w:hAnsi="Arial" w:cs="Arial" w:eastAsia="Arial" w:hint="default"/>
                <w:sz w:val="21"/>
                <w:szCs w:val="21"/>
              </w:rPr>
            </w:pPr>
            <w:r>
              <w:rPr>
                <w:rFonts w:ascii="Arial"/>
                <w:w w:val="95"/>
                <w:sz w:val="21"/>
              </w:rPr>
              <w:t>265,246,953.49</w:t>
            </w:r>
            <w:r>
              <w:rPr>
                <w:rFonts w:ascii="Arial"/>
                <w:sz w:val="21"/>
              </w:rPr>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22" w:right="68"/>
              <w:jc w:val="left"/>
              <w:rPr>
                <w:rFonts w:ascii="宋体" w:hAnsi="宋体" w:cs="宋体" w:eastAsia="宋体" w:hint="default"/>
                <w:sz w:val="21"/>
                <w:szCs w:val="21"/>
              </w:rPr>
            </w:pPr>
            <w:r>
              <w:rPr>
                <w:rFonts w:ascii="宋体" w:hAnsi="宋体" w:cs="宋体" w:eastAsia="宋体" w:hint="default"/>
                <w:sz w:val="21"/>
                <w:szCs w:val="21"/>
              </w:rPr>
              <w:t>经营活动产生的现金流量净</w:t>
            </w:r>
            <w:r>
              <w:rPr>
                <w:rFonts w:ascii="宋体" w:hAnsi="宋体" w:cs="宋体" w:eastAsia="宋体" w:hint="default"/>
                <w:w w:val="99"/>
                <w:sz w:val="21"/>
                <w:szCs w:val="21"/>
              </w:rPr>
              <w:t> </w:t>
            </w:r>
            <w:r>
              <w:rPr>
                <w:rFonts w:ascii="宋体" w:hAnsi="宋体" w:cs="宋体" w:eastAsia="宋体" w:hint="default"/>
                <w:sz w:val="21"/>
                <w:szCs w:val="21"/>
              </w:rPr>
              <w:t>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3"/>
              <w:jc w:val="right"/>
              <w:rPr>
                <w:rFonts w:ascii="Arial" w:hAnsi="Arial" w:cs="Arial" w:eastAsia="Arial" w:hint="default"/>
                <w:sz w:val="21"/>
                <w:szCs w:val="21"/>
              </w:rPr>
            </w:pPr>
            <w:r>
              <w:rPr>
                <w:rFonts w:ascii="Arial"/>
                <w:w w:val="95"/>
                <w:sz w:val="21"/>
              </w:rPr>
              <w:t>320,161,309.58</w:t>
            </w:r>
            <w:r>
              <w:rPr>
                <w:rFonts w:ascii="Arial"/>
                <w:sz w:val="21"/>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2"/>
              <w:jc w:val="right"/>
              <w:rPr>
                <w:rFonts w:ascii="Arial" w:hAnsi="Arial" w:cs="Arial" w:eastAsia="Arial" w:hint="default"/>
                <w:sz w:val="21"/>
                <w:szCs w:val="21"/>
              </w:rPr>
            </w:pPr>
            <w:r>
              <w:rPr>
                <w:rFonts w:ascii="Arial"/>
                <w:w w:val="95"/>
                <w:sz w:val="21"/>
              </w:rPr>
              <w:t>491,523,303.34</w:t>
            </w:r>
            <w:r>
              <w:rPr>
                <w:rFonts w:ascii="Arial"/>
                <w:sz w:val="21"/>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-34.86%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2"/>
              <w:jc w:val="right"/>
              <w:rPr>
                <w:rFonts w:ascii="Arial" w:hAnsi="Arial" w:cs="Arial" w:eastAsia="Arial" w:hint="default"/>
                <w:sz w:val="21"/>
                <w:szCs w:val="21"/>
              </w:rPr>
            </w:pPr>
            <w:r>
              <w:rPr>
                <w:rFonts w:ascii="Arial"/>
                <w:w w:val="95"/>
                <w:sz w:val="21"/>
              </w:rPr>
              <w:t>237,220,809.69</w:t>
            </w:r>
            <w:r>
              <w:rPr>
                <w:rFonts w:ascii="Arial"/>
                <w:sz w:val="21"/>
              </w:rPr>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Arial" w:hAnsi="Arial" w:cs="Arial" w:eastAsia="Arial" w:hint="default"/>
                <w:sz w:val="21"/>
                <w:szCs w:val="21"/>
              </w:rPr>
              <w:t>/</w:t>
            </w:r>
            <w:r>
              <w:rPr>
                <w:rFonts w:ascii="宋体" w:hAnsi="宋体" w:cs="宋体" w:eastAsia="宋体" w:hint="default"/>
                <w:sz w:val="21"/>
                <w:szCs w:val="21"/>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0.67</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0.58</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95"/>
                <w:sz w:val="21"/>
              </w:rPr>
              <w:t>15.52%</w:t>
            </w:r>
            <w:r>
              <w:rPr>
                <w:rFonts w:ascii="Arial"/>
                <w:sz w:val="21"/>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0.43</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Arial" w:hAnsi="Arial" w:cs="Arial" w:eastAsia="Arial" w:hint="default"/>
                <w:sz w:val="21"/>
                <w:szCs w:val="21"/>
              </w:rPr>
              <w:t>/</w:t>
            </w:r>
            <w:r>
              <w:rPr>
                <w:rFonts w:ascii="宋体" w:hAnsi="宋体" w:cs="宋体" w:eastAsia="宋体" w:hint="default"/>
                <w:sz w:val="21"/>
                <w:szCs w:val="21"/>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0.67</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0.57</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w w:val="95"/>
                <w:sz w:val="21"/>
              </w:rPr>
              <w:t>17.54%</w:t>
            </w:r>
            <w:r>
              <w:rPr>
                <w:rFonts w:ascii="Arial"/>
                <w:sz w:val="21"/>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0.42</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12.49%</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16.33%</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95"/>
                <w:sz w:val="21"/>
              </w:rPr>
              <w:t>-3.84%</w:t>
            </w:r>
            <w:r>
              <w:rPr>
                <w:rFonts w:ascii="Arial"/>
                <w:sz w:val="21"/>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16.37%</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3"/>
              <w:ind w:left="394" w:right="0"/>
              <w:jc w:val="left"/>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12"/>
                <w:sz w:val="21"/>
                <w:szCs w:val="21"/>
              </w:rPr>
              <w:t> </w:t>
            </w:r>
            <w:r>
              <w:rPr>
                <w:rFonts w:ascii="宋体" w:hAnsi="宋体" w:cs="宋体" w:eastAsia="宋体" w:hint="default"/>
                <w:sz w:val="21"/>
                <w:szCs w:val="21"/>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3"/>
              <w:ind w:left="394" w:right="0"/>
              <w:jc w:val="left"/>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9"/>
                <w:sz w:val="21"/>
                <w:szCs w:val="21"/>
              </w:rPr>
              <w:t> </w:t>
            </w:r>
            <w:r>
              <w:rPr>
                <w:rFonts w:ascii="宋体" w:hAnsi="宋体" w:cs="宋体" w:eastAsia="宋体" w:hint="default"/>
                <w:sz w:val="21"/>
                <w:szCs w:val="21"/>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757" w:right="24" w:hanging="735"/>
              <w:jc w:val="left"/>
              <w:rPr>
                <w:rFonts w:ascii="宋体" w:hAnsi="宋体" w:cs="宋体" w:eastAsia="宋体" w:hint="default"/>
                <w:sz w:val="21"/>
                <w:szCs w:val="21"/>
              </w:rPr>
            </w:pPr>
            <w:r>
              <w:rPr>
                <w:rFonts w:ascii="宋体" w:hAnsi="宋体" w:cs="宋体" w:eastAsia="宋体" w:hint="default"/>
                <w:sz w:val="21"/>
                <w:szCs w:val="21"/>
              </w:rPr>
              <w:t>本年末比上年末增</w:t>
            </w:r>
            <w:r>
              <w:rPr>
                <w:rFonts w:ascii="宋体" w:hAnsi="宋体" w:cs="宋体" w:eastAsia="宋体" w:hint="default"/>
                <w:w w:val="99"/>
                <w:sz w:val="21"/>
                <w:szCs w:val="21"/>
              </w:rPr>
              <w:t> </w:t>
            </w:r>
            <w:r>
              <w:rPr>
                <w:rFonts w:ascii="宋体" w:hAnsi="宋体" w:cs="宋体" w:eastAsia="宋体" w:hint="default"/>
                <w:sz w:val="21"/>
                <w:szCs w:val="21"/>
              </w:rPr>
              <w:t>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3"/>
              <w:ind w:left="392" w:right="0"/>
              <w:jc w:val="left"/>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9"/>
                <w:sz w:val="21"/>
                <w:szCs w:val="21"/>
              </w:rPr>
              <w:t> </w:t>
            </w:r>
            <w:r>
              <w:rPr>
                <w:rFonts w:ascii="宋体" w:hAnsi="宋体" w:cs="宋体" w:eastAsia="宋体" w:hint="default"/>
                <w:sz w:val="21"/>
                <w:szCs w:val="21"/>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3"/>
              <w:jc w:val="right"/>
              <w:rPr>
                <w:rFonts w:ascii="Arial" w:hAnsi="Arial" w:cs="Arial" w:eastAsia="Arial" w:hint="default"/>
                <w:sz w:val="21"/>
                <w:szCs w:val="21"/>
              </w:rPr>
            </w:pPr>
            <w:r>
              <w:rPr>
                <w:rFonts w:ascii="Arial"/>
                <w:w w:val="95"/>
                <w:sz w:val="21"/>
              </w:rPr>
              <w:t>5,830,781,979.36</w:t>
            </w:r>
            <w:r>
              <w:rPr>
                <w:rFonts w:ascii="Arial"/>
                <w:sz w:val="21"/>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2"/>
              <w:jc w:val="right"/>
              <w:rPr>
                <w:rFonts w:ascii="Arial" w:hAnsi="Arial" w:cs="Arial" w:eastAsia="Arial" w:hint="default"/>
                <w:sz w:val="21"/>
                <w:szCs w:val="21"/>
              </w:rPr>
            </w:pPr>
            <w:r>
              <w:rPr>
                <w:rFonts w:ascii="Arial"/>
                <w:w w:val="95"/>
                <w:sz w:val="21"/>
              </w:rPr>
              <w:t>5,131,044,859.77</w:t>
            </w:r>
            <w:r>
              <w:rPr>
                <w:rFonts w:ascii="Arial"/>
                <w:sz w:val="21"/>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95"/>
                <w:sz w:val="21"/>
              </w:rPr>
              <w:t>13.64%</w:t>
            </w:r>
            <w:r>
              <w:rPr>
                <w:rFonts w:ascii="Arial"/>
                <w:sz w:val="21"/>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2"/>
              <w:jc w:val="right"/>
              <w:rPr>
                <w:rFonts w:ascii="Arial" w:hAnsi="Arial" w:cs="Arial" w:eastAsia="Arial" w:hint="default"/>
                <w:sz w:val="21"/>
                <w:szCs w:val="21"/>
              </w:rPr>
            </w:pPr>
            <w:r>
              <w:rPr>
                <w:rFonts w:ascii="Arial"/>
                <w:w w:val="95"/>
                <w:sz w:val="21"/>
              </w:rPr>
              <w:t>2,876,868,375.89</w:t>
            </w:r>
            <w:r>
              <w:rPr>
                <w:rFonts w:ascii="Arial"/>
                <w:sz w:val="21"/>
              </w:rPr>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22" w:right="68"/>
              <w:jc w:val="left"/>
              <w:rPr>
                <w:rFonts w:ascii="宋体" w:hAnsi="宋体" w:cs="宋体" w:eastAsia="宋体" w:hint="default"/>
                <w:sz w:val="21"/>
                <w:szCs w:val="21"/>
              </w:rPr>
            </w:pPr>
            <w:r>
              <w:rPr>
                <w:rFonts w:ascii="宋体" w:hAnsi="宋体" w:cs="宋体" w:eastAsia="宋体" w:hint="default"/>
                <w:sz w:val="21"/>
                <w:szCs w:val="21"/>
              </w:rPr>
              <w:t>归属于上市公司股东的净资</w:t>
            </w:r>
            <w:r>
              <w:rPr>
                <w:rFonts w:ascii="宋体" w:hAnsi="宋体" w:cs="宋体" w:eastAsia="宋体" w:hint="default"/>
                <w:w w:val="99"/>
                <w:sz w:val="21"/>
                <w:szCs w:val="21"/>
              </w:rPr>
              <w:t> </w:t>
            </w:r>
            <w:r>
              <w:rPr>
                <w:rFonts w:ascii="宋体" w:hAnsi="宋体" w:cs="宋体" w:eastAsia="宋体" w:hint="default"/>
                <w:sz w:val="21"/>
                <w:szCs w:val="21"/>
              </w:rPr>
              <w:t>产（元）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3"/>
              <w:jc w:val="right"/>
              <w:rPr>
                <w:rFonts w:ascii="Arial" w:hAnsi="Arial" w:cs="Arial" w:eastAsia="Arial" w:hint="default"/>
                <w:sz w:val="21"/>
                <w:szCs w:val="21"/>
              </w:rPr>
            </w:pPr>
            <w:r>
              <w:rPr>
                <w:rFonts w:ascii="Arial"/>
                <w:w w:val="95"/>
                <w:sz w:val="21"/>
              </w:rPr>
              <w:t>4,248,149,615.39</w:t>
            </w:r>
            <w:r>
              <w:rPr>
                <w:rFonts w:ascii="Arial"/>
                <w:sz w:val="21"/>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2"/>
              <w:jc w:val="right"/>
              <w:rPr>
                <w:rFonts w:ascii="Arial" w:hAnsi="Arial" w:cs="Arial" w:eastAsia="Arial" w:hint="default"/>
                <w:sz w:val="21"/>
                <w:szCs w:val="21"/>
              </w:rPr>
            </w:pPr>
            <w:r>
              <w:rPr>
                <w:rFonts w:ascii="Arial"/>
                <w:w w:val="95"/>
                <w:sz w:val="21"/>
              </w:rPr>
              <w:t>3,703,234,761.92</w:t>
            </w:r>
            <w:r>
              <w:rPr>
                <w:rFonts w:ascii="Arial"/>
                <w:sz w:val="21"/>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95"/>
                <w:sz w:val="21"/>
              </w:rPr>
              <w:t>14.71%</w:t>
            </w:r>
            <w:r>
              <w:rPr>
                <w:rFonts w:ascii="Arial"/>
                <w:sz w:val="21"/>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2"/>
              <w:jc w:val="right"/>
              <w:rPr>
                <w:rFonts w:ascii="Arial" w:hAnsi="Arial" w:cs="Arial" w:eastAsia="Arial" w:hint="default"/>
                <w:sz w:val="21"/>
                <w:szCs w:val="21"/>
              </w:rPr>
            </w:pPr>
            <w:r>
              <w:rPr>
                <w:rFonts w:ascii="Arial"/>
                <w:w w:val="95"/>
                <w:sz w:val="21"/>
              </w:rPr>
              <w:t>1,798,104,623.38</w:t>
            </w:r>
            <w:r>
              <w:rPr>
                <w:rFonts w:ascii="Arial"/>
                <w:sz w:val="21"/>
              </w:rPr>
            </w:r>
          </w:p>
        </w:tc>
      </w:tr>
    </w:tbl>
    <w:p>
      <w:pPr>
        <w:pStyle w:val="Heading3"/>
        <w:spacing w:line="273" w:lineRule="auto" w:before="27"/>
        <w:ind w:right="1154"/>
        <w:jc w:val="left"/>
      </w:pPr>
      <w:r>
        <w:rPr/>
        <w:t>公司报告期末至年度报告披露日股本是否因发行新股、增发、配股、股权激励行权、回购等 原因发生变化且影响所有者权益金额</w:t>
      </w:r>
    </w:p>
    <w:p>
      <w:pPr>
        <w:pStyle w:val="Heading3"/>
        <w:spacing w:line="240" w:lineRule="auto" w:before="26"/>
        <w:ind w:right="996"/>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8"/>
        </w:rPr>
        <w:t> </w:t>
      </w:r>
      <w:r>
        <w:rPr/>
        <w:t>否</w:t>
      </w:r>
    </w:p>
    <w:p>
      <w:pPr>
        <w:spacing w:line="240" w:lineRule="auto" w:before="3"/>
        <w:rPr>
          <w:rFonts w:ascii="宋体" w:hAnsi="宋体" w:cs="宋体" w:eastAsia="宋体" w:hint="default"/>
          <w:sz w:val="4"/>
          <w:szCs w:val="4"/>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518;height:397" coordorigin="13,12" coordsize="4518,397">
              <v:shape style="position:absolute;left:13;top:12;width:4518;height:397" coordorigin="13,12" coordsize="4518,397" path="m13,12l4531,12,4531,409,13,409,13,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533;top:5;width:2;height:402" coordorigin="4533,5" coordsize="2,402">
              <v:shape style="position:absolute;left:4533;top:5;width:2;height:402" coordorigin="4533,5" coordsize="0,402" path="m4533,5l453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523;height:402" type="#_x0000_t202" filled="false" stroked="false">
                <v:textbox inset="0,0,0,0">
                  <w:txbxContent>
                    <w:p>
                      <w:pPr>
                        <w:spacing w:before="30"/>
                        <w:ind w:left="27" w:right="0" w:firstLine="0"/>
                        <w:jc w:val="left"/>
                        <w:rPr>
                          <w:rFonts w:ascii="宋体" w:hAnsi="宋体" w:cs="宋体" w:eastAsia="宋体" w:hint="default"/>
                          <w:sz w:val="21"/>
                          <w:szCs w:val="21"/>
                        </w:rPr>
                      </w:pPr>
                      <w:r>
                        <w:rPr>
                          <w:rFonts w:ascii="宋体" w:hAnsi="宋体" w:cs="宋体" w:eastAsia="宋体" w:hint="default"/>
                          <w:sz w:val="21"/>
                          <w:szCs w:val="21"/>
                        </w:rPr>
                        <w:t>用最新股本计算的全面摊薄每股收益（元</w:t>
                      </w:r>
                      <w:r>
                        <w:rPr>
                          <w:rFonts w:ascii="Arial" w:hAnsi="Arial" w:cs="Arial" w:eastAsia="Arial" w:hint="default"/>
                          <w:sz w:val="21"/>
                          <w:szCs w:val="21"/>
                        </w:rPr>
                        <w:t>/</w:t>
                      </w:r>
                      <w:r>
                        <w:rPr>
                          <w:rFonts w:ascii="宋体" w:hAnsi="宋体" w:cs="宋体" w:eastAsia="宋体" w:hint="default"/>
                          <w:sz w:val="21"/>
                          <w:szCs w:val="21"/>
                        </w:rPr>
                        <w:t>股）</w:t>
                      </w:r>
                    </w:p>
                  </w:txbxContent>
                </v:textbox>
                <w10:wrap type="none"/>
              </v:shape>
              <v:shape style="position:absolute;left:4533;top:10;width:5045;height:402" type="#_x0000_t202" filled="false" stroked="false">
                <v:textbox inset="0,0,0,0">
                  <w:txbxContent>
                    <w:p>
                      <w:pPr>
                        <w:spacing w:before="78"/>
                        <w:ind w:left="0" w:right="23" w:firstLine="0"/>
                        <w:jc w:val="right"/>
                        <w:rPr>
                          <w:rFonts w:ascii="Arial" w:hAnsi="Arial" w:cs="Arial" w:eastAsia="Arial" w:hint="default"/>
                          <w:sz w:val="21"/>
                          <w:szCs w:val="21"/>
                        </w:rPr>
                      </w:pPr>
                      <w:r>
                        <w:rPr>
                          <w:rFonts w:ascii="Arial"/>
                          <w:spacing w:val="-1"/>
                          <w:sz w:val="21"/>
                        </w:rPr>
                        <w:t>0.6141</w:t>
                      </w:r>
                    </w:p>
                  </w:txbxContent>
                </v:textbox>
                <w10:wrap type="none"/>
              </v:shape>
            </v:group>
          </v:group>
        </w:pict>
      </w:r>
      <w:r>
        <w:rPr>
          <w:rFonts w:ascii="宋体" w:hAnsi="宋体" w:cs="宋体" w:eastAsia="宋体" w:hint="default"/>
          <w:position w:val="-7"/>
          <w:sz w:val="20"/>
          <w:szCs w:val="20"/>
        </w:rPr>
      </w:r>
    </w:p>
    <w:p>
      <w:pPr>
        <w:spacing w:after="0" w:line="416" w:lineRule="exact"/>
        <w:rPr>
          <w:rFonts w:ascii="宋体" w:hAnsi="宋体" w:cs="宋体" w:eastAsia="宋体" w:hint="default"/>
          <w:sz w:val="20"/>
          <w:szCs w:val="20"/>
        </w:rPr>
        <w:sectPr>
          <w:pgSz w:w="11910" w:h="16840"/>
          <w:pgMar w:header="746" w:footer="978" w:top="1060" w:bottom="1160" w:left="1020" w:right="0"/>
        </w:sectPr>
      </w:pPr>
    </w:p>
    <w:p>
      <w:pPr>
        <w:spacing w:line="240" w:lineRule="auto" w:before="8"/>
        <w:rPr>
          <w:rFonts w:ascii="宋体" w:hAnsi="宋体" w:cs="宋体" w:eastAsia="宋体" w:hint="default"/>
          <w:sz w:val="23"/>
          <w:szCs w:val="23"/>
        </w:rPr>
      </w:pPr>
    </w:p>
    <w:p>
      <w:pPr>
        <w:pStyle w:val="Heading2"/>
        <w:spacing w:line="240" w:lineRule="auto"/>
        <w:ind w:right="996"/>
        <w:jc w:val="left"/>
        <w:rPr>
          <w:b w:val="0"/>
          <w:bCs w:val="0"/>
        </w:rPr>
      </w:pPr>
      <w:bookmarkStart w:name="六、分季度主要财务指标" w:id="9"/>
      <w:bookmarkEnd w:id="9"/>
      <w:r>
        <w:rPr>
          <w:b w:val="0"/>
          <w:bCs w:val="0"/>
        </w:rPr>
      </w:r>
      <w:r>
        <w:rPr/>
        <w:t>六、分季度主要财务指标</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0" w:right="1135"/>
        <w:jc w:val="right"/>
      </w:pPr>
      <w:r>
        <w:rPr>
          <w:w w:val="95"/>
        </w:rPr>
        <w:t>单位：元</w:t>
      </w:r>
      <w:r>
        <w:rPr/>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835"/>
        <w:gridCol w:w="1701"/>
        <w:gridCol w:w="1701"/>
        <w:gridCol w:w="1602"/>
        <w:gridCol w:w="1730"/>
      </w:tblGrid>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25" w:right="0"/>
              <w:jc w:val="left"/>
              <w:rPr>
                <w:rFonts w:ascii="宋体" w:hAnsi="宋体" w:cs="宋体" w:eastAsia="宋体" w:hint="default"/>
                <w:sz w:val="21"/>
                <w:szCs w:val="21"/>
              </w:rPr>
            </w:pPr>
            <w:r>
              <w:rPr>
                <w:rFonts w:ascii="宋体" w:hAnsi="宋体" w:cs="宋体" w:eastAsia="宋体" w:hint="default"/>
                <w:sz w:val="21"/>
                <w:szCs w:val="21"/>
              </w:rPr>
              <w:t>第一季度</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26" w:right="0"/>
              <w:jc w:val="left"/>
              <w:rPr>
                <w:rFonts w:ascii="宋体" w:hAnsi="宋体" w:cs="宋体" w:eastAsia="宋体" w:hint="default"/>
                <w:sz w:val="21"/>
                <w:szCs w:val="21"/>
              </w:rPr>
            </w:pPr>
            <w:r>
              <w:rPr>
                <w:rFonts w:ascii="宋体" w:hAnsi="宋体" w:cs="宋体" w:eastAsia="宋体" w:hint="default"/>
                <w:sz w:val="21"/>
                <w:szCs w:val="21"/>
              </w:rPr>
              <w:t>第二季度</w:t>
            </w:r>
          </w:p>
        </w:tc>
        <w:tc>
          <w:tcPr>
            <w:tcW w:w="1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76" w:right="0"/>
              <w:jc w:val="left"/>
              <w:rPr>
                <w:rFonts w:ascii="宋体" w:hAnsi="宋体" w:cs="宋体" w:eastAsia="宋体" w:hint="default"/>
                <w:sz w:val="21"/>
                <w:szCs w:val="21"/>
              </w:rPr>
            </w:pPr>
            <w:r>
              <w:rPr>
                <w:rFonts w:ascii="宋体" w:hAnsi="宋体" w:cs="宋体" w:eastAsia="宋体" w:hint="default"/>
                <w:sz w:val="21"/>
                <w:szCs w:val="21"/>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39" w:right="0"/>
              <w:jc w:val="left"/>
              <w:rPr>
                <w:rFonts w:ascii="宋体" w:hAnsi="宋体" w:cs="宋体" w:eastAsia="宋体" w:hint="default"/>
                <w:sz w:val="21"/>
                <w:szCs w:val="21"/>
              </w:rPr>
            </w:pPr>
            <w:r>
              <w:rPr>
                <w:rFonts w:ascii="宋体" w:hAnsi="宋体" w:cs="宋体" w:eastAsia="宋体" w:hint="default"/>
                <w:sz w:val="21"/>
                <w:szCs w:val="21"/>
              </w:rPr>
              <w:t>第四季度</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5"/>
              <w:jc w:val="right"/>
              <w:rPr>
                <w:rFonts w:ascii="Arial" w:hAnsi="Arial" w:cs="Arial" w:eastAsia="Arial" w:hint="default"/>
                <w:sz w:val="21"/>
                <w:szCs w:val="21"/>
              </w:rPr>
            </w:pPr>
            <w:r>
              <w:rPr>
                <w:rFonts w:ascii="Arial"/>
                <w:spacing w:val="-1"/>
                <w:w w:val="95"/>
                <w:sz w:val="21"/>
              </w:rPr>
              <w:t>351,988,113.60</w:t>
            </w:r>
            <w:r>
              <w:rPr>
                <w:rFonts w:ascii="Arial"/>
                <w:spacing w:val="-1"/>
                <w:sz w:val="21"/>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4"/>
              <w:jc w:val="right"/>
              <w:rPr>
                <w:rFonts w:ascii="Arial" w:hAnsi="Arial" w:cs="Arial" w:eastAsia="Arial" w:hint="default"/>
                <w:sz w:val="21"/>
                <w:szCs w:val="21"/>
              </w:rPr>
            </w:pPr>
            <w:r>
              <w:rPr>
                <w:rFonts w:ascii="Arial"/>
                <w:w w:val="95"/>
                <w:sz w:val="21"/>
              </w:rPr>
              <w:t>644,360,565.98</w:t>
            </w:r>
            <w:r>
              <w:rPr>
                <w:rFonts w:ascii="Arial"/>
                <w:sz w:val="21"/>
              </w:rPr>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3"/>
              <w:jc w:val="right"/>
              <w:rPr>
                <w:rFonts w:ascii="Arial" w:hAnsi="Arial" w:cs="Arial" w:eastAsia="Arial" w:hint="default"/>
                <w:sz w:val="21"/>
                <w:szCs w:val="21"/>
              </w:rPr>
            </w:pPr>
            <w:r>
              <w:rPr>
                <w:rFonts w:ascii="Arial"/>
                <w:w w:val="95"/>
                <w:sz w:val="21"/>
              </w:rPr>
              <w:t>605,072,442.84</w:t>
            </w:r>
            <w:r>
              <w:rPr>
                <w:rFonts w:ascii="Arial"/>
                <w:sz w:val="21"/>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2"/>
              <w:jc w:val="right"/>
              <w:rPr>
                <w:rFonts w:ascii="Arial" w:hAnsi="Arial" w:cs="Arial" w:eastAsia="Arial" w:hint="default"/>
                <w:sz w:val="21"/>
                <w:szCs w:val="21"/>
              </w:rPr>
            </w:pPr>
            <w:r>
              <w:rPr>
                <w:rFonts w:ascii="Arial"/>
                <w:w w:val="95"/>
                <w:sz w:val="21"/>
              </w:rPr>
              <w:t>1,107,075,046.14</w:t>
            </w:r>
            <w:r>
              <w:rPr>
                <w:rFonts w:ascii="Arial"/>
                <w:sz w:val="21"/>
              </w:rPr>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5"/>
              <w:jc w:val="right"/>
              <w:rPr>
                <w:rFonts w:ascii="Arial" w:hAnsi="Arial" w:cs="Arial" w:eastAsia="Arial" w:hint="default"/>
                <w:sz w:val="21"/>
                <w:szCs w:val="21"/>
              </w:rPr>
            </w:pPr>
            <w:r>
              <w:rPr>
                <w:rFonts w:ascii="Arial"/>
                <w:w w:val="95"/>
                <w:sz w:val="21"/>
              </w:rPr>
              <w:t>50,713,899.42</w:t>
            </w:r>
            <w:r>
              <w:rPr>
                <w:rFonts w:ascii="Arial"/>
                <w:sz w:val="21"/>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Arial" w:hAnsi="Arial" w:cs="Arial" w:eastAsia="Arial" w:hint="default"/>
                <w:sz w:val="21"/>
                <w:szCs w:val="21"/>
              </w:rPr>
            </w:pPr>
            <w:r>
              <w:rPr>
                <w:rFonts w:ascii="Arial"/>
                <w:w w:val="95"/>
                <w:sz w:val="21"/>
              </w:rPr>
              <w:t>164,355,703.82</w:t>
            </w:r>
            <w:r>
              <w:rPr>
                <w:rFonts w:ascii="Arial"/>
                <w:sz w:val="21"/>
              </w:rPr>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5"/>
              <w:jc w:val="right"/>
              <w:rPr>
                <w:rFonts w:ascii="Arial" w:hAnsi="Arial" w:cs="Arial" w:eastAsia="Arial" w:hint="default"/>
                <w:sz w:val="21"/>
                <w:szCs w:val="21"/>
              </w:rPr>
            </w:pPr>
            <w:r>
              <w:rPr>
                <w:rFonts w:ascii="Arial"/>
                <w:w w:val="95"/>
                <w:sz w:val="21"/>
              </w:rPr>
              <w:t>90,503,637.09</w:t>
            </w:r>
            <w:r>
              <w:rPr>
                <w:rFonts w:ascii="Arial"/>
                <w:sz w:val="21"/>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2"/>
              <w:jc w:val="right"/>
              <w:rPr>
                <w:rFonts w:ascii="Arial" w:hAnsi="Arial" w:cs="Arial" w:eastAsia="Arial" w:hint="default"/>
                <w:sz w:val="21"/>
                <w:szCs w:val="21"/>
              </w:rPr>
            </w:pPr>
            <w:r>
              <w:rPr>
                <w:rFonts w:ascii="Arial"/>
                <w:w w:val="95"/>
                <w:sz w:val="21"/>
              </w:rPr>
              <w:t>192,135,002.87</w:t>
            </w:r>
            <w:r>
              <w:rPr>
                <w:rFonts w:ascii="Arial"/>
                <w:sz w:val="21"/>
              </w:rPr>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5"/>
              <w:ind w:left="22" w:right="71"/>
              <w:jc w:val="left"/>
              <w:rPr>
                <w:rFonts w:ascii="宋体" w:hAnsi="宋体" w:cs="宋体" w:eastAsia="宋体" w:hint="default"/>
                <w:sz w:val="21"/>
                <w:szCs w:val="21"/>
              </w:rPr>
            </w:pPr>
            <w:r>
              <w:rPr>
                <w:rFonts w:ascii="宋体" w:hAnsi="宋体" w:cs="宋体" w:eastAsia="宋体" w:hint="default"/>
                <w:sz w:val="21"/>
                <w:szCs w:val="21"/>
              </w:rPr>
              <w:t>归属于上市公司股东的扣除非</w:t>
            </w:r>
            <w:r>
              <w:rPr>
                <w:rFonts w:ascii="宋体" w:hAnsi="宋体" w:cs="宋体" w:eastAsia="宋体" w:hint="default"/>
                <w:w w:val="99"/>
                <w:sz w:val="21"/>
                <w:szCs w:val="21"/>
              </w:rPr>
              <w:t> </w:t>
            </w:r>
            <w:r>
              <w:rPr>
                <w:rFonts w:ascii="宋体" w:hAnsi="宋体" w:cs="宋体" w:eastAsia="宋体" w:hint="default"/>
                <w:sz w:val="21"/>
                <w:szCs w:val="21"/>
              </w:rPr>
              <w:t>经常性损益的净利润</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5"/>
              <w:jc w:val="right"/>
              <w:rPr>
                <w:rFonts w:ascii="Arial" w:hAnsi="Arial" w:cs="Arial" w:eastAsia="Arial" w:hint="default"/>
                <w:sz w:val="21"/>
                <w:szCs w:val="21"/>
              </w:rPr>
            </w:pPr>
            <w:r>
              <w:rPr>
                <w:rFonts w:ascii="Arial"/>
                <w:w w:val="95"/>
                <w:sz w:val="21"/>
              </w:rPr>
              <w:t>50,302,996.76</w:t>
            </w:r>
            <w:r>
              <w:rPr>
                <w:rFonts w:ascii="Arial"/>
                <w:sz w:val="21"/>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4"/>
              <w:jc w:val="right"/>
              <w:rPr>
                <w:rFonts w:ascii="Arial" w:hAnsi="Arial" w:cs="Arial" w:eastAsia="Arial" w:hint="default"/>
                <w:sz w:val="21"/>
                <w:szCs w:val="21"/>
              </w:rPr>
            </w:pPr>
            <w:r>
              <w:rPr>
                <w:rFonts w:ascii="Arial"/>
                <w:w w:val="95"/>
                <w:sz w:val="21"/>
              </w:rPr>
              <w:t>131,338,152.96</w:t>
            </w:r>
            <w:r>
              <w:rPr>
                <w:rFonts w:ascii="Arial"/>
                <w:sz w:val="21"/>
              </w:rPr>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5"/>
              <w:jc w:val="right"/>
              <w:rPr>
                <w:rFonts w:ascii="Arial" w:hAnsi="Arial" w:cs="Arial" w:eastAsia="Arial" w:hint="default"/>
                <w:sz w:val="21"/>
                <w:szCs w:val="21"/>
              </w:rPr>
            </w:pPr>
            <w:r>
              <w:rPr>
                <w:rFonts w:ascii="Arial"/>
                <w:w w:val="95"/>
                <w:sz w:val="21"/>
              </w:rPr>
              <w:t>84,978,029.05</w:t>
            </w:r>
            <w:r>
              <w:rPr>
                <w:rFonts w:ascii="Arial"/>
                <w:sz w:val="21"/>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2"/>
              <w:jc w:val="right"/>
              <w:rPr>
                <w:rFonts w:ascii="Arial" w:hAnsi="Arial" w:cs="Arial" w:eastAsia="Arial" w:hint="default"/>
                <w:sz w:val="21"/>
                <w:szCs w:val="21"/>
              </w:rPr>
            </w:pPr>
            <w:r>
              <w:rPr>
                <w:rFonts w:ascii="Arial"/>
                <w:w w:val="95"/>
                <w:sz w:val="21"/>
              </w:rPr>
              <w:t>189,201,366.46</w:t>
            </w:r>
            <w:r>
              <w:rPr>
                <w:rFonts w:ascii="Arial"/>
                <w:sz w:val="21"/>
              </w:rPr>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2"/>
              <w:jc w:val="right"/>
              <w:rPr>
                <w:rFonts w:ascii="Arial" w:hAnsi="Arial" w:cs="Arial" w:eastAsia="Arial" w:hint="default"/>
                <w:sz w:val="21"/>
                <w:szCs w:val="21"/>
              </w:rPr>
            </w:pPr>
            <w:r>
              <w:rPr>
                <w:rFonts w:ascii="Arial"/>
                <w:w w:val="95"/>
                <w:sz w:val="21"/>
              </w:rPr>
              <w:t>-456,901,286.28</w:t>
            </w:r>
            <w:r>
              <w:rPr>
                <w:rFonts w:ascii="Arial"/>
                <w:sz w:val="21"/>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Arial" w:hAnsi="Arial" w:cs="Arial" w:eastAsia="Arial" w:hint="default"/>
                <w:sz w:val="21"/>
                <w:szCs w:val="21"/>
              </w:rPr>
            </w:pPr>
            <w:r>
              <w:rPr>
                <w:rFonts w:ascii="Arial"/>
                <w:spacing w:val="-2"/>
                <w:sz w:val="21"/>
              </w:rPr>
              <w:t>-11,571,252.42</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Arial" w:hAnsi="Arial" w:cs="Arial" w:eastAsia="Arial" w:hint="default"/>
                <w:sz w:val="21"/>
                <w:szCs w:val="21"/>
              </w:rPr>
            </w:pPr>
            <w:r>
              <w:rPr>
                <w:rFonts w:ascii="Arial"/>
                <w:w w:val="95"/>
                <w:sz w:val="21"/>
              </w:rPr>
              <w:t>-20,632,413.66</w:t>
            </w:r>
            <w:r>
              <w:rPr>
                <w:rFonts w:ascii="Arial"/>
                <w:sz w:val="21"/>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2"/>
              <w:jc w:val="right"/>
              <w:rPr>
                <w:rFonts w:ascii="Arial" w:hAnsi="Arial" w:cs="Arial" w:eastAsia="Arial" w:hint="default"/>
                <w:sz w:val="21"/>
                <w:szCs w:val="21"/>
              </w:rPr>
            </w:pPr>
            <w:r>
              <w:rPr>
                <w:rFonts w:ascii="Arial"/>
                <w:w w:val="95"/>
                <w:sz w:val="21"/>
              </w:rPr>
              <w:t>809,266,261.94</w:t>
            </w:r>
            <w:r>
              <w:rPr>
                <w:rFonts w:ascii="Arial"/>
                <w:sz w:val="21"/>
              </w:rPr>
            </w:r>
          </w:p>
        </w:tc>
      </w:tr>
    </w:tbl>
    <w:p>
      <w:pPr>
        <w:pStyle w:val="Heading3"/>
        <w:spacing w:line="312" w:lineRule="exact" w:before="33"/>
        <w:ind w:right="1154"/>
        <w:jc w:val="left"/>
      </w:pPr>
      <w:r>
        <w:rPr/>
        <w:t>上述财务指标或其加总数是否与公司已披露季度报告、半年度报告相关财务指标存在重大差 异</w:t>
      </w:r>
    </w:p>
    <w:p>
      <w:pPr>
        <w:spacing w:line="444" w:lineRule="auto" w:before="10"/>
        <w:ind w:left="112" w:right="6899"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是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否 </w:t>
      </w:r>
      <w:bookmarkStart w:name="七、境内外会计准则下会计数据差异" w:id="10"/>
      <w:bookmarkEnd w:id="10"/>
      <w:r>
        <w:rPr>
          <w:rFonts w:ascii="宋体" w:hAnsi="宋体" w:cs="宋体" w:eastAsia="宋体" w:hint="default"/>
          <w:sz w:val="24"/>
          <w:szCs w:val="24"/>
        </w:rPr>
      </w:r>
      <w:r>
        <w:rPr>
          <w:rFonts w:ascii="宋体" w:hAnsi="宋体" w:cs="宋体" w:eastAsia="宋体" w:hint="default"/>
          <w:b/>
          <w:bCs/>
          <w:sz w:val="24"/>
          <w:szCs w:val="24"/>
        </w:rPr>
        <w:t>七、境内外会计准则下会计数据差异</w:t>
      </w:r>
      <w:r>
        <w:rPr>
          <w:rFonts w:ascii="宋体" w:hAnsi="宋体" w:cs="宋体" w:eastAsia="宋体" w:hint="default"/>
          <w:sz w:val="24"/>
          <w:szCs w:val="24"/>
        </w:rPr>
      </w:r>
    </w:p>
    <w:p>
      <w:pPr>
        <w:pStyle w:val="Heading2"/>
        <w:spacing w:line="240" w:lineRule="auto" w:before="94"/>
        <w:ind w:right="996"/>
        <w:jc w:val="left"/>
        <w:rPr>
          <w:b w:val="0"/>
          <w:bCs w:val="0"/>
        </w:rPr>
      </w:pPr>
      <w:bookmarkStart w:name="1、同时按照国际会计准则与按照中国会计准则披露的财务报告中净利润和净资产差异情况" w:id="11"/>
      <w:bookmarkEnd w:id="11"/>
      <w:r>
        <w:rPr>
          <w:b w:val="0"/>
          <w:bCs w:val="0"/>
        </w:rPr>
      </w:r>
      <w:r>
        <w:rPr>
          <w:rFonts w:ascii="Arial" w:hAnsi="Arial" w:cs="Arial" w:eastAsia="Arial"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1"/>
          <w:szCs w:val="21"/>
        </w:rPr>
      </w:pPr>
    </w:p>
    <w:p>
      <w:pPr>
        <w:pStyle w:val="Heading3"/>
        <w:spacing w:line="273" w:lineRule="auto"/>
        <w:ind w:right="115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公司报告期不存在按照国际会计准则与按照中国会计准则披露的财务报告中净利润和净资产 差异情况。</w:t>
      </w:r>
    </w:p>
    <w:p>
      <w:pPr>
        <w:spacing w:line="240" w:lineRule="auto" w:before="0"/>
        <w:rPr>
          <w:rFonts w:ascii="宋体" w:hAnsi="宋体" w:cs="宋体" w:eastAsia="宋体" w:hint="default"/>
          <w:sz w:val="22"/>
          <w:szCs w:val="22"/>
        </w:rPr>
      </w:pPr>
    </w:p>
    <w:p>
      <w:pPr>
        <w:pStyle w:val="Heading2"/>
        <w:spacing w:line="240" w:lineRule="auto" w:before="0"/>
        <w:ind w:right="996"/>
        <w:jc w:val="left"/>
        <w:rPr>
          <w:b w:val="0"/>
          <w:bCs w:val="0"/>
        </w:rPr>
      </w:pPr>
      <w:bookmarkStart w:name="2、同时按照境外会计准则与按照中国会计准则披露的财务报告中净利润和净资产差异情况" w:id="12"/>
      <w:bookmarkEnd w:id="12"/>
      <w:r>
        <w:rPr>
          <w:b w:val="0"/>
          <w:bCs w:val="0"/>
        </w:rPr>
      </w:r>
      <w:r>
        <w:rPr>
          <w:rFonts w:ascii="Arial" w:hAnsi="Arial" w:cs="Arial" w:eastAsia="Arial" w:hint="default"/>
        </w:rPr>
        <w:t>2</w:t>
      </w:r>
      <w:r>
        <w:rPr/>
        <w:t>、同时按照境外会计准则与按照中国会计准则披露的财务报告中净利润和净资产差异情况</w:t>
      </w:r>
      <w:r>
        <w:rPr>
          <w:b w:val="0"/>
          <w:bCs w:val="0"/>
        </w:rPr>
      </w:r>
    </w:p>
    <w:p>
      <w:pPr>
        <w:spacing w:line="240" w:lineRule="auto" w:before="6"/>
        <w:rPr>
          <w:rFonts w:ascii="宋体" w:hAnsi="宋体" w:cs="宋体" w:eastAsia="宋体" w:hint="default"/>
          <w:b/>
          <w:bCs/>
          <w:sz w:val="21"/>
          <w:szCs w:val="21"/>
        </w:rPr>
      </w:pPr>
    </w:p>
    <w:p>
      <w:pPr>
        <w:pStyle w:val="Heading3"/>
        <w:spacing w:line="273" w:lineRule="auto"/>
        <w:ind w:right="115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公司报告期不存在按照境外会计准则与按照中国会计准则披露的财务报告中净利润和净资产 差异情况。</w:t>
      </w:r>
    </w:p>
    <w:p>
      <w:pPr>
        <w:spacing w:line="240" w:lineRule="auto" w:before="0"/>
        <w:rPr>
          <w:rFonts w:ascii="宋体" w:hAnsi="宋体" w:cs="宋体" w:eastAsia="宋体" w:hint="default"/>
          <w:sz w:val="22"/>
          <w:szCs w:val="22"/>
        </w:rPr>
      </w:pPr>
    </w:p>
    <w:p>
      <w:pPr>
        <w:pStyle w:val="Heading2"/>
        <w:spacing w:line="240" w:lineRule="auto" w:before="0"/>
        <w:ind w:right="996"/>
        <w:jc w:val="left"/>
        <w:rPr>
          <w:b w:val="0"/>
          <w:bCs w:val="0"/>
        </w:rPr>
      </w:pPr>
      <w:bookmarkStart w:name="八、非经常性损益项目及金额" w:id="13"/>
      <w:bookmarkEnd w:id="13"/>
      <w:r>
        <w:rPr>
          <w:b w:val="0"/>
          <w:bCs w:val="0"/>
        </w:rPr>
      </w:r>
      <w:r>
        <w:rPr/>
        <w:t>八、非经常性损益项目及金额</w:t>
      </w:r>
      <w:r>
        <w:rPr>
          <w:b w:val="0"/>
          <w:bCs w:val="0"/>
        </w:rPr>
      </w:r>
    </w:p>
    <w:p>
      <w:pPr>
        <w:spacing w:line="240" w:lineRule="auto" w:before="1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746" w:footer="978" w:top="1060" w:bottom="1160" w:left="1020" w:right="0"/>
        </w:sectPr>
      </w:pPr>
    </w:p>
    <w:p>
      <w:pPr>
        <w:pStyle w:val="Heading3"/>
        <w:spacing w:line="240" w:lineRule="auto" w:before="26"/>
        <w:ind w:right="-18"/>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pStyle w:val="BodyText"/>
        <w:spacing w:line="240" w:lineRule="auto" w:before="140"/>
        <w:ind w:right="0"/>
        <w:jc w:val="left"/>
      </w:pPr>
      <w:r>
        <w:rPr/>
        <w:t>单位：元</w:t>
      </w:r>
    </w:p>
    <w:p>
      <w:pPr>
        <w:spacing w:after="0" w:line="240" w:lineRule="auto"/>
        <w:jc w:val="left"/>
        <w:sectPr>
          <w:type w:val="continuous"/>
          <w:pgSz w:w="11910" w:h="16840"/>
          <w:pgMar w:top="1060" w:bottom="1160" w:left="1020" w:right="0"/>
          <w:cols w:num="2" w:equalWidth="0">
            <w:col w:w="1949" w:space="6849"/>
            <w:col w:w="2092"/>
          </w:cols>
        </w:sectPr>
      </w:pP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180" w:right="0"/>
              <w:jc w:val="left"/>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8"/>
                <w:sz w:val="21"/>
                <w:szCs w:val="21"/>
              </w:rPr>
              <w:t> </w:t>
            </w:r>
            <w:r>
              <w:rPr>
                <w:rFonts w:ascii="宋体" w:hAnsi="宋体" w:cs="宋体" w:eastAsia="宋体" w:hint="default"/>
                <w:sz w:val="21"/>
                <w:szCs w:val="21"/>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181" w:right="0"/>
              <w:jc w:val="left"/>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11"/>
                <w:sz w:val="21"/>
                <w:szCs w:val="21"/>
              </w:rPr>
              <w:t> </w:t>
            </w:r>
            <w:r>
              <w:rPr>
                <w:rFonts w:ascii="宋体" w:hAnsi="宋体" w:cs="宋体" w:eastAsia="宋体" w:hint="default"/>
                <w:sz w:val="21"/>
                <w:szCs w:val="21"/>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181" w:right="0"/>
              <w:jc w:val="left"/>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8"/>
                <w:sz w:val="21"/>
                <w:szCs w:val="21"/>
              </w:rPr>
              <w:t> </w:t>
            </w:r>
            <w:r>
              <w:rPr>
                <w:rFonts w:ascii="宋体" w:hAnsi="宋体" w:cs="宋体" w:eastAsia="宋体" w:hint="default"/>
                <w:sz w:val="21"/>
                <w:szCs w:val="21"/>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right="2"/>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5"/>
              <w:ind w:left="22" w:right="112"/>
              <w:jc w:val="left"/>
              <w:rPr>
                <w:rFonts w:ascii="宋体" w:hAnsi="宋体" w:cs="宋体" w:eastAsia="宋体" w:hint="default"/>
                <w:sz w:val="21"/>
                <w:szCs w:val="21"/>
              </w:rPr>
            </w:pPr>
            <w:r>
              <w:rPr>
                <w:rFonts w:ascii="宋体" w:hAnsi="宋体" w:cs="宋体" w:eastAsia="宋体" w:hint="default"/>
                <w:sz w:val="21"/>
                <w:szCs w:val="21"/>
              </w:rPr>
              <w:t>非流动资产处置损益（包括已计提</w:t>
            </w:r>
            <w:r>
              <w:rPr>
                <w:rFonts w:ascii="宋体" w:hAnsi="宋体" w:cs="宋体" w:eastAsia="宋体" w:hint="default"/>
                <w:w w:val="99"/>
                <w:sz w:val="21"/>
                <w:szCs w:val="21"/>
              </w:rPr>
              <w:t> </w:t>
            </w:r>
            <w:r>
              <w:rPr>
                <w:rFonts w:ascii="宋体" w:hAnsi="宋体" w:cs="宋体" w:eastAsia="宋体" w:hint="default"/>
                <w:sz w:val="21"/>
                <w:szCs w:val="21"/>
              </w:rPr>
              <w:t>资产减值准备的冲销部分）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6"/>
              <w:jc w:val="right"/>
              <w:rPr>
                <w:rFonts w:ascii="Arial" w:hAnsi="Arial" w:cs="Arial" w:eastAsia="Arial" w:hint="default"/>
                <w:sz w:val="21"/>
                <w:szCs w:val="21"/>
              </w:rPr>
            </w:pPr>
            <w:r>
              <w:rPr>
                <w:rFonts w:ascii="Arial"/>
                <w:spacing w:val="-2"/>
                <w:sz w:val="21"/>
              </w:rPr>
              <w:t>-681,110.44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5"/>
              <w:jc w:val="right"/>
              <w:rPr>
                <w:rFonts w:ascii="Arial" w:hAnsi="Arial" w:cs="Arial" w:eastAsia="Arial" w:hint="default"/>
                <w:sz w:val="21"/>
                <w:szCs w:val="21"/>
              </w:rPr>
            </w:pPr>
            <w:r>
              <w:rPr>
                <w:rFonts w:ascii="Arial"/>
                <w:w w:val="95"/>
                <w:sz w:val="21"/>
              </w:rPr>
              <w:t>122,938.66</w:t>
            </w:r>
            <w:r>
              <w:rPr>
                <w:rFonts w:ascii="Arial"/>
                <w:sz w:val="21"/>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5"/>
              <w:jc w:val="right"/>
              <w:rPr>
                <w:rFonts w:ascii="Arial" w:hAnsi="Arial" w:cs="Arial" w:eastAsia="Arial" w:hint="default"/>
                <w:sz w:val="21"/>
                <w:szCs w:val="21"/>
              </w:rPr>
            </w:pPr>
            <w:r>
              <w:rPr>
                <w:rFonts w:ascii="Arial"/>
                <w:w w:val="95"/>
                <w:sz w:val="21"/>
              </w:rPr>
              <w:t>-155,338.32</w:t>
            </w:r>
            <w:r>
              <w:rPr>
                <w:rFonts w:ascii="Arial"/>
                <w:sz w:val="21"/>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4"/>
              <w:ind w:left="22" w:right="112"/>
              <w:jc w:val="both"/>
              <w:rPr>
                <w:rFonts w:ascii="宋体" w:hAnsi="宋体" w:cs="宋体" w:eastAsia="宋体" w:hint="default"/>
                <w:sz w:val="21"/>
                <w:szCs w:val="21"/>
              </w:rPr>
            </w:pPr>
            <w:r>
              <w:rPr>
                <w:rFonts w:ascii="宋体" w:hAnsi="宋体" w:cs="宋体" w:eastAsia="宋体" w:hint="default"/>
                <w:sz w:val="21"/>
                <w:szCs w:val="21"/>
              </w:rPr>
              <w:t>计入当期损益的政府补助（与企业</w:t>
            </w:r>
            <w:r>
              <w:rPr>
                <w:rFonts w:ascii="宋体" w:hAnsi="宋体" w:cs="宋体" w:eastAsia="宋体" w:hint="default"/>
                <w:w w:val="99"/>
                <w:sz w:val="21"/>
                <w:szCs w:val="21"/>
              </w:rPr>
              <w:t> </w:t>
            </w:r>
            <w:r>
              <w:rPr>
                <w:rFonts w:ascii="宋体" w:hAnsi="宋体" w:cs="宋体" w:eastAsia="宋体" w:hint="default"/>
                <w:sz w:val="21"/>
                <w:szCs w:val="21"/>
              </w:rPr>
              <w:t>业务密切相关，按照国家统一标准</w:t>
            </w:r>
            <w:r>
              <w:rPr>
                <w:rFonts w:ascii="宋体" w:hAnsi="宋体" w:cs="宋体" w:eastAsia="宋体" w:hint="default"/>
                <w:w w:val="99"/>
                <w:sz w:val="21"/>
                <w:szCs w:val="21"/>
              </w:rPr>
              <w:t> </w:t>
            </w:r>
            <w:r>
              <w:rPr>
                <w:rFonts w:ascii="宋体" w:hAnsi="宋体" w:cs="宋体" w:eastAsia="宋体" w:hint="default"/>
                <w:sz w:val="21"/>
                <w:szCs w:val="21"/>
              </w:rPr>
              <w:t>定额或定量享受的政府补助除外）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4"/>
              <w:jc w:val="right"/>
              <w:rPr>
                <w:rFonts w:ascii="Arial" w:hAnsi="Arial" w:cs="Arial" w:eastAsia="Arial" w:hint="default"/>
                <w:sz w:val="21"/>
                <w:szCs w:val="21"/>
              </w:rPr>
            </w:pPr>
            <w:r>
              <w:rPr>
                <w:rFonts w:ascii="Arial"/>
                <w:w w:val="95"/>
                <w:sz w:val="21"/>
              </w:rPr>
              <w:t>14,201,747.37</w:t>
            </w:r>
            <w:r>
              <w:rPr>
                <w:rFonts w:ascii="Arial"/>
                <w:sz w:val="21"/>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5"/>
              <w:jc w:val="right"/>
              <w:rPr>
                <w:rFonts w:ascii="Arial" w:hAnsi="Arial" w:cs="Arial" w:eastAsia="Arial" w:hint="default"/>
                <w:sz w:val="21"/>
                <w:szCs w:val="21"/>
              </w:rPr>
            </w:pPr>
            <w:r>
              <w:rPr>
                <w:rFonts w:ascii="Arial"/>
                <w:w w:val="95"/>
                <w:sz w:val="21"/>
              </w:rPr>
              <w:t>15,815,965.30</w:t>
            </w:r>
            <w:r>
              <w:rPr>
                <w:rFonts w:ascii="Arial"/>
                <w:sz w:val="21"/>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5"/>
              <w:jc w:val="right"/>
              <w:rPr>
                <w:rFonts w:ascii="Arial" w:hAnsi="Arial" w:cs="Arial" w:eastAsia="Arial" w:hint="default"/>
                <w:sz w:val="21"/>
                <w:szCs w:val="21"/>
              </w:rPr>
            </w:pPr>
            <w:r>
              <w:rPr>
                <w:rFonts w:ascii="Arial"/>
                <w:w w:val="95"/>
                <w:sz w:val="21"/>
              </w:rPr>
              <w:t>10,772,724.77</w:t>
            </w:r>
            <w:r>
              <w:rPr>
                <w:rFonts w:ascii="Arial"/>
                <w:sz w:val="21"/>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5"/>
              <w:ind w:left="22" w:right="112"/>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w:t>
            </w:r>
            <w:r>
              <w:rPr>
                <w:rFonts w:ascii="宋体" w:hAnsi="宋体" w:cs="宋体" w:eastAsia="宋体" w:hint="default"/>
                <w:w w:val="99"/>
                <w:sz w:val="21"/>
                <w:szCs w:val="21"/>
              </w:rPr>
              <w:t> </w:t>
            </w:r>
            <w:r>
              <w:rPr>
                <w:rFonts w:ascii="宋体" w:hAnsi="宋体" w:cs="宋体" w:eastAsia="宋体" w:hint="default"/>
                <w:sz w:val="21"/>
                <w:szCs w:val="21"/>
              </w:rPr>
              <w:t>准备转回</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6"/>
              <w:jc w:val="right"/>
              <w:rPr>
                <w:rFonts w:ascii="Arial" w:hAnsi="Arial" w:cs="Arial" w:eastAsia="Arial" w:hint="default"/>
                <w:sz w:val="21"/>
                <w:szCs w:val="21"/>
              </w:rPr>
            </w:pPr>
            <w:r>
              <w:rPr>
                <w:rFonts w:ascii="Arial"/>
                <w:w w:val="95"/>
                <w:sz w:val="21"/>
              </w:rPr>
              <w:t>294,687.93</w:t>
            </w:r>
            <w:r>
              <w:rPr>
                <w:rFonts w:ascii="Arial"/>
                <w:sz w:val="21"/>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5"/>
              <w:jc w:val="right"/>
              <w:rPr>
                <w:rFonts w:ascii="Arial" w:hAnsi="Arial" w:cs="Arial" w:eastAsia="Arial" w:hint="default"/>
                <w:sz w:val="21"/>
                <w:szCs w:val="21"/>
              </w:rPr>
            </w:pPr>
            <w:r>
              <w:rPr>
                <w:rFonts w:ascii="Arial"/>
                <w:w w:val="95"/>
                <w:sz w:val="21"/>
              </w:rPr>
              <w:t>231,016.97</w:t>
            </w:r>
            <w:r>
              <w:rPr>
                <w:rFonts w:ascii="Arial"/>
                <w:sz w:val="21"/>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5"/>
              <w:jc w:val="right"/>
              <w:rPr>
                <w:rFonts w:ascii="Arial" w:hAnsi="Arial" w:cs="Arial" w:eastAsia="Arial" w:hint="default"/>
                <w:sz w:val="21"/>
                <w:szCs w:val="21"/>
              </w:rPr>
            </w:pPr>
            <w:r>
              <w:rPr>
                <w:rFonts w:ascii="Arial"/>
                <w:w w:val="95"/>
                <w:sz w:val="21"/>
              </w:rPr>
              <w:t>778,303.18</w:t>
            </w:r>
            <w:r>
              <w:rPr>
                <w:rFonts w:ascii="Arial"/>
                <w:sz w:val="21"/>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right="89"/>
              <w:jc w:val="center"/>
              <w:rPr>
                <w:rFonts w:ascii="宋体" w:hAnsi="宋体" w:cs="宋体" w:eastAsia="宋体" w:hint="default"/>
                <w:sz w:val="21"/>
                <w:szCs w:val="21"/>
              </w:rPr>
            </w:pPr>
            <w:r>
              <w:rPr>
                <w:rFonts w:ascii="宋体" w:hAnsi="宋体" w:cs="宋体" w:eastAsia="宋体" w:hint="default"/>
                <w:sz w:val="21"/>
                <w:szCs w:val="21"/>
              </w:rPr>
              <w:t>除上述各项之外的其他营业外收入</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Arial" w:hAnsi="Arial" w:cs="Arial" w:eastAsia="Arial" w:hint="default"/>
                <w:sz w:val="21"/>
                <w:szCs w:val="21"/>
              </w:rPr>
            </w:pPr>
            <w:r>
              <w:rPr>
                <w:rFonts w:ascii="Arial"/>
                <w:spacing w:val="-1"/>
                <w:w w:val="95"/>
                <w:sz w:val="21"/>
              </w:rPr>
              <w:t>-10,669,211.40</w:t>
            </w:r>
            <w:r>
              <w:rPr>
                <w:rFonts w:ascii="Arial"/>
                <w:spacing w:val="-1"/>
                <w:sz w:val="21"/>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5"/>
              <w:jc w:val="right"/>
              <w:rPr>
                <w:rFonts w:ascii="Arial" w:hAnsi="Arial" w:cs="Arial" w:eastAsia="Arial" w:hint="default"/>
                <w:sz w:val="21"/>
                <w:szCs w:val="21"/>
              </w:rPr>
            </w:pPr>
            <w:r>
              <w:rPr>
                <w:rFonts w:ascii="Arial"/>
                <w:w w:val="95"/>
                <w:sz w:val="21"/>
              </w:rPr>
              <w:t>-7,624,599.75</w:t>
            </w:r>
            <w:r>
              <w:rPr>
                <w:rFonts w:ascii="Arial"/>
                <w:sz w:val="21"/>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Arial" w:hAnsi="Arial" w:cs="Arial" w:eastAsia="Arial" w:hint="default"/>
                <w:sz w:val="21"/>
                <w:szCs w:val="21"/>
              </w:rPr>
            </w:pPr>
            <w:r>
              <w:rPr>
                <w:rFonts w:ascii="Arial"/>
                <w:w w:val="95"/>
                <w:sz w:val="21"/>
              </w:rPr>
              <w:t>-2,931,230.72</w:t>
            </w:r>
            <w:r>
              <w:rPr>
                <w:rFonts w:ascii="Arial"/>
                <w:sz w:val="21"/>
              </w:rPr>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20"/>
        <w:gridCol w:w="1522"/>
        <w:gridCol w:w="1710"/>
      </w:tblGrid>
      <w:tr>
        <w:trPr>
          <w:trHeight w:val="36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和支出</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5"/>
              <w:ind w:left="22" w:right="112"/>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w:t>
            </w:r>
            <w:r>
              <w:rPr>
                <w:rFonts w:ascii="宋体" w:hAnsi="宋体" w:cs="宋体" w:eastAsia="宋体" w:hint="default"/>
                <w:w w:val="99"/>
                <w:sz w:val="21"/>
                <w:szCs w:val="21"/>
              </w:rPr>
              <w:t> </w:t>
            </w:r>
            <w:r>
              <w:rPr>
                <w:rFonts w:ascii="宋体" w:hAnsi="宋体" w:cs="宋体" w:eastAsia="宋体" w:hint="default"/>
                <w:sz w:val="21"/>
                <w:szCs w:val="21"/>
              </w:rPr>
              <w:t>项目</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Arial" w:hAnsi="Arial" w:cs="Arial" w:eastAsia="Arial" w:hint="default"/>
                <w:sz w:val="21"/>
                <w:szCs w:val="21"/>
              </w:rPr>
            </w:pPr>
            <w:r>
              <w:rPr>
                <w:rFonts w:ascii="Arial"/>
                <w:w w:val="95"/>
                <w:sz w:val="21"/>
              </w:rPr>
              <w:t>787,304.33</w:t>
            </w:r>
            <w:r>
              <w:rPr>
                <w:rFonts w:ascii="Arial"/>
                <w:sz w:val="21"/>
              </w:rPr>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12"/>
              <w:jc w:val="left"/>
              <w:rPr>
                <w:rFonts w:ascii="宋体" w:hAnsi="宋体" w:cs="宋体" w:eastAsia="宋体" w:hint="default"/>
                <w:sz w:val="21"/>
                <w:szCs w:val="21"/>
              </w:rPr>
            </w:pPr>
            <w:r>
              <w:rPr>
                <w:rFonts w:ascii="宋体" w:hAnsi="宋体" w:cs="宋体" w:eastAsia="宋体" w:hint="default"/>
                <w:sz w:val="21"/>
                <w:szCs w:val="21"/>
              </w:rPr>
              <w:t>长期股权投资转为可供出售金融资</w:t>
            </w:r>
            <w:r>
              <w:rPr>
                <w:rFonts w:ascii="宋体" w:hAnsi="宋体" w:cs="宋体" w:eastAsia="宋体" w:hint="default"/>
                <w:w w:val="99"/>
                <w:sz w:val="21"/>
                <w:szCs w:val="21"/>
              </w:rPr>
              <w:t> </w:t>
            </w:r>
            <w:r>
              <w:rPr>
                <w:rFonts w:ascii="宋体" w:hAnsi="宋体" w:cs="宋体" w:eastAsia="宋体" w:hint="default"/>
                <w:sz w:val="21"/>
                <w:szCs w:val="21"/>
              </w:rPr>
              <w:t>产产生的投资收益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4"/>
              <w:jc w:val="right"/>
              <w:rPr>
                <w:rFonts w:ascii="Arial" w:hAnsi="Arial" w:cs="Arial" w:eastAsia="Arial" w:hint="default"/>
                <w:sz w:val="21"/>
                <w:szCs w:val="21"/>
              </w:rPr>
            </w:pPr>
            <w:r>
              <w:rPr>
                <w:rFonts w:ascii="Arial"/>
                <w:w w:val="95"/>
                <w:sz w:val="21"/>
              </w:rPr>
              <w:t>38,834,507.09</w:t>
            </w:r>
            <w:r>
              <w:rPr>
                <w:rFonts w:ascii="Arial"/>
                <w:sz w:val="21"/>
              </w:rPr>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07"/>
              <w:jc w:val="left"/>
              <w:rPr>
                <w:rFonts w:ascii="宋体" w:hAnsi="宋体" w:cs="宋体" w:eastAsia="宋体" w:hint="default"/>
                <w:sz w:val="21"/>
                <w:szCs w:val="21"/>
              </w:rPr>
            </w:pPr>
            <w:r>
              <w:rPr>
                <w:rFonts w:ascii="宋体" w:hAnsi="宋体" w:cs="宋体" w:eastAsia="宋体" w:hint="default"/>
                <w:sz w:val="21"/>
                <w:szCs w:val="21"/>
              </w:rPr>
              <w:t>投资捷视飞通形</w:t>
            </w:r>
            <w:r>
              <w:rPr>
                <w:rFonts w:ascii="宋体" w:hAnsi="宋体" w:cs="宋体" w:eastAsia="宋体" w:hint="default"/>
                <w:w w:val="99"/>
                <w:sz w:val="21"/>
                <w:szCs w:val="21"/>
              </w:rPr>
              <w:t> </w:t>
            </w:r>
            <w:r>
              <w:rPr>
                <w:rFonts w:ascii="宋体" w:hAnsi="宋体" w:cs="宋体" w:eastAsia="宋体" w:hint="default"/>
                <w:sz w:val="21"/>
                <w:szCs w:val="21"/>
              </w:rPr>
              <w:t>成的投资收益</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Arial" w:hAnsi="Arial" w:cs="Arial" w:eastAsia="Arial" w:hint="default"/>
                <w:sz w:val="21"/>
                <w:szCs w:val="21"/>
              </w:rPr>
            </w:pPr>
            <w:r>
              <w:rPr>
                <w:rFonts w:ascii="Arial"/>
                <w:w w:val="95"/>
                <w:sz w:val="21"/>
              </w:rPr>
              <w:t>745,350.02</w:t>
            </w:r>
            <w:r>
              <w:rPr>
                <w:rFonts w:ascii="Arial"/>
                <w:sz w:val="21"/>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5"/>
              <w:jc w:val="right"/>
              <w:rPr>
                <w:rFonts w:ascii="Arial" w:hAnsi="Arial" w:cs="Arial" w:eastAsia="Arial" w:hint="default"/>
                <w:sz w:val="21"/>
                <w:szCs w:val="21"/>
              </w:rPr>
            </w:pPr>
            <w:r>
              <w:rPr>
                <w:rFonts w:ascii="Arial"/>
                <w:w w:val="95"/>
                <w:sz w:val="21"/>
              </w:rPr>
              <w:t>1,064,882.17</w:t>
            </w:r>
            <w:r>
              <w:rPr>
                <w:rFonts w:ascii="Arial"/>
                <w:sz w:val="21"/>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5"/>
              <w:jc w:val="right"/>
              <w:rPr>
                <w:rFonts w:ascii="Arial" w:hAnsi="Arial" w:cs="Arial" w:eastAsia="Arial" w:hint="default"/>
                <w:sz w:val="21"/>
                <w:szCs w:val="21"/>
              </w:rPr>
            </w:pPr>
            <w:r>
              <w:rPr>
                <w:rFonts w:ascii="Arial"/>
                <w:w w:val="95"/>
                <w:sz w:val="21"/>
              </w:rPr>
              <w:t>1,086,379.65</w:t>
            </w:r>
            <w:r>
              <w:rPr>
                <w:rFonts w:ascii="Arial"/>
                <w:sz w:val="21"/>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w w:val="95"/>
                <w:sz w:val="21"/>
              </w:rPr>
              <w:t>134,876.89</w:t>
            </w:r>
            <w:r>
              <w:rPr>
                <w:rFonts w:ascii="Arial"/>
                <w:sz w:val="21"/>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5"/>
              <w:jc w:val="right"/>
              <w:rPr>
                <w:rFonts w:ascii="Arial" w:hAnsi="Arial" w:cs="Arial" w:eastAsia="Arial" w:hint="default"/>
                <w:sz w:val="21"/>
                <w:szCs w:val="21"/>
              </w:rPr>
            </w:pPr>
            <w:r>
              <w:rPr>
                <w:rFonts w:ascii="Arial"/>
                <w:w w:val="95"/>
                <w:sz w:val="21"/>
              </w:rPr>
              <w:t>1,786,955.33</w:t>
            </w:r>
            <w:r>
              <w:rPr>
                <w:rFonts w:ascii="Arial"/>
                <w:sz w:val="21"/>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5"/>
              <w:jc w:val="right"/>
              <w:rPr>
                <w:rFonts w:ascii="Arial" w:hAnsi="Arial" w:cs="Arial" w:eastAsia="Arial" w:hint="default"/>
                <w:sz w:val="21"/>
                <w:szCs w:val="21"/>
              </w:rPr>
            </w:pPr>
            <w:r>
              <w:rPr>
                <w:rFonts w:ascii="Arial"/>
                <w:w w:val="95"/>
                <w:sz w:val="21"/>
              </w:rPr>
              <w:t>930,849.60</w:t>
            </w:r>
            <w:r>
              <w:rPr>
                <w:rFonts w:ascii="Arial"/>
                <w:sz w:val="21"/>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Arial" w:hAnsi="Arial" w:cs="Arial" w:eastAsia="Arial" w:hint="default"/>
                <w:sz w:val="21"/>
                <w:szCs w:val="21"/>
              </w:rPr>
            </w:pPr>
            <w:r>
              <w:rPr>
                <w:rFonts w:ascii="Arial"/>
                <w:w w:val="95"/>
                <w:sz w:val="21"/>
              </w:rPr>
              <w:t>41,887,697.97</w:t>
            </w:r>
            <w:r>
              <w:rPr>
                <w:rFonts w:ascii="Arial"/>
                <w:sz w:val="21"/>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5"/>
              <w:jc w:val="right"/>
              <w:rPr>
                <w:rFonts w:ascii="Arial" w:hAnsi="Arial" w:cs="Arial" w:eastAsia="Arial" w:hint="default"/>
                <w:sz w:val="21"/>
                <w:szCs w:val="21"/>
              </w:rPr>
            </w:pPr>
            <w:r>
              <w:rPr>
                <w:rFonts w:ascii="Arial"/>
                <w:w w:val="95"/>
                <w:sz w:val="21"/>
              </w:rPr>
              <w:t>5,693,483.68</w:t>
            </w:r>
            <w:r>
              <w:rPr>
                <w:rFonts w:ascii="Arial"/>
                <w:sz w:val="21"/>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5"/>
              <w:jc w:val="right"/>
              <w:rPr>
                <w:rFonts w:ascii="Arial" w:hAnsi="Arial" w:cs="Arial" w:eastAsia="Arial" w:hint="default"/>
                <w:sz w:val="21"/>
                <w:szCs w:val="21"/>
              </w:rPr>
            </w:pPr>
            <w:r>
              <w:rPr>
                <w:rFonts w:ascii="Arial"/>
                <w:w w:val="95"/>
                <w:sz w:val="21"/>
              </w:rPr>
              <w:t>6,447,229.66</w:t>
            </w:r>
            <w:r>
              <w:rPr>
                <w:rFonts w:ascii="Arial"/>
                <w:sz w:val="21"/>
              </w:rPr>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Arial" w:hAnsi="Arial" w:cs="Arial" w:eastAsia="Arial" w:hint="default"/>
                <w:sz w:val="21"/>
                <w:szCs w:val="21"/>
              </w:rPr>
            </w:pPr>
            <w:r>
              <w:rPr>
                <w:rFonts w:ascii="Arial"/>
                <w:sz w:val="21"/>
              </w:rPr>
              <w:t>--</w:t>
            </w:r>
          </w:p>
        </w:tc>
      </w:tr>
    </w:tbl>
    <w:p>
      <w:pPr>
        <w:pStyle w:val="Heading3"/>
        <w:spacing w:line="240" w:lineRule="auto" w:before="27"/>
        <w:ind w:right="996"/>
        <w:jc w:val="left"/>
      </w:pPr>
      <w:r>
        <w:rPr/>
        <w:t>对公司根据《公开发行证券的公司信息披露解释性公告第</w:t>
      </w:r>
      <w:r>
        <w:rPr>
          <w:spacing w:val="-60"/>
        </w:rPr>
        <w:t> </w:t>
      </w:r>
      <w:r>
        <w:rPr>
          <w:rFonts w:ascii="Arial" w:hAnsi="Arial" w:cs="Arial" w:eastAsia="Arial" w:hint="default"/>
        </w:rPr>
        <w:t>1</w:t>
      </w:r>
      <w:r>
        <w:rPr>
          <w:rFonts w:ascii="Arial" w:hAnsi="Arial" w:cs="Arial" w:eastAsia="Arial" w:hint="default"/>
          <w:spacing w:val="-6"/>
        </w:rPr>
        <w:t> </w:t>
      </w:r>
      <w:r>
        <w:rPr/>
        <w:t>号</w:t>
      </w:r>
      <w:r>
        <w:rPr>
          <w:rFonts w:ascii="Arial" w:hAnsi="Arial" w:cs="Arial" w:eastAsia="Arial" w:hint="default"/>
        </w:rPr>
        <w:t>——</w:t>
      </w:r>
      <w:r>
        <w:rPr/>
        <w:t>非经常性损益》定义界定</w:t>
      </w:r>
    </w:p>
    <w:p>
      <w:pPr>
        <w:pStyle w:val="Heading3"/>
        <w:spacing w:line="259" w:lineRule="auto" w:before="26"/>
        <w:ind w:right="1139"/>
        <w:jc w:val="left"/>
      </w:pPr>
      <w:r>
        <w:rPr/>
        <w:t>的非经常性损益项目，以及把《公开发行证券的公司信息披露解释性公告第</w:t>
      </w:r>
      <w:r>
        <w:rPr>
          <w:spacing w:val="-60"/>
        </w:rPr>
        <w:t> </w:t>
      </w:r>
      <w:r>
        <w:rPr>
          <w:rFonts w:ascii="Arial" w:hAnsi="Arial" w:cs="Arial" w:eastAsia="Arial" w:hint="default"/>
        </w:rPr>
        <w:t>1</w:t>
      </w:r>
      <w:r>
        <w:rPr>
          <w:rFonts w:ascii="Arial" w:hAnsi="Arial" w:cs="Arial" w:eastAsia="Arial" w:hint="default"/>
          <w:spacing w:val="-6"/>
        </w:rPr>
        <w:t> </w:t>
      </w:r>
      <w:r>
        <w:rPr/>
        <w:t>号</w:t>
      </w:r>
      <w:r>
        <w:rPr>
          <w:rFonts w:ascii="Arial" w:hAnsi="Arial" w:cs="Arial" w:eastAsia="Arial" w:hint="default"/>
        </w:rPr>
        <w:t>——</w:t>
      </w:r>
      <w:r>
        <w:rPr/>
        <w:t>非经常 性损益》中列举的非经常性损益项目界定为经常性损益的项目，应说明原因</w:t>
      </w:r>
    </w:p>
    <w:p>
      <w:pPr>
        <w:pStyle w:val="Heading3"/>
        <w:spacing w:line="240" w:lineRule="auto" w:before="67"/>
        <w:ind w:right="996"/>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pStyle w:val="Heading3"/>
        <w:spacing w:line="259" w:lineRule="auto" w:before="67"/>
        <w:ind w:right="1139"/>
        <w:jc w:val="left"/>
      </w:pPr>
      <w:r>
        <w:rPr/>
        <w:t>公司报告期不存在将根据《公开发行证券的公司信息披露解释性公告第</w:t>
      </w:r>
      <w:r>
        <w:rPr>
          <w:spacing w:val="-60"/>
        </w:rPr>
        <w:t> </w:t>
      </w:r>
      <w:r>
        <w:rPr>
          <w:rFonts w:ascii="Arial" w:hAnsi="Arial" w:cs="Arial" w:eastAsia="Arial" w:hint="default"/>
        </w:rPr>
        <w:t>1</w:t>
      </w:r>
      <w:r>
        <w:rPr>
          <w:rFonts w:ascii="Arial" w:hAnsi="Arial" w:cs="Arial" w:eastAsia="Arial" w:hint="default"/>
          <w:spacing w:val="-6"/>
        </w:rPr>
        <w:t> </w:t>
      </w:r>
      <w:r>
        <w:rPr/>
        <w:t>号</w:t>
      </w:r>
      <w:r>
        <w:rPr>
          <w:rFonts w:ascii="Arial" w:hAnsi="Arial" w:cs="Arial" w:eastAsia="Arial" w:hint="default"/>
        </w:rPr>
        <w:t>——</w:t>
      </w:r>
      <w:r>
        <w:rPr/>
        <w:t>非经常性损 益》定义、列举的非经常性损益项目界定为经常性损益的项目的情形。</w:t>
      </w:r>
    </w:p>
    <w:p>
      <w:pPr>
        <w:spacing w:after="0" w:line="259" w:lineRule="auto"/>
        <w:jc w:val="left"/>
        <w:sectPr>
          <w:footerReference w:type="default" r:id="rId11"/>
          <w:pgSz w:w="11910" w:h="16840"/>
          <w:pgMar w:footer="978" w:header="746" w:top="1060" w:bottom="1160" w:left="1020" w:right="0"/>
          <w:pgNumType w:start="1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1"/>
        <w:spacing w:line="439" w:lineRule="exact"/>
        <w:ind w:left="3412" w:right="996"/>
        <w:jc w:val="left"/>
        <w:rPr>
          <w:b w:val="0"/>
          <w:bCs w:val="0"/>
        </w:rPr>
      </w:pPr>
      <w:bookmarkStart w:name="第三节 公司业务概要" w:id="14"/>
      <w:bookmarkEnd w:id="14"/>
      <w:r>
        <w:rPr>
          <w:b w:val="0"/>
          <w:bCs w:val="0"/>
        </w:rPr>
      </w:r>
      <w:bookmarkStart w:name="_bookmark1" w:id="15"/>
      <w:bookmarkEnd w:id="15"/>
      <w:r>
        <w:rPr>
          <w:b w:val="0"/>
          <w:bCs w:val="0"/>
        </w:rPr>
      </w:r>
      <w:r>
        <w:rPr/>
        <w:t>第三节</w:t>
      </w:r>
      <w:r>
        <w:rPr>
          <w:spacing w:val="62"/>
        </w:rPr>
        <w:t> </w:t>
      </w:r>
      <w:r>
        <w:rPr/>
        <w:t>公司业务概要</w:t>
      </w:r>
      <w:r>
        <w:rPr>
          <w:b w:val="0"/>
          <w:bCs w:val="0"/>
        </w:rPr>
      </w:r>
    </w:p>
    <w:p>
      <w:pPr>
        <w:spacing w:line="630" w:lineRule="atLeast" w:before="141"/>
        <w:ind w:left="592" w:right="996" w:hanging="480"/>
        <w:jc w:val="left"/>
        <w:rPr>
          <w:rFonts w:ascii="宋体" w:hAnsi="宋体" w:cs="宋体" w:eastAsia="宋体" w:hint="default"/>
          <w:sz w:val="24"/>
          <w:szCs w:val="24"/>
        </w:rPr>
      </w:pPr>
      <w:bookmarkStart w:name="一、报告期内公司从事的主要业务" w:id="16"/>
      <w:bookmarkEnd w:id="16"/>
      <w:r>
        <w:rPr/>
      </w:r>
      <w:r>
        <w:rPr>
          <w:rFonts w:ascii="宋体" w:hAnsi="宋体" w:cs="宋体" w:eastAsia="宋体" w:hint="default"/>
          <w:b/>
          <w:bCs/>
          <w:sz w:val="24"/>
          <w:szCs w:val="24"/>
        </w:rPr>
        <w:t>一、报告期内公司从事的主要业务</w:t>
      </w:r>
      <w:r>
        <w:rPr>
          <w:rFonts w:ascii="宋体" w:hAnsi="宋体" w:cs="宋体" w:eastAsia="宋体" w:hint="default"/>
          <w:b/>
          <w:bCs/>
          <w:w w:val="99"/>
          <w:sz w:val="24"/>
          <w:szCs w:val="24"/>
        </w:rPr>
        <w:t> </w:t>
      </w:r>
      <w:r>
        <w:rPr>
          <w:rFonts w:ascii="宋体" w:hAnsi="宋体" w:cs="宋体" w:eastAsia="宋体" w:hint="default"/>
          <w:sz w:val="24"/>
          <w:szCs w:val="24"/>
        </w:rPr>
        <w:t>作为软件服务企业，华宇是国内法律科技市场的主要领导企业，并在教育信息化、市场</w:t>
      </w:r>
    </w:p>
    <w:p>
      <w:pPr>
        <w:pStyle w:val="Heading3"/>
        <w:spacing w:line="273" w:lineRule="auto" w:before="46"/>
        <w:ind w:right="996"/>
        <w:jc w:val="left"/>
      </w:pPr>
      <w:r>
        <w:rPr/>
        <w:t>监管、安全可靠等重要的软件服务市场占据了领先优势，也是领域内诸多重要技术应用的积</w:t>
      </w:r>
      <w:r>
        <w:rPr>
          <w:spacing w:val="-89"/>
        </w:rPr>
        <w:t> </w:t>
      </w:r>
      <w:r>
        <w:rPr>
          <w:spacing w:val="-89"/>
        </w:rPr>
      </w:r>
      <w:r>
        <w:rPr/>
        <w:t>极推动者。</w:t>
      </w:r>
    </w:p>
    <w:p>
      <w:pPr>
        <w:pStyle w:val="Heading3"/>
        <w:spacing w:line="273" w:lineRule="auto" w:before="12"/>
        <w:ind w:right="1132" w:firstLine="480"/>
        <w:jc w:val="both"/>
      </w:pPr>
      <w:r>
        <w:rPr/>
        <w:t>伴随中国建设和改革的历史进程，软件服务业的发展持续加快。越来越多的客户，在承 担重要社会服务职责、激烈市场竞争压力的背景下，越来越有动力和能力在业务应用和数据</w:t>
      </w:r>
      <w:r>
        <w:rPr>
          <w:spacing w:val="-89"/>
        </w:rPr>
        <w:t> </w:t>
      </w:r>
      <w:r>
        <w:rPr>
          <w:spacing w:val="-89"/>
        </w:rPr>
      </w:r>
      <w:r>
        <w:rPr/>
        <w:t>应用方面投入更大的力量，在需求侧提出了更高的要求。同时，以人工智能、大数据、云计</w:t>
      </w:r>
      <w:r>
        <w:rPr>
          <w:spacing w:val="-89"/>
        </w:rPr>
        <w:t> </w:t>
      </w:r>
      <w:r>
        <w:rPr>
          <w:spacing w:val="-89"/>
        </w:rPr>
      </w:r>
      <w:r>
        <w:rPr/>
        <w:t>算、移动互联等为代表的技术发展，也在产品技术应用和业务价值提升等方面不断创新、加</w:t>
      </w:r>
      <w:r>
        <w:rPr>
          <w:spacing w:val="-89"/>
        </w:rPr>
        <w:t> </w:t>
      </w:r>
      <w:r>
        <w:rPr>
          <w:spacing w:val="-89"/>
        </w:rPr>
      </w:r>
      <w:r>
        <w:rPr/>
        <w:t>快了产业供给侧的发展。同时，市场环境更加规范、成熟，因而更有利于优秀软件企业的发</w:t>
      </w:r>
      <w:r>
        <w:rPr>
          <w:spacing w:val="-89"/>
        </w:rPr>
        <w:t> </w:t>
      </w:r>
      <w:r>
        <w:rPr>
          <w:spacing w:val="-89"/>
        </w:rPr>
      </w:r>
      <w:r>
        <w:rPr/>
        <w:t>展。</w:t>
      </w:r>
    </w:p>
    <w:p>
      <w:pPr>
        <w:pStyle w:val="Heading3"/>
        <w:spacing w:line="273" w:lineRule="auto" w:before="12"/>
        <w:ind w:right="1130" w:firstLine="480"/>
        <w:jc w:val="both"/>
      </w:pPr>
      <w:r>
        <w:rPr/>
        <w:t>在法律科技领域，公司业务完整覆盖法院、检察院、司法行政、政法委、纪检监察等法 律机关，并且已经扩展至面向律师、公司法务等法律人的商业法律服务领域。以法律科技为</w:t>
      </w:r>
      <w:r>
        <w:rPr>
          <w:spacing w:val="-89"/>
        </w:rPr>
        <w:t> </w:t>
      </w:r>
      <w:r>
        <w:rPr>
          <w:spacing w:val="-89"/>
        </w:rPr>
      </w:r>
      <w:r>
        <w:rPr/>
        <w:t>核心驱动力，持续扩展和赋能合作伙伴，共同为各类用户提供多维、专业、智能、场景化的</w:t>
      </w:r>
      <w:r>
        <w:rPr>
          <w:spacing w:val="-89"/>
        </w:rPr>
        <w:t> </w:t>
      </w:r>
      <w:r>
        <w:rPr>
          <w:spacing w:val="-89"/>
        </w:rPr>
      </w:r>
      <w:r>
        <w:rPr/>
        <w:t>应用、数据和知识服务。公司全方位覆盖法律机关单位和商业法律服务领域的“一体化法律</w:t>
      </w:r>
      <w:r>
        <w:rPr>
          <w:spacing w:val="-87"/>
        </w:rPr>
        <w:t> </w:t>
      </w:r>
      <w:r>
        <w:rPr>
          <w:spacing w:val="-87"/>
        </w:rPr>
      </w:r>
      <w:r>
        <w:rPr>
          <w:spacing w:val="-4"/>
        </w:rPr>
        <w:t>服务平台”，持续扩展连接与深化业务覆盖，逐步布局构建未来法律服务生态。</w:t>
      </w:r>
    </w:p>
    <w:p>
      <w:pPr>
        <w:pStyle w:val="Heading3"/>
        <w:spacing w:line="264" w:lineRule="auto" w:before="10"/>
        <w:ind w:right="1129" w:firstLine="480"/>
        <w:jc w:val="both"/>
      </w:pPr>
      <w:r>
        <w:rPr/>
        <w:t>在教育信息化领域，公司以持续技术创新为核心竞争力，以持续产品和解决方案创新为 </w:t>
      </w:r>
      <w:r>
        <w:rPr>
          <w:spacing w:val="2"/>
        </w:rPr>
        <w:t>核心市场驱动力，致力于</w:t>
      </w:r>
      <w:r>
        <w:rPr>
          <w:rFonts w:ascii="Arial" w:hAnsi="Arial" w:cs="Arial" w:eastAsia="Arial" w:hint="default"/>
          <w:spacing w:val="2"/>
        </w:rPr>
        <w:t>“</w:t>
      </w:r>
      <w:r>
        <w:rPr>
          <w:spacing w:val="2"/>
        </w:rPr>
        <w:t>教学、教务、学生服务</w:t>
      </w:r>
      <w:r>
        <w:rPr>
          <w:rFonts w:ascii="Arial" w:hAnsi="Arial" w:cs="Arial" w:eastAsia="Arial" w:hint="default"/>
          <w:spacing w:val="2"/>
        </w:rPr>
        <w:t>”</w:t>
      </w:r>
      <w:r>
        <w:rPr>
          <w:spacing w:val="2"/>
        </w:rPr>
        <w:t>多场景需求，以自研软件为核心提供智慧</w:t>
      </w:r>
      <w:r>
        <w:rPr>
          <w:spacing w:val="-105"/>
        </w:rPr>
        <w:t> </w:t>
      </w:r>
      <w:r>
        <w:rPr>
          <w:spacing w:val="-105"/>
        </w:rPr>
      </w:r>
      <w:r>
        <w:rPr>
          <w:spacing w:val="-3"/>
        </w:rPr>
        <w:t>校园产品及解决方案。累积为</w:t>
      </w:r>
      <w:r>
        <w:rPr>
          <w:spacing w:val="-54"/>
        </w:rPr>
        <w:t> </w:t>
      </w:r>
      <w:r>
        <w:rPr>
          <w:rFonts w:ascii="Arial" w:hAnsi="Arial" w:cs="Arial" w:eastAsia="Arial" w:hint="default"/>
        </w:rPr>
        <w:t>800 </w:t>
      </w:r>
      <w:r>
        <w:rPr>
          <w:spacing w:val="-5"/>
        </w:rPr>
        <w:t>多所高校、</w:t>
      </w:r>
      <w:r>
        <w:rPr>
          <w:rFonts w:ascii="Arial" w:hAnsi="Arial" w:cs="Arial" w:eastAsia="Arial" w:hint="default"/>
          <w:spacing w:val="-5"/>
        </w:rPr>
        <w:t>2000</w:t>
      </w:r>
      <w:r>
        <w:rPr>
          <w:rFonts w:ascii="Arial" w:hAnsi="Arial" w:cs="Arial" w:eastAsia="Arial" w:hint="default"/>
        </w:rPr>
        <w:t> </w:t>
      </w:r>
      <w:r>
        <w:rPr>
          <w:spacing w:val="-3"/>
        </w:rPr>
        <w:t>多万师生提供信息化服务，客户覆盖全国</w:t>
      </w:r>
      <w:r>
        <w:rPr/>
        <w:t> </w:t>
      </w:r>
      <w:r>
        <w:rPr>
          <w:rFonts w:ascii="Arial" w:hAnsi="Arial" w:cs="Arial" w:eastAsia="Arial" w:hint="default"/>
        </w:rPr>
        <w:t>30</w:t>
      </w:r>
      <w:r>
        <w:rPr>
          <w:rFonts w:ascii="Arial" w:hAnsi="Arial" w:cs="Arial" w:eastAsia="Arial" w:hint="default"/>
          <w:spacing w:val="-10"/>
        </w:rPr>
        <w:t> </w:t>
      </w:r>
      <w:r>
        <w:rPr/>
        <w:t>个省市自治区。</w:t>
      </w:r>
    </w:p>
    <w:p>
      <w:pPr>
        <w:pStyle w:val="Heading3"/>
        <w:spacing w:line="273" w:lineRule="auto"/>
        <w:ind w:right="1132" w:firstLine="480"/>
        <w:jc w:val="both"/>
      </w:pPr>
      <w:r>
        <w:rPr/>
        <w:t>在安全可靠领域，公司紧抓党政国产化替代机会开拓新业务市场，打造核心应用和方案 能力；布局法检司等安全可靠行业解决方案；加强与产业链伙伴深入合作，研究探索先进技</w:t>
      </w:r>
      <w:r>
        <w:rPr>
          <w:spacing w:val="-89"/>
        </w:rPr>
        <w:t> </w:t>
      </w:r>
      <w:r>
        <w:rPr>
          <w:spacing w:val="-89"/>
        </w:rPr>
      </w:r>
      <w:r>
        <w:rPr/>
        <w:t>术领域，储备核心技术。报告期内公司安全可靠市场持续开拓，在</w:t>
      </w:r>
      <w:r>
        <w:rPr>
          <w:spacing w:val="-60"/>
        </w:rPr>
        <w:t> </w:t>
      </w:r>
      <w:r>
        <w:rPr>
          <w:rFonts w:ascii="Arial" w:hAnsi="Arial" w:cs="Arial" w:eastAsia="Arial" w:hint="default"/>
        </w:rPr>
        <w:t>8</w:t>
      </w:r>
      <w:r>
        <w:rPr>
          <w:rFonts w:ascii="Arial" w:hAnsi="Arial" w:cs="Arial" w:eastAsia="Arial" w:hint="default"/>
          <w:spacing w:val="-6"/>
        </w:rPr>
        <w:t> </w:t>
      </w:r>
      <w:r>
        <w:rPr/>
        <w:t>个省市落单。</w:t>
      </w:r>
    </w:p>
    <w:p>
      <w:pPr>
        <w:pStyle w:val="Heading3"/>
        <w:spacing w:line="273" w:lineRule="auto"/>
        <w:ind w:right="1132" w:firstLine="480"/>
        <w:jc w:val="both"/>
      </w:pPr>
      <w:r>
        <w:rPr/>
        <w:t>在市场监管领域，公司发挥食药监管、工商及市场监管领域产品方案和市场积累，为新 市场监管部门提供全方位信息化服务，市场份额保持领先。</w:t>
      </w:r>
    </w:p>
    <w:p>
      <w:pPr>
        <w:pStyle w:val="Heading3"/>
        <w:spacing w:line="259" w:lineRule="auto" w:before="12"/>
        <w:ind w:right="1128" w:firstLine="480"/>
        <w:jc w:val="both"/>
      </w:pPr>
      <w:r>
        <w:rPr>
          <w:spacing w:val="2"/>
        </w:rPr>
        <w:t>各业务具体发展情况详见</w:t>
      </w:r>
      <w:r>
        <w:rPr>
          <w:rFonts w:ascii="Arial" w:hAnsi="Arial" w:cs="Arial" w:eastAsia="Arial" w:hint="default"/>
          <w:spacing w:val="2"/>
        </w:rPr>
        <w:t>“</w:t>
      </w:r>
      <w:r>
        <w:rPr>
          <w:spacing w:val="2"/>
        </w:rPr>
        <w:t>第四节经营情况分析与讨论</w:t>
      </w:r>
      <w:r>
        <w:rPr>
          <w:rFonts w:ascii="Arial" w:hAnsi="Arial" w:cs="Arial" w:eastAsia="Arial" w:hint="default"/>
          <w:spacing w:val="2"/>
        </w:rPr>
        <w:t>”</w:t>
      </w:r>
      <w:r>
        <w:rPr>
          <w:spacing w:val="2"/>
        </w:rPr>
        <w:t>中</w:t>
      </w:r>
      <w:r>
        <w:rPr>
          <w:rFonts w:ascii="Arial" w:hAnsi="Arial" w:cs="Arial" w:eastAsia="Arial" w:hint="default"/>
          <w:spacing w:val="2"/>
        </w:rPr>
        <w:t>“</w:t>
      </w:r>
      <w:r>
        <w:rPr>
          <w:spacing w:val="2"/>
        </w:rPr>
        <w:t>一、概述</w:t>
      </w:r>
      <w:r>
        <w:rPr>
          <w:rFonts w:ascii="Arial" w:hAnsi="Arial" w:cs="Arial" w:eastAsia="Arial" w:hint="default"/>
          <w:spacing w:val="2"/>
        </w:rPr>
        <w:t>”</w:t>
      </w:r>
      <w:r>
        <w:rPr>
          <w:spacing w:val="2"/>
        </w:rPr>
        <w:t>及</w:t>
      </w:r>
      <w:r>
        <w:rPr>
          <w:rFonts w:ascii="Arial" w:hAnsi="Arial" w:cs="Arial" w:eastAsia="Arial" w:hint="default"/>
          <w:spacing w:val="2"/>
        </w:rPr>
        <w:t>“</w:t>
      </w:r>
      <w:r>
        <w:rPr>
          <w:spacing w:val="2"/>
        </w:rPr>
        <w:t>二、主营业务分</w:t>
      </w:r>
      <w:r>
        <w:rPr/>
        <w:t> 析</w:t>
      </w:r>
      <w:r>
        <w:rPr>
          <w:rFonts w:ascii="Arial" w:hAnsi="Arial" w:cs="Arial" w:eastAsia="Arial" w:hint="default"/>
        </w:rPr>
        <w:t>”</w:t>
      </w:r>
      <w:r>
        <w:rPr/>
        <w:t>。</w:t>
      </w:r>
    </w:p>
    <w:p>
      <w:pPr>
        <w:spacing w:line="240" w:lineRule="auto" w:before="9"/>
        <w:rPr>
          <w:rFonts w:ascii="宋体" w:hAnsi="宋体" w:cs="宋体" w:eastAsia="宋体" w:hint="default"/>
          <w:sz w:val="21"/>
          <w:szCs w:val="21"/>
        </w:rPr>
      </w:pPr>
    </w:p>
    <w:p>
      <w:pPr>
        <w:pStyle w:val="Heading2"/>
        <w:spacing w:line="240" w:lineRule="auto" w:before="0"/>
        <w:ind w:right="996"/>
        <w:jc w:val="left"/>
        <w:rPr>
          <w:b w:val="0"/>
          <w:bCs w:val="0"/>
        </w:rPr>
      </w:pPr>
      <w:bookmarkStart w:name="二、主要资产重大变化情况" w:id="17"/>
      <w:bookmarkEnd w:id="17"/>
      <w:r>
        <w:rPr>
          <w:b w:val="0"/>
          <w:bCs w:val="0"/>
        </w:rPr>
      </w:r>
      <w:r>
        <w:rPr/>
        <w:t>二、主要资产重大变化情况</w:t>
      </w:r>
      <w:r>
        <w:rPr>
          <w:b w:val="0"/>
          <w:bCs w:val="0"/>
        </w:rPr>
      </w:r>
    </w:p>
    <w:p>
      <w:pPr>
        <w:spacing w:line="240" w:lineRule="auto" w:before="12"/>
        <w:rPr>
          <w:rFonts w:ascii="宋体" w:hAnsi="宋体" w:cs="宋体" w:eastAsia="宋体" w:hint="default"/>
          <w:b/>
          <w:bCs/>
          <w:sz w:val="22"/>
          <w:szCs w:val="22"/>
        </w:rPr>
      </w:pPr>
    </w:p>
    <w:p>
      <w:pPr>
        <w:spacing w:line="444" w:lineRule="auto" w:before="0"/>
        <w:ind w:left="592" w:right="5714" w:hanging="480"/>
        <w:jc w:val="left"/>
        <w:rPr>
          <w:rFonts w:ascii="宋体" w:hAnsi="宋体" w:cs="宋体" w:eastAsia="宋体" w:hint="default"/>
          <w:sz w:val="24"/>
          <w:szCs w:val="24"/>
        </w:rPr>
      </w:pPr>
      <w:bookmarkStart w:name="1、主要资产重大变化情况" w:id="18"/>
      <w:bookmarkEnd w:id="18"/>
      <w:r>
        <w:rPr/>
      </w:r>
      <w:r>
        <w:rPr>
          <w:rFonts w:ascii="Arial" w:hAnsi="Arial" w:cs="Arial" w:eastAsia="Arial" w:hint="default"/>
          <w:b/>
          <w:bCs/>
          <w:sz w:val="24"/>
          <w:szCs w:val="24"/>
        </w:rPr>
        <w:t>1</w:t>
      </w:r>
      <w:r>
        <w:rPr>
          <w:rFonts w:ascii="宋体" w:hAnsi="宋体" w:cs="宋体" w:eastAsia="宋体" w:hint="default"/>
          <w:b/>
          <w:bCs/>
          <w:sz w:val="24"/>
          <w:szCs w:val="24"/>
        </w:rPr>
        <w:t>、主要资产重大变化情况</w:t>
      </w:r>
      <w:r>
        <w:rPr>
          <w:rFonts w:ascii="宋体" w:hAnsi="宋体" w:cs="宋体" w:eastAsia="宋体" w:hint="default"/>
          <w:b/>
          <w:bCs/>
          <w:w w:val="99"/>
          <w:sz w:val="24"/>
          <w:szCs w:val="24"/>
        </w:rPr>
        <w:t> </w:t>
      </w:r>
      <w:r>
        <w:rPr>
          <w:rFonts w:ascii="宋体" w:hAnsi="宋体" w:cs="宋体" w:eastAsia="宋体" w:hint="default"/>
          <w:sz w:val="24"/>
          <w:szCs w:val="24"/>
        </w:rPr>
        <w:t>报告期内，公司主要资产无重大变化情况。</w:t>
      </w:r>
    </w:p>
    <w:p>
      <w:pPr>
        <w:spacing w:after="0" w:line="444" w:lineRule="auto"/>
        <w:jc w:val="left"/>
        <w:rPr>
          <w:rFonts w:ascii="宋体" w:hAnsi="宋体" w:cs="宋体" w:eastAsia="宋体" w:hint="default"/>
          <w:sz w:val="24"/>
          <w:szCs w:val="24"/>
        </w:rPr>
        <w:sectPr>
          <w:pgSz w:w="11910" w:h="16840"/>
          <w:pgMar w:header="746" w:footer="978" w:top="1060" w:bottom="1160" w:left="1020" w:right="0"/>
        </w:sectPr>
      </w:pPr>
    </w:p>
    <w:p>
      <w:pPr>
        <w:spacing w:line="240" w:lineRule="auto" w:before="8"/>
        <w:rPr>
          <w:rFonts w:ascii="宋体" w:hAnsi="宋体" w:cs="宋体" w:eastAsia="宋体" w:hint="default"/>
          <w:sz w:val="23"/>
          <w:szCs w:val="23"/>
        </w:rPr>
      </w:pPr>
    </w:p>
    <w:p>
      <w:pPr>
        <w:pStyle w:val="Heading2"/>
        <w:spacing w:line="240" w:lineRule="auto"/>
        <w:ind w:right="996"/>
        <w:jc w:val="left"/>
        <w:rPr>
          <w:b w:val="0"/>
          <w:bCs w:val="0"/>
        </w:rPr>
      </w:pPr>
      <w:bookmarkStart w:name="2、主要境外资产情况" w:id="19"/>
      <w:bookmarkEnd w:id="19"/>
      <w:r>
        <w:rPr>
          <w:b w:val="0"/>
          <w:bCs w:val="0"/>
        </w:rPr>
      </w:r>
      <w:r>
        <w:rPr>
          <w:rFonts w:ascii="Arial" w:hAnsi="Arial" w:cs="Arial" w:eastAsia="Arial" w:hint="default"/>
        </w:rPr>
        <w:t>2</w:t>
      </w:r>
      <w:r>
        <w:rPr/>
        <w:t>、主要境外资产情况</w:t>
      </w:r>
      <w:r>
        <w:rPr>
          <w:b w:val="0"/>
          <w:bCs w:val="0"/>
        </w:rPr>
      </w:r>
    </w:p>
    <w:p>
      <w:pPr>
        <w:spacing w:line="240" w:lineRule="auto" w:before="6"/>
        <w:rPr>
          <w:rFonts w:ascii="宋体" w:hAnsi="宋体" w:cs="宋体" w:eastAsia="宋体" w:hint="default"/>
          <w:b/>
          <w:bCs/>
          <w:sz w:val="21"/>
          <w:szCs w:val="21"/>
        </w:rPr>
      </w:pPr>
    </w:p>
    <w:p>
      <w:pPr>
        <w:spacing w:line="444" w:lineRule="auto" w:before="0"/>
        <w:ind w:left="112" w:right="8585"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w:t>
      </w:r>
      <w:bookmarkStart w:name="三、核心竞争力分析" w:id="20"/>
      <w:bookmarkEnd w:id="20"/>
      <w:r>
        <w:rPr>
          <w:rFonts w:ascii="宋体" w:hAnsi="宋体" w:cs="宋体" w:eastAsia="宋体" w:hint="default"/>
          <w:sz w:val="24"/>
          <w:szCs w:val="24"/>
        </w:rPr>
      </w:r>
      <w:r>
        <w:rPr>
          <w:rFonts w:ascii="宋体" w:hAnsi="宋体" w:cs="宋体" w:eastAsia="宋体" w:hint="default"/>
          <w:b/>
          <w:bCs/>
          <w:sz w:val="24"/>
          <w:szCs w:val="24"/>
        </w:rPr>
        <w:t>三、核心竞争力分析</w:t>
      </w:r>
      <w:r>
        <w:rPr>
          <w:rFonts w:ascii="宋体" w:hAnsi="宋体" w:cs="宋体" w:eastAsia="宋体" w:hint="default"/>
          <w:sz w:val="24"/>
          <w:szCs w:val="24"/>
        </w:rPr>
      </w:r>
    </w:p>
    <w:p>
      <w:pPr>
        <w:pStyle w:val="Heading3"/>
        <w:spacing w:line="273" w:lineRule="auto" w:before="118"/>
        <w:ind w:right="1171" w:firstLine="480"/>
        <w:jc w:val="both"/>
      </w:pPr>
      <w:r>
        <w:rPr/>
        <w:t>在各界支持下，公司专注于“软件服务”这一主营业务，选择适合自身业务的成长策略 和竞争策略，合理制定发展目标，整合协同业务资源，持续加强差异化竞争优势。同时，通 过完善治理结构、弘扬企业文化、精进企业经营，适应了发展环境、增强了发展动能、把握 了发展机遇、降低了发展风险，保持了又好又快发展。</w:t>
      </w:r>
    </w:p>
    <w:p>
      <w:pPr>
        <w:pStyle w:val="Heading3"/>
        <w:spacing w:line="240" w:lineRule="auto" w:before="10"/>
        <w:ind w:left="592" w:right="996"/>
        <w:jc w:val="left"/>
      </w:pPr>
      <w:r>
        <w:rPr/>
        <w:t>华宇的竞争优势，突出表现在以下几个主要方面：</w:t>
      </w:r>
    </w:p>
    <w:p>
      <w:pPr>
        <w:pStyle w:val="Heading3"/>
        <w:spacing w:line="259" w:lineRule="auto" w:before="46"/>
        <w:ind w:left="592" w:right="1154"/>
        <w:jc w:val="left"/>
      </w:pPr>
      <w:r>
        <w:rPr/>
        <w:t>（</w:t>
      </w:r>
      <w:r>
        <w:rPr>
          <w:rFonts w:ascii="Arial" w:hAnsi="Arial" w:cs="Arial" w:eastAsia="Arial" w:hint="default"/>
        </w:rPr>
        <w:t>1</w:t>
      </w:r>
      <w:r>
        <w:rPr/>
        <w:t>）产品优势。 一是核心产品质量高，应用效果好。产品的业务理解深入、功能实用灵活，软件的设计</w:t>
      </w:r>
    </w:p>
    <w:p>
      <w:pPr>
        <w:pStyle w:val="Heading3"/>
        <w:spacing w:line="273" w:lineRule="auto" w:before="26"/>
        <w:ind w:right="1154"/>
        <w:jc w:val="left"/>
      </w:pPr>
      <w:r>
        <w:rPr/>
        <w:t>合理、完成度高、易用性强，为客户业务带来所需的应用效果和投资回报，帮助客户更好地 服务社会，实现了社会效益和商业价值的相互促进。</w:t>
      </w:r>
    </w:p>
    <w:p>
      <w:pPr>
        <w:pStyle w:val="Heading3"/>
        <w:spacing w:line="273" w:lineRule="auto" w:before="12"/>
        <w:ind w:right="1171" w:firstLine="480"/>
        <w:jc w:val="both"/>
      </w:pPr>
      <w:r>
        <w:rPr/>
        <w:t>二是产品研发能力强。一方面，准确把握市场需求和客户需要，积极投入产品研发、应 用创新、引领行业。一方面，通过先进的产品研发管理体系和软件工程管理能力，充分发挥 人力资源优势，合理运用先进技术，精益求精、推陈出新。</w:t>
      </w:r>
    </w:p>
    <w:p>
      <w:pPr>
        <w:pStyle w:val="Heading3"/>
        <w:spacing w:line="261" w:lineRule="auto" w:before="10"/>
        <w:ind w:left="592" w:right="996"/>
        <w:jc w:val="left"/>
      </w:pPr>
      <w:r>
        <w:rPr/>
        <w:t>（</w:t>
      </w:r>
      <w:r>
        <w:rPr>
          <w:rFonts w:ascii="Arial" w:hAnsi="Arial" w:cs="Arial" w:eastAsia="Arial" w:hint="default"/>
        </w:rPr>
        <w:t>2</w:t>
      </w:r>
      <w:r>
        <w:rPr/>
        <w:t>）服务优势。 </w:t>
      </w:r>
      <w:r>
        <w:rPr>
          <w:spacing w:val="-3"/>
        </w:rPr>
        <w:t>一是服务水平高，客户满意。服务完整覆盖了咨询、研发、集成、运营的系统生命周期，</w:t>
      </w:r>
    </w:p>
    <w:p>
      <w:pPr>
        <w:pStyle w:val="Heading3"/>
        <w:spacing w:line="276" w:lineRule="auto" w:before="22"/>
        <w:ind w:right="1154"/>
        <w:jc w:val="left"/>
      </w:pPr>
      <w:r>
        <w:rPr/>
        <w:t>擅长于向客户交付完整解决方案，积累了丰富的特大型应用总集成案例。服务人才、经验、 管理体系等优势突出，长期保持良好的口碑和评价。</w:t>
      </w:r>
    </w:p>
    <w:p>
      <w:pPr>
        <w:pStyle w:val="Heading3"/>
        <w:spacing w:line="273" w:lineRule="auto" w:before="7"/>
        <w:ind w:right="1171" w:firstLine="480"/>
        <w:jc w:val="both"/>
      </w:pPr>
      <w:r>
        <w:rPr/>
        <w:t>二是服务管理体系先进。作为信息技术服务标准化工作的主要推动者之一，公司建设了 覆盖全国的综合服务体系，实现了本地化的高水平软件服务，一方面提升了华宇的服务品牌 和市场地位，一方面提高了营销与服务的效果、效率，促进了业务发展。</w:t>
      </w:r>
    </w:p>
    <w:p>
      <w:pPr>
        <w:pStyle w:val="Heading3"/>
        <w:spacing w:line="259" w:lineRule="auto" w:before="12"/>
        <w:ind w:left="592" w:right="1154"/>
        <w:jc w:val="left"/>
      </w:pPr>
      <w:r>
        <w:rPr/>
        <w:t>（</w:t>
      </w:r>
      <w:r>
        <w:rPr>
          <w:rFonts w:ascii="Arial" w:hAnsi="Arial" w:cs="Arial" w:eastAsia="Arial" w:hint="default"/>
        </w:rPr>
        <w:t>3</w:t>
      </w:r>
      <w:r>
        <w:rPr/>
        <w:t>）技术优势。 公司准确把握产业发展方向，广泛开展交流合作，保持了较高的技术研发投入，技术体</w:t>
      </w:r>
    </w:p>
    <w:p>
      <w:pPr>
        <w:pStyle w:val="Heading3"/>
        <w:spacing w:line="273" w:lineRule="auto" w:before="26"/>
        <w:ind w:right="1154"/>
        <w:jc w:val="left"/>
      </w:pPr>
      <w:r>
        <w:rPr/>
        <w:t>系合理、先进、完整。通过引进消化国际先进技术，建立健全完整的软件技术体系与系统技 术体系，持续推进新技术的应用与创新，应用能力与工程能力整体达到了国内一流水平。</w:t>
      </w:r>
    </w:p>
    <w:p>
      <w:pPr>
        <w:pStyle w:val="Heading3"/>
        <w:spacing w:line="268" w:lineRule="auto" w:before="12"/>
        <w:ind w:right="996" w:firstLine="480"/>
        <w:jc w:val="left"/>
      </w:pPr>
      <w:r>
        <w:rPr/>
        <w:t>目前华宇在全国布局落地</w:t>
      </w:r>
      <w:r>
        <w:rPr>
          <w:rFonts w:ascii="Arial" w:hAnsi="Arial" w:cs="Arial" w:eastAsia="Arial" w:hint="default"/>
        </w:rPr>
        <w:t>4</w:t>
      </w:r>
      <w:r>
        <w:rPr/>
        <w:t>个研究院、</w:t>
      </w:r>
      <w:r>
        <w:rPr>
          <w:rFonts w:ascii="Arial" w:hAnsi="Arial" w:cs="Arial" w:eastAsia="Arial" w:hint="default"/>
        </w:rPr>
        <w:t>8</w:t>
      </w:r>
      <w:r>
        <w:rPr/>
        <w:t>个研发中心，软件研发质量可靠、本地化快速响 </w:t>
      </w:r>
      <w:r>
        <w:rPr>
          <w:spacing w:val="-3"/>
        </w:rPr>
        <w:t>应、成本可控，保持了高效和相对充足的软件交付能力。基于网络应用平台、研发测试平台、</w:t>
      </w:r>
      <w:r>
        <w:rPr>
          <w:spacing w:val="-81"/>
        </w:rPr>
        <w:t> </w:t>
      </w:r>
      <w:r>
        <w:rPr>
          <w:spacing w:val="-81"/>
        </w:rPr>
      </w:r>
      <w:r>
        <w:rPr/>
        <w:t>大数据平台、非结构化数据应用等长期积累，华宇在人工智能、私有云、业务中台、数据中 台、安全可靠等应用创新领域保持了国内先进水平。</w:t>
      </w:r>
    </w:p>
    <w:p>
      <w:pPr>
        <w:pStyle w:val="Heading3"/>
        <w:spacing w:line="273" w:lineRule="auto" w:before="17"/>
        <w:ind w:right="1171" w:firstLine="480"/>
        <w:jc w:val="both"/>
      </w:pPr>
      <w:r>
        <w:rPr/>
        <w:t>在科技研究方面，以自主创新促进技术发展和业务发展。积极参与行业标准和产业标准 的研制和推广，提升应用能力与工程能力，扩大行业影响力；与多所高校及科研院所开展产 学研合作，共同承接国家重点研发计划；通过开展人才培养、成果转让、联合开发、技术服 务、共建创新平台等多种形式的科技合作，聚集行业精英，把握产业方向。</w:t>
      </w:r>
    </w:p>
    <w:p>
      <w:pPr>
        <w:pStyle w:val="Heading3"/>
        <w:spacing w:line="259" w:lineRule="auto" w:before="12"/>
        <w:ind w:left="592" w:right="996"/>
        <w:jc w:val="left"/>
      </w:pPr>
      <w:r>
        <w:rPr/>
        <w:t>（</w:t>
      </w:r>
      <w:r>
        <w:rPr>
          <w:rFonts w:ascii="Arial" w:hAnsi="Arial" w:cs="Arial" w:eastAsia="Arial" w:hint="default"/>
        </w:rPr>
        <w:t>3</w:t>
      </w:r>
      <w:r>
        <w:rPr/>
        <w:t>）人才优势。 </w:t>
      </w:r>
      <w:r>
        <w:rPr>
          <w:spacing w:val="-3"/>
        </w:rPr>
        <w:t>实施面向发展的积极人才战略，有效组织人才培养与引进，公司形成了多渠道、多平台、</w:t>
      </w:r>
    </w:p>
    <w:p>
      <w:pPr>
        <w:spacing w:after="0" w:line="259" w:lineRule="auto"/>
        <w:jc w:val="left"/>
        <w:sectPr>
          <w:pgSz w:w="11910" w:h="16840"/>
          <w:pgMar w:header="746" w:footer="978" w:top="1060" w:bottom="1160" w:left="1020" w:right="0"/>
        </w:sectPr>
      </w:pPr>
    </w:p>
    <w:p>
      <w:pPr>
        <w:spacing w:line="240" w:lineRule="auto" w:before="3"/>
        <w:rPr>
          <w:rFonts w:ascii="宋体" w:hAnsi="宋体" w:cs="宋体" w:eastAsia="宋体" w:hint="default"/>
          <w:sz w:val="25"/>
          <w:szCs w:val="25"/>
        </w:rPr>
      </w:pPr>
    </w:p>
    <w:p>
      <w:pPr>
        <w:pStyle w:val="Heading3"/>
        <w:spacing w:line="273" w:lineRule="auto" w:before="26"/>
        <w:ind w:right="1171"/>
        <w:jc w:val="both"/>
      </w:pPr>
      <w:r>
        <w:rPr/>
        <w:t>多维度的高端人才核心力量。软件服务业务的持续发展，为优秀人才脱颖而出提供了多元化 激励和广阔的舞台；有利于员工发展和软件业务成长的企业文化，为源源不断培养业务专家 和技术专家提供了良好环境。</w:t>
      </w:r>
    </w:p>
    <w:p>
      <w:pPr>
        <w:pStyle w:val="Heading3"/>
        <w:spacing w:line="259" w:lineRule="auto" w:before="12"/>
        <w:ind w:left="592" w:right="1154"/>
        <w:jc w:val="left"/>
      </w:pPr>
      <w:r>
        <w:rPr/>
        <w:t>（</w:t>
      </w:r>
      <w:r>
        <w:rPr>
          <w:rFonts w:ascii="Arial" w:hAnsi="Arial" w:cs="Arial" w:eastAsia="Arial" w:hint="default"/>
        </w:rPr>
        <w:t>4</w:t>
      </w:r>
      <w:r>
        <w:rPr/>
        <w:t>）市场优势。 作为软件服务企业，华宇是国内法律科技市场的主要领导企业，并在教育信息化、食品</w:t>
      </w:r>
    </w:p>
    <w:p>
      <w:pPr>
        <w:pStyle w:val="Heading3"/>
        <w:spacing w:line="273" w:lineRule="auto" w:before="26"/>
        <w:ind w:right="1171"/>
        <w:jc w:val="both"/>
      </w:pPr>
      <w:r>
        <w:rPr/>
        <w:t>安全与市场监管、安全可靠等重要的软件服务市场占据了领先优势。在市场占有率保持了领 先地位并不断提升的同时，在行业内获得了较高的品牌影响力和客户满意度，企业实力受到 行业管理机构和产业研究机构的高度认可。</w:t>
      </w:r>
    </w:p>
    <w:p>
      <w:pPr>
        <w:pStyle w:val="Heading3"/>
        <w:spacing w:line="266" w:lineRule="auto" w:before="10"/>
        <w:ind w:right="1133" w:firstLine="480"/>
        <w:jc w:val="both"/>
      </w:pPr>
      <w:r>
        <w:rPr/>
        <w:t>十多年以来，公司经营业绩持续保持了健康稳定的较快发展，发展速度显著高于行业， </w:t>
      </w:r>
      <w:r>
        <w:rPr>
          <w:spacing w:val="-1"/>
        </w:rPr>
        <w:t>为客户服务、业务拓展、研发创新提供了有力保障。</w:t>
      </w:r>
      <w:r>
        <w:rPr>
          <w:rFonts w:ascii="Arial" w:hAnsi="Arial" w:cs="Arial" w:eastAsia="Arial" w:hint="default"/>
          <w:spacing w:val="-1"/>
        </w:rPr>
        <w:t>2011</w:t>
      </w:r>
      <w:r>
        <w:rPr>
          <w:spacing w:val="-1"/>
        </w:rPr>
        <w:t>年上市以来，华宇长期保持了</w:t>
      </w:r>
      <w:r>
        <w:rPr>
          <w:rFonts w:ascii="Arial" w:hAnsi="Arial" w:cs="Arial" w:eastAsia="Arial" w:hint="default"/>
          <w:spacing w:val="-1"/>
        </w:rPr>
        <w:t>30%</w:t>
      </w:r>
      <w:r>
        <w:rPr>
          <w:rFonts w:ascii="Arial" w:hAnsi="Arial" w:cs="Arial" w:eastAsia="Arial" w:hint="default"/>
          <w:spacing w:val="-44"/>
        </w:rPr>
        <w:t> </w:t>
      </w:r>
      <w:r>
        <w:rPr>
          <w:rFonts w:ascii="Arial" w:hAnsi="Arial" w:cs="Arial" w:eastAsia="Arial" w:hint="default"/>
          <w:spacing w:val="-44"/>
        </w:rPr>
      </w:r>
      <w:r>
        <w:rPr/>
        <w:t>左右的年度净利润增长，在数千家主板上市公司中表现非常突出。</w:t>
      </w:r>
    </w:p>
    <w:p>
      <w:pPr>
        <w:pStyle w:val="Heading3"/>
        <w:spacing w:line="273" w:lineRule="auto" w:before="19"/>
        <w:ind w:right="996" w:firstLine="480"/>
        <w:jc w:val="left"/>
      </w:pPr>
      <w:r>
        <w:rPr/>
        <w:t>综上所述，华宇作为软件服务公司，差异化战略得到了坚决执行、取得了应用成果。体 </w:t>
      </w:r>
      <w:r>
        <w:rPr>
          <w:spacing w:val="-3"/>
        </w:rPr>
        <w:t>现在，在需求侧，业务需求的社会价值大、发展空间大；在供给侧，软件服务的竞争优势强、</w:t>
      </w:r>
      <w:r>
        <w:rPr>
          <w:spacing w:val="-80"/>
        </w:rPr>
        <w:t> </w:t>
      </w:r>
      <w:r>
        <w:rPr>
          <w:spacing w:val="-80"/>
        </w:rPr>
      </w:r>
      <w:r>
        <w:rPr/>
        <w:t>盈利能力强。在竞争激烈的软件服务行业，取得这样的优势地位，深层次的驱动力离不开创 </w:t>
      </w:r>
      <w:r>
        <w:rPr>
          <w:spacing w:val="-5"/>
        </w:rPr>
        <w:t>新，而华宇的综合优势也聚焦于创新。“围绕客户业务战略的发展需要，发挥产品、服务、技</w:t>
      </w:r>
      <w:r>
        <w:rPr>
          <w:spacing w:val="-118"/>
        </w:rPr>
        <w:t> </w:t>
      </w:r>
      <w:r>
        <w:rPr>
          <w:spacing w:val="-118"/>
        </w:rPr>
      </w:r>
      <w:r>
        <w:rPr/>
        <w:t>术、人才、市场等优势，推动客户业务应用创新，帮助客户更好服务社会，并从中获得合理 </w:t>
      </w:r>
      <w:r>
        <w:rPr>
          <w:spacing w:val="-7"/>
        </w:rPr>
        <w:t>的商业回报”，这就是华宇的核心竞争力。</w:t>
      </w:r>
    </w:p>
    <w:p>
      <w:pPr>
        <w:pStyle w:val="Heading3"/>
        <w:spacing w:line="240" w:lineRule="auto" w:before="182"/>
        <w:ind w:left="592" w:right="996"/>
        <w:jc w:val="left"/>
      </w:pPr>
      <w:r>
        <w:rPr/>
        <w:t>报告期内，新增软件著作权如下：</w:t>
      </w:r>
    </w:p>
    <w:p>
      <w:pPr>
        <w:spacing w:line="240" w:lineRule="auto" w:before="11"/>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4249"/>
        <w:gridCol w:w="2370"/>
        <w:gridCol w:w="1095"/>
        <w:gridCol w:w="1954"/>
      </w:tblGrid>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left"/>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sz w:val="21"/>
                <w:szCs w:val="21"/>
              </w:rPr>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21"/>
                <w:szCs w:val="21"/>
              </w:rPr>
            </w:pPr>
            <w:r>
              <w:rPr>
                <w:rFonts w:ascii="宋体" w:hAnsi="宋体" w:cs="宋体" w:eastAsia="宋体" w:hint="default"/>
                <w:b/>
                <w:bCs/>
                <w:sz w:val="21"/>
                <w:szCs w:val="21"/>
              </w:rPr>
              <w:t>证书编号</w:t>
            </w:r>
            <w:r>
              <w:rPr>
                <w:rFonts w:ascii="宋体" w:hAnsi="宋体" w:cs="宋体" w:eastAsia="宋体" w:hint="default"/>
                <w:sz w:val="21"/>
                <w:szCs w:val="21"/>
              </w:rPr>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8" w:right="0"/>
              <w:jc w:val="left"/>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550" w:right="0"/>
              <w:jc w:val="left"/>
              <w:rPr>
                <w:rFonts w:ascii="宋体" w:hAnsi="宋体" w:cs="宋体" w:eastAsia="宋体" w:hint="default"/>
                <w:sz w:val="21"/>
                <w:szCs w:val="21"/>
              </w:rPr>
            </w:pPr>
            <w:r>
              <w:rPr>
                <w:rFonts w:ascii="宋体" w:hAnsi="宋体" w:cs="宋体" w:eastAsia="宋体" w:hint="default"/>
                <w:b/>
                <w:bCs/>
                <w:sz w:val="21"/>
                <w:szCs w:val="21"/>
              </w:rPr>
              <w:t>发证日期</w:t>
            </w:r>
            <w:r>
              <w:rPr>
                <w:rFonts w:ascii="宋体" w:hAnsi="宋体" w:cs="宋体" w:eastAsia="宋体" w:hint="default"/>
                <w:sz w:val="21"/>
                <w:szCs w:val="21"/>
              </w:rPr>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left"/>
              <w:rPr>
                <w:rFonts w:ascii="宋体" w:hAnsi="宋体" w:cs="宋体" w:eastAsia="宋体" w:hint="default"/>
                <w:sz w:val="21"/>
                <w:szCs w:val="21"/>
              </w:rPr>
            </w:pPr>
            <w:r>
              <w:rPr>
                <w:rFonts w:ascii="宋体" w:hAnsi="宋体" w:cs="宋体" w:eastAsia="宋体" w:hint="default"/>
                <w:sz w:val="21"/>
                <w:szCs w:val="21"/>
              </w:rPr>
              <w:t>掌上</w:t>
            </w:r>
            <w:r>
              <w:rPr>
                <w:rFonts w:ascii="Arial" w:hAnsi="Arial" w:cs="Arial" w:eastAsia="Arial" w:hint="default"/>
                <w:sz w:val="21"/>
                <w:szCs w:val="21"/>
              </w:rPr>
              <w:t>12348</w:t>
            </w:r>
            <w:r>
              <w:rPr>
                <w:rFonts w:ascii="宋体" w:hAnsi="宋体" w:cs="宋体" w:eastAsia="宋体" w:hint="default"/>
                <w:sz w:val="21"/>
                <w:szCs w:val="21"/>
              </w:rPr>
              <w:t>平台</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2329452</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302"/>
              <w:jc w:val="right"/>
              <w:rPr>
                <w:rFonts w:ascii="宋体" w:hAnsi="宋体" w:cs="宋体" w:eastAsia="宋体" w:hint="default"/>
                <w:sz w:val="21"/>
                <w:szCs w:val="21"/>
              </w:rPr>
            </w:pPr>
            <w:r>
              <w:rPr>
                <w:rFonts w:ascii="Arial" w:hAnsi="Arial" w:cs="Arial" w:eastAsia="Arial" w:hint="default"/>
                <w:w w:val="95"/>
                <w:sz w:val="21"/>
                <w:szCs w:val="21"/>
              </w:rPr>
              <w:t>2018</w:t>
            </w:r>
            <w:r>
              <w:rPr>
                <w:rFonts w:ascii="宋体" w:hAnsi="宋体" w:cs="宋体" w:eastAsia="宋体" w:hint="default"/>
                <w:w w:val="95"/>
                <w:sz w:val="21"/>
                <w:szCs w:val="21"/>
              </w:rPr>
              <w:t>年</w:t>
            </w:r>
            <w:r>
              <w:rPr>
                <w:rFonts w:ascii="Arial" w:hAnsi="Arial" w:cs="Arial" w:eastAsia="Arial" w:hint="default"/>
                <w:w w:val="95"/>
                <w:sz w:val="21"/>
                <w:szCs w:val="21"/>
              </w:rPr>
              <w:t>1</w:t>
            </w:r>
            <w:r>
              <w:rPr>
                <w:rFonts w:ascii="宋体" w:hAnsi="宋体" w:cs="宋体" w:eastAsia="宋体" w:hint="default"/>
                <w:w w:val="95"/>
                <w:sz w:val="21"/>
                <w:szCs w:val="21"/>
              </w:rPr>
              <w:t>月</w:t>
            </w:r>
            <w:r>
              <w:rPr>
                <w:rFonts w:ascii="Arial" w:hAnsi="Arial" w:cs="Arial" w:eastAsia="Arial" w:hint="default"/>
                <w:w w:val="95"/>
                <w:sz w:val="21"/>
                <w:szCs w:val="21"/>
              </w:rPr>
              <w:t>2</w:t>
            </w:r>
            <w:r>
              <w:rPr>
                <w:rFonts w:ascii="宋体" w:hAnsi="宋体" w:cs="宋体" w:eastAsia="宋体" w:hint="default"/>
                <w:w w:val="95"/>
                <w:sz w:val="21"/>
                <w:szCs w:val="21"/>
              </w:rPr>
              <w:t>日</w:t>
            </w:r>
            <w:r>
              <w:rPr>
                <w:rFonts w:ascii="宋体" w:hAnsi="宋体" w:cs="宋体" w:eastAsia="宋体" w:hint="default"/>
                <w:sz w:val="21"/>
                <w:szCs w:val="21"/>
              </w:rPr>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3" w:right="0"/>
              <w:jc w:val="left"/>
              <w:rPr>
                <w:rFonts w:ascii="宋体" w:hAnsi="宋体" w:cs="宋体" w:eastAsia="宋体" w:hint="default"/>
                <w:sz w:val="21"/>
                <w:szCs w:val="21"/>
              </w:rPr>
            </w:pPr>
            <w:r>
              <w:rPr>
                <w:rFonts w:ascii="Arial" w:hAnsi="Arial" w:cs="Arial" w:eastAsia="Arial" w:hint="default"/>
                <w:sz w:val="21"/>
                <w:szCs w:val="21"/>
              </w:rPr>
              <w:t>12348</w:t>
            </w:r>
            <w:r>
              <w:rPr>
                <w:rFonts w:ascii="宋体" w:hAnsi="宋体" w:cs="宋体" w:eastAsia="宋体" w:hint="default"/>
                <w:sz w:val="21"/>
                <w:szCs w:val="21"/>
              </w:rPr>
              <w:t>法网</w:t>
            </w:r>
            <w:r>
              <w:rPr>
                <w:rFonts w:ascii="Arial" w:hAnsi="Arial" w:cs="Arial" w:eastAsia="Arial" w:hint="default"/>
                <w:sz w:val="21"/>
                <w:szCs w:val="21"/>
              </w:rPr>
              <w:t>APP</w:t>
            </w:r>
            <w:r>
              <w:rPr>
                <w:rFonts w:ascii="宋体" w:hAnsi="宋体" w:cs="宋体" w:eastAsia="宋体" w:hint="default"/>
                <w:sz w:val="21"/>
                <w:szCs w:val="21"/>
              </w:rPr>
              <w:t>平台</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2331002</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302"/>
              <w:jc w:val="right"/>
              <w:rPr>
                <w:rFonts w:ascii="宋体" w:hAnsi="宋体" w:cs="宋体" w:eastAsia="宋体" w:hint="default"/>
                <w:sz w:val="21"/>
                <w:szCs w:val="21"/>
              </w:rPr>
            </w:pPr>
            <w:r>
              <w:rPr>
                <w:rFonts w:ascii="Arial" w:hAnsi="Arial" w:cs="Arial" w:eastAsia="Arial" w:hint="default"/>
                <w:w w:val="95"/>
                <w:sz w:val="21"/>
                <w:szCs w:val="21"/>
              </w:rPr>
              <w:t>2018</w:t>
            </w:r>
            <w:r>
              <w:rPr>
                <w:rFonts w:ascii="宋体" w:hAnsi="宋体" w:cs="宋体" w:eastAsia="宋体" w:hint="default"/>
                <w:w w:val="95"/>
                <w:sz w:val="21"/>
                <w:szCs w:val="21"/>
              </w:rPr>
              <w:t>年</w:t>
            </w:r>
            <w:r>
              <w:rPr>
                <w:rFonts w:ascii="Arial" w:hAnsi="Arial" w:cs="Arial" w:eastAsia="Arial" w:hint="default"/>
                <w:w w:val="95"/>
                <w:sz w:val="21"/>
                <w:szCs w:val="21"/>
              </w:rPr>
              <w:t>1</w:t>
            </w:r>
            <w:r>
              <w:rPr>
                <w:rFonts w:ascii="宋体" w:hAnsi="宋体" w:cs="宋体" w:eastAsia="宋体" w:hint="default"/>
                <w:w w:val="95"/>
                <w:sz w:val="21"/>
                <w:szCs w:val="21"/>
              </w:rPr>
              <w:t>月</w:t>
            </w:r>
            <w:r>
              <w:rPr>
                <w:rFonts w:ascii="Arial" w:hAnsi="Arial" w:cs="Arial" w:eastAsia="Arial" w:hint="default"/>
                <w:w w:val="95"/>
                <w:sz w:val="21"/>
                <w:szCs w:val="21"/>
              </w:rPr>
              <w:t>2</w:t>
            </w:r>
            <w:r>
              <w:rPr>
                <w:rFonts w:ascii="宋体" w:hAnsi="宋体" w:cs="宋体" w:eastAsia="宋体" w:hint="default"/>
                <w:w w:val="95"/>
                <w:sz w:val="21"/>
                <w:szCs w:val="21"/>
              </w:rPr>
              <w:t>日</w:t>
            </w:r>
            <w:r>
              <w:rPr>
                <w:rFonts w:ascii="宋体" w:hAnsi="宋体" w:cs="宋体" w:eastAsia="宋体" w:hint="default"/>
                <w:sz w:val="21"/>
                <w:szCs w:val="21"/>
              </w:rPr>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3" w:right="0"/>
              <w:jc w:val="left"/>
              <w:rPr>
                <w:rFonts w:ascii="Arial" w:hAnsi="Arial" w:cs="Arial" w:eastAsia="Arial" w:hint="default"/>
                <w:sz w:val="21"/>
                <w:szCs w:val="21"/>
              </w:rPr>
            </w:pPr>
            <w:r>
              <w:rPr>
                <w:rFonts w:ascii="宋体" w:hAnsi="宋体" w:cs="宋体" w:eastAsia="宋体" w:hint="default"/>
                <w:sz w:val="21"/>
                <w:szCs w:val="21"/>
              </w:rPr>
              <w:t>联奕智能排课管理软件</w:t>
            </w:r>
            <w:r>
              <w:rPr>
                <w:rFonts w:ascii="Arial" w:hAnsi="Arial" w:cs="Arial" w:eastAsia="Arial" w:hint="default"/>
                <w:sz w:val="21"/>
                <w:szCs w:val="21"/>
              </w:rPr>
              <w:t>V2.0</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2331909</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302"/>
              <w:jc w:val="right"/>
              <w:rPr>
                <w:rFonts w:ascii="宋体" w:hAnsi="宋体" w:cs="宋体" w:eastAsia="宋体" w:hint="default"/>
                <w:sz w:val="21"/>
                <w:szCs w:val="21"/>
              </w:rPr>
            </w:pPr>
            <w:r>
              <w:rPr>
                <w:rFonts w:ascii="Arial" w:hAnsi="Arial" w:cs="Arial" w:eastAsia="Arial" w:hint="default"/>
                <w:w w:val="95"/>
                <w:sz w:val="21"/>
                <w:szCs w:val="21"/>
              </w:rPr>
              <w:t>2018</w:t>
            </w:r>
            <w:r>
              <w:rPr>
                <w:rFonts w:ascii="宋体" w:hAnsi="宋体" w:cs="宋体" w:eastAsia="宋体" w:hint="default"/>
                <w:w w:val="95"/>
                <w:sz w:val="21"/>
                <w:szCs w:val="21"/>
              </w:rPr>
              <w:t>年</w:t>
            </w:r>
            <w:r>
              <w:rPr>
                <w:rFonts w:ascii="Arial" w:hAnsi="Arial" w:cs="Arial" w:eastAsia="Arial" w:hint="default"/>
                <w:w w:val="95"/>
                <w:sz w:val="21"/>
                <w:szCs w:val="21"/>
              </w:rPr>
              <w:t>1</w:t>
            </w:r>
            <w:r>
              <w:rPr>
                <w:rFonts w:ascii="宋体" w:hAnsi="宋体" w:cs="宋体" w:eastAsia="宋体" w:hint="default"/>
                <w:w w:val="95"/>
                <w:sz w:val="21"/>
                <w:szCs w:val="21"/>
              </w:rPr>
              <w:t>月</w:t>
            </w:r>
            <w:r>
              <w:rPr>
                <w:rFonts w:ascii="Arial" w:hAnsi="Arial" w:cs="Arial" w:eastAsia="Arial" w:hint="default"/>
                <w:w w:val="95"/>
                <w:sz w:val="21"/>
                <w:szCs w:val="21"/>
              </w:rPr>
              <w:t>2</w:t>
            </w:r>
            <w:r>
              <w:rPr>
                <w:rFonts w:ascii="宋体" w:hAnsi="宋体" w:cs="宋体" w:eastAsia="宋体" w:hint="default"/>
                <w:w w:val="95"/>
                <w:sz w:val="21"/>
                <w:szCs w:val="21"/>
              </w:rPr>
              <w:t>日</w:t>
            </w:r>
            <w:r>
              <w:rPr>
                <w:rFonts w:ascii="宋体" w:hAnsi="宋体" w:cs="宋体" w:eastAsia="宋体" w:hint="default"/>
                <w:sz w:val="21"/>
                <w:szCs w:val="21"/>
              </w:rPr>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3" w:right="0"/>
              <w:jc w:val="left"/>
              <w:rPr>
                <w:rFonts w:ascii="Arial" w:hAnsi="Arial" w:cs="Arial" w:eastAsia="Arial" w:hint="default"/>
                <w:sz w:val="21"/>
                <w:szCs w:val="21"/>
              </w:rPr>
            </w:pPr>
            <w:r>
              <w:rPr>
                <w:rFonts w:ascii="宋体" w:hAnsi="宋体" w:cs="宋体" w:eastAsia="宋体" w:hint="default"/>
                <w:sz w:val="21"/>
                <w:szCs w:val="21"/>
              </w:rPr>
              <w:t>联奕大数据中心管理软件</w:t>
            </w:r>
            <w:r>
              <w:rPr>
                <w:rFonts w:ascii="Arial" w:hAnsi="Arial" w:cs="Arial" w:eastAsia="Arial" w:hint="default"/>
                <w:sz w:val="21"/>
                <w:szCs w:val="21"/>
              </w:rPr>
              <w:t>V5.0</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2333406</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302"/>
              <w:jc w:val="right"/>
              <w:rPr>
                <w:rFonts w:ascii="宋体" w:hAnsi="宋体" w:cs="宋体" w:eastAsia="宋体" w:hint="default"/>
                <w:sz w:val="21"/>
                <w:szCs w:val="21"/>
              </w:rPr>
            </w:pPr>
            <w:r>
              <w:rPr>
                <w:rFonts w:ascii="Arial" w:hAnsi="Arial" w:cs="Arial" w:eastAsia="Arial" w:hint="default"/>
                <w:w w:val="95"/>
                <w:sz w:val="21"/>
                <w:szCs w:val="21"/>
              </w:rPr>
              <w:t>2018</w:t>
            </w:r>
            <w:r>
              <w:rPr>
                <w:rFonts w:ascii="宋体" w:hAnsi="宋体" w:cs="宋体" w:eastAsia="宋体" w:hint="default"/>
                <w:w w:val="95"/>
                <w:sz w:val="21"/>
                <w:szCs w:val="21"/>
              </w:rPr>
              <w:t>年</w:t>
            </w:r>
            <w:r>
              <w:rPr>
                <w:rFonts w:ascii="Arial" w:hAnsi="Arial" w:cs="Arial" w:eastAsia="Arial" w:hint="default"/>
                <w:w w:val="95"/>
                <w:sz w:val="21"/>
                <w:szCs w:val="21"/>
              </w:rPr>
              <w:t>1</w:t>
            </w:r>
            <w:r>
              <w:rPr>
                <w:rFonts w:ascii="宋体" w:hAnsi="宋体" w:cs="宋体" w:eastAsia="宋体" w:hint="default"/>
                <w:w w:val="95"/>
                <w:sz w:val="21"/>
                <w:szCs w:val="21"/>
              </w:rPr>
              <w:t>月</w:t>
            </w:r>
            <w:r>
              <w:rPr>
                <w:rFonts w:ascii="Arial" w:hAnsi="Arial" w:cs="Arial" w:eastAsia="Arial" w:hint="default"/>
                <w:w w:val="95"/>
                <w:sz w:val="21"/>
                <w:szCs w:val="21"/>
              </w:rPr>
              <w:t>3</w:t>
            </w:r>
            <w:r>
              <w:rPr>
                <w:rFonts w:ascii="宋体" w:hAnsi="宋体" w:cs="宋体" w:eastAsia="宋体" w:hint="default"/>
                <w:w w:val="95"/>
                <w:sz w:val="21"/>
                <w:szCs w:val="21"/>
              </w:rPr>
              <w:t>日</w:t>
            </w:r>
            <w:r>
              <w:rPr>
                <w:rFonts w:ascii="宋体" w:hAnsi="宋体" w:cs="宋体" w:eastAsia="宋体" w:hint="default"/>
                <w:sz w:val="21"/>
                <w:szCs w:val="21"/>
              </w:rPr>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3" w:right="0"/>
              <w:jc w:val="left"/>
              <w:rPr>
                <w:rFonts w:ascii="Arial" w:hAnsi="Arial" w:cs="Arial" w:eastAsia="Arial" w:hint="default"/>
                <w:sz w:val="21"/>
                <w:szCs w:val="21"/>
              </w:rPr>
            </w:pPr>
            <w:r>
              <w:rPr>
                <w:rFonts w:ascii="宋体" w:hAnsi="宋体" w:cs="宋体" w:eastAsia="宋体" w:hint="default"/>
                <w:sz w:val="21"/>
                <w:szCs w:val="21"/>
              </w:rPr>
              <w:t>联奕高等教育质量常态监测管理软件</w:t>
            </w:r>
            <w:r>
              <w:rPr>
                <w:rFonts w:ascii="Arial" w:hAnsi="Arial" w:cs="Arial" w:eastAsia="Arial" w:hint="default"/>
                <w:sz w:val="21"/>
                <w:szCs w:val="21"/>
              </w:rPr>
              <w:t>V2.0</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2333414</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302"/>
              <w:jc w:val="right"/>
              <w:rPr>
                <w:rFonts w:ascii="宋体" w:hAnsi="宋体" w:cs="宋体" w:eastAsia="宋体" w:hint="default"/>
                <w:sz w:val="21"/>
                <w:szCs w:val="21"/>
              </w:rPr>
            </w:pPr>
            <w:r>
              <w:rPr>
                <w:rFonts w:ascii="Arial" w:hAnsi="Arial" w:cs="Arial" w:eastAsia="Arial" w:hint="default"/>
                <w:w w:val="95"/>
                <w:sz w:val="21"/>
                <w:szCs w:val="21"/>
              </w:rPr>
              <w:t>2018</w:t>
            </w:r>
            <w:r>
              <w:rPr>
                <w:rFonts w:ascii="宋体" w:hAnsi="宋体" w:cs="宋体" w:eastAsia="宋体" w:hint="default"/>
                <w:w w:val="95"/>
                <w:sz w:val="21"/>
                <w:szCs w:val="21"/>
              </w:rPr>
              <w:t>年</w:t>
            </w:r>
            <w:r>
              <w:rPr>
                <w:rFonts w:ascii="Arial" w:hAnsi="Arial" w:cs="Arial" w:eastAsia="Arial" w:hint="default"/>
                <w:w w:val="95"/>
                <w:sz w:val="21"/>
                <w:szCs w:val="21"/>
              </w:rPr>
              <w:t>1</w:t>
            </w:r>
            <w:r>
              <w:rPr>
                <w:rFonts w:ascii="宋体" w:hAnsi="宋体" w:cs="宋体" w:eastAsia="宋体" w:hint="default"/>
                <w:w w:val="95"/>
                <w:sz w:val="21"/>
                <w:szCs w:val="21"/>
              </w:rPr>
              <w:t>月</w:t>
            </w:r>
            <w:r>
              <w:rPr>
                <w:rFonts w:ascii="Arial" w:hAnsi="Arial" w:cs="Arial" w:eastAsia="Arial" w:hint="default"/>
                <w:w w:val="95"/>
                <w:sz w:val="21"/>
                <w:szCs w:val="21"/>
              </w:rPr>
              <w:t>3</w:t>
            </w:r>
            <w:r>
              <w:rPr>
                <w:rFonts w:ascii="宋体" w:hAnsi="宋体" w:cs="宋体" w:eastAsia="宋体" w:hint="default"/>
                <w:w w:val="95"/>
                <w:sz w:val="21"/>
                <w:szCs w:val="21"/>
              </w:rPr>
              <w:t>日</w:t>
            </w:r>
            <w:r>
              <w:rPr>
                <w:rFonts w:ascii="宋体" w:hAnsi="宋体" w:cs="宋体" w:eastAsia="宋体" w:hint="default"/>
                <w:sz w:val="21"/>
                <w:szCs w:val="21"/>
              </w:rPr>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left"/>
              <w:rPr>
                <w:rFonts w:ascii="Arial" w:hAnsi="Arial" w:cs="Arial" w:eastAsia="Arial" w:hint="default"/>
                <w:sz w:val="21"/>
                <w:szCs w:val="21"/>
              </w:rPr>
            </w:pPr>
            <w:r>
              <w:rPr>
                <w:rFonts w:ascii="宋体" w:hAnsi="宋体" w:cs="宋体" w:eastAsia="宋体" w:hint="default"/>
                <w:sz w:val="21"/>
                <w:szCs w:val="21"/>
              </w:rPr>
              <w:t>联奕微服务架构学分制教务管理软件</w:t>
            </w:r>
            <w:r>
              <w:rPr>
                <w:rFonts w:ascii="Arial" w:hAnsi="Arial" w:cs="Arial" w:eastAsia="Arial" w:hint="default"/>
                <w:sz w:val="21"/>
                <w:szCs w:val="21"/>
              </w:rPr>
              <w:t>V2.0</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2333376</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302"/>
              <w:jc w:val="right"/>
              <w:rPr>
                <w:rFonts w:ascii="宋体" w:hAnsi="宋体" w:cs="宋体" w:eastAsia="宋体" w:hint="default"/>
                <w:sz w:val="21"/>
                <w:szCs w:val="21"/>
              </w:rPr>
            </w:pPr>
            <w:r>
              <w:rPr>
                <w:rFonts w:ascii="Arial" w:hAnsi="Arial" w:cs="Arial" w:eastAsia="Arial" w:hint="default"/>
                <w:w w:val="95"/>
                <w:sz w:val="21"/>
                <w:szCs w:val="21"/>
              </w:rPr>
              <w:t>2018</w:t>
            </w:r>
            <w:r>
              <w:rPr>
                <w:rFonts w:ascii="宋体" w:hAnsi="宋体" w:cs="宋体" w:eastAsia="宋体" w:hint="default"/>
                <w:w w:val="95"/>
                <w:sz w:val="21"/>
                <w:szCs w:val="21"/>
              </w:rPr>
              <w:t>年</w:t>
            </w:r>
            <w:r>
              <w:rPr>
                <w:rFonts w:ascii="Arial" w:hAnsi="Arial" w:cs="Arial" w:eastAsia="Arial" w:hint="default"/>
                <w:w w:val="95"/>
                <w:sz w:val="21"/>
                <w:szCs w:val="21"/>
              </w:rPr>
              <w:t>1</w:t>
            </w:r>
            <w:r>
              <w:rPr>
                <w:rFonts w:ascii="宋体" w:hAnsi="宋体" w:cs="宋体" w:eastAsia="宋体" w:hint="default"/>
                <w:w w:val="95"/>
                <w:sz w:val="21"/>
                <w:szCs w:val="21"/>
              </w:rPr>
              <w:t>月</w:t>
            </w:r>
            <w:r>
              <w:rPr>
                <w:rFonts w:ascii="Arial" w:hAnsi="Arial" w:cs="Arial" w:eastAsia="Arial" w:hint="default"/>
                <w:w w:val="95"/>
                <w:sz w:val="21"/>
                <w:szCs w:val="21"/>
              </w:rPr>
              <w:t>3</w:t>
            </w:r>
            <w:r>
              <w:rPr>
                <w:rFonts w:ascii="宋体" w:hAnsi="宋体" w:cs="宋体" w:eastAsia="宋体" w:hint="default"/>
                <w:w w:val="95"/>
                <w:sz w:val="21"/>
                <w:szCs w:val="21"/>
              </w:rPr>
              <w:t>日</w:t>
            </w:r>
            <w:r>
              <w:rPr>
                <w:rFonts w:ascii="宋体" w:hAnsi="宋体" w:cs="宋体" w:eastAsia="宋体" w:hint="default"/>
                <w:sz w:val="21"/>
                <w:szCs w:val="21"/>
              </w:rPr>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left"/>
              <w:rPr>
                <w:rFonts w:ascii="宋体" w:hAnsi="宋体" w:cs="宋体" w:eastAsia="宋体" w:hint="default"/>
                <w:sz w:val="21"/>
                <w:szCs w:val="21"/>
              </w:rPr>
            </w:pPr>
            <w:r>
              <w:rPr>
                <w:rFonts w:ascii="Arial" w:hAnsi="Arial" w:cs="Arial" w:eastAsia="Arial" w:hint="default"/>
                <w:sz w:val="21"/>
                <w:szCs w:val="21"/>
              </w:rPr>
              <w:t>12348</w:t>
            </w:r>
            <w:r>
              <w:rPr>
                <w:rFonts w:ascii="宋体" w:hAnsi="宋体" w:cs="宋体" w:eastAsia="宋体" w:hint="default"/>
                <w:sz w:val="21"/>
                <w:szCs w:val="21"/>
              </w:rPr>
              <w:t>公共法律服务热线平台</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2342125</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302"/>
              <w:jc w:val="right"/>
              <w:rPr>
                <w:rFonts w:ascii="宋体" w:hAnsi="宋体" w:cs="宋体" w:eastAsia="宋体" w:hint="default"/>
                <w:sz w:val="21"/>
                <w:szCs w:val="21"/>
              </w:rPr>
            </w:pPr>
            <w:r>
              <w:rPr>
                <w:rFonts w:ascii="Arial" w:hAnsi="Arial" w:cs="Arial" w:eastAsia="Arial" w:hint="default"/>
                <w:w w:val="95"/>
                <w:sz w:val="21"/>
                <w:szCs w:val="21"/>
              </w:rPr>
              <w:t>2018</w:t>
            </w:r>
            <w:r>
              <w:rPr>
                <w:rFonts w:ascii="宋体" w:hAnsi="宋体" w:cs="宋体" w:eastAsia="宋体" w:hint="default"/>
                <w:w w:val="95"/>
                <w:sz w:val="21"/>
                <w:szCs w:val="21"/>
              </w:rPr>
              <w:t>年</w:t>
            </w:r>
            <w:r>
              <w:rPr>
                <w:rFonts w:ascii="Arial" w:hAnsi="Arial" w:cs="Arial" w:eastAsia="Arial" w:hint="default"/>
                <w:w w:val="95"/>
                <w:sz w:val="21"/>
                <w:szCs w:val="21"/>
              </w:rPr>
              <w:t>1</w:t>
            </w:r>
            <w:r>
              <w:rPr>
                <w:rFonts w:ascii="宋体" w:hAnsi="宋体" w:cs="宋体" w:eastAsia="宋体" w:hint="default"/>
                <w:w w:val="95"/>
                <w:sz w:val="21"/>
                <w:szCs w:val="21"/>
              </w:rPr>
              <w:t>月</w:t>
            </w:r>
            <w:r>
              <w:rPr>
                <w:rFonts w:ascii="Arial" w:hAnsi="Arial" w:cs="Arial" w:eastAsia="Arial" w:hint="default"/>
                <w:w w:val="95"/>
                <w:sz w:val="21"/>
                <w:szCs w:val="21"/>
              </w:rPr>
              <w:t>5</w:t>
            </w:r>
            <w:r>
              <w:rPr>
                <w:rFonts w:ascii="宋体" w:hAnsi="宋体" w:cs="宋体" w:eastAsia="宋体" w:hint="default"/>
                <w:w w:val="95"/>
                <w:sz w:val="21"/>
                <w:szCs w:val="21"/>
              </w:rPr>
              <w:t>日</w:t>
            </w:r>
            <w:r>
              <w:rPr>
                <w:rFonts w:ascii="宋体" w:hAnsi="宋体" w:cs="宋体" w:eastAsia="宋体" w:hint="default"/>
                <w:sz w:val="21"/>
                <w:szCs w:val="21"/>
              </w:rPr>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left"/>
              <w:rPr>
                <w:rFonts w:ascii="Arial" w:hAnsi="Arial" w:cs="Arial" w:eastAsia="Arial" w:hint="default"/>
                <w:sz w:val="21"/>
                <w:szCs w:val="21"/>
              </w:rPr>
            </w:pPr>
            <w:r>
              <w:rPr>
                <w:rFonts w:ascii="宋体" w:hAnsi="宋体" w:cs="宋体" w:eastAsia="宋体" w:hint="default"/>
                <w:sz w:val="21"/>
                <w:szCs w:val="21"/>
              </w:rPr>
              <w:t>运维服务管理平台</w:t>
            </w:r>
            <w:r>
              <w:rPr>
                <w:rFonts w:ascii="Arial" w:hAnsi="Arial" w:cs="Arial" w:eastAsia="Arial" w:hint="default"/>
                <w:sz w:val="21"/>
                <w:szCs w:val="21"/>
              </w:rPr>
              <w:t>V1.0</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2352786</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42"/>
              <w:jc w:val="right"/>
              <w:rPr>
                <w:rFonts w:ascii="宋体" w:hAnsi="宋体" w:cs="宋体" w:eastAsia="宋体" w:hint="default"/>
                <w:sz w:val="21"/>
                <w:szCs w:val="21"/>
              </w:rPr>
            </w:pPr>
            <w:r>
              <w:rPr>
                <w:rFonts w:ascii="Arial" w:hAnsi="Arial" w:cs="Arial" w:eastAsia="Arial" w:hint="default"/>
                <w:w w:val="95"/>
                <w:sz w:val="21"/>
                <w:szCs w:val="21"/>
              </w:rPr>
              <w:t>2018</w:t>
            </w:r>
            <w:r>
              <w:rPr>
                <w:rFonts w:ascii="宋体" w:hAnsi="宋体" w:cs="宋体" w:eastAsia="宋体" w:hint="default"/>
                <w:w w:val="95"/>
                <w:sz w:val="21"/>
                <w:szCs w:val="21"/>
              </w:rPr>
              <w:t>年</w:t>
            </w:r>
            <w:r>
              <w:rPr>
                <w:rFonts w:ascii="Arial" w:hAnsi="Arial" w:cs="Arial" w:eastAsia="Arial" w:hint="default"/>
                <w:w w:val="95"/>
                <w:sz w:val="21"/>
                <w:szCs w:val="21"/>
              </w:rPr>
              <w:t>1</w:t>
            </w:r>
            <w:r>
              <w:rPr>
                <w:rFonts w:ascii="宋体" w:hAnsi="宋体" w:cs="宋体" w:eastAsia="宋体" w:hint="default"/>
                <w:w w:val="95"/>
                <w:sz w:val="21"/>
                <w:szCs w:val="21"/>
              </w:rPr>
              <w:t>月</w:t>
            </w:r>
            <w:r>
              <w:rPr>
                <w:rFonts w:ascii="Arial" w:hAnsi="Arial" w:cs="Arial" w:eastAsia="Arial" w:hint="default"/>
                <w:w w:val="95"/>
                <w:sz w:val="21"/>
                <w:szCs w:val="21"/>
              </w:rPr>
              <w:t>10</w:t>
            </w:r>
            <w:r>
              <w:rPr>
                <w:rFonts w:ascii="宋体" w:hAnsi="宋体" w:cs="宋体" w:eastAsia="宋体" w:hint="default"/>
                <w:w w:val="95"/>
                <w:sz w:val="21"/>
                <w:szCs w:val="21"/>
              </w:rPr>
              <w:t>日</w:t>
            </w:r>
            <w:r>
              <w:rPr>
                <w:rFonts w:ascii="宋体" w:hAnsi="宋体" w:cs="宋体" w:eastAsia="宋体" w:hint="default"/>
                <w:sz w:val="21"/>
                <w:szCs w:val="21"/>
              </w:rPr>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left"/>
              <w:rPr>
                <w:rFonts w:ascii="宋体" w:hAnsi="宋体" w:cs="宋体" w:eastAsia="宋体" w:hint="default"/>
                <w:sz w:val="21"/>
                <w:szCs w:val="21"/>
              </w:rPr>
            </w:pPr>
            <w:r>
              <w:rPr>
                <w:rFonts w:ascii="宋体" w:hAnsi="宋体" w:cs="宋体" w:eastAsia="宋体" w:hint="default"/>
                <w:sz w:val="21"/>
                <w:szCs w:val="21"/>
              </w:rPr>
              <w:t>智能自助诉讼服务终端系统</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2355216</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42"/>
              <w:jc w:val="right"/>
              <w:rPr>
                <w:rFonts w:ascii="宋体" w:hAnsi="宋体" w:cs="宋体" w:eastAsia="宋体" w:hint="default"/>
                <w:sz w:val="21"/>
                <w:szCs w:val="21"/>
              </w:rPr>
            </w:pPr>
            <w:r>
              <w:rPr>
                <w:rFonts w:ascii="Arial" w:hAnsi="Arial" w:cs="Arial" w:eastAsia="Arial" w:hint="default"/>
                <w:w w:val="95"/>
                <w:sz w:val="21"/>
                <w:szCs w:val="21"/>
              </w:rPr>
              <w:t>2018</w:t>
            </w:r>
            <w:r>
              <w:rPr>
                <w:rFonts w:ascii="宋体" w:hAnsi="宋体" w:cs="宋体" w:eastAsia="宋体" w:hint="default"/>
                <w:w w:val="95"/>
                <w:sz w:val="21"/>
                <w:szCs w:val="21"/>
              </w:rPr>
              <w:t>年</w:t>
            </w:r>
            <w:r>
              <w:rPr>
                <w:rFonts w:ascii="Arial" w:hAnsi="Arial" w:cs="Arial" w:eastAsia="Arial" w:hint="default"/>
                <w:w w:val="95"/>
                <w:sz w:val="21"/>
                <w:szCs w:val="21"/>
              </w:rPr>
              <w:t>1</w:t>
            </w:r>
            <w:r>
              <w:rPr>
                <w:rFonts w:ascii="宋体" w:hAnsi="宋体" w:cs="宋体" w:eastAsia="宋体" w:hint="default"/>
                <w:w w:val="95"/>
                <w:sz w:val="21"/>
                <w:szCs w:val="21"/>
              </w:rPr>
              <w:t>月</w:t>
            </w:r>
            <w:r>
              <w:rPr>
                <w:rFonts w:ascii="Arial" w:hAnsi="Arial" w:cs="Arial" w:eastAsia="Arial" w:hint="default"/>
                <w:w w:val="95"/>
                <w:sz w:val="21"/>
                <w:szCs w:val="21"/>
              </w:rPr>
              <w:t>11</w:t>
            </w:r>
            <w:r>
              <w:rPr>
                <w:rFonts w:ascii="宋体" w:hAnsi="宋体" w:cs="宋体" w:eastAsia="宋体" w:hint="default"/>
                <w:w w:val="95"/>
                <w:sz w:val="21"/>
                <w:szCs w:val="21"/>
              </w:rPr>
              <w:t>日</w:t>
            </w:r>
            <w:r>
              <w:rPr>
                <w:rFonts w:ascii="宋体" w:hAnsi="宋体" w:cs="宋体" w:eastAsia="宋体" w:hint="default"/>
                <w:sz w:val="21"/>
                <w:szCs w:val="21"/>
              </w:rPr>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left"/>
              <w:rPr>
                <w:rFonts w:ascii="宋体" w:hAnsi="宋体" w:cs="宋体" w:eastAsia="宋体" w:hint="default"/>
                <w:sz w:val="21"/>
                <w:szCs w:val="21"/>
              </w:rPr>
            </w:pPr>
            <w:r>
              <w:rPr>
                <w:rFonts w:ascii="宋体" w:hAnsi="宋体" w:cs="宋体" w:eastAsia="宋体" w:hint="default"/>
                <w:sz w:val="21"/>
                <w:szCs w:val="21"/>
              </w:rPr>
              <w:t>微信消息推送平台</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2370977</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42"/>
              <w:jc w:val="right"/>
              <w:rPr>
                <w:rFonts w:ascii="宋体" w:hAnsi="宋体" w:cs="宋体" w:eastAsia="宋体" w:hint="default"/>
                <w:sz w:val="21"/>
                <w:szCs w:val="21"/>
              </w:rPr>
            </w:pPr>
            <w:r>
              <w:rPr>
                <w:rFonts w:ascii="Arial" w:hAnsi="Arial" w:cs="Arial" w:eastAsia="Arial" w:hint="default"/>
                <w:w w:val="95"/>
                <w:sz w:val="21"/>
                <w:szCs w:val="21"/>
              </w:rPr>
              <w:t>2018</w:t>
            </w:r>
            <w:r>
              <w:rPr>
                <w:rFonts w:ascii="宋体" w:hAnsi="宋体" w:cs="宋体" w:eastAsia="宋体" w:hint="default"/>
                <w:w w:val="95"/>
                <w:sz w:val="21"/>
                <w:szCs w:val="21"/>
              </w:rPr>
              <w:t>年</w:t>
            </w:r>
            <w:r>
              <w:rPr>
                <w:rFonts w:ascii="Arial" w:hAnsi="Arial" w:cs="Arial" w:eastAsia="Arial" w:hint="default"/>
                <w:w w:val="95"/>
                <w:sz w:val="21"/>
                <w:szCs w:val="21"/>
              </w:rPr>
              <w:t>1</w:t>
            </w:r>
            <w:r>
              <w:rPr>
                <w:rFonts w:ascii="宋体" w:hAnsi="宋体" w:cs="宋体" w:eastAsia="宋体" w:hint="default"/>
                <w:w w:val="95"/>
                <w:sz w:val="21"/>
                <w:szCs w:val="21"/>
              </w:rPr>
              <w:t>月</w:t>
            </w:r>
            <w:r>
              <w:rPr>
                <w:rFonts w:ascii="Arial" w:hAnsi="Arial" w:cs="Arial" w:eastAsia="Arial" w:hint="default"/>
                <w:w w:val="95"/>
                <w:sz w:val="21"/>
                <w:szCs w:val="21"/>
              </w:rPr>
              <w:t>18</w:t>
            </w:r>
            <w:r>
              <w:rPr>
                <w:rFonts w:ascii="宋体" w:hAnsi="宋体" w:cs="宋体" w:eastAsia="宋体" w:hint="default"/>
                <w:w w:val="95"/>
                <w:sz w:val="21"/>
                <w:szCs w:val="21"/>
              </w:rPr>
              <w:t>日</w:t>
            </w:r>
            <w:r>
              <w:rPr>
                <w:rFonts w:ascii="宋体" w:hAnsi="宋体" w:cs="宋体" w:eastAsia="宋体" w:hint="default"/>
                <w:sz w:val="21"/>
                <w:szCs w:val="21"/>
              </w:rPr>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left"/>
              <w:rPr>
                <w:rFonts w:ascii="Arial" w:hAnsi="Arial" w:cs="Arial" w:eastAsia="Arial" w:hint="default"/>
                <w:sz w:val="21"/>
                <w:szCs w:val="21"/>
              </w:rPr>
            </w:pPr>
            <w:r>
              <w:rPr>
                <w:rFonts w:ascii="宋体" w:hAnsi="宋体" w:cs="宋体" w:eastAsia="宋体" w:hint="default"/>
                <w:spacing w:val="-1"/>
                <w:w w:val="99"/>
                <w:sz w:val="21"/>
                <w:szCs w:val="21"/>
              </w:rPr>
              <w:t>专</w:t>
            </w:r>
            <w:r>
              <w:rPr>
                <w:rFonts w:ascii="宋体" w:hAnsi="宋体" w:cs="宋体" w:eastAsia="宋体" w:hint="default"/>
                <w:spacing w:val="2"/>
                <w:w w:val="99"/>
                <w:sz w:val="21"/>
                <w:szCs w:val="21"/>
              </w:rPr>
              <w:t>题</w:t>
            </w:r>
            <w:r>
              <w:rPr>
                <w:rFonts w:ascii="宋体" w:hAnsi="宋体" w:cs="宋体" w:eastAsia="宋体" w:hint="default"/>
                <w:spacing w:val="-1"/>
                <w:w w:val="99"/>
                <w:sz w:val="21"/>
                <w:szCs w:val="21"/>
              </w:rPr>
              <w:t>智</w:t>
            </w:r>
            <w:r>
              <w:rPr>
                <w:rFonts w:ascii="宋体" w:hAnsi="宋体" w:cs="宋体" w:eastAsia="宋体" w:hint="default"/>
                <w:spacing w:val="2"/>
                <w:w w:val="99"/>
                <w:sz w:val="21"/>
                <w:szCs w:val="21"/>
              </w:rPr>
              <w:t>能</w:t>
            </w:r>
            <w:r>
              <w:rPr>
                <w:rFonts w:ascii="宋体" w:hAnsi="宋体" w:cs="宋体" w:eastAsia="宋体" w:hint="default"/>
                <w:spacing w:val="-1"/>
                <w:w w:val="99"/>
                <w:sz w:val="21"/>
                <w:szCs w:val="21"/>
              </w:rPr>
              <w:t>分</w:t>
            </w:r>
            <w:r>
              <w:rPr>
                <w:rFonts w:ascii="宋体" w:hAnsi="宋体" w:cs="宋体" w:eastAsia="宋体" w:hint="default"/>
                <w:spacing w:val="2"/>
                <w:w w:val="99"/>
                <w:sz w:val="21"/>
                <w:szCs w:val="21"/>
              </w:rPr>
              <w:t>析</w:t>
            </w:r>
            <w:r>
              <w:rPr>
                <w:rFonts w:ascii="宋体" w:hAnsi="宋体" w:cs="宋体" w:eastAsia="宋体" w:hint="default"/>
                <w:spacing w:val="-1"/>
                <w:w w:val="99"/>
                <w:sz w:val="21"/>
                <w:szCs w:val="21"/>
              </w:rPr>
              <w:t>与</w:t>
            </w:r>
            <w:r>
              <w:rPr>
                <w:rFonts w:ascii="宋体" w:hAnsi="宋体" w:cs="宋体" w:eastAsia="宋体" w:hint="default"/>
                <w:spacing w:val="2"/>
                <w:w w:val="99"/>
                <w:sz w:val="21"/>
                <w:szCs w:val="21"/>
              </w:rPr>
              <w:t>管</w:t>
            </w:r>
            <w:r>
              <w:rPr>
                <w:rFonts w:ascii="宋体" w:hAnsi="宋体" w:cs="宋体" w:eastAsia="宋体" w:hint="default"/>
                <w:spacing w:val="-1"/>
                <w:w w:val="99"/>
                <w:sz w:val="21"/>
                <w:szCs w:val="21"/>
              </w:rPr>
              <w:t>理</w:t>
            </w:r>
            <w:r>
              <w:rPr>
                <w:rFonts w:ascii="宋体" w:hAnsi="宋体" w:cs="宋体" w:eastAsia="宋体" w:hint="default"/>
                <w:spacing w:val="2"/>
                <w:w w:val="99"/>
                <w:sz w:val="21"/>
                <w:szCs w:val="21"/>
              </w:rPr>
              <w:t>系</w:t>
            </w:r>
            <w:r>
              <w:rPr>
                <w:rFonts w:ascii="宋体" w:hAnsi="宋体" w:cs="宋体" w:eastAsia="宋体" w:hint="default"/>
                <w:spacing w:val="-1"/>
                <w:w w:val="99"/>
                <w:sz w:val="21"/>
                <w:szCs w:val="21"/>
              </w:rPr>
              <w:t>统</w:t>
            </w:r>
            <w:r>
              <w:rPr>
                <w:rFonts w:ascii="Arial" w:hAnsi="Arial" w:cs="Arial" w:eastAsia="Arial" w:hint="default"/>
                <w:spacing w:val="-1"/>
                <w:w w:val="99"/>
                <w:sz w:val="21"/>
                <w:szCs w:val="21"/>
              </w:rPr>
              <w:t>[</w:t>
            </w:r>
            <w:r>
              <w:rPr>
                <w:rFonts w:ascii="宋体" w:hAnsi="宋体" w:cs="宋体" w:eastAsia="宋体" w:hint="default"/>
                <w:spacing w:val="-1"/>
                <w:w w:val="99"/>
                <w:sz w:val="21"/>
                <w:szCs w:val="21"/>
              </w:rPr>
              <w:t>简</w:t>
            </w:r>
            <w:r>
              <w:rPr>
                <w:rFonts w:ascii="宋体" w:hAnsi="宋体" w:cs="宋体" w:eastAsia="宋体" w:hint="default"/>
                <w:spacing w:val="2"/>
                <w:w w:val="99"/>
                <w:sz w:val="21"/>
                <w:szCs w:val="21"/>
              </w:rPr>
              <w:t>称</w:t>
            </w:r>
            <w:r>
              <w:rPr>
                <w:rFonts w:ascii="宋体" w:hAnsi="宋体" w:cs="宋体" w:eastAsia="宋体" w:hint="default"/>
                <w:spacing w:val="-87"/>
                <w:w w:val="99"/>
                <w:sz w:val="21"/>
                <w:szCs w:val="21"/>
              </w:rPr>
              <w:t>：</w:t>
            </w:r>
            <w:r>
              <w:rPr>
                <w:rFonts w:ascii="宋体" w:hAnsi="宋体" w:cs="宋体" w:eastAsia="宋体" w:hint="default"/>
                <w:spacing w:val="-1"/>
                <w:w w:val="99"/>
                <w:sz w:val="21"/>
                <w:szCs w:val="21"/>
              </w:rPr>
              <w:t>专</w:t>
            </w:r>
            <w:r>
              <w:rPr>
                <w:rFonts w:ascii="宋体" w:hAnsi="宋体" w:cs="宋体" w:eastAsia="宋体" w:hint="default"/>
                <w:spacing w:val="2"/>
                <w:w w:val="99"/>
                <w:sz w:val="21"/>
                <w:szCs w:val="21"/>
              </w:rPr>
              <w:t>题</w:t>
            </w:r>
            <w:r>
              <w:rPr>
                <w:rFonts w:ascii="宋体" w:hAnsi="宋体" w:cs="宋体" w:eastAsia="宋体" w:hint="default"/>
                <w:spacing w:val="-1"/>
                <w:w w:val="99"/>
                <w:sz w:val="21"/>
                <w:szCs w:val="21"/>
              </w:rPr>
              <w:t>分</w:t>
            </w:r>
            <w:r>
              <w:rPr>
                <w:rFonts w:ascii="宋体" w:hAnsi="宋体" w:cs="宋体" w:eastAsia="宋体" w:hint="default"/>
                <w:spacing w:val="2"/>
                <w:w w:val="99"/>
                <w:sz w:val="21"/>
                <w:szCs w:val="21"/>
              </w:rPr>
              <w:t>析</w:t>
            </w:r>
            <w:r>
              <w:rPr>
                <w:rFonts w:ascii="宋体" w:hAnsi="宋体" w:cs="宋体" w:eastAsia="宋体" w:hint="default"/>
                <w:spacing w:val="-1"/>
                <w:w w:val="99"/>
                <w:sz w:val="21"/>
                <w:szCs w:val="21"/>
              </w:rPr>
              <w:t>系</w:t>
            </w:r>
            <w:r>
              <w:rPr>
                <w:rFonts w:ascii="宋体" w:hAnsi="宋体" w:cs="宋体" w:eastAsia="宋体" w:hint="default"/>
                <w:spacing w:val="2"/>
                <w:w w:val="99"/>
                <w:sz w:val="21"/>
                <w:szCs w:val="21"/>
              </w:rPr>
              <w:t>统</w:t>
            </w:r>
            <w:r>
              <w:rPr>
                <w:rFonts w:ascii="Arial" w:hAnsi="Arial" w:cs="Arial" w:eastAsia="Arial" w:hint="default"/>
                <w:w w:val="99"/>
                <w:sz w:val="21"/>
                <w:szCs w:val="21"/>
              </w:rPr>
              <w:t>]</w:t>
            </w:r>
            <w:r>
              <w:rPr>
                <w:rFonts w:ascii="Arial" w:hAnsi="Arial" w:cs="Arial" w:eastAsia="Arial" w:hint="default"/>
                <w:sz w:val="21"/>
                <w:szCs w:val="21"/>
              </w:rPr>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2399514</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42"/>
              <w:jc w:val="right"/>
              <w:rPr>
                <w:rFonts w:ascii="宋体" w:hAnsi="宋体" w:cs="宋体" w:eastAsia="宋体" w:hint="default"/>
                <w:sz w:val="21"/>
                <w:szCs w:val="21"/>
              </w:rPr>
            </w:pPr>
            <w:r>
              <w:rPr>
                <w:rFonts w:ascii="Arial" w:hAnsi="Arial" w:cs="Arial" w:eastAsia="Arial" w:hint="default"/>
                <w:w w:val="95"/>
                <w:sz w:val="21"/>
                <w:szCs w:val="21"/>
              </w:rPr>
              <w:t>2018</w:t>
            </w:r>
            <w:r>
              <w:rPr>
                <w:rFonts w:ascii="宋体" w:hAnsi="宋体" w:cs="宋体" w:eastAsia="宋体" w:hint="default"/>
                <w:w w:val="95"/>
                <w:sz w:val="21"/>
                <w:szCs w:val="21"/>
              </w:rPr>
              <w:t>年</w:t>
            </w:r>
            <w:r>
              <w:rPr>
                <w:rFonts w:ascii="Arial" w:hAnsi="Arial" w:cs="Arial" w:eastAsia="Arial" w:hint="default"/>
                <w:w w:val="95"/>
                <w:sz w:val="21"/>
                <w:szCs w:val="21"/>
              </w:rPr>
              <w:t>1</w:t>
            </w:r>
            <w:r>
              <w:rPr>
                <w:rFonts w:ascii="宋体" w:hAnsi="宋体" w:cs="宋体" w:eastAsia="宋体" w:hint="default"/>
                <w:w w:val="95"/>
                <w:sz w:val="21"/>
                <w:szCs w:val="21"/>
              </w:rPr>
              <w:t>月</w:t>
            </w:r>
            <w:r>
              <w:rPr>
                <w:rFonts w:ascii="Arial" w:hAnsi="Arial" w:cs="Arial" w:eastAsia="Arial" w:hint="default"/>
                <w:w w:val="95"/>
                <w:sz w:val="21"/>
                <w:szCs w:val="21"/>
              </w:rPr>
              <w:t>29</w:t>
            </w:r>
            <w:r>
              <w:rPr>
                <w:rFonts w:ascii="宋体" w:hAnsi="宋体" w:cs="宋体" w:eastAsia="宋体" w:hint="default"/>
                <w:w w:val="95"/>
                <w:sz w:val="21"/>
                <w:szCs w:val="21"/>
              </w:rPr>
              <w:t>日</w:t>
            </w:r>
            <w:r>
              <w:rPr>
                <w:rFonts w:ascii="宋体" w:hAnsi="宋体" w:cs="宋体" w:eastAsia="宋体" w:hint="default"/>
                <w:sz w:val="21"/>
                <w:szCs w:val="21"/>
              </w:rPr>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left"/>
              <w:rPr>
                <w:rFonts w:ascii="Arial" w:hAnsi="Arial" w:cs="Arial" w:eastAsia="Arial" w:hint="default"/>
                <w:sz w:val="21"/>
                <w:szCs w:val="21"/>
              </w:rPr>
            </w:pPr>
            <w:r>
              <w:rPr>
                <w:rFonts w:ascii="宋体" w:hAnsi="宋体" w:cs="宋体" w:eastAsia="宋体" w:hint="default"/>
                <w:sz w:val="21"/>
                <w:szCs w:val="21"/>
              </w:rPr>
              <w:t>联奕高校数据服务总线管理软件</w:t>
            </w:r>
            <w:r>
              <w:rPr>
                <w:rFonts w:ascii="Arial" w:hAnsi="Arial" w:cs="Arial" w:eastAsia="Arial" w:hint="default"/>
                <w:sz w:val="21"/>
                <w:szCs w:val="21"/>
              </w:rPr>
              <w:t>V2.0</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2414857</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302"/>
              <w:jc w:val="right"/>
              <w:rPr>
                <w:rFonts w:ascii="宋体" w:hAnsi="宋体" w:cs="宋体" w:eastAsia="宋体" w:hint="default"/>
                <w:sz w:val="21"/>
                <w:szCs w:val="21"/>
              </w:rPr>
            </w:pPr>
            <w:r>
              <w:rPr>
                <w:rFonts w:ascii="Arial" w:hAnsi="Arial" w:cs="Arial" w:eastAsia="Arial" w:hint="default"/>
                <w:w w:val="95"/>
                <w:sz w:val="21"/>
                <w:szCs w:val="21"/>
              </w:rPr>
              <w:t>2018</w:t>
            </w:r>
            <w:r>
              <w:rPr>
                <w:rFonts w:ascii="宋体" w:hAnsi="宋体" w:cs="宋体" w:eastAsia="宋体" w:hint="default"/>
                <w:w w:val="95"/>
                <w:sz w:val="21"/>
                <w:szCs w:val="21"/>
              </w:rPr>
              <w:t>年</w:t>
            </w:r>
            <w:r>
              <w:rPr>
                <w:rFonts w:ascii="Arial" w:hAnsi="Arial" w:cs="Arial" w:eastAsia="Arial" w:hint="default"/>
                <w:w w:val="95"/>
                <w:sz w:val="21"/>
                <w:szCs w:val="21"/>
              </w:rPr>
              <w:t>2</w:t>
            </w:r>
            <w:r>
              <w:rPr>
                <w:rFonts w:ascii="宋体" w:hAnsi="宋体" w:cs="宋体" w:eastAsia="宋体" w:hint="default"/>
                <w:w w:val="95"/>
                <w:sz w:val="21"/>
                <w:szCs w:val="21"/>
              </w:rPr>
              <w:t>月</w:t>
            </w:r>
            <w:r>
              <w:rPr>
                <w:rFonts w:ascii="Arial" w:hAnsi="Arial" w:cs="Arial" w:eastAsia="Arial" w:hint="default"/>
                <w:w w:val="95"/>
                <w:sz w:val="21"/>
                <w:szCs w:val="21"/>
              </w:rPr>
              <w:t>2</w:t>
            </w:r>
            <w:r>
              <w:rPr>
                <w:rFonts w:ascii="宋体" w:hAnsi="宋体" w:cs="宋体" w:eastAsia="宋体" w:hint="default"/>
                <w:w w:val="95"/>
                <w:sz w:val="21"/>
                <w:szCs w:val="21"/>
              </w:rPr>
              <w:t>日</w:t>
            </w:r>
            <w:r>
              <w:rPr>
                <w:rFonts w:ascii="宋体" w:hAnsi="宋体" w:cs="宋体" w:eastAsia="宋体" w:hint="default"/>
                <w:sz w:val="21"/>
                <w:szCs w:val="21"/>
              </w:rPr>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left"/>
              <w:rPr>
                <w:rFonts w:ascii="Arial" w:hAnsi="Arial" w:cs="Arial" w:eastAsia="Arial" w:hint="default"/>
                <w:sz w:val="21"/>
                <w:szCs w:val="21"/>
              </w:rPr>
            </w:pPr>
            <w:r>
              <w:rPr>
                <w:rFonts w:ascii="宋体" w:hAnsi="宋体" w:cs="宋体" w:eastAsia="宋体" w:hint="default"/>
                <w:sz w:val="21"/>
                <w:szCs w:val="21"/>
              </w:rPr>
              <w:t>联奕高校应用服务总线管理软件</w:t>
            </w:r>
            <w:r>
              <w:rPr>
                <w:rFonts w:ascii="Arial" w:hAnsi="Arial" w:cs="Arial" w:eastAsia="Arial" w:hint="default"/>
                <w:sz w:val="21"/>
                <w:szCs w:val="21"/>
              </w:rPr>
              <w:t>V2.0</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2415066</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302"/>
              <w:jc w:val="right"/>
              <w:rPr>
                <w:rFonts w:ascii="宋体" w:hAnsi="宋体" w:cs="宋体" w:eastAsia="宋体" w:hint="default"/>
                <w:sz w:val="21"/>
                <w:szCs w:val="21"/>
              </w:rPr>
            </w:pPr>
            <w:r>
              <w:rPr>
                <w:rFonts w:ascii="Arial" w:hAnsi="Arial" w:cs="Arial" w:eastAsia="Arial" w:hint="default"/>
                <w:w w:val="95"/>
                <w:sz w:val="21"/>
                <w:szCs w:val="21"/>
              </w:rPr>
              <w:t>2018</w:t>
            </w:r>
            <w:r>
              <w:rPr>
                <w:rFonts w:ascii="宋体" w:hAnsi="宋体" w:cs="宋体" w:eastAsia="宋体" w:hint="default"/>
                <w:w w:val="95"/>
                <w:sz w:val="21"/>
                <w:szCs w:val="21"/>
              </w:rPr>
              <w:t>年</w:t>
            </w:r>
            <w:r>
              <w:rPr>
                <w:rFonts w:ascii="Arial" w:hAnsi="Arial" w:cs="Arial" w:eastAsia="Arial" w:hint="default"/>
                <w:w w:val="95"/>
                <w:sz w:val="21"/>
                <w:szCs w:val="21"/>
              </w:rPr>
              <w:t>2</w:t>
            </w:r>
            <w:r>
              <w:rPr>
                <w:rFonts w:ascii="宋体" w:hAnsi="宋体" w:cs="宋体" w:eastAsia="宋体" w:hint="default"/>
                <w:w w:val="95"/>
                <w:sz w:val="21"/>
                <w:szCs w:val="21"/>
              </w:rPr>
              <w:t>月</w:t>
            </w:r>
            <w:r>
              <w:rPr>
                <w:rFonts w:ascii="Arial" w:hAnsi="Arial" w:cs="Arial" w:eastAsia="Arial" w:hint="default"/>
                <w:w w:val="95"/>
                <w:sz w:val="21"/>
                <w:szCs w:val="21"/>
              </w:rPr>
              <w:t>2</w:t>
            </w:r>
            <w:r>
              <w:rPr>
                <w:rFonts w:ascii="宋体" w:hAnsi="宋体" w:cs="宋体" w:eastAsia="宋体" w:hint="default"/>
                <w:w w:val="95"/>
                <w:sz w:val="21"/>
                <w:szCs w:val="21"/>
              </w:rPr>
              <w:t>日</w:t>
            </w:r>
            <w:r>
              <w:rPr>
                <w:rFonts w:ascii="宋体" w:hAnsi="宋体" w:cs="宋体" w:eastAsia="宋体" w:hint="default"/>
                <w:sz w:val="21"/>
                <w:szCs w:val="21"/>
              </w:rPr>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3" w:right="0"/>
              <w:jc w:val="left"/>
              <w:rPr>
                <w:rFonts w:ascii="Arial" w:hAnsi="Arial" w:cs="Arial" w:eastAsia="Arial" w:hint="default"/>
                <w:sz w:val="21"/>
                <w:szCs w:val="21"/>
              </w:rPr>
            </w:pPr>
            <w:r>
              <w:rPr>
                <w:rFonts w:ascii="宋体" w:hAnsi="宋体" w:cs="宋体" w:eastAsia="宋体" w:hint="default"/>
                <w:sz w:val="21"/>
                <w:szCs w:val="21"/>
              </w:rPr>
              <w:t>信息报送平台</w:t>
            </w:r>
            <w:r>
              <w:rPr>
                <w:rFonts w:ascii="Arial" w:hAnsi="Arial" w:cs="Arial" w:eastAsia="Arial" w:hint="default"/>
                <w:sz w:val="21"/>
                <w:szCs w:val="21"/>
              </w:rPr>
              <w:t>V2.0</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2461282</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242"/>
              <w:jc w:val="right"/>
              <w:rPr>
                <w:rFonts w:ascii="宋体" w:hAnsi="宋体" w:cs="宋体" w:eastAsia="宋体" w:hint="default"/>
                <w:sz w:val="21"/>
                <w:szCs w:val="21"/>
              </w:rPr>
            </w:pPr>
            <w:r>
              <w:rPr>
                <w:rFonts w:ascii="Arial" w:hAnsi="Arial" w:cs="Arial" w:eastAsia="Arial" w:hint="default"/>
                <w:w w:val="95"/>
                <w:sz w:val="21"/>
                <w:szCs w:val="21"/>
              </w:rPr>
              <w:t>2018</w:t>
            </w:r>
            <w:r>
              <w:rPr>
                <w:rFonts w:ascii="宋体" w:hAnsi="宋体" w:cs="宋体" w:eastAsia="宋体" w:hint="default"/>
                <w:w w:val="95"/>
                <w:sz w:val="21"/>
                <w:szCs w:val="21"/>
              </w:rPr>
              <w:t>年</w:t>
            </w:r>
            <w:r>
              <w:rPr>
                <w:rFonts w:ascii="Arial" w:hAnsi="Arial" w:cs="Arial" w:eastAsia="Arial" w:hint="default"/>
                <w:w w:val="95"/>
                <w:sz w:val="21"/>
                <w:szCs w:val="21"/>
              </w:rPr>
              <w:t>2</w:t>
            </w:r>
            <w:r>
              <w:rPr>
                <w:rFonts w:ascii="宋体" w:hAnsi="宋体" w:cs="宋体" w:eastAsia="宋体" w:hint="default"/>
                <w:w w:val="95"/>
                <w:sz w:val="21"/>
                <w:szCs w:val="21"/>
              </w:rPr>
              <w:t>月</w:t>
            </w:r>
            <w:r>
              <w:rPr>
                <w:rFonts w:ascii="Arial" w:hAnsi="Arial" w:cs="Arial" w:eastAsia="Arial" w:hint="default"/>
                <w:w w:val="95"/>
                <w:sz w:val="21"/>
                <w:szCs w:val="21"/>
              </w:rPr>
              <w:t>28</w:t>
            </w:r>
            <w:r>
              <w:rPr>
                <w:rFonts w:ascii="宋体" w:hAnsi="宋体" w:cs="宋体" w:eastAsia="宋体" w:hint="default"/>
                <w:w w:val="95"/>
                <w:sz w:val="21"/>
                <w:szCs w:val="21"/>
              </w:rPr>
              <w:t>日</w:t>
            </w:r>
            <w:r>
              <w:rPr>
                <w:rFonts w:ascii="宋体" w:hAnsi="宋体" w:cs="宋体" w:eastAsia="宋体" w:hint="default"/>
                <w:sz w:val="21"/>
                <w:szCs w:val="21"/>
              </w:rPr>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3" w:right="0"/>
              <w:jc w:val="left"/>
              <w:rPr>
                <w:rFonts w:ascii="宋体" w:hAnsi="宋体" w:cs="宋体" w:eastAsia="宋体" w:hint="default"/>
                <w:sz w:val="21"/>
                <w:szCs w:val="21"/>
              </w:rPr>
            </w:pPr>
            <w:r>
              <w:rPr>
                <w:rFonts w:ascii="宋体" w:hAnsi="宋体" w:cs="宋体" w:eastAsia="宋体" w:hint="default"/>
                <w:sz w:val="21"/>
                <w:szCs w:val="21"/>
              </w:rPr>
              <w:t>绩效管理平台</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2465465</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302"/>
              <w:jc w:val="right"/>
              <w:rPr>
                <w:rFonts w:ascii="宋体" w:hAnsi="宋体" w:cs="宋体" w:eastAsia="宋体" w:hint="default"/>
                <w:sz w:val="21"/>
                <w:szCs w:val="21"/>
              </w:rPr>
            </w:pPr>
            <w:r>
              <w:rPr>
                <w:rFonts w:ascii="Arial" w:hAnsi="Arial" w:cs="Arial" w:eastAsia="Arial" w:hint="default"/>
                <w:w w:val="95"/>
                <w:sz w:val="21"/>
                <w:szCs w:val="21"/>
              </w:rPr>
              <w:t>2018</w:t>
            </w:r>
            <w:r>
              <w:rPr>
                <w:rFonts w:ascii="宋体" w:hAnsi="宋体" w:cs="宋体" w:eastAsia="宋体" w:hint="default"/>
                <w:w w:val="95"/>
                <w:sz w:val="21"/>
                <w:szCs w:val="21"/>
              </w:rPr>
              <w:t>年</w:t>
            </w:r>
            <w:r>
              <w:rPr>
                <w:rFonts w:ascii="Arial" w:hAnsi="Arial" w:cs="Arial" w:eastAsia="Arial" w:hint="default"/>
                <w:w w:val="95"/>
                <w:sz w:val="21"/>
                <w:szCs w:val="21"/>
              </w:rPr>
              <w:t>3</w:t>
            </w:r>
            <w:r>
              <w:rPr>
                <w:rFonts w:ascii="宋体" w:hAnsi="宋体" w:cs="宋体" w:eastAsia="宋体" w:hint="default"/>
                <w:w w:val="95"/>
                <w:sz w:val="21"/>
                <w:szCs w:val="21"/>
              </w:rPr>
              <w:t>月</w:t>
            </w:r>
            <w:r>
              <w:rPr>
                <w:rFonts w:ascii="Arial" w:hAnsi="Arial" w:cs="Arial" w:eastAsia="Arial" w:hint="default"/>
                <w:w w:val="95"/>
                <w:sz w:val="21"/>
                <w:szCs w:val="21"/>
              </w:rPr>
              <w:t>1</w:t>
            </w:r>
            <w:r>
              <w:rPr>
                <w:rFonts w:ascii="宋体" w:hAnsi="宋体" w:cs="宋体" w:eastAsia="宋体" w:hint="default"/>
                <w:w w:val="95"/>
                <w:sz w:val="21"/>
                <w:szCs w:val="21"/>
              </w:rPr>
              <w:t>日</w:t>
            </w:r>
            <w:r>
              <w:rPr>
                <w:rFonts w:ascii="宋体" w:hAnsi="宋体" w:cs="宋体" w:eastAsia="宋体" w:hint="default"/>
                <w:sz w:val="21"/>
                <w:szCs w:val="21"/>
              </w:rPr>
            </w:r>
          </w:p>
        </w:tc>
      </w:tr>
      <w:tr>
        <w:trPr>
          <w:trHeight w:val="425"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3" w:right="0"/>
              <w:jc w:val="left"/>
              <w:rPr>
                <w:rFonts w:ascii="Arial" w:hAnsi="Arial" w:cs="Arial" w:eastAsia="Arial" w:hint="default"/>
                <w:sz w:val="21"/>
                <w:szCs w:val="21"/>
              </w:rPr>
            </w:pPr>
            <w:r>
              <w:rPr>
                <w:rFonts w:ascii="Arial" w:hAnsi="Arial" w:cs="Arial" w:eastAsia="Arial" w:hint="default"/>
                <w:sz w:val="21"/>
                <w:szCs w:val="21"/>
              </w:rPr>
              <w:t>Flexbase</w:t>
            </w:r>
            <w:r>
              <w:rPr>
                <w:rFonts w:ascii="宋体" w:hAnsi="宋体" w:cs="宋体" w:eastAsia="宋体" w:hint="default"/>
                <w:sz w:val="21"/>
                <w:szCs w:val="21"/>
              </w:rPr>
              <w:t>协同平台</w:t>
            </w:r>
            <w:r>
              <w:rPr>
                <w:rFonts w:ascii="Arial" w:hAnsi="Arial" w:cs="Arial" w:eastAsia="Arial" w:hint="default"/>
                <w:sz w:val="21"/>
                <w:szCs w:val="21"/>
              </w:rPr>
              <w:t>V1.0</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2466305</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302"/>
              <w:jc w:val="right"/>
              <w:rPr>
                <w:rFonts w:ascii="宋体" w:hAnsi="宋体" w:cs="宋体" w:eastAsia="宋体" w:hint="default"/>
                <w:sz w:val="21"/>
                <w:szCs w:val="21"/>
              </w:rPr>
            </w:pPr>
            <w:r>
              <w:rPr>
                <w:rFonts w:ascii="Arial" w:hAnsi="Arial" w:cs="Arial" w:eastAsia="Arial" w:hint="default"/>
                <w:w w:val="95"/>
                <w:sz w:val="21"/>
                <w:szCs w:val="21"/>
              </w:rPr>
              <w:t>2018</w:t>
            </w:r>
            <w:r>
              <w:rPr>
                <w:rFonts w:ascii="宋体" w:hAnsi="宋体" w:cs="宋体" w:eastAsia="宋体" w:hint="default"/>
                <w:w w:val="95"/>
                <w:sz w:val="21"/>
                <w:szCs w:val="21"/>
              </w:rPr>
              <w:t>年</w:t>
            </w:r>
            <w:r>
              <w:rPr>
                <w:rFonts w:ascii="Arial" w:hAnsi="Arial" w:cs="Arial" w:eastAsia="Arial" w:hint="default"/>
                <w:w w:val="95"/>
                <w:sz w:val="21"/>
                <w:szCs w:val="21"/>
              </w:rPr>
              <w:t>3</w:t>
            </w:r>
            <w:r>
              <w:rPr>
                <w:rFonts w:ascii="宋体" w:hAnsi="宋体" w:cs="宋体" w:eastAsia="宋体" w:hint="default"/>
                <w:w w:val="95"/>
                <w:sz w:val="21"/>
                <w:szCs w:val="21"/>
              </w:rPr>
              <w:t>月</w:t>
            </w:r>
            <w:r>
              <w:rPr>
                <w:rFonts w:ascii="Arial" w:hAnsi="Arial" w:cs="Arial" w:eastAsia="Arial" w:hint="default"/>
                <w:w w:val="95"/>
                <w:sz w:val="21"/>
                <w:szCs w:val="21"/>
              </w:rPr>
              <w:t>1</w:t>
            </w:r>
            <w:r>
              <w:rPr>
                <w:rFonts w:ascii="宋体" w:hAnsi="宋体" w:cs="宋体" w:eastAsia="宋体" w:hint="default"/>
                <w:w w:val="95"/>
                <w:sz w:val="21"/>
                <w:szCs w:val="21"/>
              </w:rPr>
              <w:t>日</w:t>
            </w:r>
            <w:r>
              <w:rPr>
                <w:rFonts w:ascii="宋体" w:hAnsi="宋体" w:cs="宋体" w:eastAsia="宋体" w:hint="default"/>
                <w:sz w:val="21"/>
                <w:szCs w:val="21"/>
              </w:rPr>
            </w:r>
          </w:p>
        </w:tc>
      </w:tr>
    </w:tbl>
    <w:p>
      <w:pPr>
        <w:spacing w:after="0" w:line="240" w:lineRule="auto"/>
        <w:jc w:val="right"/>
        <w:rPr>
          <w:rFonts w:ascii="宋体" w:hAnsi="宋体" w:cs="宋体" w:eastAsia="宋体" w:hint="default"/>
          <w:sz w:val="21"/>
          <w:szCs w:val="21"/>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4249"/>
        <w:gridCol w:w="2370"/>
        <w:gridCol w:w="1095"/>
        <w:gridCol w:w="1954"/>
      </w:tblGrid>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left"/>
              <w:rPr>
                <w:rFonts w:ascii="宋体" w:hAnsi="宋体" w:cs="宋体" w:eastAsia="宋体" w:hint="default"/>
                <w:sz w:val="21"/>
                <w:szCs w:val="21"/>
              </w:rPr>
            </w:pPr>
            <w:r>
              <w:rPr>
                <w:rFonts w:ascii="宋体" w:hAnsi="宋体" w:cs="宋体" w:eastAsia="宋体" w:hint="default"/>
                <w:sz w:val="21"/>
                <w:szCs w:val="21"/>
              </w:rPr>
              <w:t>犯罪构成知识图谱量刑辅助系统</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2468483</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302"/>
              <w:jc w:val="right"/>
              <w:rPr>
                <w:rFonts w:ascii="宋体" w:hAnsi="宋体" w:cs="宋体" w:eastAsia="宋体" w:hint="default"/>
                <w:sz w:val="21"/>
                <w:szCs w:val="21"/>
              </w:rPr>
            </w:pPr>
            <w:r>
              <w:rPr>
                <w:rFonts w:ascii="Arial" w:hAnsi="Arial" w:cs="Arial" w:eastAsia="Arial" w:hint="default"/>
                <w:w w:val="95"/>
                <w:sz w:val="21"/>
                <w:szCs w:val="21"/>
              </w:rPr>
              <w:t>2018</w:t>
            </w:r>
            <w:r>
              <w:rPr>
                <w:rFonts w:ascii="宋体" w:hAnsi="宋体" w:cs="宋体" w:eastAsia="宋体" w:hint="default"/>
                <w:w w:val="95"/>
                <w:sz w:val="21"/>
                <w:szCs w:val="21"/>
              </w:rPr>
              <w:t>年</w:t>
            </w:r>
            <w:r>
              <w:rPr>
                <w:rFonts w:ascii="Arial" w:hAnsi="Arial" w:cs="Arial" w:eastAsia="Arial" w:hint="default"/>
                <w:w w:val="95"/>
                <w:sz w:val="21"/>
                <w:szCs w:val="21"/>
              </w:rPr>
              <w:t>3</w:t>
            </w:r>
            <w:r>
              <w:rPr>
                <w:rFonts w:ascii="宋体" w:hAnsi="宋体" w:cs="宋体" w:eastAsia="宋体" w:hint="default"/>
                <w:w w:val="95"/>
                <w:sz w:val="21"/>
                <w:szCs w:val="21"/>
              </w:rPr>
              <w:t>月</w:t>
            </w:r>
            <w:r>
              <w:rPr>
                <w:rFonts w:ascii="Arial" w:hAnsi="Arial" w:cs="Arial" w:eastAsia="Arial" w:hint="default"/>
                <w:w w:val="95"/>
                <w:sz w:val="21"/>
                <w:szCs w:val="21"/>
              </w:rPr>
              <w:t>2</w:t>
            </w:r>
            <w:r>
              <w:rPr>
                <w:rFonts w:ascii="宋体" w:hAnsi="宋体" w:cs="宋体" w:eastAsia="宋体" w:hint="default"/>
                <w:w w:val="95"/>
                <w:sz w:val="21"/>
                <w:szCs w:val="21"/>
              </w:rPr>
              <w:t>日</w:t>
            </w:r>
            <w:r>
              <w:rPr>
                <w:rFonts w:ascii="宋体" w:hAnsi="宋体" w:cs="宋体" w:eastAsia="宋体" w:hint="default"/>
                <w:sz w:val="21"/>
                <w:szCs w:val="21"/>
              </w:rPr>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left"/>
              <w:rPr>
                <w:rFonts w:ascii="宋体" w:hAnsi="宋体" w:cs="宋体" w:eastAsia="宋体" w:hint="default"/>
                <w:sz w:val="21"/>
                <w:szCs w:val="21"/>
              </w:rPr>
            </w:pPr>
            <w:r>
              <w:rPr>
                <w:rFonts w:ascii="宋体" w:hAnsi="宋体" w:cs="宋体" w:eastAsia="宋体" w:hint="default"/>
                <w:sz w:val="21"/>
                <w:szCs w:val="21"/>
              </w:rPr>
              <w:t>华宇元典通行证系统</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2468408</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302"/>
              <w:jc w:val="right"/>
              <w:rPr>
                <w:rFonts w:ascii="宋体" w:hAnsi="宋体" w:cs="宋体" w:eastAsia="宋体" w:hint="default"/>
                <w:sz w:val="21"/>
                <w:szCs w:val="21"/>
              </w:rPr>
            </w:pPr>
            <w:r>
              <w:rPr>
                <w:rFonts w:ascii="Arial" w:hAnsi="Arial" w:cs="Arial" w:eastAsia="Arial" w:hint="default"/>
                <w:w w:val="95"/>
                <w:sz w:val="21"/>
                <w:szCs w:val="21"/>
              </w:rPr>
              <w:t>2018</w:t>
            </w:r>
            <w:r>
              <w:rPr>
                <w:rFonts w:ascii="宋体" w:hAnsi="宋体" w:cs="宋体" w:eastAsia="宋体" w:hint="default"/>
                <w:w w:val="95"/>
                <w:sz w:val="21"/>
                <w:szCs w:val="21"/>
              </w:rPr>
              <w:t>年</w:t>
            </w:r>
            <w:r>
              <w:rPr>
                <w:rFonts w:ascii="Arial" w:hAnsi="Arial" w:cs="Arial" w:eastAsia="Arial" w:hint="default"/>
                <w:w w:val="95"/>
                <w:sz w:val="21"/>
                <w:szCs w:val="21"/>
              </w:rPr>
              <w:t>3</w:t>
            </w:r>
            <w:r>
              <w:rPr>
                <w:rFonts w:ascii="宋体" w:hAnsi="宋体" w:cs="宋体" w:eastAsia="宋体" w:hint="default"/>
                <w:w w:val="95"/>
                <w:sz w:val="21"/>
                <w:szCs w:val="21"/>
              </w:rPr>
              <w:t>月</w:t>
            </w:r>
            <w:r>
              <w:rPr>
                <w:rFonts w:ascii="Arial" w:hAnsi="Arial" w:cs="Arial" w:eastAsia="Arial" w:hint="default"/>
                <w:w w:val="95"/>
                <w:sz w:val="21"/>
                <w:szCs w:val="21"/>
              </w:rPr>
              <w:t>2</w:t>
            </w:r>
            <w:r>
              <w:rPr>
                <w:rFonts w:ascii="宋体" w:hAnsi="宋体" w:cs="宋体" w:eastAsia="宋体" w:hint="default"/>
                <w:w w:val="95"/>
                <w:sz w:val="21"/>
                <w:szCs w:val="21"/>
              </w:rPr>
              <w:t>日</w:t>
            </w:r>
            <w:r>
              <w:rPr>
                <w:rFonts w:ascii="宋体" w:hAnsi="宋体" w:cs="宋体" w:eastAsia="宋体" w:hint="default"/>
                <w:sz w:val="21"/>
                <w:szCs w:val="21"/>
              </w:rPr>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智慧公诉速裁案件辅助系统</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2468409</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302"/>
              <w:jc w:val="right"/>
              <w:rPr>
                <w:rFonts w:ascii="宋体" w:hAnsi="宋体" w:cs="宋体" w:eastAsia="宋体" w:hint="default"/>
                <w:sz w:val="21"/>
                <w:szCs w:val="21"/>
              </w:rPr>
            </w:pPr>
            <w:r>
              <w:rPr>
                <w:rFonts w:ascii="Arial" w:hAnsi="Arial" w:cs="Arial" w:eastAsia="Arial" w:hint="default"/>
                <w:w w:val="95"/>
                <w:sz w:val="21"/>
                <w:szCs w:val="21"/>
              </w:rPr>
              <w:t>2018</w:t>
            </w:r>
            <w:r>
              <w:rPr>
                <w:rFonts w:ascii="宋体" w:hAnsi="宋体" w:cs="宋体" w:eastAsia="宋体" w:hint="default"/>
                <w:w w:val="95"/>
                <w:sz w:val="21"/>
                <w:szCs w:val="21"/>
              </w:rPr>
              <w:t>年</w:t>
            </w:r>
            <w:r>
              <w:rPr>
                <w:rFonts w:ascii="Arial" w:hAnsi="Arial" w:cs="Arial" w:eastAsia="Arial" w:hint="default"/>
                <w:w w:val="95"/>
                <w:sz w:val="21"/>
                <w:szCs w:val="21"/>
              </w:rPr>
              <w:t>3</w:t>
            </w:r>
            <w:r>
              <w:rPr>
                <w:rFonts w:ascii="宋体" w:hAnsi="宋体" w:cs="宋体" w:eastAsia="宋体" w:hint="default"/>
                <w:w w:val="95"/>
                <w:sz w:val="21"/>
                <w:szCs w:val="21"/>
              </w:rPr>
              <w:t>月</w:t>
            </w:r>
            <w:r>
              <w:rPr>
                <w:rFonts w:ascii="Arial" w:hAnsi="Arial" w:cs="Arial" w:eastAsia="Arial" w:hint="default"/>
                <w:w w:val="95"/>
                <w:sz w:val="21"/>
                <w:szCs w:val="21"/>
              </w:rPr>
              <w:t>2</w:t>
            </w:r>
            <w:r>
              <w:rPr>
                <w:rFonts w:ascii="宋体" w:hAnsi="宋体" w:cs="宋体" w:eastAsia="宋体" w:hint="default"/>
                <w:w w:val="95"/>
                <w:sz w:val="21"/>
                <w:szCs w:val="21"/>
              </w:rPr>
              <w:t>日</w:t>
            </w:r>
            <w:r>
              <w:rPr>
                <w:rFonts w:ascii="宋体" w:hAnsi="宋体" w:cs="宋体" w:eastAsia="宋体" w:hint="default"/>
                <w:sz w:val="21"/>
                <w:szCs w:val="21"/>
              </w:rPr>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 w:right="0"/>
              <w:jc w:val="left"/>
              <w:rPr>
                <w:rFonts w:ascii="Arial" w:hAnsi="Arial" w:cs="Arial" w:eastAsia="Arial" w:hint="default"/>
                <w:sz w:val="21"/>
                <w:szCs w:val="21"/>
              </w:rPr>
            </w:pPr>
            <w:r>
              <w:rPr>
                <w:rFonts w:ascii="宋体" w:hAnsi="宋体" w:cs="宋体" w:eastAsia="宋体" w:hint="default"/>
                <w:sz w:val="21"/>
                <w:szCs w:val="21"/>
              </w:rPr>
              <w:t>大数据综合搜索平台</w:t>
            </w:r>
            <w:r>
              <w:rPr>
                <w:rFonts w:ascii="Arial" w:hAnsi="Arial" w:cs="Arial" w:eastAsia="Arial" w:hint="default"/>
                <w:sz w:val="21"/>
                <w:szCs w:val="21"/>
              </w:rPr>
              <w:t>[</w:t>
            </w:r>
            <w:r>
              <w:rPr>
                <w:rFonts w:ascii="宋体" w:hAnsi="宋体" w:cs="宋体" w:eastAsia="宋体" w:hint="default"/>
                <w:sz w:val="21"/>
                <w:szCs w:val="21"/>
              </w:rPr>
              <w:t>简称：综合搜索</w:t>
            </w:r>
            <w:r>
              <w:rPr>
                <w:rFonts w:ascii="Arial" w:hAnsi="Arial" w:cs="Arial" w:eastAsia="Arial" w:hint="default"/>
                <w:sz w:val="21"/>
                <w:szCs w:val="21"/>
              </w:rPr>
              <w:t>]</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2482454</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302"/>
              <w:jc w:val="right"/>
              <w:rPr>
                <w:rFonts w:ascii="宋体" w:hAnsi="宋体" w:cs="宋体" w:eastAsia="宋体" w:hint="default"/>
                <w:sz w:val="21"/>
                <w:szCs w:val="21"/>
              </w:rPr>
            </w:pPr>
            <w:r>
              <w:rPr>
                <w:rFonts w:ascii="Arial" w:hAnsi="Arial" w:cs="Arial" w:eastAsia="Arial" w:hint="default"/>
                <w:w w:val="95"/>
                <w:sz w:val="21"/>
                <w:szCs w:val="21"/>
              </w:rPr>
              <w:t>2018</w:t>
            </w:r>
            <w:r>
              <w:rPr>
                <w:rFonts w:ascii="宋体" w:hAnsi="宋体" w:cs="宋体" w:eastAsia="宋体" w:hint="default"/>
                <w:w w:val="95"/>
                <w:sz w:val="21"/>
                <w:szCs w:val="21"/>
              </w:rPr>
              <w:t>年</w:t>
            </w:r>
            <w:r>
              <w:rPr>
                <w:rFonts w:ascii="Arial" w:hAnsi="Arial" w:cs="Arial" w:eastAsia="Arial" w:hint="default"/>
                <w:w w:val="95"/>
                <w:sz w:val="21"/>
                <w:szCs w:val="21"/>
              </w:rPr>
              <w:t>3</w:t>
            </w:r>
            <w:r>
              <w:rPr>
                <w:rFonts w:ascii="宋体" w:hAnsi="宋体" w:cs="宋体" w:eastAsia="宋体" w:hint="default"/>
                <w:w w:val="95"/>
                <w:sz w:val="21"/>
                <w:szCs w:val="21"/>
              </w:rPr>
              <w:t>月</w:t>
            </w:r>
            <w:r>
              <w:rPr>
                <w:rFonts w:ascii="Arial" w:hAnsi="Arial" w:cs="Arial" w:eastAsia="Arial" w:hint="default"/>
                <w:w w:val="95"/>
                <w:sz w:val="21"/>
                <w:szCs w:val="21"/>
              </w:rPr>
              <w:t>8</w:t>
            </w:r>
            <w:r>
              <w:rPr>
                <w:rFonts w:ascii="宋体" w:hAnsi="宋体" w:cs="宋体" w:eastAsia="宋体" w:hint="default"/>
                <w:w w:val="95"/>
                <w:sz w:val="21"/>
                <w:szCs w:val="21"/>
              </w:rPr>
              <w:t>日</w:t>
            </w:r>
            <w:r>
              <w:rPr>
                <w:rFonts w:ascii="宋体" w:hAnsi="宋体" w:cs="宋体" w:eastAsia="宋体" w:hint="default"/>
                <w:sz w:val="21"/>
                <w:szCs w:val="21"/>
              </w:rPr>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服刑人员教育云平台</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2571241</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242"/>
              <w:jc w:val="right"/>
              <w:rPr>
                <w:rFonts w:ascii="宋体" w:hAnsi="宋体" w:cs="宋体" w:eastAsia="宋体" w:hint="default"/>
                <w:sz w:val="21"/>
                <w:szCs w:val="21"/>
              </w:rPr>
            </w:pPr>
            <w:r>
              <w:rPr>
                <w:rFonts w:ascii="Arial" w:hAnsi="Arial" w:cs="Arial" w:eastAsia="Arial" w:hint="default"/>
                <w:w w:val="95"/>
                <w:sz w:val="21"/>
                <w:szCs w:val="21"/>
              </w:rPr>
              <w:t>2018</w:t>
            </w:r>
            <w:r>
              <w:rPr>
                <w:rFonts w:ascii="宋体" w:hAnsi="宋体" w:cs="宋体" w:eastAsia="宋体" w:hint="default"/>
                <w:w w:val="95"/>
                <w:sz w:val="21"/>
                <w:szCs w:val="21"/>
              </w:rPr>
              <w:t>年</w:t>
            </w:r>
            <w:r>
              <w:rPr>
                <w:rFonts w:ascii="Arial" w:hAnsi="Arial" w:cs="Arial" w:eastAsia="Arial" w:hint="default"/>
                <w:w w:val="95"/>
                <w:sz w:val="21"/>
                <w:szCs w:val="21"/>
              </w:rPr>
              <w:t>4</w:t>
            </w:r>
            <w:r>
              <w:rPr>
                <w:rFonts w:ascii="宋体" w:hAnsi="宋体" w:cs="宋体" w:eastAsia="宋体" w:hint="default"/>
                <w:w w:val="95"/>
                <w:sz w:val="21"/>
                <w:szCs w:val="21"/>
              </w:rPr>
              <w:t>月</w:t>
            </w:r>
            <w:r>
              <w:rPr>
                <w:rFonts w:ascii="Arial" w:hAnsi="Arial" w:cs="Arial" w:eastAsia="Arial" w:hint="default"/>
                <w:w w:val="95"/>
                <w:sz w:val="21"/>
                <w:szCs w:val="21"/>
              </w:rPr>
              <w:t>10</w:t>
            </w:r>
            <w:r>
              <w:rPr>
                <w:rFonts w:ascii="宋体" w:hAnsi="宋体" w:cs="宋体" w:eastAsia="宋体" w:hint="default"/>
                <w:w w:val="95"/>
                <w:sz w:val="21"/>
                <w:szCs w:val="21"/>
              </w:rPr>
              <w:t>日</w:t>
            </w:r>
            <w:r>
              <w:rPr>
                <w:rFonts w:ascii="宋体" w:hAnsi="宋体" w:cs="宋体" w:eastAsia="宋体" w:hint="default"/>
                <w:sz w:val="21"/>
                <w:szCs w:val="21"/>
              </w:rPr>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left"/>
              <w:rPr>
                <w:rFonts w:ascii="Arial" w:hAnsi="Arial" w:cs="Arial" w:eastAsia="Arial" w:hint="default"/>
                <w:sz w:val="21"/>
                <w:szCs w:val="21"/>
              </w:rPr>
            </w:pPr>
            <w:r>
              <w:rPr>
                <w:rFonts w:ascii="宋体" w:hAnsi="宋体" w:cs="宋体" w:eastAsia="宋体" w:hint="default"/>
                <w:sz w:val="21"/>
                <w:szCs w:val="21"/>
              </w:rPr>
              <w:t>联奕大学生行为分析管理软件</w:t>
            </w:r>
            <w:r>
              <w:rPr>
                <w:rFonts w:ascii="Arial" w:hAnsi="Arial" w:cs="Arial" w:eastAsia="Arial" w:hint="default"/>
                <w:sz w:val="21"/>
                <w:szCs w:val="21"/>
              </w:rPr>
              <w:t>V1.0</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2582560</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42"/>
              <w:jc w:val="right"/>
              <w:rPr>
                <w:rFonts w:ascii="宋体" w:hAnsi="宋体" w:cs="宋体" w:eastAsia="宋体" w:hint="default"/>
                <w:sz w:val="21"/>
                <w:szCs w:val="21"/>
              </w:rPr>
            </w:pPr>
            <w:r>
              <w:rPr>
                <w:rFonts w:ascii="Arial" w:hAnsi="Arial" w:cs="Arial" w:eastAsia="Arial" w:hint="default"/>
                <w:w w:val="95"/>
                <w:sz w:val="21"/>
                <w:szCs w:val="21"/>
              </w:rPr>
              <w:t>2018</w:t>
            </w:r>
            <w:r>
              <w:rPr>
                <w:rFonts w:ascii="宋体" w:hAnsi="宋体" w:cs="宋体" w:eastAsia="宋体" w:hint="default"/>
                <w:w w:val="95"/>
                <w:sz w:val="21"/>
                <w:szCs w:val="21"/>
              </w:rPr>
              <w:t>年</w:t>
            </w:r>
            <w:r>
              <w:rPr>
                <w:rFonts w:ascii="Arial" w:hAnsi="Arial" w:cs="Arial" w:eastAsia="Arial" w:hint="default"/>
                <w:w w:val="95"/>
                <w:sz w:val="21"/>
                <w:szCs w:val="21"/>
              </w:rPr>
              <w:t>4</w:t>
            </w:r>
            <w:r>
              <w:rPr>
                <w:rFonts w:ascii="宋体" w:hAnsi="宋体" w:cs="宋体" w:eastAsia="宋体" w:hint="default"/>
                <w:w w:val="95"/>
                <w:sz w:val="21"/>
                <w:szCs w:val="21"/>
              </w:rPr>
              <w:t>月</w:t>
            </w:r>
            <w:r>
              <w:rPr>
                <w:rFonts w:ascii="Arial" w:hAnsi="Arial" w:cs="Arial" w:eastAsia="Arial" w:hint="default"/>
                <w:w w:val="95"/>
                <w:sz w:val="21"/>
                <w:szCs w:val="21"/>
              </w:rPr>
              <w:t>16</w:t>
            </w:r>
            <w:r>
              <w:rPr>
                <w:rFonts w:ascii="宋体" w:hAnsi="宋体" w:cs="宋体" w:eastAsia="宋体" w:hint="default"/>
                <w:w w:val="95"/>
                <w:sz w:val="21"/>
                <w:szCs w:val="21"/>
              </w:rPr>
              <w:t>日</w:t>
            </w:r>
            <w:r>
              <w:rPr>
                <w:rFonts w:ascii="宋体" w:hAnsi="宋体" w:cs="宋体" w:eastAsia="宋体" w:hint="default"/>
                <w:sz w:val="21"/>
                <w:szCs w:val="21"/>
              </w:rPr>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left"/>
              <w:rPr>
                <w:rFonts w:ascii="Arial" w:hAnsi="Arial" w:cs="Arial" w:eastAsia="Arial" w:hint="default"/>
                <w:sz w:val="21"/>
                <w:szCs w:val="21"/>
              </w:rPr>
            </w:pPr>
            <w:r>
              <w:rPr>
                <w:rFonts w:ascii="宋体" w:hAnsi="宋体" w:cs="宋体" w:eastAsia="宋体" w:hint="default"/>
                <w:sz w:val="21"/>
                <w:szCs w:val="21"/>
              </w:rPr>
              <w:t>公务员绩效考核系统软件</w:t>
            </w:r>
            <w:r>
              <w:rPr>
                <w:rFonts w:ascii="Arial" w:hAnsi="Arial" w:cs="Arial" w:eastAsia="Arial" w:hint="default"/>
                <w:sz w:val="21"/>
                <w:szCs w:val="21"/>
              </w:rPr>
              <w:t>V1.0</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2607205</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42"/>
              <w:jc w:val="right"/>
              <w:rPr>
                <w:rFonts w:ascii="宋体" w:hAnsi="宋体" w:cs="宋体" w:eastAsia="宋体" w:hint="default"/>
                <w:sz w:val="21"/>
                <w:szCs w:val="21"/>
              </w:rPr>
            </w:pPr>
            <w:r>
              <w:rPr>
                <w:rFonts w:ascii="Arial" w:hAnsi="Arial" w:cs="Arial" w:eastAsia="Arial" w:hint="default"/>
                <w:w w:val="95"/>
                <w:sz w:val="21"/>
                <w:szCs w:val="21"/>
              </w:rPr>
              <w:t>2018</w:t>
            </w:r>
            <w:r>
              <w:rPr>
                <w:rFonts w:ascii="宋体" w:hAnsi="宋体" w:cs="宋体" w:eastAsia="宋体" w:hint="default"/>
                <w:w w:val="95"/>
                <w:sz w:val="21"/>
                <w:szCs w:val="21"/>
              </w:rPr>
              <w:t>年</w:t>
            </w:r>
            <w:r>
              <w:rPr>
                <w:rFonts w:ascii="Arial" w:hAnsi="Arial" w:cs="Arial" w:eastAsia="Arial" w:hint="default"/>
                <w:w w:val="95"/>
                <w:sz w:val="21"/>
                <w:szCs w:val="21"/>
              </w:rPr>
              <w:t>4</w:t>
            </w:r>
            <w:r>
              <w:rPr>
                <w:rFonts w:ascii="宋体" w:hAnsi="宋体" w:cs="宋体" w:eastAsia="宋体" w:hint="default"/>
                <w:w w:val="95"/>
                <w:sz w:val="21"/>
                <w:szCs w:val="21"/>
              </w:rPr>
              <w:t>月</w:t>
            </w:r>
            <w:r>
              <w:rPr>
                <w:rFonts w:ascii="Arial" w:hAnsi="Arial" w:cs="Arial" w:eastAsia="Arial" w:hint="default"/>
                <w:w w:val="95"/>
                <w:sz w:val="21"/>
                <w:szCs w:val="21"/>
              </w:rPr>
              <w:t>24</w:t>
            </w:r>
            <w:r>
              <w:rPr>
                <w:rFonts w:ascii="宋体" w:hAnsi="宋体" w:cs="宋体" w:eastAsia="宋体" w:hint="default"/>
                <w:w w:val="95"/>
                <w:sz w:val="21"/>
                <w:szCs w:val="21"/>
              </w:rPr>
              <w:t>日</w:t>
            </w:r>
            <w:r>
              <w:rPr>
                <w:rFonts w:ascii="宋体" w:hAnsi="宋体" w:cs="宋体" w:eastAsia="宋体" w:hint="default"/>
                <w:sz w:val="21"/>
                <w:szCs w:val="21"/>
              </w:rPr>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left"/>
              <w:rPr>
                <w:rFonts w:ascii="Arial" w:hAnsi="Arial" w:cs="Arial" w:eastAsia="Arial" w:hint="default"/>
                <w:sz w:val="21"/>
                <w:szCs w:val="21"/>
              </w:rPr>
            </w:pPr>
            <w:r>
              <w:rPr>
                <w:rFonts w:ascii="宋体" w:hAnsi="宋体" w:cs="宋体" w:eastAsia="宋体" w:hint="default"/>
                <w:sz w:val="21"/>
                <w:szCs w:val="21"/>
              </w:rPr>
              <w:t>值班管理系统软件</w:t>
            </w:r>
            <w:r>
              <w:rPr>
                <w:rFonts w:ascii="Arial" w:hAnsi="Arial" w:cs="Arial" w:eastAsia="Arial" w:hint="default"/>
                <w:sz w:val="21"/>
                <w:szCs w:val="21"/>
              </w:rPr>
              <w:t>V1.0</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2607204</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42"/>
              <w:jc w:val="right"/>
              <w:rPr>
                <w:rFonts w:ascii="宋体" w:hAnsi="宋体" w:cs="宋体" w:eastAsia="宋体" w:hint="default"/>
                <w:sz w:val="21"/>
                <w:szCs w:val="21"/>
              </w:rPr>
            </w:pPr>
            <w:r>
              <w:rPr>
                <w:rFonts w:ascii="Arial" w:hAnsi="Arial" w:cs="Arial" w:eastAsia="Arial" w:hint="default"/>
                <w:w w:val="95"/>
                <w:sz w:val="21"/>
                <w:szCs w:val="21"/>
              </w:rPr>
              <w:t>2018</w:t>
            </w:r>
            <w:r>
              <w:rPr>
                <w:rFonts w:ascii="宋体" w:hAnsi="宋体" w:cs="宋体" w:eastAsia="宋体" w:hint="default"/>
                <w:w w:val="95"/>
                <w:sz w:val="21"/>
                <w:szCs w:val="21"/>
              </w:rPr>
              <w:t>年</w:t>
            </w:r>
            <w:r>
              <w:rPr>
                <w:rFonts w:ascii="Arial" w:hAnsi="Arial" w:cs="Arial" w:eastAsia="Arial" w:hint="default"/>
                <w:w w:val="95"/>
                <w:sz w:val="21"/>
                <w:szCs w:val="21"/>
              </w:rPr>
              <w:t>4</w:t>
            </w:r>
            <w:r>
              <w:rPr>
                <w:rFonts w:ascii="宋体" w:hAnsi="宋体" w:cs="宋体" w:eastAsia="宋体" w:hint="default"/>
                <w:w w:val="95"/>
                <w:sz w:val="21"/>
                <w:szCs w:val="21"/>
              </w:rPr>
              <w:t>月</w:t>
            </w:r>
            <w:r>
              <w:rPr>
                <w:rFonts w:ascii="Arial" w:hAnsi="Arial" w:cs="Arial" w:eastAsia="Arial" w:hint="default"/>
                <w:w w:val="95"/>
                <w:sz w:val="21"/>
                <w:szCs w:val="21"/>
              </w:rPr>
              <w:t>24</w:t>
            </w:r>
            <w:r>
              <w:rPr>
                <w:rFonts w:ascii="宋体" w:hAnsi="宋体" w:cs="宋体" w:eastAsia="宋体" w:hint="default"/>
                <w:w w:val="95"/>
                <w:sz w:val="21"/>
                <w:szCs w:val="21"/>
              </w:rPr>
              <w:t>日</w:t>
            </w:r>
            <w:r>
              <w:rPr>
                <w:rFonts w:ascii="宋体" w:hAnsi="宋体" w:cs="宋体" w:eastAsia="宋体" w:hint="default"/>
                <w:sz w:val="21"/>
                <w:szCs w:val="21"/>
              </w:rPr>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left"/>
              <w:rPr>
                <w:rFonts w:ascii="宋体" w:hAnsi="宋体" w:cs="宋体" w:eastAsia="宋体" w:hint="default"/>
                <w:sz w:val="21"/>
                <w:szCs w:val="21"/>
              </w:rPr>
            </w:pPr>
            <w:r>
              <w:rPr>
                <w:rFonts w:ascii="宋体" w:hAnsi="宋体" w:cs="宋体" w:eastAsia="宋体" w:hint="default"/>
                <w:sz w:val="21"/>
                <w:szCs w:val="21"/>
              </w:rPr>
              <w:t>晓督</w:t>
            </w:r>
            <w:r>
              <w:rPr>
                <w:rFonts w:ascii="Arial" w:hAnsi="Arial" w:cs="Arial" w:eastAsia="Arial" w:hint="default"/>
                <w:sz w:val="21"/>
                <w:szCs w:val="21"/>
              </w:rPr>
              <w:t>.</w:t>
            </w:r>
            <w:r>
              <w:rPr>
                <w:rFonts w:ascii="宋体" w:hAnsi="宋体" w:cs="宋体" w:eastAsia="宋体" w:hint="default"/>
                <w:sz w:val="21"/>
                <w:szCs w:val="21"/>
              </w:rPr>
              <w:t>智慧民行辅助系统</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2614147</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42"/>
              <w:jc w:val="right"/>
              <w:rPr>
                <w:rFonts w:ascii="宋体" w:hAnsi="宋体" w:cs="宋体" w:eastAsia="宋体" w:hint="default"/>
                <w:sz w:val="21"/>
                <w:szCs w:val="21"/>
              </w:rPr>
            </w:pPr>
            <w:r>
              <w:rPr>
                <w:rFonts w:ascii="Arial" w:hAnsi="Arial" w:cs="Arial" w:eastAsia="Arial" w:hint="default"/>
                <w:w w:val="95"/>
                <w:sz w:val="21"/>
                <w:szCs w:val="21"/>
              </w:rPr>
              <w:t>2018</w:t>
            </w:r>
            <w:r>
              <w:rPr>
                <w:rFonts w:ascii="宋体" w:hAnsi="宋体" w:cs="宋体" w:eastAsia="宋体" w:hint="default"/>
                <w:w w:val="95"/>
                <w:sz w:val="21"/>
                <w:szCs w:val="21"/>
              </w:rPr>
              <w:t>年</w:t>
            </w:r>
            <w:r>
              <w:rPr>
                <w:rFonts w:ascii="Arial" w:hAnsi="Arial" w:cs="Arial" w:eastAsia="Arial" w:hint="default"/>
                <w:w w:val="95"/>
                <w:sz w:val="21"/>
                <w:szCs w:val="21"/>
              </w:rPr>
              <w:t>4</w:t>
            </w:r>
            <w:r>
              <w:rPr>
                <w:rFonts w:ascii="宋体" w:hAnsi="宋体" w:cs="宋体" w:eastAsia="宋体" w:hint="default"/>
                <w:w w:val="95"/>
                <w:sz w:val="21"/>
                <w:szCs w:val="21"/>
              </w:rPr>
              <w:t>月</w:t>
            </w:r>
            <w:r>
              <w:rPr>
                <w:rFonts w:ascii="Arial" w:hAnsi="Arial" w:cs="Arial" w:eastAsia="Arial" w:hint="default"/>
                <w:w w:val="95"/>
                <w:sz w:val="21"/>
                <w:szCs w:val="21"/>
              </w:rPr>
              <w:t>26</w:t>
            </w:r>
            <w:r>
              <w:rPr>
                <w:rFonts w:ascii="宋体" w:hAnsi="宋体" w:cs="宋体" w:eastAsia="宋体" w:hint="default"/>
                <w:w w:val="95"/>
                <w:sz w:val="21"/>
                <w:szCs w:val="21"/>
              </w:rPr>
              <w:t>日</w:t>
            </w:r>
            <w:r>
              <w:rPr>
                <w:rFonts w:ascii="宋体" w:hAnsi="宋体" w:cs="宋体" w:eastAsia="宋体" w:hint="default"/>
                <w:sz w:val="21"/>
                <w:szCs w:val="21"/>
              </w:rPr>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left"/>
              <w:rPr>
                <w:rFonts w:ascii="宋体" w:hAnsi="宋体" w:cs="宋体" w:eastAsia="宋体" w:hint="default"/>
                <w:sz w:val="21"/>
                <w:szCs w:val="21"/>
              </w:rPr>
            </w:pPr>
            <w:r>
              <w:rPr>
                <w:rFonts w:ascii="宋体" w:hAnsi="宋体" w:cs="宋体" w:eastAsia="宋体" w:hint="default"/>
                <w:sz w:val="21"/>
                <w:szCs w:val="21"/>
              </w:rPr>
              <w:t>法律知识标注平台</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2620865</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42"/>
              <w:jc w:val="right"/>
              <w:rPr>
                <w:rFonts w:ascii="宋体" w:hAnsi="宋体" w:cs="宋体" w:eastAsia="宋体" w:hint="default"/>
                <w:sz w:val="21"/>
                <w:szCs w:val="21"/>
              </w:rPr>
            </w:pPr>
            <w:r>
              <w:rPr>
                <w:rFonts w:ascii="Arial" w:hAnsi="Arial" w:cs="Arial" w:eastAsia="Arial" w:hint="default"/>
                <w:w w:val="95"/>
                <w:sz w:val="21"/>
                <w:szCs w:val="21"/>
              </w:rPr>
              <w:t>2018</w:t>
            </w:r>
            <w:r>
              <w:rPr>
                <w:rFonts w:ascii="宋体" w:hAnsi="宋体" w:cs="宋体" w:eastAsia="宋体" w:hint="default"/>
                <w:w w:val="95"/>
                <w:sz w:val="21"/>
                <w:szCs w:val="21"/>
              </w:rPr>
              <w:t>年</w:t>
            </w:r>
            <w:r>
              <w:rPr>
                <w:rFonts w:ascii="Arial" w:hAnsi="Arial" w:cs="Arial" w:eastAsia="Arial" w:hint="default"/>
                <w:w w:val="95"/>
                <w:sz w:val="21"/>
                <w:szCs w:val="21"/>
              </w:rPr>
              <w:t>4</w:t>
            </w:r>
            <w:r>
              <w:rPr>
                <w:rFonts w:ascii="宋体" w:hAnsi="宋体" w:cs="宋体" w:eastAsia="宋体" w:hint="default"/>
                <w:w w:val="95"/>
                <w:sz w:val="21"/>
                <w:szCs w:val="21"/>
              </w:rPr>
              <w:t>月</w:t>
            </w:r>
            <w:r>
              <w:rPr>
                <w:rFonts w:ascii="Arial" w:hAnsi="Arial" w:cs="Arial" w:eastAsia="Arial" w:hint="default"/>
                <w:w w:val="95"/>
                <w:sz w:val="21"/>
                <w:szCs w:val="21"/>
              </w:rPr>
              <w:t>27</w:t>
            </w:r>
            <w:r>
              <w:rPr>
                <w:rFonts w:ascii="宋体" w:hAnsi="宋体" w:cs="宋体" w:eastAsia="宋体" w:hint="default"/>
                <w:w w:val="95"/>
                <w:sz w:val="21"/>
                <w:szCs w:val="21"/>
              </w:rPr>
              <w:t>日</w:t>
            </w:r>
            <w:r>
              <w:rPr>
                <w:rFonts w:ascii="宋体" w:hAnsi="宋体" w:cs="宋体" w:eastAsia="宋体" w:hint="default"/>
                <w:sz w:val="21"/>
                <w:szCs w:val="21"/>
              </w:rPr>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left"/>
              <w:rPr>
                <w:rFonts w:ascii="宋体" w:hAnsi="宋体" w:cs="宋体" w:eastAsia="宋体" w:hint="default"/>
                <w:sz w:val="21"/>
                <w:szCs w:val="21"/>
              </w:rPr>
            </w:pPr>
            <w:r>
              <w:rPr>
                <w:rFonts w:ascii="宋体" w:hAnsi="宋体" w:cs="宋体" w:eastAsia="宋体" w:hint="default"/>
                <w:sz w:val="21"/>
                <w:szCs w:val="21"/>
              </w:rPr>
              <w:t>文书实体识别测试平台</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2618217</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42"/>
              <w:jc w:val="right"/>
              <w:rPr>
                <w:rFonts w:ascii="宋体" w:hAnsi="宋体" w:cs="宋体" w:eastAsia="宋体" w:hint="default"/>
                <w:sz w:val="21"/>
                <w:szCs w:val="21"/>
              </w:rPr>
            </w:pPr>
            <w:r>
              <w:rPr>
                <w:rFonts w:ascii="Arial" w:hAnsi="Arial" w:cs="Arial" w:eastAsia="Arial" w:hint="default"/>
                <w:w w:val="95"/>
                <w:sz w:val="21"/>
                <w:szCs w:val="21"/>
              </w:rPr>
              <w:t>2018</w:t>
            </w:r>
            <w:r>
              <w:rPr>
                <w:rFonts w:ascii="宋体" w:hAnsi="宋体" w:cs="宋体" w:eastAsia="宋体" w:hint="default"/>
                <w:w w:val="95"/>
                <w:sz w:val="21"/>
                <w:szCs w:val="21"/>
              </w:rPr>
              <w:t>年</w:t>
            </w:r>
            <w:r>
              <w:rPr>
                <w:rFonts w:ascii="Arial" w:hAnsi="Arial" w:cs="Arial" w:eastAsia="Arial" w:hint="default"/>
                <w:w w:val="95"/>
                <w:sz w:val="21"/>
                <w:szCs w:val="21"/>
              </w:rPr>
              <w:t>4</w:t>
            </w:r>
            <w:r>
              <w:rPr>
                <w:rFonts w:ascii="宋体" w:hAnsi="宋体" w:cs="宋体" w:eastAsia="宋体" w:hint="default"/>
                <w:w w:val="95"/>
                <w:sz w:val="21"/>
                <w:szCs w:val="21"/>
              </w:rPr>
              <w:t>月</w:t>
            </w:r>
            <w:r>
              <w:rPr>
                <w:rFonts w:ascii="Arial" w:hAnsi="Arial" w:cs="Arial" w:eastAsia="Arial" w:hint="default"/>
                <w:w w:val="95"/>
                <w:sz w:val="21"/>
                <w:szCs w:val="21"/>
              </w:rPr>
              <w:t>27</w:t>
            </w:r>
            <w:r>
              <w:rPr>
                <w:rFonts w:ascii="宋体" w:hAnsi="宋体" w:cs="宋体" w:eastAsia="宋体" w:hint="default"/>
                <w:w w:val="95"/>
                <w:sz w:val="21"/>
                <w:szCs w:val="21"/>
              </w:rPr>
              <w:t>日</w:t>
            </w:r>
            <w:r>
              <w:rPr>
                <w:rFonts w:ascii="宋体" w:hAnsi="宋体" w:cs="宋体" w:eastAsia="宋体" w:hint="default"/>
                <w:sz w:val="21"/>
                <w:szCs w:val="21"/>
              </w:rPr>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left"/>
              <w:rPr>
                <w:rFonts w:ascii="宋体" w:hAnsi="宋体" w:cs="宋体" w:eastAsia="宋体" w:hint="default"/>
                <w:sz w:val="21"/>
                <w:szCs w:val="21"/>
              </w:rPr>
            </w:pPr>
            <w:r>
              <w:rPr>
                <w:rFonts w:ascii="宋体" w:hAnsi="宋体" w:cs="宋体" w:eastAsia="宋体" w:hint="default"/>
                <w:sz w:val="21"/>
                <w:szCs w:val="21"/>
              </w:rPr>
              <w:t>知识图谱辅助生成平台</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2620869</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42"/>
              <w:jc w:val="right"/>
              <w:rPr>
                <w:rFonts w:ascii="宋体" w:hAnsi="宋体" w:cs="宋体" w:eastAsia="宋体" w:hint="default"/>
                <w:sz w:val="21"/>
                <w:szCs w:val="21"/>
              </w:rPr>
            </w:pPr>
            <w:r>
              <w:rPr>
                <w:rFonts w:ascii="Arial" w:hAnsi="Arial" w:cs="Arial" w:eastAsia="Arial" w:hint="default"/>
                <w:w w:val="95"/>
                <w:sz w:val="21"/>
                <w:szCs w:val="21"/>
              </w:rPr>
              <w:t>2018</w:t>
            </w:r>
            <w:r>
              <w:rPr>
                <w:rFonts w:ascii="宋体" w:hAnsi="宋体" w:cs="宋体" w:eastAsia="宋体" w:hint="default"/>
                <w:w w:val="95"/>
                <w:sz w:val="21"/>
                <w:szCs w:val="21"/>
              </w:rPr>
              <w:t>年</w:t>
            </w:r>
            <w:r>
              <w:rPr>
                <w:rFonts w:ascii="Arial" w:hAnsi="Arial" w:cs="Arial" w:eastAsia="Arial" w:hint="default"/>
                <w:w w:val="95"/>
                <w:sz w:val="21"/>
                <w:szCs w:val="21"/>
              </w:rPr>
              <w:t>4</w:t>
            </w:r>
            <w:r>
              <w:rPr>
                <w:rFonts w:ascii="宋体" w:hAnsi="宋体" w:cs="宋体" w:eastAsia="宋体" w:hint="default"/>
                <w:w w:val="95"/>
                <w:sz w:val="21"/>
                <w:szCs w:val="21"/>
              </w:rPr>
              <w:t>月</w:t>
            </w:r>
            <w:r>
              <w:rPr>
                <w:rFonts w:ascii="Arial" w:hAnsi="Arial" w:cs="Arial" w:eastAsia="Arial" w:hint="default"/>
                <w:w w:val="95"/>
                <w:sz w:val="21"/>
                <w:szCs w:val="21"/>
              </w:rPr>
              <w:t>27</w:t>
            </w:r>
            <w:r>
              <w:rPr>
                <w:rFonts w:ascii="宋体" w:hAnsi="宋体" w:cs="宋体" w:eastAsia="宋体" w:hint="default"/>
                <w:w w:val="95"/>
                <w:sz w:val="21"/>
                <w:szCs w:val="21"/>
              </w:rPr>
              <w:t>日</w:t>
            </w:r>
            <w:r>
              <w:rPr>
                <w:rFonts w:ascii="宋体" w:hAnsi="宋体" w:cs="宋体" w:eastAsia="宋体" w:hint="default"/>
                <w:sz w:val="21"/>
                <w:szCs w:val="21"/>
              </w:rPr>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left"/>
              <w:rPr>
                <w:rFonts w:ascii="宋体" w:hAnsi="宋体" w:cs="宋体" w:eastAsia="宋体" w:hint="default"/>
                <w:sz w:val="21"/>
                <w:szCs w:val="21"/>
              </w:rPr>
            </w:pPr>
            <w:r>
              <w:rPr>
                <w:rFonts w:ascii="宋体" w:hAnsi="宋体" w:cs="宋体" w:eastAsia="宋体" w:hint="default"/>
                <w:sz w:val="21"/>
                <w:szCs w:val="21"/>
              </w:rPr>
              <w:t>晓督</w:t>
            </w:r>
            <w:r>
              <w:rPr>
                <w:rFonts w:ascii="Arial" w:hAnsi="Arial" w:cs="Arial" w:eastAsia="Arial" w:hint="default"/>
                <w:sz w:val="21"/>
                <w:szCs w:val="21"/>
              </w:rPr>
              <w:t>.</w:t>
            </w:r>
            <w:r>
              <w:rPr>
                <w:rFonts w:ascii="宋体" w:hAnsi="宋体" w:cs="宋体" w:eastAsia="宋体" w:hint="default"/>
                <w:sz w:val="21"/>
                <w:szCs w:val="21"/>
              </w:rPr>
              <w:t>智慧公益诉讼线索分析平台</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2632703</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302"/>
              <w:jc w:val="right"/>
              <w:rPr>
                <w:rFonts w:ascii="宋体" w:hAnsi="宋体" w:cs="宋体" w:eastAsia="宋体" w:hint="default"/>
                <w:sz w:val="21"/>
                <w:szCs w:val="21"/>
              </w:rPr>
            </w:pPr>
            <w:r>
              <w:rPr>
                <w:rFonts w:ascii="Arial" w:hAnsi="Arial" w:cs="Arial" w:eastAsia="Arial" w:hint="default"/>
                <w:w w:val="95"/>
                <w:sz w:val="21"/>
                <w:szCs w:val="21"/>
              </w:rPr>
              <w:t>2018</w:t>
            </w:r>
            <w:r>
              <w:rPr>
                <w:rFonts w:ascii="宋体" w:hAnsi="宋体" w:cs="宋体" w:eastAsia="宋体" w:hint="default"/>
                <w:w w:val="95"/>
                <w:sz w:val="21"/>
                <w:szCs w:val="21"/>
              </w:rPr>
              <w:t>年</w:t>
            </w:r>
            <w:r>
              <w:rPr>
                <w:rFonts w:ascii="Arial" w:hAnsi="Arial" w:cs="Arial" w:eastAsia="Arial" w:hint="default"/>
                <w:w w:val="95"/>
                <w:sz w:val="21"/>
                <w:szCs w:val="21"/>
              </w:rPr>
              <w:t>5</w:t>
            </w:r>
            <w:r>
              <w:rPr>
                <w:rFonts w:ascii="宋体" w:hAnsi="宋体" w:cs="宋体" w:eastAsia="宋体" w:hint="default"/>
                <w:w w:val="95"/>
                <w:sz w:val="21"/>
                <w:szCs w:val="21"/>
              </w:rPr>
              <w:t>月</w:t>
            </w:r>
            <w:r>
              <w:rPr>
                <w:rFonts w:ascii="Arial" w:hAnsi="Arial" w:cs="Arial" w:eastAsia="Arial" w:hint="default"/>
                <w:w w:val="95"/>
                <w:sz w:val="21"/>
                <w:szCs w:val="21"/>
              </w:rPr>
              <w:t>4</w:t>
            </w:r>
            <w:r>
              <w:rPr>
                <w:rFonts w:ascii="宋体" w:hAnsi="宋体" w:cs="宋体" w:eastAsia="宋体" w:hint="default"/>
                <w:w w:val="95"/>
                <w:sz w:val="21"/>
                <w:szCs w:val="21"/>
              </w:rPr>
              <w:t>日</w:t>
            </w:r>
            <w:r>
              <w:rPr>
                <w:rFonts w:ascii="宋体" w:hAnsi="宋体" w:cs="宋体" w:eastAsia="宋体" w:hint="default"/>
                <w:sz w:val="21"/>
                <w:szCs w:val="21"/>
              </w:rPr>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left"/>
              <w:rPr>
                <w:rFonts w:ascii="Arial" w:hAnsi="Arial" w:cs="Arial" w:eastAsia="Arial" w:hint="default"/>
                <w:sz w:val="21"/>
                <w:szCs w:val="21"/>
              </w:rPr>
            </w:pPr>
            <w:r>
              <w:rPr>
                <w:rFonts w:ascii="宋体" w:hAnsi="宋体" w:cs="宋体" w:eastAsia="宋体" w:hint="default"/>
                <w:sz w:val="21"/>
                <w:szCs w:val="21"/>
              </w:rPr>
              <w:t>税收收入异动分析监控系统</w:t>
            </w:r>
            <w:r>
              <w:rPr>
                <w:rFonts w:ascii="Arial" w:hAnsi="Arial" w:cs="Arial" w:eastAsia="Arial" w:hint="default"/>
                <w:sz w:val="21"/>
                <w:szCs w:val="21"/>
              </w:rPr>
              <w:t>[</w:t>
            </w:r>
            <w:r>
              <w:rPr>
                <w:rFonts w:ascii="宋体" w:hAnsi="宋体" w:cs="宋体" w:eastAsia="宋体" w:hint="default"/>
                <w:sz w:val="21"/>
                <w:szCs w:val="21"/>
              </w:rPr>
              <w:t>简称：鹰眼</w:t>
            </w:r>
            <w:r>
              <w:rPr>
                <w:rFonts w:ascii="Arial" w:hAnsi="Arial" w:cs="Arial" w:eastAsia="Arial" w:hint="default"/>
                <w:sz w:val="21"/>
                <w:szCs w:val="21"/>
              </w:rPr>
              <w:t>]</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2634697</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302"/>
              <w:jc w:val="right"/>
              <w:rPr>
                <w:rFonts w:ascii="宋体" w:hAnsi="宋体" w:cs="宋体" w:eastAsia="宋体" w:hint="default"/>
                <w:sz w:val="21"/>
                <w:szCs w:val="21"/>
              </w:rPr>
            </w:pPr>
            <w:r>
              <w:rPr>
                <w:rFonts w:ascii="Arial" w:hAnsi="Arial" w:cs="Arial" w:eastAsia="Arial" w:hint="default"/>
                <w:w w:val="95"/>
                <w:sz w:val="21"/>
                <w:szCs w:val="21"/>
              </w:rPr>
              <w:t>2018</w:t>
            </w:r>
            <w:r>
              <w:rPr>
                <w:rFonts w:ascii="宋体" w:hAnsi="宋体" w:cs="宋体" w:eastAsia="宋体" w:hint="default"/>
                <w:w w:val="95"/>
                <w:sz w:val="21"/>
                <w:szCs w:val="21"/>
              </w:rPr>
              <w:t>年</w:t>
            </w:r>
            <w:r>
              <w:rPr>
                <w:rFonts w:ascii="Arial" w:hAnsi="Arial" w:cs="Arial" w:eastAsia="Arial" w:hint="default"/>
                <w:w w:val="95"/>
                <w:sz w:val="21"/>
                <w:szCs w:val="21"/>
              </w:rPr>
              <w:t>5</w:t>
            </w:r>
            <w:r>
              <w:rPr>
                <w:rFonts w:ascii="宋体" w:hAnsi="宋体" w:cs="宋体" w:eastAsia="宋体" w:hint="default"/>
                <w:w w:val="95"/>
                <w:sz w:val="21"/>
                <w:szCs w:val="21"/>
              </w:rPr>
              <w:t>月</w:t>
            </w:r>
            <w:r>
              <w:rPr>
                <w:rFonts w:ascii="Arial" w:hAnsi="Arial" w:cs="Arial" w:eastAsia="Arial" w:hint="default"/>
                <w:w w:val="95"/>
                <w:sz w:val="21"/>
                <w:szCs w:val="21"/>
              </w:rPr>
              <w:t>4</w:t>
            </w:r>
            <w:r>
              <w:rPr>
                <w:rFonts w:ascii="宋体" w:hAnsi="宋体" w:cs="宋体" w:eastAsia="宋体" w:hint="default"/>
                <w:w w:val="95"/>
                <w:sz w:val="21"/>
                <w:szCs w:val="21"/>
              </w:rPr>
              <w:t>日</w:t>
            </w:r>
            <w:r>
              <w:rPr>
                <w:rFonts w:ascii="宋体" w:hAnsi="宋体" w:cs="宋体" w:eastAsia="宋体" w:hint="default"/>
                <w:sz w:val="21"/>
                <w:szCs w:val="21"/>
              </w:rPr>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 w:right="0"/>
              <w:jc w:val="left"/>
              <w:rPr>
                <w:rFonts w:ascii="Arial" w:hAnsi="Arial" w:cs="Arial" w:eastAsia="Arial" w:hint="default"/>
                <w:sz w:val="21"/>
                <w:szCs w:val="21"/>
              </w:rPr>
            </w:pPr>
            <w:r>
              <w:rPr>
                <w:rFonts w:ascii="宋体" w:hAnsi="宋体" w:cs="宋体" w:eastAsia="宋体" w:hint="default"/>
                <w:spacing w:val="-1"/>
                <w:w w:val="99"/>
                <w:sz w:val="21"/>
                <w:szCs w:val="21"/>
              </w:rPr>
              <w:t>房</w:t>
            </w:r>
            <w:r>
              <w:rPr>
                <w:rFonts w:ascii="宋体" w:hAnsi="宋体" w:cs="宋体" w:eastAsia="宋体" w:hint="default"/>
                <w:spacing w:val="2"/>
                <w:w w:val="99"/>
                <w:sz w:val="21"/>
                <w:szCs w:val="21"/>
              </w:rPr>
              <w:t>地</w:t>
            </w:r>
            <w:r>
              <w:rPr>
                <w:rFonts w:ascii="宋体" w:hAnsi="宋体" w:cs="宋体" w:eastAsia="宋体" w:hint="default"/>
                <w:spacing w:val="-1"/>
                <w:w w:val="99"/>
                <w:sz w:val="21"/>
                <w:szCs w:val="21"/>
              </w:rPr>
              <w:t>产</w:t>
            </w:r>
            <w:r>
              <w:rPr>
                <w:rFonts w:ascii="宋体" w:hAnsi="宋体" w:cs="宋体" w:eastAsia="宋体" w:hint="default"/>
                <w:spacing w:val="2"/>
                <w:w w:val="99"/>
                <w:sz w:val="21"/>
                <w:szCs w:val="21"/>
              </w:rPr>
              <w:t>市</w:t>
            </w:r>
            <w:r>
              <w:rPr>
                <w:rFonts w:ascii="宋体" w:hAnsi="宋体" w:cs="宋体" w:eastAsia="宋体" w:hint="default"/>
                <w:spacing w:val="-1"/>
                <w:w w:val="99"/>
                <w:sz w:val="21"/>
                <w:szCs w:val="21"/>
              </w:rPr>
              <w:t>场</w:t>
            </w:r>
            <w:r>
              <w:rPr>
                <w:rFonts w:ascii="宋体" w:hAnsi="宋体" w:cs="宋体" w:eastAsia="宋体" w:hint="default"/>
                <w:spacing w:val="2"/>
                <w:w w:val="99"/>
                <w:sz w:val="21"/>
                <w:szCs w:val="21"/>
              </w:rPr>
              <w:t>综</w:t>
            </w:r>
            <w:r>
              <w:rPr>
                <w:rFonts w:ascii="宋体" w:hAnsi="宋体" w:cs="宋体" w:eastAsia="宋体" w:hint="default"/>
                <w:spacing w:val="-1"/>
                <w:w w:val="99"/>
                <w:sz w:val="21"/>
                <w:szCs w:val="21"/>
              </w:rPr>
              <w:t>合</w:t>
            </w:r>
            <w:r>
              <w:rPr>
                <w:rFonts w:ascii="宋体" w:hAnsi="宋体" w:cs="宋体" w:eastAsia="宋体" w:hint="default"/>
                <w:spacing w:val="2"/>
                <w:w w:val="99"/>
                <w:sz w:val="21"/>
                <w:szCs w:val="21"/>
              </w:rPr>
              <w:t>分</w:t>
            </w:r>
            <w:r>
              <w:rPr>
                <w:rFonts w:ascii="宋体" w:hAnsi="宋体" w:cs="宋体" w:eastAsia="宋体" w:hint="default"/>
                <w:spacing w:val="-1"/>
                <w:w w:val="99"/>
                <w:sz w:val="21"/>
                <w:szCs w:val="21"/>
              </w:rPr>
              <w:t>析</w:t>
            </w:r>
            <w:r>
              <w:rPr>
                <w:rFonts w:ascii="宋体" w:hAnsi="宋体" w:cs="宋体" w:eastAsia="宋体" w:hint="default"/>
                <w:spacing w:val="2"/>
                <w:w w:val="99"/>
                <w:sz w:val="21"/>
                <w:szCs w:val="21"/>
              </w:rPr>
              <w:t>评</w:t>
            </w:r>
            <w:r>
              <w:rPr>
                <w:rFonts w:ascii="宋体" w:hAnsi="宋体" w:cs="宋体" w:eastAsia="宋体" w:hint="default"/>
                <w:spacing w:val="-1"/>
                <w:w w:val="99"/>
                <w:sz w:val="21"/>
                <w:szCs w:val="21"/>
              </w:rPr>
              <w:t>价</w:t>
            </w:r>
            <w:r>
              <w:rPr>
                <w:rFonts w:ascii="宋体" w:hAnsi="宋体" w:cs="宋体" w:eastAsia="宋体" w:hint="default"/>
                <w:spacing w:val="2"/>
                <w:w w:val="99"/>
                <w:sz w:val="21"/>
                <w:szCs w:val="21"/>
              </w:rPr>
              <w:t>系</w:t>
            </w:r>
            <w:r>
              <w:rPr>
                <w:rFonts w:ascii="宋体" w:hAnsi="宋体" w:cs="宋体" w:eastAsia="宋体" w:hint="default"/>
                <w:spacing w:val="-1"/>
                <w:w w:val="99"/>
                <w:sz w:val="21"/>
                <w:szCs w:val="21"/>
              </w:rPr>
              <w:t>统</w:t>
            </w:r>
            <w:r>
              <w:rPr>
                <w:rFonts w:ascii="Arial" w:hAnsi="Arial" w:cs="Arial" w:eastAsia="Arial" w:hint="default"/>
                <w:spacing w:val="-1"/>
                <w:w w:val="99"/>
                <w:sz w:val="21"/>
                <w:szCs w:val="21"/>
              </w:rPr>
              <w:t>[</w:t>
            </w:r>
            <w:r>
              <w:rPr>
                <w:rFonts w:ascii="宋体" w:hAnsi="宋体" w:cs="宋体" w:eastAsia="宋体" w:hint="default"/>
                <w:spacing w:val="-1"/>
                <w:w w:val="99"/>
                <w:sz w:val="21"/>
                <w:szCs w:val="21"/>
              </w:rPr>
              <w:t>简</w:t>
            </w:r>
            <w:r>
              <w:rPr>
                <w:rFonts w:ascii="宋体" w:hAnsi="宋体" w:cs="宋体" w:eastAsia="宋体" w:hint="default"/>
                <w:spacing w:val="2"/>
                <w:w w:val="99"/>
                <w:sz w:val="21"/>
                <w:szCs w:val="21"/>
              </w:rPr>
              <w:t>称</w:t>
            </w:r>
            <w:r>
              <w:rPr>
                <w:rFonts w:ascii="宋体" w:hAnsi="宋体" w:cs="宋体" w:eastAsia="宋体" w:hint="default"/>
                <w:spacing w:val="-87"/>
                <w:w w:val="99"/>
                <w:sz w:val="21"/>
                <w:szCs w:val="21"/>
              </w:rPr>
              <w:t>：</w:t>
            </w:r>
            <w:r>
              <w:rPr>
                <w:rFonts w:ascii="宋体" w:hAnsi="宋体" w:cs="宋体" w:eastAsia="宋体" w:hint="default"/>
                <w:spacing w:val="-1"/>
                <w:w w:val="99"/>
                <w:sz w:val="21"/>
                <w:szCs w:val="21"/>
              </w:rPr>
              <w:t>智</w:t>
            </w:r>
            <w:r>
              <w:rPr>
                <w:rFonts w:ascii="宋体" w:hAnsi="宋体" w:cs="宋体" w:eastAsia="宋体" w:hint="default"/>
                <w:spacing w:val="2"/>
                <w:w w:val="99"/>
                <w:sz w:val="21"/>
                <w:szCs w:val="21"/>
              </w:rPr>
              <w:t>慧</w:t>
            </w:r>
            <w:r>
              <w:rPr>
                <w:rFonts w:ascii="宋体" w:hAnsi="宋体" w:cs="宋体" w:eastAsia="宋体" w:hint="default"/>
                <w:spacing w:val="-1"/>
                <w:w w:val="99"/>
                <w:sz w:val="21"/>
                <w:szCs w:val="21"/>
              </w:rPr>
              <w:t>房</w:t>
            </w:r>
            <w:r>
              <w:rPr>
                <w:rFonts w:ascii="宋体" w:hAnsi="宋体" w:cs="宋体" w:eastAsia="宋体" w:hint="default"/>
                <w:spacing w:val="2"/>
                <w:w w:val="99"/>
                <w:sz w:val="21"/>
                <w:szCs w:val="21"/>
              </w:rPr>
              <w:t>管</w:t>
            </w:r>
            <w:r>
              <w:rPr>
                <w:rFonts w:ascii="Arial" w:hAnsi="Arial" w:cs="Arial" w:eastAsia="Arial" w:hint="default"/>
                <w:w w:val="99"/>
                <w:sz w:val="21"/>
                <w:szCs w:val="21"/>
              </w:rPr>
              <w:t>]</w:t>
            </w:r>
            <w:r>
              <w:rPr>
                <w:rFonts w:ascii="Arial" w:hAnsi="Arial" w:cs="Arial" w:eastAsia="Arial" w:hint="default"/>
                <w:sz w:val="21"/>
                <w:szCs w:val="21"/>
              </w:rPr>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2634666</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302"/>
              <w:jc w:val="right"/>
              <w:rPr>
                <w:rFonts w:ascii="宋体" w:hAnsi="宋体" w:cs="宋体" w:eastAsia="宋体" w:hint="default"/>
                <w:sz w:val="21"/>
                <w:szCs w:val="21"/>
              </w:rPr>
            </w:pPr>
            <w:r>
              <w:rPr>
                <w:rFonts w:ascii="Arial" w:hAnsi="Arial" w:cs="Arial" w:eastAsia="Arial" w:hint="default"/>
                <w:w w:val="95"/>
                <w:sz w:val="21"/>
                <w:szCs w:val="21"/>
              </w:rPr>
              <w:t>2018</w:t>
            </w:r>
            <w:r>
              <w:rPr>
                <w:rFonts w:ascii="宋体" w:hAnsi="宋体" w:cs="宋体" w:eastAsia="宋体" w:hint="default"/>
                <w:w w:val="95"/>
                <w:sz w:val="21"/>
                <w:szCs w:val="21"/>
              </w:rPr>
              <w:t>年</w:t>
            </w:r>
            <w:r>
              <w:rPr>
                <w:rFonts w:ascii="Arial" w:hAnsi="Arial" w:cs="Arial" w:eastAsia="Arial" w:hint="default"/>
                <w:w w:val="95"/>
                <w:sz w:val="21"/>
                <w:szCs w:val="21"/>
              </w:rPr>
              <w:t>5</w:t>
            </w:r>
            <w:r>
              <w:rPr>
                <w:rFonts w:ascii="宋体" w:hAnsi="宋体" w:cs="宋体" w:eastAsia="宋体" w:hint="default"/>
                <w:w w:val="95"/>
                <w:sz w:val="21"/>
                <w:szCs w:val="21"/>
              </w:rPr>
              <w:t>月</w:t>
            </w:r>
            <w:r>
              <w:rPr>
                <w:rFonts w:ascii="Arial" w:hAnsi="Arial" w:cs="Arial" w:eastAsia="Arial" w:hint="default"/>
                <w:w w:val="95"/>
                <w:sz w:val="21"/>
                <w:szCs w:val="21"/>
              </w:rPr>
              <w:t>4</w:t>
            </w:r>
            <w:r>
              <w:rPr>
                <w:rFonts w:ascii="宋体" w:hAnsi="宋体" w:cs="宋体" w:eastAsia="宋体" w:hint="default"/>
                <w:w w:val="95"/>
                <w:sz w:val="21"/>
                <w:szCs w:val="21"/>
              </w:rPr>
              <w:t>日</w:t>
            </w:r>
            <w:r>
              <w:rPr>
                <w:rFonts w:ascii="宋体" w:hAnsi="宋体" w:cs="宋体" w:eastAsia="宋体" w:hint="default"/>
                <w:sz w:val="21"/>
                <w:szCs w:val="21"/>
              </w:rPr>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 w:right="0"/>
              <w:jc w:val="left"/>
              <w:rPr>
                <w:rFonts w:ascii="Arial" w:hAnsi="Arial" w:cs="Arial" w:eastAsia="Arial" w:hint="default"/>
                <w:sz w:val="21"/>
                <w:szCs w:val="21"/>
              </w:rPr>
            </w:pPr>
            <w:r>
              <w:rPr>
                <w:rFonts w:ascii="宋体" w:hAnsi="宋体" w:cs="宋体" w:eastAsia="宋体" w:hint="default"/>
                <w:sz w:val="21"/>
                <w:szCs w:val="21"/>
              </w:rPr>
              <w:t>智能立案系统</w:t>
            </w:r>
            <w:r>
              <w:rPr>
                <w:rFonts w:ascii="Arial" w:hAnsi="Arial" w:cs="Arial" w:eastAsia="Arial" w:hint="default"/>
                <w:sz w:val="21"/>
                <w:szCs w:val="21"/>
              </w:rPr>
              <w:t>V2.1</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3384489</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242"/>
              <w:jc w:val="right"/>
              <w:rPr>
                <w:rFonts w:ascii="宋体" w:hAnsi="宋体" w:cs="宋体" w:eastAsia="宋体" w:hint="default"/>
                <w:sz w:val="21"/>
                <w:szCs w:val="21"/>
              </w:rPr>
            </w:pPr>
            <w:r>
              <w:rPr>
                <w:rFonts w:ascii="Arial" w:hAnsi="Arial" w:cs="Arial" w:eastAsia="Arial" w:hint="default"/>
                <w:w w:val="95"/>
                <w:sz w:val="21"/>
                <w:szCs w:val="21"/>
              </w:rPr>
              <w:t>2018</w:t>
            </w:r>
            <w:r>
              <w:rPr>
                <w:rFonts w:ascii="宋体" w:hAnsi="宋体" w:cs="宋体" w:eastAsia="宋体" w:hint="default"/>
                <w:w w:val="95"/>
                <w:sz w:val="21"/>
                <w:szCs w:val="21"/>
              </w:rPr>
              <w:t>年</w:t>
            </w:r>
            <w:r>
              <w:rPr>
                <w:rFonts w:ascii="Arial" w:hAnsi="Arial" w:cs="Arial" w:eastAsia="Arial" w:hint="default"/>
                <w:w w:val="95"/>
                <w:sz w:val="21"/>
                <w:szCs w:val="21"/>
              </w:rPr>
              <w:t>5</w:t>
            </w:r>
            <w:r>
              <w:rPr>
                <w:rFonts w:ascii="宋体" w:hAnsi="宋体" w:cs="宋体" w:eastAsia="宋体" w:hint="default"/>
                <w:w w:val="95"/>
                <w:sz w:val="21"/>
                <w:szCs w:val="21"/>
              </w:rPr>
              <w:t>月</w:t>
            </w:r>
            <w:r>
              <w:rPr>
                <w:rFonts w:ascii="Arial" w:hAnsi="Arial" w:cs="Arial" w:eastAsia="Arial" w:hint="default"/>
                <w:w w:val="95"/>
                <w:sz w:val="21"/>
                <w:szCs w:val="21"/>
              </w:rPr>
              <w:t>12</w:t>
            </w:r>
            <w:r>
              <w:rPr>
                <w:rFonts w:ascii="宋体" w:hAnsi="宋体" w:cs="宋体" w:eastAsia="宋体" w:hint="default"/>
                <w:w w:val="95"/>
                <w:sz w:val="21"/>
                <w:szCs w:val="21"/>
              </w:rPr>
              <w:t>日</w:t>
            </w:r>
            <w:r>
              <w:rPr>
                <w:rFonts w:ascii="宋体" w:hAnsi="宋体" w:cs="宋体" w:eastAsia="宋体" w:hint="default"/>
                <w:sz w:val="21"/>
                <w:szCs w:val="21"/>
              </w:rPr>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诉讼服务引导系统</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2669264</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242"/>
              <w:jc w:val="right"/>
              <w:rPr>
                <w:rFonts w:ascii="宋体" w:hAnsi="宋体" w:cs="宋体" w:eastAsia="宋体" w:hint="default"/>
                <w:sz w:val="21"/>
                <w:szCs w:val="21"/>
              </w:rPr>
            </w:pPr>
            <w:r>
              <w:rPr>
                <w:rFonts w:ascii="Arial" w:hAnsi="Arial" w:cs="Arial" w:eastAsia="Arial" w:hint="default"/>
                <w:w w:val="95"/>
                <w:sz w:val="21"/>
                <w:szCs w:val="21"/>
              </w:rPr>
              <w:t>2018</w:t>
            </w:r>
            <w:r>
              <w:rPr>
                <w:rFonts w:ascii="宋体" w:hAnsi="宋体" w:cs="宋体" w:eastAsia="宋体" w:hint="default"/>
                <w:w w:val="95"/>
                <w:sz w:val="21"/>
                <w:szCs w:val="21"/>
              </w:rPr>
              <w:t>年</w:t>
            </w:r>
            <w:r>
              <w:rPr>
                <w:rFonts w:ascii="Arial" w:hAnsi="Arial" w:cs="Arial" w:eastAsia="Arial" w:hint="default"/>
                <w:w w:val="95"/>
                <w:sz w:val="21"/>
                <w:szCs w:val="21"/>
              </w:rPr>
              <w:t>5</w:t>
            </w:r>
            <w:r>
              <w:rPr>
                <w:rFonts w:ascii="宋体" w:hAnsi="宋体" w:cs="宋体" w:eastAsia="宋体" w:hint="default"/>
                <w:w w:val="95"/>
                <w:sz w:val="21"/>
                <w:szCs w:val="21"/>
              </w:rPr>
              <w:t>月</w:t>
            </w:r>
            <w:r>
              <w:rPr>
                <w:rFonts w:ascii="Arial" w:hAnsi="Arial" w:cs="Arial" w:eastAsia="Arial" w:hint="default"/>
                <w:w w:val="95"/>
                <w:sz w:val="21"/>
                <w:szCs w:val="21"/>
              </w:rPr>
              <w:t>15</w:t>
            </w:r>
            <w:r>
              <w:rPr>
                <w:rFonts w:ascii="宋体" w:hAnsi="宋体" w:cs="宋体" w:eastAsia="宋体" w:hint="default"/>
                <w:w w:val="95"/>
                <w:sz w:val="21"/>
                <w:szCs w:val="21"/>
              </w:rPr>
              <w:t>日</w:t>
            </w:r>
            <w:r>
              <w:rPr>
                <w:rFonts w:ascii="宋体" w:hAnsi="宋体" w:cs="宋体" w:eastAsia="宋体" w:hint="default"/>
                <w:sz w:val="21"/>
                <w:szCs w:val="21"/>
              </w:rPr>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left"/>
              <w:rPr>
                <w:rFonts w:ascii="宋体" w:hAnsi="宋体" w:cs="宋体" w:eastAsia="宋体" w:hint="default"/>
                <w:sz w:val="21"/>
                <w:szCs w:val="21"/>
              </w:rPr>
            </w:pPr>
            <w:r>
              <w:rPr>
                <w:rFonts w:ascii="宋体" w:hAnsi="宋体" w:cs="宋体" w:eastAsia="宋体" w:hint="default"/>
                <w:sz w:val="21"/>
                <w:szCs w:val="21"/>
              </w:rPr>
              <w:t>元典企业调查系统</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2667554</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42"/>
              <w:jc w:val="right"/>
              <w:rPr>
                <w:rFonts w:ascii="宋体" w:hAnsi="宋体" w:cs="宋体" w:eastAsia="宋体" w:hint="default"/>
                <w:sz w:val="21"/>
                <w:szCs w:val="21"/>
              </w:rPr>
            </w:pPr>
            <w:r>
              <w:rPr>
                <w:rFonts w:ascii="Arial" w:hAnsi="Arial" w:cs="Arial" w:eastAsia="Arial" w:hint="default"/>
                <w:w w:val="95"/>
                <w:sz w:val="21"/>
                <w:szCs w:val="21"/>
              </w:rPr>
              <w:t>2018</w:t>
            </w:r>
            <w:r>
              <w:rPr>
                <w:rFonts w:ascii="宋体" w:hAnsi="宋体" w:cs="宋体" w:eastAsia="宋体" w:hint="default"/>
                <w:w w:val="95"/>
                <w:sz w:val="21"/>
                <w:szCs w:val="21"/>
              </w:rPr>
              <w:t>年</w:t>
            </w:r>
            <w:r>
              <w:rPr>
                <w:rFonts w:ascii="Arial" w:hAnsi="Arial" w:cs="Arial" w:eastAsia="Arial" w:hint="default"/>
                <w:w w:val="95"/>
                <w:sz w:val="21"/>
                <w:szCs w:val="21"/>
              </w:rPr>
              <w:t>5</w:t>
            </w:r>
            <w:r>
              <w:rPr>
                <w:rFonts w:ascii="宋体" w:hAnsi="宋体" w:cs="宋体" w:eastAsia="宋体" w:hint="default"/>
                <w:w w:val="95"/>
                <w:sz w:val="21"/>
                <w:szCs w:val="21"/>
              </w:rPr>
              <w:t>月</w:t>
            </w:r>
            <w:r>
              <w:rPr>
                <w:rFonts w:ascii="Arial" w:hAnsi="Arial" w:cs="Arial" w:eastAsia="Arial" w:hint="default"/>
                <w:w w:val="95"/>
                <w:sz w:val="21"/>
                <w:szCs w:val="21"/>
              </w:rPr>
              <w:t>15</w:t>
            </w:r>
            <w:r>
              <w:rPr>
                <w:rFonts w:ascii="宋体" w:hAnsi="宋体" w:cs="宋体" w:eastAsia="宋体" w:hint="default"/>
                <w:w w:val="95"/>
                <w:sz w:val="21"/>
                <w:szCs w:val="21"/>
              </w:rPr>
              <w:t>日</w:t>
            </w:r>
            <w:r>
              <w:rPr>
                <w:rFonts w:ascii="宋体" w:hAnsi="宋体" w:cs="宋体" w:eastAsia="宋体" w:hint="default"/>
                <w:sz w:val="21"/>
                <w:szCs w:val="21"/>
              </w:rPr>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left"/>
              <w:rPr>
                <w:rFonts w:ascii="宋体" w:hAnsi="宋体" w:cs="宋体" w:eastAsia="宋体" w:hint="default"/>
                <w:sz w:val="21"/>
                <w:szCs w:val="21"/>
              </w:rPr>
            </w:pPr>
            <w:r>
              <w:rPr>
                <w:rFonts w:ascii="宋体" w:hAnsi="宋体" w:cs="宋体" w:eastAsia="宋体" w:hint="default"/>
                <w:sz w:val="21"/>
                <w:szCs w:val="21"/>
              </w:rPr>
              <w:t>执行风险智能评估系统</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2682838</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42"/>
              <w:jc w:val="right"/>
              <w:rPr>
                <w:rFonts w:ascii="宋体" w:hAnsi="宋体" w:cs="宋体" w:eastAsia="宋体" w:hint="default"/>
                <w:sz w:val="21"/>
                <w:szCs w:val="21"/>
              </w:rPr>
            </w:pPr>
            <w:r>
              <w:rPr>
                <w:rFonts w:ascii="Arial" w:hAnsi="Arial" w:cs="Arial" w:eastAsia="Arial" w:hint="default"/>
                <w:w w:val="95"/>
                <w:sz w:val="21"/>
                <w:szCs w:val="21"/>
              </w:rPr>
              <w:t>2018</w:t>
            </w:r>
            <w:r>
              <w:rPr>
                <w:rFonts w:ascii="宋体" w:hAnsi="宋体" w:cs="宋体" w:eastAsia="宋体" w:hint="default"/>
                <w:w w:val="95"/>
                <w:sz w:val="21"/>
                <w:szCs w:val="21"/>
              </w:rPr>
              <w:t>年</w:t>
            </w:r>
            <w:r>
              <w:rPr>
                <w:rFonts w:ascii="Arial" w:hAnsi="Arial" w:cs="Arial" w:eastAsia="Arial" w:hint="default"/>
                <w:w w:val="95"/>
                <w:sz w:val="21"/>
                <w:szCs w:val="21"/>
              </w:rPr>
              <w:t>5</w:t>
            </w:r>
            <w:r>
              <w:rPr>
                <w:rFonts w:ascii="宋体" w:hAnsi="宋体" w:cs="宋体" w:eastAsia="宋体" w:hint="default"/>
                <w:w w:val="95"/>
                <w:sz w:val="21"/>
                <w:szCs w:val="21"/>
              </w:rPr>
              <w:t>月</w:t>
            </w:r>
            <w:r>
              <w:rPr>
                <w:rFonts w:ascii="Arial" w:hAnsi="Arial" w:cs="Arial" w:eastAsia="Arial" w:hint="default"/>
                <w:w w:val="95"/>
                <w:sz w:val="21"/>
                <w:szCs w:val="21"/>
              </w:rPr>
              <w:t>18</w:t>
            </w:r>
            <w:r>
              <w:rPr>
                <w:rFonts w:ascii="宋体" w:hAnsi="宋体" w:cs="宋体" w:eastAsia="宋体" w:hint="default"/>
                <w:w w:val="95"/>
                <w:sz w:val="21"/>
                <w:szCs w:val="21"/>
              </w:rPr>
              <w:t>日</w:t>
            </w:r>
            <w:r>
              <w:rPr>
                <w:rFonts w:ascii="宋体" w:hAnsi="宋体" w:cs="宋体" w:eastAsia="宋体" w:hint="default"/>
                <w:sz w:val="21"/>
                <w:szCs w:val="21"/>
              </w:rPr>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left"/>
              <w:rPr>
                <w:rFonts w:ascii="宋体" w:hAnsi="宋体" w:cs="宋体" w:eastAsia="宋体" w:hint="default"/>
                <w:sz w:val="21"/>
                <w:szCs w:val="21"/>
              </w:rPr>
            </w:pPr>
            <w:r>
              <w:rPr>
                <w:rFonts w:ascii="宋体" w:hAnsi="宋体" w:cs="宋体" w:eastAsia="宋体" w:hint="default"/>
                <w:sz w:val="21"/>
                <w:szCs w:val="21"/>
              </w:rPr>
              <w:t>智能信息发布系统</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2699068</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42"/>
              <w:jc w:val="right"/>
              <w:rPr>
                <w:rFonts w:ascii="宋体" w:hAnsi="宋体" w:cs="宋体" w:eastAsia="宋体" w:hint="default"/>
                <w:sz w:val="21"/>
                <w:szCs w:val="21"/>
              </w:rPr>
            </w:pPr>
            <w:r>
              <w:rPr>
                <w:rFonts w:ascii="Arial" w:hAnsi="Arial" w:cs="Arial" w:eastAsia="Arial" w:hint="default"/>
                <w:w w:val="95"/>
                <w:sz w:val="21"/>
                <w:szCs w:val="21"/>
              </w:rPr>
              <w:t>2018</w:t>
            </w:r>
            <w:r>
              <w:rPr>
                <w:rFonts w:ascii="宋体" w:hAnsi="宋体" w:cs="宋体" w:eastAsia="宋体" w:hint="default"/>
                <w:w w:val="95"/>
                <w:sz w:val="21"/>
                <w:szCs w:val="21"/>
              </w:rPr>
              <w:t>年</w:t>
            </w:r>
            <w:r>
              <w:rPr>
                <w:rFonts w:ascii="Arial" w:hAnsi="Arial" w:cs="Arial" w:eastAsia="Arial" w:hint="default"/>
                <w:w w:val="95"/>
                <w:sz w:val="21"/>
                <w:szCs w:val="21"/>
              </w:rPr>
              <w:t>5</w:t>
            </w:r>
            <w:r>
              <w:rPr>
                <w:rFonts w:ascii="宋体" w:hAnsi="宋体" w:cs="宋体" w:eastAsia="宋体" w:hint="default"/>
                <w:w w:val="95"/>
                <w:sz w:val="21"/>
                <w:szCs w:val="21"/>
              </w:rPr>
              <w:t>月</w:t>
            </w:r>
            <w:r>
              <w:rPr>
                <w:rFonts w:ascii="Arial" w:hAnsi="Arial" w:cs="Arial" w:eastAsia="Arial" w:hint="default"/>
                <w:w w:val="95"/>
                <w:sz w:val="21"/>
                <w:szCs w:val="21"/>
              </w:rPr>
              <w:t>23</w:t>
            </w:r>
            <w:r>
              <w:rPr>
                <w:rFonts w:ascii="宋体" w:hAnsi="宋体" w:cs="宋体" w:eastAsia="宋体" w:hint="default"/>
                <w:w w:val="95"/>
                <w:sz w:val="21"/>
                <w:szCs w:val="21"/>
              </w:rPr>
              <w:t>日</w:t>
            </w:r>
            <w:r>
              <w:rPr>
                <w:rFonts w:ascii="宋体" w:hAnsi="宋体" w:cs="宋体" w:eastAsia="宋体" w:hint="default"/>
                <w:sz w:val="21"/>
                <w:szCs w:val="21"/>
              </w:rPr>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left"/>
              <w:rPr>
                <w:rFonts w:ascii="宋体" w:hAnsi="宋体" w:cs="宋体" w:eastAsia="宋体" w:hint="default"/>
                <w:sz w:val="21"/>
                <w:szCs w:val="21"/>
              </w:rPr>
            </w:pPr>
            <w:r>
              <w:rPr>
                <w:rFonts w:ascii="宋体" w:hAnsi="宋体" w:cs="宋体" w:eastAsia="宋体" w:hint="default"/>
                <w:sz w:val="21"/>
                <w:szCs w:val="21"/>
              </w:rPr>
              <w:t>元典律师文书助手软件</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2707476</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42"/>
              <w:jc w:val="right"/>
              <w:rPr>
                <w:rFonts w:ascii="宋体" w:hAnsi="宋体" w:cs="宋体" w:eastAsia="宋体" w:hint="default"/>
                <w:sz w:val="21"/>
                <w:szCs w:val="21"/>
              </w:rPr>
            </w:pPr>
            <w:r>
              <w:rPr>
                <w:rFonts w:ascii="Arial" w:hAnsi="Arial" w:cs="Arial" w:eastAsia="Arial" w:hint="default"/>
                <w:w w:val="95"/>
                <w:sz w:val="21"/>
                <w:szCs w:val="21"/>
              </w:rPr>
              <w:t>2018</w:t>
            </w:r>
            <w:r>
              <w:rPr>
                <w:rFonts w:ascii="宋体" w:hAnsi="宋体" w:cs="宋体" w:eastAsia="宋体" w:hint="default"/>
                <w:w w:val="95"/>
                <w:sz w:val="21"/>
                <w:szCs w:val="21"/>
              </w:rPr>
              <w:t>年</w:t>
            </w:r>
            <w:r>
              <w:rPr>
                <w:rFonts w:ascii="Arial" w:hAnsi="Arial" w:cs="Arial" w:eastAsia="Arial" w:hint="default"/>
                <w:w w:val="95"/>
                <w:sz w:val="21"/>
                <w:szCs w:val="21"/>
              </w:rPr>
              <w:t>5</w:t>
            </w:r>
            <w:r>
              <w:rPr>
                <w:rFonts w:ascii="宋体" w:hAnsi="宋体" w:cs="宋体" w:eastAsia="宋体" w:hint="default"/>
                <w:w w:val="95"/>
                <w:sz w:val="21"/>
                <w:szCs w:val="21"/>
              </w:rPr>
              <w:t>月</w:t>
            </w:r>
            <w:r>
              <w:rPr>
                <w:rFonts w:ascii="Arial" w:hAnsi="Arial" w:cs="Arial" w:eastAsia="Arial" w:hint="default"/>
                <w:w w:val="95"/>
                <w:sz w:val="21"/>
                <w:szCs w:val="21"/>
              </w:rPr>
              <w:t>24</w:t>
            </w:r>
            <w:r>
              <w:rPr>
                <w:rFonts w:ascii="宋体" w:hAnsi="宋体" w:cs="宋体" w:eastAsia="宋体" w:hint="default"/>
                <w:w w:val="95"/>
                <w:sz w:val="21"/>
                <w:szCs w:val="21"/>
              </w:rPr>
              <w:t>日</w:t>
            </w:r>
            <w:r>
              <w:rPr>
                <w:rFonts w:ascii="宋体" w:hAnsi="宋体" w:cs="宋体" w:eastAsia="宋体" w:hint="default"/>
                <w:sz w:val="21"/>
                <w:szCs w:val="21"/>
              </w:rPr>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left"/>
              <w:rPr>
                <w:rFonts w:ascii="宋体" w:hAnsi="宋体" w:cs="宋体" w:eastAsia="宋体" w:hint="default"/>
                <w:sz w:val="21"/>
                <w:szCs w:val="21"/>
              </w:rPr>
            </w:pPr>
            <w:r>
              <w:rPr>
                <w:rFonts w:ascii="宋体" w:hAnsi="宋体" w:cs="宋体" w:eastAsia="宋体" w:hint="default"/>
                <w:sz w:val="21"/>
                <w:szCs w:val="21"/>
              </w:rPr>
              <w:t>裁判观点分析系统</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2718586</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42"/>
              <w:jc w:val="right"/>
              <w:rPr>
                <w:rFonts w:ascii="宋体" w:hAnsi="宋体" w:cs="宋体" w:eastAsia="宋体" w:hint="default"/>
                <w:sz w:val="21"/>
                <w:szCs w:val="21"/>
              </w:rPr>
            </w:pPr>
            <w:r>
              <w:rPr>
                <w:rFonts w:ascii="Arial" w:hAnsi="Arial" w:cs="Arial" w:eastAsia="Arial" w:hint="default"/>
                <w:w w:val="95"/>
                <w:sz w:val="21"/>
                <w:szCs w:val="21"/>
              </w:rPr>
              <w:t>2018</w:t>
            </w:r>
            <w:r>
              <w:rPr>
                <w:rFonts w:ascii="宋体" w:hAnsi="宋体" w:cs="宋体" w:eastAsia="宋体" w:hint="default"/>
                <w:w w:val="95"/>
                <w:sz w:val="21"/>
                <w:szCs w:val="21"/>
              </w:rPr>
              <w:t>年</w:t>
            </w:r>
            <w:r>
              <w:rPr>
                <w:rFonts w:ascii="Arial" w:hAnsi="Arial" w:cs="Arial" w:eastAsia="Arial" w:hint="default"/>
                <w:w w:val="95"/>
                <w:sz w:val="21"/>
                <w:szCs w:val="21"/>
              </w:rPr>
              <w:t>5</w:t>
            </w:r>
            <w:r>
              <w:rPr>
                <w:rFonts w:ascii="宋体" w:hAnsi="宋体" w:cs="宋体" w:eastAsia="宋体" w:hint="default"/>
                <w:w w:val="95"/>
                <w:sz w:val="21"/>
                <w:szCs w:val="21"/>
              </w:rPr>
              <w:t>月</w:t>
            </w:r>
            <w:r>
              <w:rPr>
                <w:rFonts w:ascii="Arial" w:hAnsi="Arial" w:cs="Arial" w:eastAsia="Arial" w:hint="default"/>
                <w:w w:val="95"/>
                <w:sz w:val="21"/>
                <w:szCs w:val="21"/>
              </w:rPr>
              <w:t>28</w:t>
            </w:r>
            <w:r>
              <w:rPr>
                <w:rFonts w:ascii="宋体" w:hAnsi="宋体" w:cs="宋体" w:eastAsia="宋体" w:hint="default"/>
                <w:w w:val="95"/>
                <w:sz w:val="21"/>
                <w:szCs w:val="21"/>
              </w:rPr>
              <w:t>日</w:t>
            </w:r>
            <w:r>
              <w:rPr>
                <w:rFonts w:ascii="宋体" w:hAnsi="宋体" w:cs="宋体" w:eastAsia="宋体" w:hint="default"/>
                <w:sz w:val="21"/>
                <w:szCs w:val="21"/>
              </w:rPr>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left"/>
              <w:rPr>
                <w:rFonts w:ascii="宋体" w:hAnsi="宋体" w:cs="宋体" w:eastAsia="宋体" w:hint="default"/>
                <w:sz w:val="21"/>
                <w:szCs w:val="21"/>
              </w:rPr>
            </w:pPr>
            <w:r>
              <w:rPr>
                <w:rFonts w:ascii="宋体" w:hAnsi="宋体" w:cs="宋体" w:eastAsia="宋体" w:hint="default"/>
                <w:sz w:val="21"/>
                <w:szCs w:val="21"/>
              </w:rPr>
              <w:t>案情可视化系统</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2721171</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42"/>
              <w:jc w:val="right"/>
              <w:rPr>
                <w:rFonts w:ascii="宋体" w:hAnsi="宋体" w:cs="宋体" w:eastAsia="宋体" w:hint="default"/>
                <w:sz w:val="21"/>
                <w:szCs w:val="21"/>
              </w:rPr>
            </w:pPr>
            <w:r>
              <w:rPr>
                <w:rFonts w:ascii="Arial" w:hAnsi="Arial" w:cs="Arial" w:eastAsia="Arial" w:hint="default"/>
                <w:w w:val="95"/>
                <w:sz w:val="21"/>
                <w:szCs w:val="21"/>
              </w:rPr>
              <w:t>2018</w:t>
            </w:r>
            <w:r>
              <w:rPr>
                <w:rFonts w:ascii="宋体" w:hAnsi="宋体" w:cs="宋体" w:eastAsia="宋体" w:hint="default"/>
                <w:w w:val="95"/>
                <w:sz w:val="21"/>
                <w:szCs w:val="21"/>
              </w:rPr>
              <w:t>年</w:t>
            </w:r>
            <w:r>
              <w:rPr>
                <w:rFonts w:ascii="Arial" w:hAnsi="Arial" w:cs="Arial" w:eastAsia="Arial" w:hint="default"/>
                <w:w w:val="95"/>
                <w:sz w:val="21"/>
                <w:szCs w:val="21"/>
              </w:rPr>
              <w:t>5</w:t>
            </w:r>
            <w:r>
              <w:rPr>
                <w:rFonts w:ascii="宋体" w:hAnsi="宋体" w:cs="宋体" w:eastAsia="宋体" w:hint="default"/>
                <w:w w:val="95"/>
                <w:sz w:val="21"/>
                <w:szCs w:val="21"/>
              </w:rPr>
              <w:t>月</w:t>
            </w:r>
            <w:r>
              <w:rPr>
                <w:rFonts w:ascii="Arial" w:hAnsi="Arial" w:cs="Arial" w:eastAsia="Arial" w:hint="default"/>
                <w:w w:val="95"/>
                <w:sz w:val="21"/>
                <w:szCs w:val="21"/>
              </w:rPr>
              <w:t>29</w:t>
            </w:r>
            <w:r>
              <w:rPr>
                <w:rFonts w:ascii="宋体" w:hAnsi="宋体" w:cs="宋体" w:eastAsia="宋体" w:hint="default"/>
                <w:w w:val="95"/>
                <w:sz w:val="21"/>
                <w:szCs w:val="21"/>
              </w:rPr>
              <w:t>日</w:t>
            </w:r>
            <w:r>
              <w:rPr>
                <w:rFonts w:ascii="宋体" w:hAnsi="宋体" w:cs="宋体" w:eastAsia="宋体" w:hint="default"/>
                <w:sz w:val="21"/>
                <w:szCs w:val="21"/>
              </w:rPr>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left"/>
              <w:rPr>
                <w:rFonts w:ascii="宋体" w:hAnsi="宋体" w:cs="宋体" w:eastAsia="宋体" w:hint="default"/>
                <w:sz w:val="21"/>
                <w:szCs w:val="21"/>
              </w:rPr>
            </w:pPr>
            <w:r>
              <w:rPr>
                <w:rFonts w:ascii="宋体" w:hAnsi="宋体" w:cs="宋体" w:eastAsia="宋体" w:hint="default"/>
                <w:sz w:val="21"/>
                <w:szCs w:val="21"/>
              </w:rPr>
              <w:t>法律认知引擎系统</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2740150</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302"/>
              <w:jc w:val="right"/>
              <w:rPr>
                <w:rFonts w:ascii="宋体" w:hAnsi="宋体" w:cs="宋体" w:eastAsia="宋体" w:hint="default"/>
                <w:sz w:val="21"/>
                <w:szCs w:val="21"/>
              </w:rPr>
            </w:pPr>
            <w:r>
              <w:rPr>
                <w:rFonts w:ascii="Arial" w:hAnsi="Arial" w:cs="Arial" w:eastAsia="Arial" w:hint="default"/>
                <w:w w:val="95"/>
                <w:sz w:val="21"/>
                <w:szCs w:val="21"/>
              </w:rPr>
              <w:t>2018</w:t>
            </w:r>
            <w:r>
              <w:rPr>
                <w:rFonts w:ascii="宋体" w:hAnsi="宋体" w:cs="宋体" w:eastAsia="宋体" w:hint="default"/>
                <w:w w:val="95"/>
                <w:sz w:val="21"/>
                <w:szCs w:val="21"/>
              </w:rPr>
              <w:t>年</w:t>
            </w:r>
            <w:r>
              <w:rPr>
                <w:rFonts w:ascii="Arial" w:hAnsi="Arial" w:cs="Arial" w:eastAsia="Arial" w:hint="default"/>
                <w:w w:val="95"/>
                <w:sz w:val="21"/>
                <w:szCs w:val="21"/>
              </w:rPr>
              <w:t>6</w:t>
            </w:r>
            <w:r>
              <w:rPr>
                <w:rFonts w:ascii="宋体" w:hAnsi="宋体" w:cs="宋体" w:eastAsia="宋体" w:hint="default"/>
                <w:w w:val="95"/>
                <w:sz w:val="21"/>
                <w:szCs w:val="21"/>
              </w:rPr>
              <w:t>月</w:t>
            </w:r>
            <w:r>
              <w:rPr>
                <w:rFonts w:ascii="Arial" w:hAnsi="Arial" w:cs="Arial" w:eastAsia="Arial" w:hint="default"/>
                <w:w w:val="95"/>
                <w:sz w:val="21"/>
                <w:szCs w:val="21"/>
              </w:rPr>
              <w:t>4</w:t>
            </w:r>
            <w:r>
              <w:rPr>
                <w:rFonts w:ascii="宋体" w:hAnsi="宋体" w:cs="宋体" w:eastAsia="宋体" w:hint="default"/>
                <w:w w:val="95"/>
                <w:sz w:val="21"/>
                <w:szCs w:val="21"/>
              </w:rPr>
              <w:t>日</w:t>
            </w:r>
            <w:r>
              <w:rPr>
                <w:rFonts w:ascii="宋体" w:hAnsi="宋体" w:cs="宋体" w:eastAsia="宋体" w:hint="default"/>
                <w:sz w:val="21"/>
                <w:szCs w:val="21"/>
              </w:rPr>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left"/>
              <w:rPr>
                <w:rFonts w:ascii="宋体" w:hAnsi="宋体" w:cs="宋体" w:eastAsia="宋体" w:hint="default"/>
                <w:sz w:val="21"/>
                <w:szCs w:val="21"/>
              </w:rPr>
            </w:pPr>
            <w:r>
              <w:rPr>
                <w:rFonts w:ascii="宋体" w:hAnsi="宋体" w:cs="宋体" w:eastAsia="宋体" w:hint="default"/>
                <w:sz w:val="21"/>
                <w:szCs w:val="21"/>
              </w:rPr>
              <w:t>智能视频巡查平台</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2745869</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302"/>
              <w:jc w:val="right"/>
              <w:rPr>
                <w:rFonts w:ascii="宋体" w:hAnsi="宋体" w:cs="宋体" w:eastAsia="宋体" w:hint="default"/>
                <w:sz w:val="21"/>
                <w:szCs w:val="21"/>
              </w:rPr>
            </w:pPr>
            <w:r>
              <w:rPr>
                <w:rFonts w:ascii="Arial" w:hAnsi="Arial" w:cs="Arial" w:eastAsia="Arial" w:hint="default"/>
                <w:w w:val="95"/>
                <w:sz w:val="21"/>
                <w:szCs w:val="21"/>
              </w:rPr>
              <w:t>2018</w:t>
            </w:r>
            <w:r>
              <w:rPr>
                <w:rFonts w:ascii="宋体" w:hAnsi="宋体" w:cs="宋体" w:eastAsia="宋体" w:hint="default"/>
                <w:w w:val="95"/>
                <w:sz w:val="21"/>
                <w:szCs w:val="21"/>
              </w:rPr>
              <w:t>年</w:t>
            </w:r>
            <w:r>
              <w:rPr>
                <w:rFonts w:ascii="Arial" w:hAnsi="Arial" w:cs="Arial" w:eastAsia="Arial" w:hint="default"/>
                <w:w w:val="95"/>
                <w:sz w:val="21"/>
                <w:szCs w:val="21"/>
              </w:rPr>
              <w:t>6</w:t>
            </w:r>
            <w:r>
              <w:rPr>
                <w:rFonts w:ascii="宋体" w:hAnsi="宋体" w:cs="宋体" w:eastAsia="宋体" w:hint="default"/>
                <w:w w:val="95"/>
                <w:sz w:val="21"/>
                <w:szCs w:val="21"/>
              </w:rPr>
              <w:t>月</w:t>
            </w:r>
            <w:r>
              <w:rPr>
                <w:rFonts w:ascii="Arial" w:hAnsi="Arial" w:cs="Arial" w:eastAsia="Arial" w:hint="default"/>
                <w:w w:val="95"/>
                <w:sz w:val="21"/>
                <w:szCs w:val="21"/>
              </w:rPr>
              <w:t>5</w:t>
            </w:r>
            <w:r>
              <w:rPr>
                <w:rFonts w:ascii="宋体" w:hAnsi="宋体" w:cs="宋体" w:eastAsia="宋体" w:hint="default"/>
                <w:w w:val="95"/>
                <w:sz w:val="21"/>
                <w:szCs w:val="21"/>
              </w:rPr>
              <w:t>日</w:t>
            </w:r>
            <w:r>
              <w:rPr>
                <w:rFonts w:ascii="宋体" w:hAnsi="宋体" w:cs="宋体" w:eastAsia="宋体" w:hint="default"/>
                <w:sz w:val="21"/>
                <w:szCs w:val="21"/>
              </w:rPr>
            </w:r>
          </w:p>
        </w:tc>
      </w:tr>
      <w:tr>
        <w:trPr>
          <w:trHeight w:val="739"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left"/>
              <w:rPr>
                <w:rFonts w:ascii="宋体" w:hAnsi="宋体" w:cs="宋体" w:eastAsia="宋体" w:hint="default"/>
                <w:sz w:val="21"/>
                <w:szCs w:val="21"/>
              </w:rPr>
            </w:pPr>
            <w:r>
              <w:rPr>
                <w:rFonts w:ascii="宋体" w:hAnsi="宋体" w:cs="宋体" w:eastAsia="宋体" w:hint="default"/>
                <w:sz w:val="21"/>
                <w:szCs w:val="21"/>
              </w:rPr>
              <w:t>万</w:t>
            </w:r>
            <w:r>
              <w:rPr>
                <w:rFonts w:ascii="宋体" w:hAnsi="宋体" w:cs="宋体" w:eastAsia="宋体" w:hint="default"/>
                <w:spacing w:val="-64"/>
                <w:sz w:val="21"/>
                <w:szCs w:val="21"/>
              </w:rPr>
              <w:t> </w:t>
            </w:r>
            <w:r>
              <w:rPr>
                <w:rFonts w:ascii="宋体" w:hAnsi="宋体" w:cs="宋体" w:eastAsia="宋体" w:hint="default"/>
                <w:sz w:val="21"/>
                <w:szCs w:val="21"/>
              </w:rPr>
              <w:t>户</w:t>
            </w:r>
            <w:r>
              <w:rPr>
                <w:rFonts w:ascii="宋体" w:hAnsi="宋体" w:cs="宋体" w:eastAsia="宋体" w:hint="default"/>
                <w:spacing w:val="-64"/>
                <w:sz w:val="21"/>
                <w:szCs w:val="21"/>
              </w:rPr>
              <w:t> </w:t>
            </w:r>
            <w:r>
              <w:rPr>
                <w:rFonts w:ascii="Arial" w:hAnsi="Arial" w:cs="Arial" w:eastAsia="Arial" w:hint="default"/>
                <w:sz w:val="21"/>
                <w:szCs w:val="21"/>
              </w:rPr>
              <w:t>Flexbase</w:t>
            </w:r>
            <w:r>
              <w:rPr>
                <w:rFonts w:ascii="Arial" w:hAnsi="Arial" w:cs="Arial" w:eastAsia="Arial" w:hint="default"/>
                <w:spacing w:val="-16"/>
                <w:sz w:val="21"/>
                <w:szCs w:val="21"/>
              </w:rPr>
              <w:t> </w:t>
            </w:r>
            <w:r>
              <w:rPr>
                <w:rFonts w:ascii="宋体" w:hAnsi="宋体" w:cs="宋体" w:eastAsia="宋体" w:hint="default"/>
                <w:sz w:val="21"/>
                <w:szCs w:val="21"/>
              </w:rPr>
              <w:t>协</w:t>
            </w:r>
            <w:r>
              <w:rPr>
                <w:rFonts w:ascii="宋体" w:hAnsi="宋体" w:cs="宋体" w:eastAsia="宋体" w:hint="default"/>
                <w:spacing w:val="-64"/>
                <w:sz w:val="21"/>
                <w:szCs w:val="21"/>
              </w:rPr>
              <w:t> </w:t>
            </w:r>
            <w:r>
              <w:rPr>
                <w:rFonts w:ascii="宋体" w:hAnsi="宋体" w:cs="宋体" w:eastAsia="宋体" w:hint="default"/>
                <w:sz w:val="21"/>
                <w:szCs w:val="21"/>
              </w:rPr>
              <w:t>同</w:t>
            </w:r>
            <w:r>
              <w:rPr>
                <w:rFonts w:ascii="宋体" w:hAnsi="宋体" w:cs="宋体" w:eastAsia="宋体" w:hint="default"/>
                <w:spacing w:val="-64"/>
                <w:sz w:val="21"/>
                <w:szCs w:val="21"/>
              </w:rPr>
              <w:t> </w:t>
            </w:r>
            <w:r>
              <w:rPr>
                <w:rFonts w:ascii="宋体" w:hAnsi="宋体" w:cs="宋体" w:eastAsia="宋体" w:hint="default"/>
                <w:sz w:val="21"/>
                <w:szCs w:val="21"/>
              </w:rPr>
              <w:t>管</w:t>
            </w:r>
            <w:r>
              <w:rPr>
                <w:rFonts w:ascii="宋体" w:hAnsi="宋体" w:cs="宋体" w:eastAsia="宋体" w:hint="default"/>
                <w:spacing w:val="-64"/>
                <w:sz w:val="21"/>
                <w:szCs w:val="21"/>
              </w:rPr>
              <w:t> </w:t>
            </w:r>
            <w:r>
              <w:rPr>
                <w:rFonts w:ascii="宋体" w:hAnsi="宋体" w:cs="宋体" w:eastAsia="宋体" w:hint="default"/>
                <w:sz w:val="21"/>
                <w:szCs w:val="21"/>
              </w:rPr>
              <w:t>理</w:t>
            </w:r>
            <w:r>
              <w:rPr>
                <w:rFonts w:ascii="宋体" w:hAnsi="宋体" w:cs="宋体" w:eastAsia="宋体" w:hint="default"/>
                <w:spacing w:val="-62"/>
                <w:sz w:val="21"/>
                <w:szCs w:val="21"/>
              </w:rPr>
              <w:t> </w:t>
            </w:r>
            <w:r>
              <w:rPr>
                <w:rFonts w:ascii="宋体" w:hAnsi="宋体" w:cs="宋体" w:eastAsia="宋体" w:hint="default"/>
                <w:sz w:val="21"/>
                <w:szCs w:val="21"/>
              </w:rPr>
              <w:t>系</w:t>
            </w:r>
            <w:r>
              <w:rPr>
                <w:rFonts w:ascii="宋体" w:hAnsi="宋体" w:cs="宋体" w:eastAsia="宋体" w:hint="default"/>
                <w:spacing w:val="-64"/>
                <w:sz w:val="21"/>
                <w:szCs w:val="21"/>
              </w:rPr>
              <w:t> </w:t>
            </w:r>
            <w:r>
              <w:rPr>
                <w:rFonts w:ascii="宋体" w:hAnsi="宋体" w:cs="宋体" w:eastAsia="宋体" w:hint="default"/>
                <w:sz w:val="21"/>
                <w:szCs w:val="21"/>
              </w:rPr>
              <w:t>统</w:t>
            </w:r>
            <w:r>
              <w:rPr>
                <w:rFonts w:ascii="宋体" w:hAnsi="宋体" w:cs="宋体" w:eastAsia="宋体" w:hint="default"/>
                <w:spacing w:val="-64"/>
                <w:sz w:val="21"/>
                <w:szCs w:val="21"/>
              </w:rPr>
              <w:t> </w:t>
            </w:r>
            <w:r>
              <w:rPr>
                <w:rFonts w:ascii="宋体" w:hAnsi="宋体" w:cs="宋体" w:eastAsia="宋体" w:hint="default"/>
                <w:sz w:val="21"/>
                <w:szCs w:val="21"/>
              </w:rPr>
              <w:t>软</w:t>
            </w:r>
            <w:r>
              <w:rPr>
                <w:rFonts w:ascii="宋体" w:hAnsi="宋体" w:cs="宋体" w:eastAsia="宋体" w:hint="default"/>
                <w:spacing w:val="-64"/>
                <w:sz w:val="21"/>
                <w:szCs w:val="21"/>
              </w:rPr>
              <w:t> </w:t>
            </w:r>
            <w:r>
              <w:rPr>
                <w:rFonts w:ascii="宋体" w:hAnsi="宋体" w:cs="宋体" w:eastAsia="宋体" w:hint="default"/>
                <w:sz w:val="21"/>
                <w:szCs w:val="21"/>
              </w:rPr>
              <w:t>件</w:t>
            </w:r>
            <w:r>
              <w:rPr>
                <w:rFonts w:ascii="宋体" w:hAnsi="宋体" w:cs="宋体" w:eastAsia="宋体" w:hint="default"/>
                <w:spacing w:val="-64"/>
                <w:sz w:val="21"/>
                <w:szCs w:val="21"/>
              </w:rPr>
              <w:t> </w:t>
            </w:r>
            <w:r>
              <w:rPr>
                <w:rFonts w:ascii="Arial" w:hAnsi="Arial" w:cs="Arial" w:eastAsia="Arial" w:hint="default"/>
                <w:sz w:val="21"/>
                <w:szCs w:val="21"/>
              </w:rPr>
              <w:t>[</w:t>
            </w:r>
            <w:r>
              <w:rPr>
                <w:rFonts w:ascii="Arial" w:hAnsi="Arial" w:cs="Arial" w:eastAsia="Arial" w:hint="default"/>
                <w:spacing w:val="-20"/>
                <w:sz w:val="21"/>
                <w:szCs w:val="21"/>
              </w:rPr>
              <w:t> </w:t>
            </w:r>
            <w:r>
              <w:rPr>
                <w:rFonts w:ascii="宋体" w:hAnsi="宋体" w:cs="宋体" w:eastAsia="宋体" w:hint="default"/>
                <w:sz w:val="21"/>
                <w:szCs w:val="21"/>
              </w:rPr>
              <w:t>简</w:t>
            </w:r>
            <w:r>
              <w:rPr>
                <w:rFonts w:ascii="宋体" w:hAnsi="宋体" w:cs="宋体" w:eastAsia="宋体" w:hint="default"/>
                <w:spacing w:val="-64"/>
                <w:sz w:val="21"/>
                <w:szCs w:val="21"/>
              </w:rPr>
              <w:t> </w:t>
            </w:r>
            <w:r>
              <w:rPr>
                <w:rFonts w:ascii="宋体" w:hAnsi="宋体" w:cs="宋体" w:eastAsia="宋体" w:hint="default"/>
                <w:sz w:val="21"/>
                <w:szCs w:val="21"/>
              </w:rPr>
              <w:t>称</w:t>
            </w:r>
            <w:r>
              <w:rPr>
                <w:rFonts w:ascii="宋体" w:hAnsi="宋体" w:cs="宋体" w:eastAsia="宋体" w:hint="default"/>
                <w:spacing w:val="-64"/>
                <w:sz w:val="21"/>
                <w:szCs w:val="21"/>
              </w:rPr>
              <w:t> </w:t>
            </w:r>
            <w:r>
              <w:rPr>
                <w:rFonts w:ascii="宋体" w:hAnsi="宋体" w:cs="宋体" w:eastAsia="宋体" w:hint="default"/>
                <w:sz w:val="21"/>
                <w:szCs w:val="21"/>
              </w:rPr>
              <w:t>：</w:t>
            </w:r>
          </w:p>
          <w:p>
            <w:pPr>
              <w:pStyle w:val="TableParagraph"/>
              <w:spacing w:line="240" w:lineRule="auto" w:before="70"/>
              <w:ind w:left="3" w:right="0"/>
              <w:jc w:val="left"/>
              <w:rPr>
                <w:rFonts w:ascii="Arial" w:hAnsi="Arial" w:cs="Arial" w:eastAsia="Arial" w:hint="default"/>
                <w:sz w:val="21"/>
                <w:szCs w:val="21"/>
              </w:rPr>
            </w:pPr>
            <w:r>
              <w:rPr>
                <w:rFonts w:ascii="Arial"/>
                <w:sz w:val="21"/>
              </w:rPr>
              <w:t>Flexbase]V1.0</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2761790</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302"/>
              <w:jc w:val="right"/>
              <w:rPr>
                <w:rFonts w:ascii="宋体" w:hAnsi="宋体" w:cs="宋体" w:eastAsia="宋体" w:hint="default"/>
                <w:sz w:val="21"/>
                <w:szCs w:val="21"/>
              </w:rPr>
            </w:pPr>
            <w:r>
              <w:rPr>
                <w:rFonts w:ascii="Arial" w:hAnsi="Arial" w:cs="Arial" w:eastAsia="Arial" w:hint="default"/>
                <w:w w:val="95"/>
                <w:sz w:val="21"/>
                <w:szCs w:val="21"/>
              </w:rPr>
              <w:t>2018</w:t>
            </w:r>
            <w:r>
              <w:rPr>
                <w:rFonts w:ascii="宋体" w:hAnsi="宋体" w:cs="宋体" w:eastAsia="宋体" w:hint="default"/>
                <w:w w:val="95"/>
                <w:sz w:val="21"/>
                <w:szCs w:val="21"/>
              </w:rPr>
              <w:t>年</w:t>
            </w:r>
            <w:r>
              <w:rPr>
                <w:rFonts w:ascii="Arial" w:hAnsi="Arial" w:cs="Arial" w:eastAsia="Arial" w:hint="default"/>
                <w:w w:val="95"/>
                <w:sz w:val="21"/>
                <w:szCs w:val="21"/>
              </w:rPr>
              <w:t>6</w:t>
            </w:r>
            <w:r>
              <w:rPr>
                <w:rFonts w:ascii="宋体" w:hAnsi="宋体" w:cs="宋体" w:eastAsia="宋体" w:hint="default"/>
                <w:w w:val="95"/>
                <w:sz w:val="21"/>
                <w:szCs w:val="21"/>
              </w:rPr>
              <w:t>月</w:t>
            </w:r>
            <w:r>
              <w:rPr>
                <w:rFonts w:ascii="Arial" w:hAnsi="Arial" w:cs="Arial" w:eastAsia="Arial" w:hint="default"/>
                <w:w w:val="95"/>
                <w:sz w:val="21"/>
                <w:szCs w:val="21"/>
              </w:rPr>
              <w:t>8</w:t>
            </w:r>
            <w:r>
              <w:rPr>
                <w:rFonts w:ascii="宋体" w:hAnsi="宋体" w:cs="宋体" w:eastAsia="宋体" w:hint="default"/>
                <w:w w:val="95"/>
                <w:sz w:val="21"/>
                <w:szCs w:val="21"/>
              </w:rPr>
              <w:t>日</w:t>
            </w:r>
            <w:r>
              <w:rPr>
                <w:rFonts w:ascii="宋体" w:hAnsi="宋体" w:cs="宋体" w:eastAsia="宋体" w:hint="default"/>
                <w:sz w:val="21"/>
                <w:szCs w:val="21"/>
              </w:rPr>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华宇审判决策分析支持信息系统</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2780434</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242"/>
              <w:jc w:val="right"/>
              <w:rPr>
                <w:rFonts w:ascii="宋体" w:hAnsi="宋体" w:cs="宋体" w:eastAsia="宋体" w:hint="default"/>
                <w:sz w:val="21"/>
                <w:szCs w:val="21"/>
              </w:rPr>
            </w:pPr>
            <w:r>
              <w:rPr>
                <w:rFonts w:ascii="Arial" w:hAnsi="Arial" w:cs="Arial" w:eastAsia="Arial" w:hint="default"/>
                <w:w w:val="95"/>
                <w:sz w:val="21"/>
                <w:szCs w:val="21"/>
              </w:rPr>
              <w:t>2018</w:t>
            </w:r>
            <w:r>
              <w:rPr>
                <w:rFonts w:ascii="宋体" w:hAnsi="宋体" w:cs="宋体" w:eastAsia="宋体" w:hint="default"/>
                <w:w w:val="95"/>
                <w:sz w:val="21"/>
                <w:szCs w:val="21"/>
              </w:rPr>
              <w:t>年</w:t>
            </w:r>
            <w:r>
              <w:rPr>
                <w:rFonts w:ascii="Arial" w:hAnsi="Arial" w:cs="Arial" w:eastAsia="Arial" w:hint="default"/>
                <w:w w:val="95"/>
                <w:sz w:val="21"/>
                <w:szCs w:val="21"/>
              </w:rPr>
              <w:t>6</w:t>
            </w:r>
            <w:r>
              <w:rPr>
                <w:rFonts w:ascii="宋体" w:hAnsi="宋体" w:cs="宋体" w:eastAsia="宋体" w:hint="default"/>
                <w:w w:val="95"/>
                <w:sz w:val="21"/>
                <w:szCs w:val="21"/>
              </w:rPr>
              <w:t>月</w:t>
            </w:r>
            <w:r>
              <w:rPr>
                <w:rFonts w:ascii="Arial" w:hAnsi="Arial" w:cs="Arial" w:eastAsia="Arial" w:hint="default"/>
                <w:w w:val="95"/>
                <w:sz w:val="21"/>
                <w:szCs w:val="21"/>
              </w:rPr>
              <w:t>14</w:t>
            </w:r>
            <w:r>
              <w:rPr>
                <w:rFonts w:ascii="宋体" w:hAnsi="宋体" w:cs="宋体" w:eastAsia="宋体" w:hint="default"/>
                <w:w w:val="95"/>
                <w:sz w:val="21"/>
                <w:szCs w:val="21"/>
              </w:rPr>
              <w:t>日</w:t>
            </w:r>
            <w:r>
              <w:rPr>
                <w:rFonts w:ascii="宋体" w:hAnsi="宋体" w:cs="宋体" w:eastAsia="宋体" w:hint="default"/>
                <w:sz w:val="21"/>
                <w:szCs w:val="21"/>
              </w:rPr>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华宇智慧运维监控服务平台</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2778830</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242"/>
              <w:jc w:val="right"/>
              <w:rPr>
                <w:rFonts w:ascii="宋体" w:hAnsi="宋体" w:cs="宋体" w:eastAsia="宋体" w:hint="default"/>
                <w:sz w:val="21"/>
                <w:szCs w:val="21"/>
              </w:rPr>
            </w:pPr>
            <w:r>
              <w:rPr>
                <w:rFonts w:ascii="Arial" w:hAnsi="Arial" w:cs="Arial" w:eastAsia="Arial" w:hint="default"/>
                <w:w w:val="95"/>
                <w:sz w:val="21"/>
                <w:szCs w:val="21"/>
              </w:rPr>
              <w:t>2018</w:t>
            </w:r>
            <w:r>
              <w:rPr>
                <w:rFonts w:ascii="宋体" w:hAnsi="宋体" w:cs="宋体" w:eastAsia="宋体" w:hint="default"/>
                <w:w w:val="95"/>
                <w:sz w:val="21"/>
                <w:szCs w:val="21"/>
              </w:rPr>
              <w:t>年</w:t>
            </w:r>
            <w:r>
              <w:rPr>
                <w:rFonts w:ascii="Arial" w:hAnsi="Arial" w:cs="Arial" w:eastAsia="Arial" w:hint="default"/>
                <w:w w:val="95"/>
                <w:sz w:val="21"/>
                <w:szCs w:val="21"/>
              </w:rPr>
              <w:t>6</w:t>
            </w:r>
            <w:r>
              <w:rPr>
                <w:rFonts w:ascii="宋体" w:hAnsi="宋体" w:cs="宋体" w:eastAsia="宋体" w:hint="default"/>
                <w:w w:val="95"/>
                <w:sz w:val="21"/>
                <w:szCs w:val="21"/>
              </w:rPr>
              <w:t>月</w:t>
            </w:r>
            <w:r>
              <w:rPr>
                <w:rFonts w:ascii="Arial" w:hAnsi="Arial" w:cs="Arial" w:eastAsia="Arial" w:hint="default"/>
                <w:w w:val="95"/>
                <w:sz w:val="21"/>
                <w:szCs w:val="21"/>
              </w:rPr>
              <w:t>14</w:t>
            </w:r>
            <w:r>
              <w:rPr>
                <w:rFonts w:ascii="宋体" w:hAnsi="宋体" w:cs="宋体" w:eastAsia="宋体" w:hint="default"/>
                <w:w w:val="95"/>
                <w:sz w:val="21"/>
                <w:szCs w:val="21"/>
              </w:rPr>
              <w:t>日</w:t>
            </w:r>
            <w:r>
              <w:rPr>
                <w:rFonts w:ascii="宋体" w:hAnsi="宋体" w:cs="宋体" w:eastAsia="宋体" w:hint="default"/>
                <w:sz w:val="21"/>
                <w:szCs w:val="21"/>
              </w:rPr>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华宇检察大数据分析服务系统</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2779206</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242"/>
              <w:jc w:val="right"/>
              <w:rPr>
                <w:rFonts w:ascii="宋体" w:hAnsi="宋体" w:cs="宋体" w:eastAsia="宋体" w:hint="default"/>
                <w:sz w:val="21"/>
                <w:szCs w:val="21"/>
              </w:rPr>
            </w:pPr>
            <w:r>
              <w:rPr>
                <w:rFonts w:ascii="Arial" w:hAnsi="Arial" w:cs="Arial" w:eastAsia="Arial" w:hint="default"/>
                <w:w w:val="95"/>
                <w:sz w:val="21"/>
                <w:szCs w:val="21"/>
              </w:rPr>
              <w:t>2018</w:t>
            </w:r>
            <w:r>
              <w:rPr>
                <w:rFonts w:ascii="宋体" w:hAnsi="宋体" w:cs="宋体" w:eastAsia="宋体" w:hint="default"/>
                <w:w w:val="95"/>
                <w:sz w:val="21"/>
                <w:szCs w:val="21"/>
              </w:rPr>
              <w:t>年</w:t>
            </w:r>
            <w:r>
              <w:rPr>
                <w:rFonts w:ascii="Arial" w:hAnsi="Arial" w:cs="Arial" w:eastAsia="Arial" w:hint="default"/>
                <w:w w:val="95"/>
                <w:sz w:val="21"/>
                <w:szCs w:val="21"/>
              </w:rPr>
              <w:t>6</w:t>
            </w:r>
            <w:r>
              <w:rPr>
                <w:rFonts w:ascii="宋体" w:hAnsi="宋体" w:cs="宋体" w:eastAsia="宋体" w:hint="default"/>
                <w:w w:val="95"/>
                <w:sz w:val="21"/>
                <w:szCs w:val="21"/>
              </w:rPr>
              <w:t>月</w:t>
            </w:r>
            <w:r>
              <w:rPr>
                <w:rFonts w:ascii="Arial" w:hAnsi="Arial" w:cs="Arial" w:eastAsia="Arial" w:hint="default"/>
                <w:w w:val="95"/>
                <w:sz w:val="21"/>
                <w:szCs w:val="21"/>
              </w:rPr>
              <w:t>14</w:t>
            </w:r>
            <w:r>
              <w:rPr>
                <w:rFonts w:ascii="宋体" w:hAnsi="宋体" w:cs="宋体" w:eastAsia="宋体" w:hint="default"/>
                <w:w w:val="95"/>
                <w:sz w:val="21"/>
                <w:szCs w:val="21"/>
              </w:rPr>
              <w:t>日</w:t>
            </w:r>
            <w:r>
              <w:rPr>
                <w:rFonts w:ascii="宋体" w:hAnsi="宋体" w:cs="宋体" w:eastAsia="宋体" w:hint="default"/>
                <w:sz w:val="21"/>
                <w:szCs w:val="21"/>
              </w:rPr>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left"/>
              <w:rPr>
                <w:rFonts w:ascii="宋体" w:hAnsi="宋体" w:cs="宋体" w:eastAsia="宋体" w:hint="default"/>
                <w:sz w:val="21"/>
                <w:szCs w:val="21"/>
              </w:rPr>
            </w:pPr>
            <w:r>
              <w:rPr>
                <w:rFonts w:ascii="宋体" w:hAnsi="宋体" w:cs="宋体" w:eastAsia="宋体" w:hint="default"/>
                <w:sz w:val="21"/>
                <w:szCs w:val="21"/>
              </w:rPr>
              <w:t>量刑均衡分析系统</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3218856</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42"/>
              <w:jc w:val="right"/>
              <w:rPr>
                <w:rFonts w:ascii="宋体" w:hAnsi="宋体" w:cs="宋体" w:eastAsia="宋体" w:hint="default"/>
                <w:sz w:val="21"/>
                <w:szCs w:val="21"/>
              </w:rPr>
            </w:pPr>
            <w:r>
              <w:rPr>
                <w:rFonts w:ascii="Arial" w:hAnsi="Arial" w:cs="Arial" w:eastAsia="Arial" w:hint="default"/>
                <w:w w:val="95"/>
                <w:sz w:val="21"/>
                <w:szCs w:val="21"/>
              </w:rPr>
              <w:t>2018</w:t>
            </w:r>
            <w:r>
              <w:rPr>
                <w:rFonts w:ascii="宋体" w:hAnsi="宋体" w:cs="宋体" w:eastAsia="宋体" w:hint="default"/>
                <w:w w:val="95"/>
                <w:sz w:val="21"/>
                <w:szCs w:val="21"/>
              </w:rPr>
              <w:t>年</w:t>
            </w:r>
            <w:r>
              <w:rPr>
                <w:rFonts w:ascii="Arial" w:hAnsi="Arial" w:cs="Arial" w:eastAsia="Arial" w:hint="default"/>
                <w:w w:val="95"/>
                <w:sz w:val="21"/>
                <w:szCs w:val="21"/>
              </w:rPr>
              <w:t>6</w:t>
            </w:r>
            <w:r>
              <w:rPr>
                <w:rFonts w:ascii="宋体" w:hAnsi="宋体" w:cs="宋体" w:eastAsia="宋体" w:hint="default"/>
                <w:w w:val="95"/>
                <w:sz w:val="21"/>
                <w:szCs w:val="21"/>
              </w:rPr>
              <w:t>月</w:t>
            </w:r>
            <w:r>
              <w:rPr>
                <w:rFonts w:ascii="Arial" w:hAnsi="Arial" w:cs="Arial" w:eastAsia="Arial" w:hint="default"/>
                <w:w w:val="95"/>
                <w:sz w:val="21"/>
                <w:szCs w:val="21"/>
              </w:rPr>
              <w:t>15</w:t>
            </w:r>
            <w:r>
              <w:rPr>
                <w:rFonts w:ascii="宋体" w:hAnsi="宋体" w:cs="宋体" w:eastAsia="宋体" w:hint="default"/>
                <w:w w:val="95"/>
                <w:sz w:val="21"/>
                <w:szCs w:val="21"/>
              </w:rPr>
              <w:t>日</w:t>
            </w:r>
            <w:r>
              <w:rPr>
                <w:rFonts w:ascii="宋体" w:hAnsi="宋体" w:cs="宋体" w:eastAsia="宋体" w:hint="default"/>
                <w:sz w:val="21"/>
                <w:szCs w:val="21"/>
              </w:rPr>
            </w:r>
          </w:p>
        </w:tc>
      </w:tr>
      <w:tr>
        <w:trPr>
          <w:trHeight w:val="425"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left"/>
              <w:rPr>
                <w:rFonts w:ascii="宋体" w:hAnsi="宋体" w:cs="宋体" w:eastAsia="宋体" w:hint="default"/>
                <w:sz w:val="21"/>
                <w:szCs w:val="21"/>
              </w:rPr>
            </w:pPr>
            <w:r>
              <w:rPr>
                <w:rFonts w:ascii="宋体" w:hAnsi="宋体" w:cs="宋体" w:eastAsia="宋体" w:hint="default"/>
                <w:sz w:val="21"/>
                <w:szCs w:val="21"/>
              </w:rPr>
              <w:t>智能语音输入系统</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2795302</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42"/>
              <w:jc w:val="right"/>
              <w:rPr>
                <w:rFonts w:ascii="宋体" w:hAnsi="宋体" w:cs="宋体" w:eastAsia="宋体" w:hint="default"/>
                <w:sz w:val="21"/>
                <w:szCs w:val="21"/>
              </w:rPr>
            </w:pPr>
            <w:r>
              <w:rPr>
                <w:rFonts w:ascii="Arial" w:hAnsi="Arial" w:cs="Arial" w:eastAsia="Arial" w:hint="default"/>
                <w:w w:val="95"/>
                <w:sz w:val="21"/>
                <w:szCs w:val="21"/>
              </w:rPr>
              <w:t>2018</w:t>
            </w:r>
            <w:r>
              <w:rPr>
                <w:rFonts w:ascii="宋体" w:hAnsi="宋体" w:cs="宋体" w:eastAsia="宋体" w:hint="default"/>
                <w:w w:val="95"/>
                <w:sz w:val="21"/>
                <w:szCs w:val="21"/>
              </w:rPr>
              <w:t>年</w:t>
            </w:r>
            <w:r>
              <w:rPr>
                <w:rFonts w:ascii="Arial" w:hAnsi="Arial" w:cs="Arial" w:eastAsia="Arial" w:hint="default"/>
                <w:w w:val="95"/>
                <w:sz w:val="21"/>
                <w:szCs w:val="21"/>
              </w:rPr>
              <w:t>6</w:t>
            </w:r>
            <w:r>
              <w:rPr>
                <w:rFonts w:ascii="宋体" w:hAnsi="宋体" w:cs="宋体" w:eastAsia="宋体" w:hint="default"/>
                <w:w w:val="95"/>
                <w:sz w:val="21"/>
                <w:szCs w:val="21"/>
              </w:rPr>
              <w:t>月</w:t>
            </w:r>
            <w:r>
              <w:rPr>
                <w:rFonts w:ascii="Arial" w:hAnsi="Arial" w:cs="Arial" w:eastAsia="Arial" w:hint="default"/>
                <w:w w:val="95"/>
                <w:sz w:val="21"/>
                <w:szCs w:val="21"/>
              </w:rPr>
              <w:t>20</w:t>
            </w:r>
            <w:r>
              <w:rPr>
                <w:rFonts w:ascii="宋体" w:hAnsi="宋体" w:cs="宋体" w:eastAsia="宋体" w:hint="default"/>
                <w:w w:val="95"/>
                <w:sz w:val="21"/>
                <w:szCs w:val="21"/>
              </w:rPr>
              <w:t>日</w:t>
            </w:r>
            <w:r>
              <w:rPr>
                <w:rFonts w:ascii="宋体" w:hAnsi="宋体" w:cs="宋体" w:eastAsia="宋体" w:hint="default"/>
                <w:sz w:val="21"/>
                <w:szCs w:val="21"/>
              </w:rPr>
            </w:r>
          </w:p>
        </w:tc>
      </w:tr>
    </w:tbl>
    <w:p>
      <w:pPr>
        <w:spacing w:after="0" w:line="240" w:lineRule="auto"/>
        <w:jc w:val="right"/>
        <w:rPr>
          <w:rFonts w:ascii="宋体" w:hAnsi="宋体" w:cs="宋体" w:eastAsia="宋体" w:hint="default"/>
          <w:sz w:val="21"/>
          <w:szCs w:val="21"/>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4249"/>
        <w:gridCol w:w="2370"/>
        <w:gridCol w:w="1095"/>
        <w:gridCol w:w="1954"/>
      </w:tblGrid>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left"/>
              <w:rPr>
                <w:rFonts w:ascii="宋体" w:hAnsi="宋体" w:cs="宋体" w:eastAsia="宋体" w:hint="default"/>
                <w:sz w:val="21"/>
                <w:szCs w:val="21"/>
              </w:rPr>
            </w:pPr>
            <w:r>
              <w:rPr>
                <w:rFonts w:ascii="宋体" w:hAnsi="宋体" w:cs="宋体" w:eastAsia="宋体" w:hint="default"/>
                <w:sz w:val="21"/>
                <w:szCs w:val="21"/>
              </w:rPr>
              <w:t>智能会议系统</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2279685</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6</w:t>
            </w:r>
            <w:r>
              <w:rPr>
                <w:rFonts w:ascii="宋体" w:hAnsi="宋体" w:cs="宋体" w:eastAsia="宋体" w:hint="default"/>
                <w:sz w:val="21"/>
                <w:szCs w:val="21"/>
              </w:rPr>
              <w:t>月</w:t>
            </w:r>
            <w:r>
              <w:rPr>
                <w:rFonts w:ascii="Arial" w:hAnsi="Arial" w:cs="Arial" w:eastAsia="Arial" w:hint="default"/>
                <w:sz w:val="21"/>
                <w:szCs w:val="21"/>
              </w:rPr>
              <w:t>21</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left"/>
              <w:rPr>
                <w:rFonts w:ascii="宋体" w:hAnsi="宋体" w:cs="宋体" w:eastAsia="宋体" w:hint="default"/>
                <w:sz w:val="21"/>
                <w:szCs w:val="21"/>
              </w:rPr>
            </w:pPr>
            <w:r>
              <w:rPr>
                <w:rFonts w:ascii="宋体" w:hAnsi="宋体" w:cs="宋体" w:eastAsia="宋体" w:hint="default"/>
                <w:sz w:val="21"/>
                <w:szCs w:val="21"/>
              </w:rPr>
              <w:t>所政管理系统</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2825326</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6</w:t>
            </w:r>
            <w:r>
              <w:rPr>
                <w:rFonts w:ascii="宋体" w:hAnsi="宋体" w:cs="宋体" w:eastAsia="宋体" w:hint="default"/>
                <w:sz w:val="21"/>
                <w:szCs w:val="21"/>
              </w:rPr>
              <w:t>月</w:t>
            </w:r>
            <w:r>
              <w:rPr>
                <w:rFonts w:ascii="Arial" w:hAnsi="Arial" w:cs="Arial" w:eastAsia="Arial" w:hint="default"/>
                <w:sz w:val="21"/>
                <w:szCs w:val="21"/>
              </w:rPr>
              <w:t>28</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 w:right="0"/>
              <w:jc w:val="left"/>
              <w:rPr>
                <w:rFonts w:ascii="Arial" w:hAnsi="Arial" w:cs="Arial" w:eastAsia="Arial" w:hint="default"/>
                <w:sz w:val="21"/>
                <w:szCs w:val="21"/>
              </w:rPr>
            </w:pPr>
            <w:r>
              <w:rPr>
                <w:rFonts w:ascii="宋体" w:hAnsi="宋体" w:cs="宋体" w:eastAsia="宋体" w:hint="default"/>
                <w:sz w:val="21"/>
                <w:szCs w:val="21"/>
              </w:rPr>
              <w:t>智能校园诊改支撑系统</w:t>
            </w:r>
            <w:r>
              <w:rPr>
                <w:rFonts w:ascii="Arial" w:hAnsi="Arial" w:cs="Arial" w:eastAsia="Arial" w:hint="default"/>
                <w:sz w:val="21"/>
                <w:szCs w:val="21"/>
              </w:rPr>
              <w:t>V1.0</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2582561</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6</w:t>
            </w:r>
            <w:r>
              <w:rPr>
                <w:rFonts w:ascii="宋体" w:hAnsi="宋体" w:cs="宋体" w:eastAsia="宋体" w:hint="default"/>
                <w:sz w:val="21"/>
                <w:szCs w:val="21"/>
              </w:rPr>
              <w:t>月</w:t>
            </w:r>
            <w:r>
              <w:rPr>
                <w:rFonts w:ascii="Arial" w:hAnsi="Arial" w:cs="Arial" w:eastAsia="Arial" w:hint="default"/>
                <w:sz w:val="21"/>
                <w:szCs w:val="21"/>
              </w:rPr>
              <w:t>28</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戒毒一站式综合管理平台</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2833138</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7</w:t>
            </w:r>
            <w:r>
              <w:rPr>
                <w:rFonts w:ascii="宋体" w:hAnsi="宋体" w:cs="宋体" w:eastAsia="宋体" w:hint="default"/>
                <w:sz w:val="21"/>
                <w:szCs w:val="21"/>
              </w:rPr>
              <w:t>月</w:t>
            </w:r>
            <w:r>
              <w:rPr>
                <w:rFonts w:ascii="Arial" w:hAnsi="Arial" w:cs="Arial" w:eastAsia="Arial" w:hint="default"/>
                <w:sz w:val="21"/>
                <w:szCs w:val="21"/>
              </w:rPr>
              <w:t>2</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警务人事管理系统</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2841014</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7</w:t>
            </w:r>
            <w:r>
              <w:rPr>
                <w:rFonts w:ascii="宋体" w:hAnsi="宋体" w:cs="宋体" w:eastAsia="宋体" w:hint="default"/>
                <w:sz w:val="21"/>
                <w:szCs w:val="21"/>
              </w:rPr>
              <w:t>月</w:t>
            </w:r>
            <w:r>
              <w:rPr>
                <w:rFonts w:ascii="Arial" w:hAnsi="Arial" w:cs="Arial" w:eastAsia="Arial" w:hint="default"/>
                <w:sz w:val="21"/>
                <w:szCs w:val="21"/>
              </w:rPr>
              <w:t>3</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left"/>
              <w:rPr>
                <w:rFonts w:ascii="宋体" w:hAnsi="宋体" w:cs="宋体" w:eastAsia="宋体" w:hint="default"/>
                <w:sz w:val="21"/>
                <w:szCs w:val="21"/>
              </w:rPr>
            </w:pPr>
            <w:r>
              <w:rPr>
                <w:rFonts w:ascii="宋体" w:hAnsi="宋体" w:cs="宋体" w:eastAsia="宋体" w:hint="default"/>
                <w:sz w:val="21"/>
                <w:szCs w:val="21"/>
              </w:rPr>
              <w:t>教育矫治管理系统</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2860510</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7</w:t>
            </w:r>
            <w:r>
              <w:rPr>
                <w:rFonts w:ascii="宋体" w:hAnsi="宋体" w:cs="宋体" w:eastAsia="宋体" w:hint="default"/>
                <w:sz w:val="21"/>
                <w:szCs w:val="21"/>
              </w:rPr>
              <w:t>月</w:t>
            </w:r>
            <w:r>
              <w:rPr>
                <w:rFonts w:ascii="Arial" w:hAnsi="Arial" w:cs="Arial" w:eastAsia="Arial" w:hint="default"/>
                <w:sz w:val="21"/>
                <w:szCs w:val="21"/>
              </w:rPr>
              <w:t>9</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left"/>
              <w:rPr>
                <w:rFonts w:ascii="宋体" w:hAnsi="宋体" w:cs="宋体" w:eastAsia="宋体" w:hint="default"/>
                <w:sz w:val="21"/>
                <w:szCs w:val="21"/>
              </w:rPr>
            </w:pPr>
            <w:r>
              <w:rPr>
                <w:rFonts w:ascii="宋体" w:hAnsi="宋体" w:cs="宋体" w:eastAsia="宋体" w:hint="default"/>
                <w:sz w:val="21"/>
                <w:szCs w:val="21"/>
              </w:rPr>
              <w:t>生产劳动管理系统</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2860478</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7</w:t>
            </w:r>
            <w:r>
              <w:rPr>
                <w:rFonts w:ascii="宋体" w:hAnsi="宋体" w:cs="宋体" w:eastAsia="宋体" w:hint="default"/>
                <w:sz w:val="21"/>
                <w:szCs w:val="21"/>
              </w:rPr>
              <w:t>月</w:t>
            </w:r>
            <w:r>
              <w:rPr>
                <w:rFonts w:ascii="Arial" w:hAnsi="Arial" w:cs="Arial" w:eastAsia="Arial" w:hint="default"/>
                <w:sz w:val="21"/>
                <w:szCs w:val="21"/>
              </w:rPr>
              <w:t>9</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left"/>
              <w:rPr>
                <w:rFonts w:ascii="宋体" w:hAnsi="宋体" w:cs="宋体" w:eastAsia="宋体" w:hint="default"/>
                <w:sz w:val="21"/>
                <w:szCs w:val="21"/>
              </w:rPr>
            </w:pPr>
            <w:r>
              <w:rPr>
                <w:rFonts w:ascii="宋体" w:hAnsi="宋体" w:cs="宋体" w:eastAsia="宋体" w:hint="default"/>
                <w:sz w:val="21"/>
                <w:szCs w:val="21"/>
              </w:rPr>
              <w:t>戒毒生活卫生管理系统</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2858188</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7</w:t>
            </w:r>
            <w:r>
              <w:rPr>
                <w:rFonts w:ascii="宋体" w:hAnsi="宋体" w:cs="宋体" w:eastAsia="宋体" w:hint="default"/>
                <w:sz w:val="21"/>
                <w:szCs w:val="21"/>
              </w:rPr>
              <w:t>月</w:t>
            </w:r>
            <w:r>
              <w:rPr>
                <w:rFonts w:ascii="Arial" w:hAnsi="Arial" w:cs="Arial" w:eastAsia="Arial" w:hint="default"/>
                <w:sz w:val="21"/>
                <w:szCs w:val="21"/>
              </w:rPr>
              <w:t>9</w:t>
            </w:r>
            <w:r>
              <w:rPr>
                <w:rFonts w:ascii="宋体" w:hAnsi="宋体" w:cs="宋体" w:eastAsia="宋体" w:hint="default"/>
                <w:sz w:val="21"/>
                <w:szCs w:val="21"/>
              </w:rPr>
              <w:t>日</w:t>
            </w:r>
          </w:p>
        </w:tc>
      </w:tr>
      <w:tr>
        <w:trPr>
          <w:trHeight w:val="739"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3"/>
              <w:jc w:val="left"/>
              <w:rPr>
                <w:rFonts w:ascii="宋体" w:hAnsi="宋体" w:cs="宋体" w:eastAsia="宋体" w:hint="default"/>
                <w:sz w:val="21"/>
                <w:szCs w:val="21"/>
              </w:rPr>
            </w:pPr>
            <w:r>
              <w:rPr>
                <w:rFonts w:ascii="Arial" w:hAnsi="Arial" w:cs="Arial" w:eastAsia="Arial" w:hint="default"/>
                <w:sz w:val="21"/>
                <w:szCs w:val="21"/>
              </w:rPr>
              <w:t>EsDataStandard  </w:t>
            </w:r>
            <w:r>
              <w:rPr>
                <w:rFonts w:ascii="宋体" w:hAnsi="宋体" w:cs="宋体" w:eastAsia="宋体" w:hint="default"/>
                <w:spacing w:val="17"/>
                <w:sz w:val="21"/>
                <w:szCs w:val="21"/>
              </w:rPr>
              <w:t>数据标准管理平台</w:t>
            </w:r>
            <w:r>
              <w:rPr>
                <w:rFonts w:ascii="Arial" w:hAnsi="Arial" w:cs="Arial" w:eastAsia="Arial" w:hint="default"/>
                <w:spacing w:val="17"/>
                <w:sz w:val="21"/>
                <w:szCs w:val="21"/>
              </w:rPr>
              <w:t>[</w:t>
            </w:r>
            <w:r>
              <w:rPr>
                <w:rFonts w:ascii="Arial" w:hAnsi="Arial" w:cs="Arial" w:eastAsia="Arial" w:hint="default"/>
                <w:spacing w:val="-44"/>
                <w:sz w:val="21"/>
                <w:szCs w:val="21"/>
              </w:rPr>
              <w:t> </w:t>
            </w:r>
            <w:r>
              <w:rPr>
                <w:rFonts w:ascii="宋体" w:hAnsi="宋体" w:cs="宋体" w:eastAsia="宋体" w:hint="default"/>
                <w:spacing w:val="12"/>
                <w:sz w:val="21"/>
                <w:szCs w:val="21"/>
              </w:rPr>
              <w:t>简称：</w:t>
            </w:r>
          </w:p>
          <w:p>
            <w:pPr>
              <w:pStyle w:val="TableParagraph"/>
              <w:spacing w:line="240" w:lineRule="auto" w:before="73"/>
              <w:ind w:left="3" w:right="0"/>
              <w:jc w:val="left"/>
              <w:rPr>
                <w:rFonts w:ascii="Arial" w:hAnsi="Arial" w:cs="Arial" w:eastAsia="Arial" w:hint="default"/>
                <w:sz w:val="21"/>
                <w:szCs w:val="21"/>
              </w:rPr>
            </w:pPr>
            <w:r>
              <w:rPr>
                <w:rFonts w:ascii="Arial"/>
                <w:sz w:val="21"/>
              </w:rPr>
              <w:t>EsDataStandard]</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2889148</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7</w:t>
            </w:r>
            <w:r>
              <w:rPr>
                <w:rFonts w:ascii="宋体" w:hAnsi="宋体" w:cs="宋体" w:eastAsia="宋体" w:hint="default"/>
                <w:sz w:val="21"/>
                <w:szCs w:val="21"/>
              </w:rPr>
              <w:t>月</w:t>
            </w:r>
            <w:r>
              <w:rPr>
                <w:rFonts w:ascii="Arial" w:hAnsi="Arial" w:cs="Arial" w:eastAsia="Arial" w:hint="default"/>
                <w:sz w:val="21"/>
                <w:szCs w:val="21"/>
              </w:rPr>
              <w:t>17</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left"/>
              <w:rPr>
                <w:rFonts w:ascii="宋体" w:hAnsi="宋体" w:cs="宋体" w:eastAsia="宋体" w:hint="default"/>
                <w:sz w:val="21"/>
                <w:szCs w:val="21"/>
              </w:rPr>
            </w:pPr>
            <w:r>
              <w:rPr>
                <w:rFonts w:ascii="宋体" w:hAnsi="宋体" w:cs="宋体" w:eastAsia="宋体" w:hint="default"/>
                <w:sz w:val="21"/>
                <w:szCs w:val="21"/>
              </w:rPr>
              <w:t>审判风险防空系统</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2904256</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7</w:t>
            </w:r>
            <w:r>
              <w:rPr>
                <w:rFonts w:ascii="宋体" w:hAnsi="宋体" w:cs="宋体" w:eastAsia="宋体" w:hint="default"/>
                <w:sz w:val="21"/>
                <w:szCs w:val="21"/>
              </w:rPr>
              <w:t>月</w:t>
            </w:r>
            <w:r>
              <w:rPr>
                <w:rFonts w:ascii="Arial" w:hAnsi="Arial" w:cs="Arial" w:eastAsia="Arial" w:hint="default"/>
                <w:sz w:val="21"/>
                <w:szCs w:val="21"/>
              </w:rPr>
              <w:t>23</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left"/>
              <w:rPr>
                <w:rFonts w:ascii="Arial" w:hAnsi="Arial" w:cs="Arial" w:eastAsia="Arial" w:hint="default"/>
                <w:sz w:val="21"/>
                <w:szCs w:val="21"/>
              </w:rPr>
            </w:pPr>
            <w:r>
              <w:rPr>
                <w:rFonts w:ascii="宋体" w:hAnsi="宋体" w:cs="宋体" w:eastAsia="宋体" w:hint="default"/>
                <w:sz w:val="21"/>
                <w:szCs w:val="21"/>
              </w:rPr>
              <w:t>人工智能感知平台</w:t>
            </w:r>
            <w:r>
              <w:rPr>
                <w:rFonts w:ascii="Arial" w:hAnsi="Arial" w:cs="Arial" w:eastAsia="Arial" w:hint="default"/>
                <w:sz w:val="21"/>
                <w:szCs w:val="21"/>
              </w:rPr>
              <w:t>[</w:t>
            </w:r>
            <w:r>
              <w:rPr>
                <w:rFonts w:ascii="宋体" w:hAnsi="宋体" w:cs="宋体" w:eastAsia="宋体" w:hint="default"/>
                <w:sz w:val="21"/>
                <w:szCs w:val="21"/>
              </w:rPr>
              <w:t>简称：智核</w:t>
            </w:r>
            <w:r>
              <w:rPr>
                <w:rFonts w:ascii="Arial" w:hAnsi="Arial" w:cs="Arial" w:eastAsia="Arial" w:hint="default"/>
                <w:sz w:val="21"/>
                <w:szCs w:val="21"/>
              </w:rPr>
              <w:t>]</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2918547</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7</w:t>
            </w:r>
            <w:r>
              <w:rPr>
                <w:rFonts w:ascii="宋体" w:hAnsi="宋体" w:cs="宋体" w:eastAsia="宋体" w:hint="default"/>
                <w:sz w:val="21"/>
                <w:szCs w:val="21"/>
              </w:rPr>
              <w:t>月</w:t>
            </w:r>
            <w:r>
              <w:rPr>
                <w:rFonts w:ascii="Arial" w:hAnsi="Arial" w:cs="Arial" w:eastAsia="Arial" w:hint="default"/>
                <w:sz w:val="21"/>
                <w:szCs w:val="21"/>
              </w:rPr>
              <w:t>26</w:t>
            </w:r>
            <w:r>
              <w:rPr>
                <w:rFonts w:ascii="宋体" w:hAnsi="宋体" w:cs="宋体" w:eastAsia="宋体" w:hint="default"/>
                <w:sz w:val="21"/>
                <w:szCs w:val="21"/>
              </w:rPr>
              <w:t>日</w:t>
            </w:r>
          </w:p>
        </w:tc>
      </w:tr>
      <w:tr>
        <w:trPr>
          <w:trHeight w:val="739"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left"/>
              <w:rPr>
                <w:rFonts w:ascii="宋体" w:hAnsi="宋体" w:cs="宋体" w:eastAsia="宋体" w:hint="default"/>
                <w:sz w:val="21"/>
                <w:szCs w:val="21"/>
              </w:rPr>
            </w:pPr>
            <w:r>
              <w:rPr>
                <w:rFonts w:ascii="宋体" w:hAnsi="宋体" w:cs="宋体" w:eastAsia="宋体" w:hint="default"/>
                <w:spacing w:val="7"/>
                <w:w w:val="95"/>
                <w:sz w:val="21"/>
                <w:szCs w:val="21"/>
              </w:rPr>
              <w:t>华宇</w:t>
            </w:r>
            <w:r>
              <w:rPr>
                <w:rFonts w:ascii="Arial" w:hAnsi="Arial" w:cs="Arial" w:eastAsia="Arial" w:hint="default"/>
                <w:spacing w:val="7"/>
                <w:w w:val="95"/>
                <w:sz w:val="21"/>
                <w:szCs w:val="21"/>
              </w:rPr>
              <w:t>OCR</w:t>
            </w:r>
            <w:r>
              <w:rPr>
                <w:rFonts w:ascii="宋体" w:hAnsi="宋体" w:cs="宋体" w:eastAsia="宋体" w:hint="default"/>
                <w:spacing w:val="7"/>
                <w:w w:val="95"/>
                <w:sz w:val="21"/>
                <w:szCs w:val="21"/>
              </w:rPr>
              <w:t>通用光学字符识别系统</w:t>
            </w:r>
            <w:r>
              <w:rPr>
                <w:rFonts w:ascii="Arial" w:hAnsi="Arial" w:cs="Arial" w:eastAsia="Arial" w:hint="default"/>
                <w:spacing w:val="7"/>
                <w:w w:val="95"/>
                <w:sz w:val="21"/>
                <w:szCs w:val="21"/>
              </w:rPr>
              <w:t>[</w:t>
            </w:r>
            <w:r>
              <w:rPr>
                <w:rFonts w:ascii="宋体" w:hAnsi="宋体" w:cs="宋体" w:eastAsia="宋体" w:hint="default"/>
                <w:spacing w:val="7"/>
                <w:w w:val="95"/>
                <w:sz w:val="21"/>
                <w:szCs w:val="21"/>
              </w:rPr>
              <w:t>简称：华宇</w:t>
            </w:r>
            <w:r>
              <w:rPr>
                <w:rFonts w:ascii="宋体" w:hAnsi="宋体" w:cs="宋体" w:eastAsia="宋体" w:hint="default"/>
                <w:spacing w:val="7"/>
                <w:sz w:val="21"/>
                <w:szCs w:val="21"/>
              </w:rPr>
            </w:r>
          </w:p>
          <w:p>
            <w:pPr>
              <w:pStyle w:val="TableParagraph"/>
              <w:spacing w:line="240" w:lineRule="auto" w:before="70"/>
              <w:ind w:left="3" w:right="0"/>
              <w:jc w:val="left"/>
              <w:rPr>
                <w:rFonts w:ascii="Arial" w:hAnsi="Arial" w:cs="Arial" w:eastAsia="Arial" w:hint="default"/>
                <w:sz w:val="21"/>
                <w:szCs w:val="21"/>
              </w:rPr>
            </w:pPr>
            <w:r>
              <w:rPr>
                <w:rFonts w:ascii="Arial"/>
                <w:sz w:val="21"/>
              </w:rPr>
              <w:t>OCR]</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2936936</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8</w:t>
            </w:r>
            <w:r>
              <w:rPr>
                <w:rFonts w:ascii="宋体" w:hAnsi="宋体" w:cs="宋体" w:eastAsia="宋体" w:hint="default"/>
                <w:sz w:val="21"/>
                <w:szCs w:val="21"/>
              </w:rPr>
              <w:t>月</w:t>
            </w:r>
            <w:r>
              <w:rPr>
                <w:rFonts w:ascii="Arial" w:hAnsi="Arial" w:cs="Arial" w:eastAsia="Arial" w:hint="default"/>
                <w:sz w:val="21"/>
                <w:szCs w:val="21"/>
              </w:rPr>
              <w:t>1</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left"/>
              <w:rPr>
                <w:rFonts w:ascii="宋体" w:hAnsi="宋体" w:cs="宋体" w:eastAsia="宋体" w:hint="default"/>
                <w:sz w:val="21"/>
                <w:szCs w:val="21"/>
              </w:rPr>
            </w:pPr>
            <w:r>
              <w:rPr>
                <w:rFonts w:ascii="宋体" w:hAnsi="宋体" w:cs="宋体" w:eastAsia="宋体" w:hint="default"/>
                <w:sz w:val="21"/>
                <w:szCs w:val="21"/>
              </w:rPr>
              <w:t>终本案件智能巡查系统</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2939290</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8</w:t>
            </w:r>
            <w:r>
              <w:rPr>
                <w:rFonts w:ascii="宋体" w:hAnsi="宋体" w:cs="宋体" w:eastAsia="宋体" w:hint="default"/>
                <w:sz w:val="21"/>
                <w:szCs w:val="21"/>
              </w:rPr>
              <w:t>月</w:t>
            </w:r>
            <w:r>
              <w:rPr>
                <w:rFonts w:ascii="Arial" w:hAnsi="Arial" w:cs="Arial" w:eastAsia="Arial" w:hint="default"/>
                <w:sz w:val="21"/>
                <w:szCs w:val="21"/>
              </w:rPr>
              <w:t>2</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left"/>
              <w:rPr>
                <w:rFonts w:ascii="宋体" w:hAnsi="宋体" w:cs="宋体" w:eastAsia="宋体" w:hint="default"/>
                <w:sz w:val="21"/>
                <w:szCs w:val="21"/>
              </w:rPr>
            </w:pPr>
            <w:r>
              <w:rPr>
                <w:rFonts w:ascii="宋体" w:hAnsi="宋体" w:cs="宋体" w:eastAsia="宋体" w:hint="default"/>
                <w:sz w:val="21"/>
                <w:szCs w:val="21"/>
              </w:rPr>
              <w:t>晓督</w:t>
            </w:r>
            <w:r>
              <w:rPr>
                <w:rFonts w:ascii="Arial" w:hAnsi="Arial" w:cs="Arial" w:eastAsia="Arial" w:hint="default"/>
                <w:sz w:val="21"/>
                <w:szCs w:val="21"/>
              </w:rPr>
              <w:t>.</w:t>
            </w:r>
            <w:r>
              <w:rPr>
                <w:rFonts w:ascii="宋体" w:hAnsi="宋体" w:cs="宋体" w:eastAsia="宋体" w:hint="default"/>
                <w:sz w:val="21"/>
                <w:szCs w:val="21"/>
              </w:rPr>
              <w:t>智慧民行诉讼监督辅助系统</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2956522</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8</w:t>
            </w:r>
            <w:r>
              <w:rPr>
                <w:rFonts w:ascii="宋体" w:hAnsi="宋体" w:cs="宋体" w:eastAsia="宋体" w:hint="default"/>
                <w:sz w:val="21"/>
                <w:szCs w:val="21"/>
              </w:rPr>
              <w:t>月</w:t>
            </w:r>
            <w:r>
              <w:rPr>
                <w:rFonts w:ascii="Arial" w:hAnsi="Arial" w:cs="Arial" w:eastAsia="Arial" w:hint="default"/>
                <w:sz w:val="21"/>
                <w:szCs w:val="21"/>
              </w:rPr>
              <w:t>7</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智能审判管理系统</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2961118</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8</w:t>
            </w:r>
            <w:r>
              <w:rPr>
                <w:rFonts w:ascii="宋体" w:hAnsi="宋体" w:cs="宋体" w:eastAsia="宋体" w:hint="default"/>
                <w:sz w:val="21"/>
                <w:szCs w:val="21"/>
              </w:rPr>
              <w:t>月</w:t>
            </w:r>
            <w:r>
              <w:rPr>
                <w:rFonts w:ascii="Arial" w:hAnsi="Arial" w:cs="Arial" w:eastAsia="Arial" w:hint="default"/>
                <w:sz w:val="21"/>
                <w:szCs w:val="21"/>
              </w:rPr>
              <w:t>9</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戒毒医疗管理系统</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2964896</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8</w:t>
            </w:r>
            <w:r>
              <w:rPr>
                <w:rFonts w:ascii="宋体" w:hAnsi="宋体" w:cs="宋体" w:eastAsia="宋体" w:hint="default"/>
                <w:sz w:val="21"/>
                <w:szCs w:val="21"/>
              </w:rPr>
              <w:t>月</w:t>
            </w:r>
            <w:r>
              <w:rPr>
                <w:rFonts w:ascii="Arial" w:hAnsi="Arial" w:cs="Arial" w:eastAsia="Arial" w:hint="default"/>
                <w:sz w:val="21"/>
                <w:szCs w:val="21"/>
              </w:rPr>
              <w:t>9</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协同监管平台</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2974165</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8</w:t>
            </w:r>
            <w:r>
              <w:rPr>
                <w:rFonts w:ascii="宋体" w:hAnsi="宋体" w:cs="宋体" w:eastAsia="宋体" w:hint="default"/>
                <w:sz w:val="21"/>
                <w:szCs w:val="21"/>
              </w:rPr>
              <w:t>月</w:t>
            </w:r>
            <w:r>
              <w:rPr>
                <w:rFonts w:ascii="Arial" w:hAnsi="Arial" w:cs="Arial" w:eastAsia="Arial" w:hint="default"/>
                <w:sz w:val="21"/>
                <w:szCs w:val="21"/>
              </w:rPr>
              <w:t>13</w:t>
            </w:r>
            <w:r>
              <w:rPr>
                <w:rFonts w:ascii="宋体" w:hAnsi="宋体" w:cs="宋体" w:eastAsia="宋体" w:hint="default"/>
                <w:sz w:val="21"/>
                <w:szCs w:val="21"/>
              </w:rPr>
              <w:t>日</w:t>
            </w:r>
          </w:p>
        </w:tc>
      </w:tr>
      <w:tr>
        <w:trPr>
          <w:trHeight w:val="739"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before="35"/>
              <w:ind w:left="3" w:right="2"/>
              <w:jc w:val="left"/>
              <w:rPr>
                <w:rFonts w:ascii="Arial" w:hAnsi="Arial" w:cs="Arial" w:eastAsia="Arial" w:hint="default"/>
                <w:sz w:val="21"/>
                <w:szCs w:val="21"/>
              </w:rPr>
            </w:pPr>
            <w:r>
              <w:rPr>
                <w:rFonts w:ascii="宋体" w:hAnsi="宋体" w:cs="宋体" w:eastAsia="宋体" w:hint="default"/>
                <w:spacing w:val="-1"/>
                <w:w w:val="95"/>
                <w:sz w:val="21"/>
                <w:szCs w:val="21"/>
              </w:rPr>
              <w:t>特种设备应急处置系统</w:t>
            </w:r>
            <w:r>
              <w:rPr>
                <w:rFonts w:ascii="Arial" w:hAnsi="Arial" w:cs="Arial" w:eastAsia="Arial" w:hint="default"/>
                <w:spacing w:val="-1"/>
                <w:w w:val="95"/>
                <w:sz w:val="21"/>
                <w:szCs w:val="21"/>
              </w:rPr>
              <w:t>[</w:t>
            </w:r>
            <w:r>
              <w:rPr>
                <w:rFonts w:ascii="宋体" w:hAnsi="宋体" w:cs="宋体" w:eastAsia="宋体" w:hint="default"/>
                <w:spacing w:val="-1"/>
                <w:w w:val="95"/>
                <w:sz w:val="21"/>
                <w:szCs w:val="21"/>
              </w:rPr>
              <w:t>简称：特种设备应急处</w:t>
            </w:r>
            <w:r>
              <w:rPr>
                <w:rFonts w:ascii="宋体" w:hAnsi="宋体" w:cs="宋体" w:eastAsia="宋体" w:hint="default"/>
                <w:spacing w:val="92"/>
                <w:w w:val="95"/>
                <w:sz w:val="21"/>
                <w:szCs w:val="21"/>
              </w:rPr>
              <w:t> </w:t>
            </w:r>
            <w:r>
              <w:rPr>
                <w:rFonts w:ascii="宋体" w:hAnsi="宋体" w:cs="宋体" w:eastAsia="宋体" w:hint="default"/>
                <w:spacing w:val="92"/>
                <w:w w:val="95"/>
                <w:sz w:val="21"/>
                <w:szCs w:val="21"/>
              </w:rPr>
            </w:r>
            <w:r>
              <w:rPr>
                <w:rFonts w:ascii="宋体" w:hAnsi="宋体" w:cs="宋体" w:eastAsia="宋体" w:hint="default"/>
                <w:sz w:val="21"/>
                <w:szCs w:val="21"/>
              </w:rPr>
              <w:t>置</w:t>
            </w:r>
            <w:r>
              <w:rPr>
                <w:rFonts w:ascii="Arial" w:hAnsi="Arial" w:cs="Arial" w:eastAsia="Arial" w:hint="default"/>
                <w:sz w:val="21"/>
                <w:szCs w:val="21"/>
              </w:rPr>
              <w:t>]</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2999505</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8</w:t>
            </w:r>
            <w:r>
              <w:rPr>
                <w:rFonts w:ascii="宋体" w:hAnsi="宋体" w:cs="宋体" w:eastAsia="宋体" w:hint="default"/>
                <w:sz w:val="21"/>
                <w:szCs w:val="21"/>
              </w:rPr>
              <w:t>月</w:t>
            </w:r>
            <w:r>
              <w:rPr>
                <w:rFonts w:ascii="Arial" w:hAnsi="Arial" w:cs="Arial" w:eastAsia="Arial" w:hint="default"/>
                <w:sz w:val="21"/>
                <w:szCs w:val="21"/>
              </w:rPr>
              <w:t>22</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left"/>
              <w:rPr>
                <w:rFonts w:ascii="Arial" w:hAnsi="Arial" w:cs="Arial" w:eastAsia="Arial" w:hint="default"/>
                <w:sz w:val="21"/>
                <w:szCs w:val="21"/>
              </w:rPr>
            </w:pPr>
            <w:r>
              <w:rPr>
                <w:rFonts w:ascii="宋体" w:hAnsi="宋体" w:cs="宋体" w:eastAsia="宋体" w:hint="default"/>
                <w:sz w:val="21"/>
                <w:szCs w:val="21"/>
              </w:rPr>
              <w:t>特种设备监管软件</w:t>
            </w:r>
            <w:r>
              <w:rPr>
                <w:rFonts w:ascii="Arial" w:hAnsi="Arial" w:cs="Arial" w:eastAsia="Arial" w:hint="default"/>
                <w:sz w:val="21"/>
                <w:szCs w:val="21"/>
              </w:rPr>
              <w:t>[</w:t>
            </w:r>
            <w:r>
              <w:rPr>
                <w:rFonts w:ascii="宋体" w:hAnsi="宋体" w:cs="宋体" w:eastAsia="宋体" w:hint="default"/>
                <w:sz w:val="21"/>
                <w:szCs w:val="21"/>
              </w:rPr>
              <w:t>简称：特种设备监管</w:t>
            </w:r>
            <w:r>
              <w:rPr>
                <w:rFonts w:ascii="Arial" w:hAnsi="Arial" w:cs="Arial" w:eastAsia="Arial" w:hint="default"/>
                <w:sz w:val="21"/>
                <w:szCs w:val="21"/>
              </w:rPr>
              <w:t>]</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2999514</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8</w:t>
            </w:r>
            <w:r>
              <w:rPr>
                <w:rFonts w:ascii="宋体" w:hAnsi="宋体" w:cs="宋体" w:eastAsia="宋体" w:hint="default"/>
                <w:sz w:val="21"/>
                <w:szCs w:val="21"/>
              </w:rPr>
              <w:t>月</w:t>
            </w:r>
            <w:r>
              <w:rPr>
                <w:rFonts w:ascii="Arial" w:hAnsi="Arial" w:cs="Arial" w:eastAsia="Arial" w:hint="default"/>
                <w:sz w:val="21"/>
                <w:szCs w:val="21"/>
              </w:rPr>
              <w:t>22</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left"/>
              <w:rPr>
                <w:rFonts w:ascii="Arial" w:hAnsi="Arial" w:cs="Arial" w:eastAsia="Arial" w:hint="default"/>
                <w:sz w:val="21"/>
                <w:szCs w:val="21"/>
              </w:rPr>
            </w:pPr>
            <w:r>
              <w:rPr>
                <w:rFonts w:ascii="宋体" w:hAnsi="宋体" w:cs="宋体" w:eastAsia="宋体" w:hint="default"/>
                <w:sz w:val="21"/>
                <w:szCs w:val="21"/>
              </w:rPr>
              <w:t>联奕奕课堂教学软件</w:t>
            </w:r>
            <w:r>
              <w:rPr>
                <w:rFonts w:ascii="Arial" w:hAnsi="Arial" w:cs="Arial" w:eastAsia="Arial" w:hint="default"/>
                <w:sz w:val="21"/>
                <w:szCs w:val="21"/>
              </w:rPr>
              <w:t>V1.0</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2999277</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8</w:t>
            </w:r>
            <w:r>
              <w:rPr>
                <w:rFonts w:ascii="宋体" w:hAnsi="宋体" w:cs="宋体" w:eastAsia="宋体" w:hint="default"/>
                <w:sz w:val="21"/>
                <w:szCs w:val="21"/>
              </w:rPr>
              <w:t>月</w:t>
            </w:r>
            <w:r>
              <w:rPr>
                <w:rFonts w:ascii="Arial" w:hAnsi="Arial" w:cs="Arial" w:eastAsia="Arial" w:hint="default"/>
                <w:sz w:val="21"/>
                <w:szCs w:val="21"/>
              </w:rPr>
              <w:t>22</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left"/>
              <w:rPr>
                <w:rFonts w:ascii="Arial" w:hAnsi="Arial" w:cs="Arial" w:eastAsia="Arial" w:hint="default"/>
                <w:sz w:val="21"/>
                <w:szCs w:val="21"/>
              </w:rPr>
            </w:pPr>
            <w:r>
              <w:rPr>
                <w:rFonts w:ascii="宋体" w:hAnsi="宋体" w:cs="宋体" w:eastAsia="宋体" w:hint="default"/>
                <w:spacing w:val="-1"/>
                <w:w w:val="99"/>
                <w:sz w:val="21"/>
                <w:szCs w:val="21"/>
              </w:rPr>
              <w:t>智</w:t>
            </w:r>
            <w:r>
              <w:rPr>
                <w:rFonts w:ascii="宋体" w:hAnsi="宋体" w:cs="宋体" w:eastAsia="宋体" w:hint="default"/>
                <w:spacing w:val="2"/>
                <w:w w:val="99"/>
                <w:sz w:val="21"/>
                <w:szCs w:val="21"/>
              </w:rPr>
              <w:t>慧</w:t>
            </w:r>
            <w:r>
              <w:rPr>
                <w:rFonts w:ascii="宋体" w:hAnsi="宋体" w:cs="宋体" w:eastAsia="宋体" w:hint="default"/>
                <w:spacing w:val="-1"/>
                <w:w w:val="99"/>
                <w:sz w:val="21"/>
                <w:szCs w:val="21"/>
              </w:rPr>
              <w:t>粮</w:t>
            </w:r>
            <w:r>
              <w:rPr>
                <w:rFonts w:ascii="宋体" w:hAnsi="宋体" w:cs="宋体" w:eastAsia="宋体" w:hint="default"/>
                <w:spacing w:val="2"/>
                <w:w w:val="99"/>
                <w:sz w:val="21"/>
                <w:szCs w:val="21"/>
              </w:rPr>
              <w:t>棉</w:t>
            </w:r>
            <w:r>
              <w:rPr>
                <w:rFonts w:ascii="宋体" w:hAnsi="宋体" w:cs="宋体" w:eastAsia="宋体" w:hint="default"/>
                <w:spacing w:val="-1"/>
                <w:w w:val="99"/>
                <w:sz w:val="21"/>
                <w:szCs w:val="21"/>
              </w:rPr>
              <w:t>油</w:t>
            </w:r>
            <w:r>
              <w:rPr>
                <w:rFonts w:ascii="宋体" w:hAnsi="宋体" w:cs="宋体" w:eastAsia="宋体" w:hint="default"/>
                <w:spacing w:val="2"/>
                <w:w w:val="99"/>
                <w:sz w:val="21"/>
                <w:szCs w:val="21"/>
              </w:rPr>
              <w:t>库</w:t>
            </w:r>
            <w:r>
              <w:rPr>
                <w:rFonts w:ascii="宋体" w:hAnsi="宋体" w:cs="宋体" w:eastAsia="宋体" w:hint="default"/>
                <w:spacing w:val="-1"/>
                <w:w w:val="99"/>
                <w:sz w:val="21"/>
                <w:szCs w:val="21"/>
              </w:rPr>
              <w:t>存</w:t>
            </w:r>
            <w:r>
              <w:rPr>
                <w:rFonts w:ascii="宋体" w:hAnsi="宋体" w:cs="宋体" w:eastAsia="宋体" w:hint="default"/>
                <w:spacing w:val="2"/>
                <w:w w:val="99"/>
                <w:sz w:val="21"/>
                <w:szCs w:val="21"/>
              </w:rPr>
              <w:t>巡</w:t>
            </w:r>
            <w:r>
              <w:rPr>
                <w:rFonts w:ascii="宋体" w:hAnsi="宋体" w:cs="宋体" w:eastAsia="宋体" w:hint="default"/>
                <w:spacing w:val="-1"/>
                <w:w w:val="99"/>
                <w:sz w:val="21"/>
                <w:szCs w:val="21"/>
              </w:rPr>
              <w:t>检</w:t>
            </w:r>
            <w:r>
              <w:rPr>
                <w:rFonts w:ascii="宋体" w:hAnsi="宋体" w:cs="宋体" w:eastAsia="宋体" w:hint="default"/>
                <w:spacing w:val="2"/>
                <w:w w:val="99"/>
                <w:sz w:val="21"/>
                <w:szCs w:val="21"/>
              </w:rPr>
              <w:t>系</w:t>
            </w:r>
            <w:r>
              <w:rPr>
                <w:rFonts w:ascii="宋体" w:hAnsi="宋体" w:cs="宋体" w:eastAsia="宋体" w:hint="default"/>
                <w:spacing w:val="-1"/>
                <w:w w:val="99"/>
                <w:sz w:val="21"/>
                <w:szCs w:val="21"/>
              </w:rPr>
              <w:t>统</w:t>
            </w:r>
            <w:r>
              <w:rPr>
                <w:rFonts w:ascii="Arial" w:hAnsi="Arial" w:cs="Arial" w:eastAsia="Arial" w:hint="default"/>
                <w:spacing w:val="-1"/>
                <w:w w:val="99"/>
                <w:sz w:val="21"/>
                <w:szCs w:val="21"/>
              </w:rPr>
              <w:t>[</w:t>
            </w:r>
            <w:r>
              <w:rPr>
                <w:rFonts w:ascii="宋体" w:hAnsi="宋体" w:cs="宋体" w:eastAsia="宋体" w:hint="default"/>
                <w:spacing w:val="-1"/>
                <w:w w:val="99"/>
                <w:sz w:val="21"/>
                <w:szCs w:val="21"/>
              </w:rPr>
              <w:t>简</w:t>
            </w:r>
            <w:r>
              <w:rPr>
                <w:rFonts w:ascii="宋体" w:hAnsi="宋体" w:cs="宋体" w:eastAsia="宋体" w:hint="default"/>
                <w:spacing w:val="2"/>
                <w:w w:val="99"/>
                <w:sz w:val="21"/>
                <w:szCs w:val="21"/>
              </w:rPr>
              <w:t>称</w:t>
            </w:r>
            <w:r>
              <w:rPr>
                <w:rFonts w:ascii="宋体" w:hAnsi="宋体" w:cs="宋体" w:eastAsia="宋体" w:hint="default"/>
                <w:spacing w:val="-87"/>
                <w:w w:val="99"/>
                <w:sz w:val="21"/>
                <w:szCs w:val="21"/>
              </w:rPr>
              <w:t>：</w:t>
            </w:r>
            <w:r>
              <w:rPr>
                <w:rFonts w:ascii="宋体" w:hAnsi="宋体" w:cs="宋体" w:eastAsia="宋体" w:hint="default"/>
                <w:spacing w:val="-1"/>
                <w:w w:val="99"/>
                <w:sz w:val="21"/>
                <w:szCs w:val="21"/>
              </w:rPr>
              <w:t>智</w:t>
            </w:r>
            <w:r>
              <w:rPr>
                <w:rFonts w:ascii="宋体" w:hAnsi="宋体" w:cs="宋体" w:eastAsia="宋体" w:hint="default"/>
                <w:spacing w:val="2"/>
                <w:w w:val="99"/>
                <w:sz w:val="21"/>
                <w:szCs w:val="21"/>
              </w:rPr>
              <w:t>慧</w:t>
            </w:r>
            <w:r>
              <w:rPr>
                <w:rFonts w:ascii="宋体" w:hAnsi="宋体" w:cs="宋体" w:eastAsia="宋体" w:hint="default"/>
                <w:spacing w:val="-1"/>
                <w:w w:val="99"/>
                <w:sz w:val="21"/>
                <w:szCs w:val="21"/>
              </w:rPr>
              <w:t>库</w:t>
            </w:r>
            <w:r>
              <w:rPr>
                <w:rFonts w:ascii="宋体" w:hAnsi="宋体" w:cs="宋体" w:eastAsia="宋体" w:hint="default"/>
                <w:spacing w:val="2"/>
                <w:w w:val="99"/>
                <w:sz w:val="21"/>
                <w:szCs w:val="21"/>
              </w:rPr>
              <w:t>存</w:t>
            </w:r>
            <w:r>
              <w:rPr>
                <w:rFonts w:ascii="宋体" w:hAnsi="宋体" w:cs="宋体" w:eastAsia="宋体" w:hint="default"/>
                <w:spacing w:val="-1"/>
                <w:w w:val="99"/>
                <w:sz w:val="21"/>
                <w:szCs w:val="21"/>
              </w:rPr>
              <w:t>巡</w:t>
            </w:r>
            <w:r>
              <w:rPr>
                <w:rFonts w:ascii="宋体" w:hAnsi="宋体" w:cs="宋体" w:eastAsia="宋体" w:hint="default"/>
                <w:spacing w:val="2"/>
                <w:w w:val="99"/>
                <w:sz w:val="21"/>
                <w:szCs w:val="21"/>
              </w:rPr>
              <w:t>检</w:t>
            </w:r>
            <w:r>
              <w:rPr>
                <w:rFonts w:ascii="Arial" w:hAnsi="Arial" w:cs="Arial" w:eastAsia="Arial" w:hint="default"/>
                <w:w w:val="99"/>
                <w:sz w:val="21"/>
                <w:szCs w:val="21"/>
              </w:rPr>
              <w:t>]</w:t>
            </w:r>
            <w:r>
              <w:rPr>
                <w:rFonts w:ascii="Arial" w:hAnsi="Arial" w:cs="Arial" w:eastAsia="Arial" w:hint="default"/>
                <w:sz w:val="21"/>
                <w:szCs w:val="21"/>
              </w:rPr>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3022994</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8</w:t>
            </w:r>
            <w:r>
              <w:rPr>
                <w:rFonts w:ascii="宋体" w:hAnsi="宋体" w:cs="宋体" w:eastAsia="宋体" w:hint="default"/>
                <w:sz w:val="21"/>
                <w:szCs w:val="21"/>
              </w:rPr>
              <w:t>月</w:t>
            </w:r>
            <w:r>
              <w:rPr>
                <w:rFonts w:ascii="Arial" w:hAnsi="Arial" w:cs="Arial" w:eastAsia="Arial" w:hint="default"/>
                <w:sz w:val="21"/>
                <w:szCs w:val="21"/>
              </w:rPr>
              <w:t>29</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left"/>
              <w:rPr>
                <w:rFonts w:ascii="Arial" w:hAnsi="Arial" w:cs="Arial" w:eastAsia="Arial" w:hint="default"/>
                <w:sz w:val="21"/>
                <w:szCs w:val="21"/>
              </w:rPr>
            </w:pPr>
            <w:r>
              <w:rPr>
                <w:rFonts w:ascii="宋体" w:hAnsi="宋体" w:cs="宋体" w:eastAsia="宋体" w:hint="default"/>
                <w:sz w:val="21"/>
                <w:szCs w:val="21"/>
              </w:rPr>
              <w:t>智能资产监控平台</w:t>
            </w:r>
            <w:r>
              <w:rPr>
                <w:rFonts w:ascii="Arial" w:hAnsi="Arial" w:cs="Arial" w:eastAsia="Arial" w:hint="default"/>
                <w:sz w:val="21"/>
                <w:szCs w:val="21"/>
              </w:rPr>
              <w:t>[</w:t>
            </w:r>
            <w:r>
              <w:rPr>
                <w:rFonts w:ascii="宋体" w:hAnsi="宋体" w:cs="宋体" w:eastAsia="宋体" w:hint="default"/>
                <w:sz w:val="21"/>
                <w:szCs w:val="21"/>
              </w:rPr>
              <w:t>简称：资产监控</w:t>
            </w:r>
            <w:r>
              <w:rPr>
                <w:rFonts w:ascii="Arial" w:hAnsi="Arial" w:cs="Arial" w:eastAsia="Arial" w:hint="default"/>
                <w:sz w:val="21"/>
                <w:szCs w:val="21"/>
              </w:rPr>
              <w:t>]</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3032346</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9</w:t>
            </w:r>
            <w:r>
              <w:rPr>
                <w:rFonts w:ascii="宋体" w:hAnsi="宋体" w:cs="宋体" w:eastAsia="宋体" w:hint="default"/>
                <w:sz w:val="21"/>
                <w:szCs w:val="21"/>
              </w:rPr>
              <w:t>月</w:t>
            </w:r>
            <w:r>
              <w:rPr>
                <w:rFonts w:ascii="Arial" w:hAnsi="Arial" w:cs="Arial" w:eastAsia="Arial" w:hint="default"/>
                <w:sz w:val="21"/>
                <w:szCs w:val="21"/>
              </w:rPr>
              <w:t>3</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left"/>
              <w:rPr>
                <w:rFonts w:ascii="宋体" w:hAnsi="宋体" w:cs="宋体" w:eastAsia="宋体" w:hint="default"/>
                <w:sz w:val="21"/>
                <w:szCs w:val="21"/>
              </w:rPr>
            </w:pPr>
            <w:r>
              <w:rPr>
                <w:rFonts w:ascii="宋体" w:hAnsi="宋体" w:cs="宋体" w:eastAsia="宋体" w:hint="default"/>
                <w:sz w:val="21"/>
                <w:szCs w:val="21"/>
              </w:rPr>
              <w:t>讯问指挥系统</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3039602</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9</w:t>
            </w:r>
            <w:r>
              <w:rPr>
                <w:rFonts w:ascii="宋体" w:hAnsi="宋体" w:cs="宋体" w:eastAsia="宋体" w:hint="default"/>
                <w:sz w:val="21"/>
                <w:szCs w:val="21"/>
              </w:rPr>
              <w:t>月</w:t>
            </w:r>
            <w:r>
              <w:rPr>
                <w:rFonts w:ascii="Arial" w:hAnsi="Arial" w:cs="Arial" w:eastAsia="Arial" w:hint="default"/>
                <w:sz w:val="21"/>
                <w:szCs w:val="21"/>
              </w:rPr>
              <w:t>4</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left"/>
              <w:rPr>
                <w:rFonts w:ascii="Arial" w:hAnsi="Arial" w:cs="Arial" w:eastAsia="Arial" w:hint="default"/>
                <w:sz w:val="21"/>
                <w:szCs w:val="21"/>
              </w:rPr>
            </w:pPr>
            <w:r>
              <w:rPr>
                <w:rFonts w:ascii="宋体" w:hAnsi="宋体" w:cs="宋体" w:eastAsia="宋体" w:hint="default"/>
                <w:sz w:val="21"/>
                <w:szCs w:val="21"/>
              </w:rPr>
              <w:t>电子签名系统</w:t>
            </w:r>
            <w:r>
              <w:rPr>
                <w:rFonts w:ascii="Arial" w:hAnsi="Arial" w:cs="Arial" w:eastAsia="Arial" w:hint="default"/>
                <w:sz w:val="21"/>
                <w:szCs w:val="21"/>
              </w:rPr>
              <w:t>V2.0</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3359858</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9</w:t>
            </w:r>
            <w:r>
              <w:rPr>
                <w:rFonts w:ascii="宋体" w:hAnsi="宋体" w:cs="宋体" w:eastAsia="宋体" w:hint="default"/>
                <w:sz w:val="21"/>
                <w:szCs w:val="21"/>
              </w:rPr>
              <w:t>月</w:t>
            </w:r>
            <w:r>
              <w:rPr>
                <w:rFonts w:ascii="Arial" w:hAnsi="Arial" w:cs="Arial" w:eastAsia="Arial" w:hint="default"/>
                <w:sz w:val="21"/>
                <w:szCs w:val="21"/>
              </w:rPr>
              <w:t>6</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left"/>
              <w:rPr>
                <w:rFonts w:ascii="宋体" w:hAnsi="宋体" w:cs="宋体" w:eastAsia="宋体" w:hint="default"/>
                <w:sz w:val="21"/>
                <w:szCs w:val="21"/>
              </w:rPr>
            </w:pPr>
            <w:r>
              <w:rPr>
                <w:rFonts w:ascii="宋体" w:hAnsi="宋体" w:cs="宋体" w:eastAsia="宋体" w:hint="default"/>
                <w:sz w:val="21"/>
                <w:szCs w:val="21"/>
              </w:rPr>
              <w:t>大数据智慧画像系统</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3066909</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9</w:t>
            </w:r>
            <w:r>
              <w:rPr>
                <w:rFonts w:ascii="宋体" w:hAnsi="宋体" w:cs="宋体" w:eastAsia="宋体" w:hint="default"/>
                <w:sz w:val="21"/>
                <w:szCs w:val="21"/>
              </w:rPr>
              <w:t>月</w:t>
            </w:r>
            <w:r>
              <w:rPr>
                <w:rFonts w:ascii="Arial" w:hAnsi="Arial" w:cs="Arial" w:eastAsia="Arial" w:hint="default"/>
                <w:sz w:val="21"/>
                <w:szCs w:val="21"/>
              </w:rPr>
              <w:t>12</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left"/>
              <w:rPr>
                <w:rFonts w:ascii="Arial" w:hAnsi="Arial" w:cs="Arial" w:eastAsia="Arial" w:hint="default"/>
                <w:sz w:val="21"/>
                <w:szCs w:val="21"/>
              </w:rPr>
            </w:pPr>
            <w:r>
              <w:rPr>
                <w:rFonts w:ascii="宋体" w:hAnsi="宋体" w:cs="宋体" w:eastAsia="宋体" w:hint="default"/>
                <w:sz w:val="21"/>
                <w:szCs w:val="21"/>
              </w:rPr>
              <w:t>基于大数据分析的高职院校诊改信息平台</w:t>
            </w:r>
            <w:r>
              <w:rPr>
                <w:rFonts w:ascii="Arial" w:hAnsi="Arial" w:cs="Arial" w:eastAsia="Arial" w:hint="default"/>
                <w:sz w:val="21"/>
                <w:szCs w:val="21"/>
              </w:rPr>
              <w:t>V1.0</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3079391</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9</w:t>
            </w:r>
            <w:r>
              <w:rPr>
                <w:rFonts w:ascii="宋体" w:hAnsi="宋体" w:cs="宋体" w:eastAsia="宋体" w:hint="default"/>
                <w:sz w:val="21"/>
                <w:szCs w:val="21"/>
              </w:rPr>
              <w:t>月</w:t>
            </w:r>
            <w:r>
              <w:rPr>
                <w:rFonts w:ascii="Arial" w:hAnsi="Arial" w:cs="Arial" w:eastAsia="Arial" w:hint="default"/>
                <w:sz w:val="21"/>
                <w:szCs w:val="21"/>
              </w:rPr>
              <w:t>17</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法院款物管理系统</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3114112</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9</w:t>
            </w:r>
            <w:r>
              <w:rPr>
                <w:rFonts w:ascii="宋体" w:hAnsi="宋体" w:cs="宋体" w:eastAsia="宋体" w:hint="default"/>
                <w:sz w:val="21"/>
                <w:szCs w:val="21"/>
              </w:rPr>
              <w:t>月</w:t>
            </w:r>
            <w:r>
              <w:rPr>
                <w:rFonts w:ascii="Arial" w:hAnsi="Arial" w:cs="Arial" w:eastAsia="Arial" w:hint="default"/>
                <w:sz w:val="21"/>
                <w:szCs w:val="21"/>
              </w:rPr>
              <w:t>27</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款项信息管理系统</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3129675</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10</w:t>
            </w:r>
            <w:r>
              <w:rPr>
                <w:rFonts w:ascii="宋体" w:hAnsi="宋体" w:cs="宋体" w:eastAsia="宋体" w:hint="default"/>
                <w:sz w:val="21"/>
                <w:szCs w:val="21"/>
              </w:rPr>
              <w:t>月</w:t>
            </w:r>
            <w:r>
              <w:rPr>
                <w:rFonts w:ascii="Arial" w:hAnsi="Arial" w:cs="Arial" w:eastAsia="Arial" w:hint="default"/>
                <w:sz w:val="21"/>
                <w:szCs w:val="21"/>
              </w:rPr>
              <w:t>8</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 w:right="0"/>
              <w:jc w:val="left"/>
              <w:rPr>
                <w:rFonts w:ascii="Arial" w:hAnsi="Arial" w:cs="Arial" w:eastAsia="Arial" w:hint="default"/>
                <w:sz w:val="21"/>
                <w:szCs w:val="21"/>
              </w:rPr>
            </w:pPr>
            <w:r>
              <w:rPr>
                <w:rFonts w:ascii="宋体" w:hAnsi="宋体" w:cs="宋体" w:eastAsia="宋体" w:hint="default"/>
                <w:sz w:val="21"/>
                <w:szCs w:val="21"/>
              </w:rPr>
              <w:t>晓督</w:t>
            </w:r>
            <w:r>
              <w:rPr>
                <w:rFonts w:ascii="Arial" w:hAnsi="Arial" w:cs="Arial" w:eastAsia="Arial" w:hint="default"/>
                <w:sz w:val="21"/>
                <w:szCs w:val="21"/>
              </w:rPr>
              <w:t>·</w:t>
            </w:r>
            <w:r>
              <w:rPr>
                <w:rFonts w:ascii="宋体" w:hAnsi="宋体" w:cs="宋体" w:eastAsia="宋体" w:hint="default"/>
                <w:sz w:val="21"/>
                <w:szCs w:val="21"/>
              </w:rPr>
              <w:t>智慧民行诉讼监督辅助系统</w:t>
            </w:r>
            <w:r>
              <w:rPr>
                <w:rFonts w:ascii="Arial" w:hAnsi="Arial" w:cs="Arial" w:eastAsia="Arial" w:hint="default"/>
                <w:sz w:val="21"/>
                <w:szCs w:val="21"/>
              </w:rPr>
              <w:t>V2.2</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3384933</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10</w:t>
            </w:r>
            <w:r>
              <w:rPr>
                <w:rFonts w:ascii="宋体" w:hAnsi="宋体" w:cs="宋体" w:eastAsia="宋体" w:hint="default"/>
                <w:sz w:val="21"/>
                <w:szCs w:val="21"/>
              </w:rPr>
              <w:t>月</w:t>
            </w:r>
            <w:r>
              <w:rPr>
                <w:rFonts w:ascii="Arial" w:hAnsi="Arial" w:cs="Arial" w:eastAsia="Arial" w:hint="default"/>
                <w:sz w:val="21"/>
                <w:szCs w:val="21"/>
              </w:rPr>
              <w:t>16</w:t>
            </w:r>
            <w:r>
              <w:rPr>
                <w:rFonts w:ascii="宋体" w:hAnsi="宋体" w:cs="宋体" w:eastAsia="宋体" w:hint="default"/>
                <w:sz w:val="21"/>
                <w:szCs w:val="21"/>
              </w:rPr>
              <w:t>日</w:t>
            </w:r>
          </w:p>
        </w:tc>
      </w:tr>
      <w:tr>
        <w:trPr>
          <w:trHeight w:val="425"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left"/>
              <w:rPr>
                <w:rFonts w:ascii="宋体" w:hAnsi="宋体" w:cs="宋体" w:eastAsia="宋体" w:hint="default"/>
                <w:sz w:val="21"/>
                <w:szCs w:val="21"/>
              </w:rPr>
            </w:pPr>
            <w:r>
              <w:rPr>
                <w:rFonts w:ascii="宋体" w:hAnsi="宋体" w:cs="宋体" w:eastAsia="宋体" w:hint="default"/>
                <w:sz w:val="21"/>
                <w:szCs w:val="21"/>
              </w:rPr>
              <w:t>法官智能办案系统</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3154674</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10</w:t>
            </w:r>
            <w:r>
              <w:rPr>
                <w:rFonts w:ascii="宋体" w:hAnsi="宋体" w:cs="宋体" w:eastAsia="宋体" w:hint="default"/>
                <w:sz w:val="21"/>
                <w:szCs w:val="21"/>
              </w:rPr>
              <w:t>月</w:t>
            </w:r>
            <w:r>
              <w:rPr>
                <w:rFonts w:ascii="Arial" w:hAnsi="Arial" w:cs="Arial" w:eastAsia="Arial" w:hint="default"/>
                <w:sz w:val="21"/>
                <w:szCs w:val="21"/>
              </w:rPr>
              <w:t>17</w:t>
            </w:r>
            <w:r>
              <w:rPr>
                <w:rFonts w:ascii="宋体" w:hAnsi="宋体" w:cs="宋体" w:eastAsia="宋体" w:hint="default"/>
                <w:sz w:val="21"/>
                <w:szCs w:val="21"/>
              </w:rPr>
              <w:t>日</w:t>
            </w:r>
          </w:p>
        </w:tc>
      </w:tr>
    </w:tbl>
    <w:p>
      <w:pPr>
        <w:spacing w:after="0" w:line="240" w:lineRule="auto"/>
        <w:jc w:val="center"/>
        <w:rPr>
          <w:rFonts w:ascii="宋体" w:hAnsi="宋体" w:cs="宋体" w:eastAsia="宋体" w:hint="default"/>
          <w:sz w:val="21"/>
          <w:szCs w:val="21"/>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4249"/>
        <w:gridCol w:w="2370"/>
        <w:gridCol w:w="1095"/>
        <w:gridCol w:w="1954"/>
      </w:tblGrid>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left"/>
              <w:rPr>
                <w:rFonts w:ascii="宋体" w:hAnsi="宋体" w:cs="宋体" w:eastAsia="宋体" w:hint="default"/>
                <w:sz w:val="21"/>
                <w:szCs w:val="21"/>
              </w:rPr>
            </w:pPr>
            <w:r>
              <w:rPr>
                <w:rFonts w:ascii="宋体" w:hAnsi="宋体" w:cs="宋体" w:eastAsia="宋体" w:hint="default"/>
                <w:sz w:val="21"/>
                <w:szCs w:val="21"/>
              </w:rPr>
              <w:t>智慧调解信息管理平台</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3155148</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10</w:t>
            </w:r>
            <w:r>
              <w:rPr>
                <w:rFonts w:ascii="宋体" w:hAnsi="宋体" w:cs="宋体" w:eastAsia="宋体" w:hint="default"/>
                <w:sz w:val="21"/>
                <w:szCs w:val="21"/>
              </w:rPr>
              <w:t>月</w:t>
            </w:r>
            <w:r>
              <w:rPr>
                <w:rFonts w:ascii="Arial" w:hAnsi="Arial" w:cs="Arial" w:eastAsia="Arial" w:hint="default"/>
                <w:sz w:val="21"/>
                <w:szCs w:val="21"/>
              </w:rPr>
              <w:t>17</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left"/>
              <w:rPr>
                <w:rFonts w:ascii="宋体" w:hAnsi="宋体" w:cs="宋体" w:eastAsia="宋体" w:hint="default"/>
                <w:sz w:val="21"/>
                <w:szCs w:val="21"/>
              </w:rPr>
            </w:pPr>
            <w:r>
              <w:rPr>
                <w:rFonts w:ascii="宋体" w:hAnsi="宋体" w:cs="宋体" w:eastAsia="宋体" w:hint="default"/>
                <w:sz w:val="21"/>
                <w:szCs w:val="21"/>
              </w:rPr>
              <w:t>非公党建信息管理平台</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3187969</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10</w:t>
            </w:r>
            <w:r>
              <w:rPr>
                <w:rFonts w:ascii="宋体" w:hAnsi="宋体" w:cs="宋体" w:eastAsia="宋体" w:hint="default"/>
                <w:sz w:val="21"/>
                <w:szCs w:val="21"/>
              </w:rPr>
              <w:t>月</w:t>
            </w:r>
            <w:r>
              <w:rPr>
                <w:rFonts w:ascii="Arial" w:hAnsi="Arial" w:cs="Arial" w:eastAsia="Arial" w:hint="default"/>
                <w:sz w:val="21"/>
                <w:szCs w:val="21"/>
              </w:rPr>
              <w:t>26</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基层移动监管执法平台</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3187961</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10</w:t>
            </w:r>
            <w:r>
              <w:rPr>
                <w:rFonts w:ascii="宋体" w:hAnsi="宋体" w:cs="宋体" w:eastAsia="宋体" w:hint="default"/>
                <w:sz w:val="21"/>
                <w:szCs w:val="21"/>
              </w:rPr>
              <w:t>月</w:t>
            </w:r>
            <w:r>
              <w:rPr>
                <w:rFonts w:ascii="Arial" w:hAnsi="Arial" w:cs="Arial" w:eastAsia="Arial" w:hint="default"/>
                <w:sz w:val="21"/>
                <w:szCs w:val="21"/>
              </w:rPr>
              <w:t>26</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文书智能督查系统</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3187367</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10</w:t>
            </w:r>
            <w:r>
              <w:rPr>
                <w:rFonts w:ascii="宋体" w:hAnsi="宋体" w:cs="宋体" w:eastAsia="宋体" w:hint="default"/>
                <w:sz w:val="21"/>
                <w:szCs w:val="21"/>
              </w:rPr>
              <w:t>月</w:t>
            </w:r>
            <w:r>
              <w:rPr>
                <w:rFonts w:ascii="Arial" w:hAnsi="Arial" w:cs="Arial" w:eastAsia="Arial" w:hint="default"/>
                <w:sz w:val="21"/>
                <w:szCs w:val="21"/>
              </w:rPr>
              <w:t>26</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法院自助阅卷终端系统</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3185408</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10</w:t>
            </w:r>
            <w:r>
              <w:rPr>
                <w:rFonts w:ascii="宋体" w:hAnsi="宋体" w:cs="宋体" w:eastAsia="宋体" w:hint="default"/>
                <w:sz w:val="21"/>
                <w:szCs w:val="21"/>
              </w:rPr>
              <w:t>月</w:t>
            </w:r>
            <w:r>
              <w:rPr>
                <w:rFonts w:ascii="Arial" w:hAnsi="Arial" w:cs="Arial" w:eastAsia="Arial" w:hint="default"/>
                <w:sz w:val="21"/>
                <w:szCs w:val="21"/>
              </w:rPr>
              <w:t>26</w:t>
            </w:r>
            <w:r>
              <w:rPr>
                <w:rFonts w:ascii="宋体" w:hAnsi="宋体" w:cs="宋体" w:eastAsia="宋体" w:hint="default"/>
                <w:sz w:val="21"/>
                <w:szCs w:val="21"/>
              </w:rPr>
              <w:t>日</w:t>
            </w:r>
          </w:p>
        </w:tc>
      </w:tr>
      <w:tr>
        <w:trPr>
          <w:trHeight w:val="739"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before="35"/>
              <w:ind w:left="3" w:right="-1"/>
              <w:jc w:val="left"/>
              <w:rPr>
                <w:rFonts w:ascii="Arial" w:hAnsi="Arial" w:cs="Arial" w:eastAsia="Arial" w:hint="default"/>
                <w:sz w:val="21"/>
                <w:szCs w:val="21"/>
              </w:rPr>
            </w:pPr>
            <w:r>
              <w:rPr>
                <w:rFonts w:ascii="宋体" w:hAnsi="宋体" w:cs="宋体" w:eastAsia="宋体" w:hint="default"/>
                <w:spacing w:val="2"/>
                <w:w w:val="95"/>
                <w:sz w:val="21"/>
                <w:szCs w:val="21"/>
              </w:rPr>
              <w:t>基于</w:t>
            </w:r>
            <w:r>
              <w:rPr>
                <w:rFonts w:ascii="Arial" w:hAnsi="Arial" w:cs="Arial" w:eastAsia="Arial" w:hint="default"/>
                <w:spacing w:val="2"/>
                <w:w w:val="95"/>
                <w:sz w:val="21"/>
                <w:szCs w:val="21"/>
              </w:rPr>
              <w:t>zookeeper</w:t>
            </w:r>
            <w:r>
              <w:rPr>
                <w:rFonts w:ascii="宋体" w:hAnsi="宋体" w:cs="宋体" w:eastAsia="宋体" w:hint="default"/>
                <w:spacing w:val="2"/>
                <w:w w:val="95"/>
                <w:sz w:val="21"/>
                <w:szCs w:val="21"/>
              </w:rPr>
              <w:t>的分布式任务调度系统</w:t>
            </w:r>
            <w:r>
              <w:rPr>
                <w:rFonts w:ascii="Arial" w:hAnsi="Arial" w:cs="Arial" w:eastAsia="Arial" w:hint="default"/>
                <w:spacing w:val="2"/>
                <w:w w:val="95"/>
                <w:sz w:val="21"/>
                <w:szCs w:val="21"/>
              </w:rPr>
              <w:t>[</w:t>
            </w:r>
            <w:r>
              <w:rPr>
                <w:rFonts w:ascii="宋体" w:hAnsi="宋体" w:cs="宋体" w:eastAsia="宋体" w:hint="default"/>
                <w:spacing w:val="2"/>
                <w:w w:val="95"/>
                <w:sz w:val="21"/>
                <w:szCs w:val="21"/>
              </w:rPr>
              <w:t>简称分</w:t>
            </w:r>
            <w:r>
              <w:rPr>
                <w:rFonts w:ascii="宋体" w:hAnsi="宋体" w:cs="宋体" w:eastAsia="宋体" w:hint="default"/>
                <w:spacing w:val="92"/>
                <w:w w:val="95"/>
                <w:sz w:val="21"/>
                <w:szCs w:val="21"/>
              </w:rPr>
              <w:t> </w:t>
            </w:r>
            <w:r>
              <w:rPr>
                <w:rFonts w:ascii="宋体" w:hAnsi="宋体" w:cs="宋体" w:eastAsia="宋体" w:hint="default"/>
                <w:spacing w:val="92"/>
                <w:w w:val="95"/>
                <w:sz w:val="21"/>
                <w:szCs w:val="21"/>
              </w:rPr>
            </w:r>
            <w:r>
              <w:rPr>
                <w:rFonts w:ascii="宋体" w:hAnsi="宋体" w:cs="宋体" w:eastAsia="宋体" w:hint="default"/>
                <w:sz w:val="21"/>
                <w:szCs w:val="21"/>
              </w:rPr>
              <w:t>布式调度</w:t>
            </w:r>
            <w:r>
              <w:rPr>
                <w:rFonts w:ascii="Arial" w:hAnsi="Arial" w:cs="Arial" w:eastAsia="Arial" w:hint="default"/>
                <w:sz w:val="21"/>
                <w:szCs w:val="21"/>
              </w:rPr>
              <w:t>]</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3191720</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10</w:t>
            </w:r>
            <w:r>
              <w:rPr>
                <w:rFonts w:ascii="宋体" w:hAnsi="宋体" w:cs="宋体" w:eastAsia="宋体" w:hint="default"/>
                <w:sz w:val="21"/>
                <w:szCs w:val="21"/>
              </w:rPr>
              <w:t>月</w:t>
            </w:r>
            <w:r>
              <w:rPr>
                <w:rFonts w:ascii="Arial" w:hAnsi="Arial" w:cs="Arial" w:eastAsia="Arial" w:hint="default"/>
                <w:sz w:val="21"/>
                <w:szCs w:val="21"/>
              </w:rPr>
              <w:t>29</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left"/>
              <w:rPr>
                <w:rFonts w:ascii="Arial" w:hAnsi="Arial" w:cs="Arial" w:eastAsia="Arial" w:hint="default"/>
                <w:sz w:val="21"/>
                <w:szCs w:val="21"/>
              </w:rPr>
            </w:pPr>
            <w:r>
              <w:rPr>
                <w:rFonts w:ascii="宋体" w:hAnsi="宋体" w:cs="宋体" w:eastAsia="宋体" w:hint="default"/>
                <w:w w:val="95"/>
                <w:sz w:val="21"/>
                <w:szCs w:val="21"/>
              </w:rPr>
              <w:t>政务协同办公管理平台</w:t>
            </w:r>
            <w:r>
              <w:rPr>
                <w:rFonts w:ascii="Arial" w:hAnsi="Arial" w:cs="Arial" w:eastAsia="Arial" w:hint="default"/>
                <w:w w:val="95"/>
                <w:sz w:val="21"/>
                <w:szCs w:val="21"/>
              </w:rPr>
              <w:t>[</w:t>
            </w:r>
            <w:r>
              <w:rPr>
                <w:rFonts w:ascii="宋体" w:hAnsi="宋体" w:cs="宋体" w:eastAsia="宋体" w:hint="default"/>
                <w:w w:val="95"/>
                <w:sz w:val="21"/>
                <w:szCs w:val="21"/>
              </w:rPr>
              <w:t>简称：政务产品</w:t>
            </w:r>
            <w:r>
              <w:rPr>
                <w:rFonts w:ascii="Arial" w:hAnsi="Arial" w:cs="Arial" w:eastAsia="Arial" w:hint="default"/>
                <w:w w:val="95"/>
                <w:sz w:val="21"/>
                <w:szCs w:val="21"/>
              </w:rPr>
              <w:t>]V12.4</w:t>
            </w:r>
            <w:r>
              <w:rPr>
                <w:rFonts w:ascii="Arial" w:hAnsi="Arial" w:cs="Arial" w:eastAsia="Arial" w:hint="default"/>
                <w:sz w:val="21"/>
                <w:szCs w:val="21"/>
              </w:rPr>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3196498</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10</w:t>
            </w:r>
            <w:r>
              <w:rPr>
                <w:rFonts w:ascii="宋体" w:hAnsi="宋体" w:cs="宋体" w:eastAsia="宋体" w:hint="default"/>
                <w:sz w:val="21"/>
                <w:szCs w:val="21"/>
              </w:rPr>
              <w:t>月</w:t>
            </w:r>
            <w:r>
              <w:rPr>
                <w:rFonts w:ascii="Arial" w:hAnsi="Arial" w:cs="Arial" w:eastAsia="Arial" w:hint="default"/>
                <w:sz w:val="21"/>
                <w:szCs w:val="21"/>
              </w:rPr>
              <w:t>30</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left"/>
              <w:rPr>
                <w:rFonts w:ascii="Arial" w:hAnsi="Arial" w:cs="Arial" w:eastAsia="Arial" w:hint="default"/>
                <w:sz w:val="21"/>
                <w:szCs w:val="21"/>
              </w:rPr>
            </w:pPr>
            <w:r>
              <w:rPr>
                <w:rFonts w:ascii="宋体" w:hAnsi="宋体" w:cs="宋体" w:eastAsia="宋体" w:hint="default"/>
                <w:sz w:val="21"/>
                <w:szCs w:val="21"/>
              </w:rPr>
              <w:t>华宇微法院软件</w:t>
            </w:r>
            <w:r>
              <w:rPr>
                <w:rFonts w:ascii="Arial" w:hAnsi="Arial" w:cs="Arial" w:eastAsia="Arial" w:hint="default"/>
                <w:sz w:val="21"/>
                <w:szCs w:val="21"/>
              </w:rPr>
              <w:t>V1.0</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3205153</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11</w:t>
            </w:r>
            <w:r>
              <w:rPr>
                <w:rFonts w:ascii="宋体" w:hAnsi="宋体" w:cs="宋体" w:eastAsia="宋体" w:hint="default"/>
                <w:sz w:val="21"/>
                <w:szCs w:val="21"/>
              </w:rPr>
              <w:t>月</w:t>
            </w:r>
            <w:r>
              <w:rPr>
                <w:rFonts w:ascii="Arial" w:hAnsi="Arial" w:cs="Arial" w:eastAsia="Arial" w:hint="default"/>
                <w:sz w:val="21"/>
                <w:szCs w:val="21"/>
              </w:rPr>
              <w:t>1</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left"/>
              <w:rPr>
                <w:rFonts w:ascii="Arial" w:hAnsi="Arial" w:cs="Arial" w:eastAsia="Arial" w:hint="default"/>
                <w:sz w:val="21"/>
                <w:szCs w:val="21"/>
              </w:rPr>
            </w:pPr>
            <w:r>
              <w:rPr>
                <w:rFonts w:ascii="宋体" w:hAnsi="宋体" w:cs="宋体" w:eastAsia="宋体" w:hint="default"/>
                <w:sz w:val="21"/>
                <w:szCs w:val="21"/>
              </w:rPr>
              <w:t>数</w:t>
            </w:r>
            <w:r>
              <w:rPr>
                <w:rFonts w:ascii="Arial" w:hAnsi="Arial" w:cs="Arial" w:eastAsia="Arial" w:hint="default"/>
                <w:sz w:val="21"/>
                <w:szCs w:val="21"/>
              </w:rPr>
              <w:t>+</w:t>
            </w:r>
            <w:r>
              <w:rPr>
                <w:rFonts w:ascii="宋体" w:hAnsi="宋体" w:cs="宋体" w:eastAsia="宋体" w:hint="default"/>
                <w:sz w:val="21"/>
                <w:szCs w:val="21"/>
              </w:rPr>
              <w:t>移动采集分析平台</w:t>
            </w:r>
            <w:r>
              <w:rPr>
                <w:rFonts w:ascii="Arial" w:hAnsi="Arial" w:cs="Arial" w:eastAsia="Arial" w:hint="default"/>
                <w:sz w:val="21"/>
                <w:szCs w:val="21"/>
              </w:rPr>
              <w:t>[</w:t>
            </w:r>
            <w:r>
              <w:rPr>
                <w:rFonts w:ascii="宋体" w:hAnsi="宋体" w:cs="宋体" w:eastAsia="宋体" w:hint="default"/>
                <w:sz w:val="21"/>
                <w:szCs w:val="21"/>
              </w:rPr>
              <w:t>简称：数</w:t>
            </w:r>
            <w:r>
              <w:rPr>
                <w:rFonts w:ascii="Arial" w:hAnsi="Arial" w:cs="Arial" w:eastAsia="Arial" w:hint="default"/>
                <w:sz w:val="21"/>
                <w:szCs w:val="21"/>
              </w:rPr>
              <w:t>+]</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3209264</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11</w:t>
            </w:r>
            <w:r>
              <w:rPr>
                <w:rFonts w:ascii="宋体" w:hAnsi="宋体" w:cs="宋体" w:eastAsia="宋体" w:hint="default"/>
                <w:sz w:val="21"/>
                <w:szCs w:val="21"/>
              </w:rPr>
              <w:t>月</w:t>
            </w:r>
            <w:r>
              <w:rPr>
                <w:rFonts w:ascii="Arial" w:hAnsi="Arial" w:cs="Arial" w:eastAsia="Arial" w:hint="default"/>
                <w:sz w:val="21"/>
                <w:szCs w:val="21"/>
              </w:rPr>
              <w:t>2</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left"/>
              <w:rPr>
                <w:rFonts w:ascii="宋体" w:hAnsi="宋体" w:cs="宋体" w:eastAsia="宋体" w:hint="default"/>
                <w:sz w:val="21"/>
                <w:szCs w:val="21"/>
              </w:rPr>
            </w:pPr>
            <w:r>
              <w:rPr>
                <w:rFonts w:ascii="宋体" w:hAnsi="宋体" w:cs="宋体" w:eastAsia="宋体" w:hint="default"/>
                <w:sz w:val="21"/>
                <w:szCs w:val="21"/>
              </w:rPr>
              <w:t>情报分析系统</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3210800</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11</w:t>
            </w:r>
            <w:r>
              <w:rPr>
                <w:rFonts w:ascii="宋体" w:hAnsi="宋体" w:cs="宋体" w:eastAsia="宋体" w:hint="default"/>
                <w:sz w:val="21"/>
                <w:szCs w:val="21"/>
              </w:rPr>
              <w:t>月</w:t>
            </w:r>
            <w:r>
              <w:rPr>
                <w:rFonts w:ascii="Arial" w:hAnsi="Arial" w:cs="Arial" w:eastAsia="Arial" w:hint="default"/>
                <w:sz w:val="21"/>
                <w:szCs w:val="21"/>
              </w:rPr>
              <w:t>5</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left"/>
              <w:rPr>
                <w:rFonts w:ascii="宋体" w:hAnsi="宋体" w:cs="宋体" w:eastAsia="宋体" w:hint="default"/>
                <w:sz w:val="21"/>
                <w:szCs w:val="21"/>
              </w:rPr>
            </w:pPr>
            <w:r>
              <w:rPr>
                <w:rFonts w:ascii="Arial" w:hAnsi="Arial" w:cs="Arial" w:eastAsia="Arial" w:hint="default"/>
                <w:sz w:val="21"/>
                <w:szCs w:val="21"/>
              </w:rPr>
              <w:t>TAS</w:t>
            </w:r>
            <w:r>
              <w:rPr>
                <w:rFonts w:ascii="宋体" w:hAnsi="宋体" w:cs="宋体" w:eastAsia="宋体" w:hint="default"/>
                <w:sz w:val="21"/>
                <w:szCs w:val="21"/>
              </w:rPr>
              <w:t>应用中间件软件</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3221302</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11</w:t>
            </w:r>
            <w:r>
              <w:rPr>
                <w:rFonts w:ascii="宋体" w:hAnsi="宋体" w:cs="宋体" w:eastAsia="宋体" w:hint="default"/>
                <w:sz w:val="21"/>
                <w:szCs w:val="21"/>
              </w:rPr>
              <w:t>月</w:t>
            </w:r>
            <w:r>
              <w:rPr>
                <w:rFonts w:ascii="Arial" w:hAnsi="Arial" w:cs="Arial" w:eastAsia="Arial" w:hint="default"/>
                <w:sz w:val="21"/>
                <w:szCs w:val="21"/>
              </w:rPr>
              <w:t>7</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left"/>
              <w:rPr>
                <w:rFonts w:ascii="Arial" w:hAnsi="Arial" w:cs="Arial" w:eastAsia="Arial" w:hint="default"/>
                <w:sz w:val="21"/>
                <w:szCs w:val="21"/>
              </w:rPr>
            </w:pPr>
            <w:r>
              <w:rPr>
                <w:rFonts w:ascii="宋体" w:hAnsi="宋体" w:cs="宋体" w:eastAsia="宋体" w:hint="default"/>
                <w:sz w:val="21"/>
                <w:szCs w:val="21"/>
              </w:rPr>
              <w:t>联奕实训教学辅助软件</w:t>
            </w:r>
            <w:r>
              <w:rPr>
                <w:rFonts w:ascii="Arial" w:hAnsi="Arial" w:cs="Arial" w:eastAsia="Arial" w:hint="default"/>
                <w:sz w:val="21"/>
                <w:szCs w:val="21"/>
              </w:rPr>
              <w:t>[</w:t>
            </w:r>
            <w:r>
              <w:rPr>
                <w:rFonts w:ascii="宋体" w:hAnsi="宋体" w:cs="宋体" w:eastAsia="宋体" w:hint="default"/>
                <w:sz w:val="21"/>
                <w:szCs w:val="21"/>
              </w:rPr>
              <w:t>简称</w:t>
            </w:r>
            <w:r>
              <w:rPr>
                <w:rFonts w:ascii="Arial" w:hAnsi="Arial" w:cs="Arial" w:eastAsia="Arial" w:hint="default"/>
                <w:sz w:val="21"/>
                <w:szCs w:val="21"/>
              </w:rPr>
              <w:t>:</w:t>
            </w:r>
            <w:r>
              <w:rPr>
                <w:rFonts w:ascii="Arial" w:hAnsi="Arial" w:cs="Arial" w:eastAsia="Arial" w:hint="default"/>
                <w:spacing w:val="-10"/>
                <w:sz w:val="21"/>
                <w:szCs w:val="21"/>
              </w:rPr>
              <w:t> </w:t>
            </w:r>
            <w:r>
              <w:rPr>
                <w:rFonts w:ascii="Arial" w:hAnsi="Arial" w:cs="Arial" w:eastAsia="Arial" w:hint="default"/>
                <w:sz w:val="21"/>
                <w:szCs w:val="21"/>
              </w:rPr>
              <w:t>PT]V1.0</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3220676</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11</w:t>
            </w:r>
            <w:r>
              <w:rPr>
                <w:rFonts w:ascii="宋体" w:hAnsi="宋体" w:cs="宋体" w:eastAsia="宋体" w:hint="default"/>
                <w:sz w:val="21"/>
                <w:szCs w:val="21"/>
              </w:rPr>
              <w:t>月</w:t>
            </w:r>
            <w:r>
              <w:rPr>
                <w:rFonts w:ascii="Arial" w:hAnsi="Arial" w:cs="Arial" w:eastAsia="Arial" w:hint="default"/>
                <w:sz w:val="21"/>
                <w:szCs w:val="21"/>
              </w:rPr>
              <w:t>7</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left"/>
              <w:rPr>
                <w:rFonts w:ascii="Arial" w:hAnsi="Arial" w:cs="Arial" w:eastAsia="Arial" w:hint="default"/>
                <w:sz w:val="21"/>
                <w:szCs w:val="21"/>
              </w:rPr>
            </w:pPr>
            <w:r>
              <w:rPr>
                <w:rFonts w:ascii="宋体" w:hAnsi="宋体" w:cs="宋体" w:eastAsia="宋体" w:hint="default"/>
                <w:sz w:val="21"/>
                <w:szCs w:val="21"/>
              </w:rPr>
              <w:t>联奕高校公房管理软件</w:t>
            </w:r>
            <w:r>
              <w:rPr>
                <w:rFonts w:ascii="Arial" w:hAnsi="Arial" w:cs="Arial" w:eastAsia="Arial" w:hint="default"/>
                <w:sz w:val="21"/>
                <w:szCs w:val="21"/>
              </w:rPr>
              <w:t>V2.0</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3218975</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11</w:t>
            </w:r>
            <w:r>
              <w:rPr>
                <w:rFonts w:ascii="宋体" w:hAnsi="宋体" w:cs="宋体" w:eastAsia="宋体" w:hint="default"/>
                <w:sz w:val="21"/>
                <w:szCs w:val="21"/>
              </w:rPr>
              <w:t>月</w:t>
            </w:r>
            <w:r>
              <w:rPr>
                <w:rFonts w:ascii="Arial" w:hAnsi="Arial" w:cs="Arial" w:eastAsia="Arial" w:hint="default"/>
                <w:sz w:val="21"/>
                <w:szCs w:val="21"/>
              </w:rPr>
              <w:t>7</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left"/>
              <w:rPr>
                <w:rFonts w:ascii="宋体" w:hAnsi="宋体" w:cs="宋体" w:eastAsia="宋体" w:hint="default"/>
                <w:sz w:val="21"/>
                <w:szCs w:val="21"/>
              </w:rPr>
            </w:pPr>
            <w:r>
              <w:rPr>
                <w:rFonts w:ascii="宋体" w:hAnsi="宋体" w:cs="宋体" w:eastAsia="宋体" w:hint="default"/>
                <w:sz w:val="21"/>
                <w:szCs w:val="21"/>
              </w:rPr>
              <w:t>华宇银行资本管理系统</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3222617</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11</w:t>
            </w:r>
            <w:r>
              <w:rPr>
                <w:rFonts w:ascii="宋体" w:hAnsi="宋体" w:cs="宋体" w:eastAsia="宋体" w:hint="default"/>
                <w:sz w:val="21"/>
                <w:szCs w:val="21"/>
              </w:rPr>
              <w:t>月</w:t>
            </w:r>
            <w:r>
              <w:rPr>
                <w:rFonts w:ascii="Arial" w:hAnsi="Arial" w:cs="Arial" w:eastAsia="Arial" w:hint="default"/>
                <w:sz w:val="21"/>
                <w:szCs w:val="21"/>
              </w:rPr>
              <w:t>8</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 w:right="0"/>
              <w:jc w:val="left"/>
              <w:rPr>
                <w:rFonts w:ascii="宋体" w:hAnsi="宋体" w:cs="宋体" w:eastAsia="宋体" w:hint="default"/>
                <w:sz w:val="21"/>
                <w:szCs w:val="21"/>
              </w:rPr>
            </w:pPr>
            <w:r>
              <w:rPr>
                <w:rFonts w:ascii="Arial" w:hAnsi="Arial" w:cs="Arial" w:eastAsia="Arial" w:hint="default"/>
                <w:sz w:val="21"/>
                <w:szCs w:val="21"/>
              </w:rPr>
              <w:t>ArteryBase</w:t>
            </w:r>
            <w:r>
              <w:rPr>
                <w:rFonts w:ascii="宋体" w:hAnsi="宋体" w:cs="宋体" w:eastAsia="宋体" w:hint="default"/>
                <w:sz w:val="21"/>
                <w:szCs w:val="21"/>
              </w:rPr>
              <w:t>数据库管理系统</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3224954</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11</w:t>
            </w:r>
            <w:r>
              <w:rPr>
                <w:rFonts w:ascii="宋体" w:hAnsi="宋体" w:cs="宋体" w:eastAsia="宋体" w:hint="default"/>
                <w:sz w:val="21"/>
                <w:szCs w:val="21"/>
              </w:rPr>
              <w:t>月</w:t>
            </w:r>
            <w:r>
              <w:rPr>
                <w:rFonts w:ascii="Arial" w:hAnsi="Arial" w:cs="Arial" w:eastAsia="Arial" w:hint="default"/>
                <w:sz w:val="21"/>
                <w:szCs w:val="21"/>
              </w:rPr>
              <w:t>8</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 w:right="0"/>
              <w:jc w:val="left"/>
              <w:rPr>
                <w:rFonts w:ascii="Arial" w:hAnsi="Arial" w:cs="Arial" w:eastAsia="Arial" w:hint="default"/>
                <w:sz w:val="21"/>
                <w:szCs w:val="21"/>
              </w:rPr>
            </w:pPr>
            <w:r>
              <w:rPr>
                <w:rFonts w:ascii="宋体" w:hAnsi="宋体" w:cs="宋体" w:eastAsia="宋体" w:hint="default"/>
                <w:sz w:val="21"/>
                <w:szCs w:val="21"/>
              </w:rPr>
              <w:t>联奕微服务</w:t>
            </w:r>
            <w:r>
              <w:rPr>
                <w:rFonts w:ascii="Arial" w:hAnsi="Arial" w:cs="Arial" w:eastAsia="Arial" w:hint="default"/>
                <w:sz w:val="21"/>
                <w:szCs w:val="21"/>
              </w:rPr>
              <w:t>API</w:t>
            </w:r>
            <w:r>
              <w:rPr>
                <w:rFonts w:ascii="宋体" w:hAnsi="宋体" w:cs="宋体" w:eastAsia="宋体" w:hint="default"/>
                <w:sz w:val="21"/>
                <w:szCs w:val="21"/>
              </w:rPr>
              <w:t>管理软件</w:t>
            </w:r>
            <w:r>
              <w:rPr>
                <w:rFonts w:ascii="Arial" w:hAnsi="Arial" w:cs="Arial" w:eastAsia="Arial" w:hint="default"/>
                <w:sz w:val="21"/>
                <w:szCs w:val="21"/>
              </w:rPr>
              <w:t>[</w:t>
            </w:r>
            <w:r>
              <w:rPr>
                <w:rFonts w:ascii="宋体" w:hAnsi="宋体" w:cs="宋体" w:eastAsia="宋体" w:hint="default"/>
                <w:sz w:val="21"/>
                <w:szCs w:val="21"/>
              </w:rPr>
              <w:t>简称</w:t>
            </w:r>
            <w:r>
              <w:rPr>
                <w:rFonts w:ascii="Arial" w:hAnsi="Arial" w:cs="Arial" w:eastAsia="Arial" w:hint="default"/>
                <w:sz w:val="21"/>
                <w:szCs w:val="21"/>
              </w:rPr>
              <w:t>:</w:t>
            </w:r>
            <w:r>
              <w:rPr>
                <w:rFonts w:ascii="Arial" w:hAnsi="Arial" w:cs="Arial" w:eastAsia="Arial" w:hint="default"/>
                <w:spacing w:val="-14"/>
                <w:sz w:val="21"/>
                <w:szCs w:val="21"/>
              </w:rPr>
              <w:t> </w:t>
            </w:r>
            <w:r>
              <w:rPr>
                <w:rFonts w:ascii="Arial" w:hAnsi="Arial" w:cs="Arial" w:eastAsia="Arial" w:hint="default"/>
                <w:sz w:val="21"/>
                <w:szCs w:val="21"/>
              </w:rPr>
              <w:t>LYAPI]V1.0</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3223280</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11</w:t>
            </w:r>
            <w:r>
              <w:rPr>
                <w:rFonts w:ascii="宋体" w:hAnsi="宋体" w:cs="宋体" w:eastAsia="宋体" w:hint="default"/>
                <w:sz w:val="21"/>
                <w:szCs w:val="21"/>
              </w:rPr>
              <w:t>月</w:t>
            </w:r>
            <w:r>
              <w:rPr>
                <w:rFonts w:ascii="Arial" w:hAnsi="Arial" w:cs="Arial" w:eastAsia="Arial" w:hint="default"/>
                <w:sz w:val="21"/>
                <w:szCs w:val="21"/>
              </w:rPr>
              <w:t>8</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信息查询系统</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3228070</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11</w:t>
            </w:r>
            <w:r>
              <w:rPr>
                <w:rFonts w:ascii="宋体" w:hAnsi="宋体" w:cs="宋体" w:eastAsia="宋体" w:hint="default"/>
                <w:sz w:val="21"/>
                <w:szCs w:val="21"/>
              </w:rPr>
              <w:t>月</w:t>
            </w:r>
            <w:r>
              <w:rPr>
                <w:rFonts w:ascii="Arial" w:hAnsi="Arial" w:cs="Arial" w:eastAsia="Arial" w:hint="default"/>
                <w:sz w:val="21"/>
                <w:szCs w:val="21"/>
              </w:rPr>
              <w:t>9</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left"/>
              <w:rPr>
                <w:rFonts w:ascii="Arial" w:hAnsi="Arial" w:cs="Arial" w:eastAsia="Arial" w:hint="default"/>
                <w:sz w:val="21"/>
                <w:szCs w:val="21"/>
              </w:rPr>
            </w:pPr>
            <w:r>
              <w:rPr>
                <w:rFonts w:ascii="宋体" w:hAnsi="宋体" w:cs="宋体" w:eastAsia="宋体" w:hint="default"/>
                <w:sz w:val="21"/>
                <w:szCs w:val="21"/>
              </w:rPr>
              <w:t>云调解服务平台</w:t>
            </w:r>
            <w:r>
              <w:rPr>
                <w:rFonts w:ascii="Arial" w:hAnsi="Arial" w:cs="Arial" w:eastAsia="Arial" w:hint="default"/>
                <w:sz w:val="21"/>
                <w:szCs w:val="21"/>
              </w:rPr>
              <w:t>V3.1</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3384728</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11</w:t>
            </w:r>
            <w:r>
              <w:rPr>
                <w:rFonts w:ascii="宋体" w:hAnsi="宋体" w:cs="宋体" w:eastAsia="宋体" w:hint="default"/>
                <w:sz w:val="21"/>
                <w:szCs w:val="21"/>
              </w:rPr>
              <w:t>月</w:t>
            </w:r>
            <w:r>
              <w:rPr>
                <w:rFonts w:ascii="Arial" w:hAnsi="Arial" w:cs="Arial" w:eastAsia="Arial" w:hint="default"/>
                <w:sz w:val="21"/>
                <w:szCs w:val="21"/>
              </w:rPr>
              <w:t>12</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left"/>
              <w:rPr>
                <w:rFonts w:ascii="Arial" w:hAnsi="Arial" w:cs="Arial" w:eastAsia="Arial" w:hint="default"/>
                <w:sz w:val="21"/>
                <w:szCs w:val="21"/>
              </w:rPr>
            </w:pPr>
            <w:r>
              <w:rPr>
                <w:rFonts w:ascii="宋体" w:hAnsi="宋体" w:cs="宋体" w:eastAsia="宋体" w:hint="default"/>
                <w:sz w:val="21"/>
                <w:szCs w:val="21"/>
              </w:rPr>
              <w:t>联奕项目数据质量管理软件</w:t>
            </w:r>
            <w:r>
              <w:rPr>
                <w:rFonts w:ascii="Arial" w:hAnsi="Arial" w:cs="Arial" w:eastAsia="Arial" w:hint="default"/>
                <w:sz w:val="21"/>
                <w:szCs w:val="21"/>
              </w:rPr>
              <w:t>V6.0</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3231064</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11</w:t>
            </w:r>
            <w:r>
              <w:rPr>
                <w:rFonts w:ascii="宋体" w:hAnsi="宋体" w:cs="宋体" w:eastAsia="宋体" w:hint="default"/>
                <w:sz w:val="21"/>
                <w:szCs w:val="21"/>
              </w:rPr>
              <w:t>月</w:t>
            </w:r>
            <w:r>
              <w:rPr>
                <w:rFonts w:ascii="Arial" w:hAnsi="Arial" w:cs="Arial" w:eastAsia="Arial" w:hint="default"/>
                <w:sz w:val="21"/>
                <w:szCs w:val="21"/>
              </w:rPr>
              <w:t>12</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left"/>
              <w:rPr>
                <w:rFonts w:ascii="Arial" w:hAnsi="Arial" w:cs="Arial" w:eastAsia="Arial" w:hint="default"/>
                <w:sz w:val="21"/>
                <w:szCs w:val="21"/>
              </w:rPr>
            </w:pPr>
            <w:r>
              <w:rPr>
                <w:rFonts w:ascii="宋体" w:hAnsi="宋体" w:cs="宋体" w:eastAsia="宋体" w:hint="default"/>
                <w:sz w:val="21"/>
                <w:szCs w:val="21"/>
              </w:rPr>
              <w:t>联奕网络安全运维管理软件</w:t>
            </w:r>
            <w:r>
              <w:rPr>
                <w:rFonts w:ascii="Arial" w:hAnsi="Arial" w:cs="Arial" w:eastAsia="Arial" w:hint="default"/>
                <w:sz w:val="21"/>
                <w:szCs w:val="21"/>
              </w:rPr>
              <w:t>V3.0</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3236284</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11</w:t>
            </w:r>
            <w:r>
              <w:rPr>
                <w:rFonts w:ascii="宋体" w:hAnsi="宋体" w:cs="宋体" w:eastAsia="宋体" w:hint="default"/>
                <w:sz w:val="21"/>
                <w:szCs w:val="21"/>
              </w:rPr>
              <w:t>月</w:t>
            </w:r>
            <w:r>
              <w:rPr>
                <w:rFonts w:ascii="Arial" w:hAnsi="Arial" w:cs="Arial" w:eastAsia="Arial" w:hint="default"/>
                <w:sz w:val="21"/>
                <w:szCs w:val="21"/>
              </w:rPr>
              <w:t>13</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left"/>
              <w:rPr>
                <w:rFonts w:ascii="Arial" w:hAnsi="Arial" w:cs="Arial" w:eastAsia="Arial" w:hint="default"/>
                <w:sz w:val="21"/>
                <w:szCs w:val="21"/>
              </w:rPr>
            </w:pPr>
            <w:r>
              <w:rPr>
                <w:rFonts w:ascii="宋体" w:hAnsi="宋体" w:cs="宋体" w:eastAsia="宋体" w:hint="default"/>
                <w:sz w:val="21"/>
                <w:szCs w:val="21"/>
              </w:rPr>
              <w:t>联奕高校电子注册管理软件</w:t>
            </w:r>
            <w:r>
              <w:rPr>
                <w:rFonts w:ascii="Arial" w:hAnsi="Arial" w:cs="Arial" w:eastAsia="Arial" w:hint="default"/>
                <w:sz w:val="21"/>
                <w:szCs w:val="21"/>
              </w:rPr>
              <w:t>2.0</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3234073</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11</w:t>
            </w:r>
            <w:r>
              <w:rPr>
                <w:rFonts w:ascii="宋体" w:hAnsi="宋体" w:cs="宋体" w:eastAsia="宋体" w:hint="default"/>
                <w:sz w:val="21"/>
                <w:szCs w:val="21"/>
              </w:rPr>
              <w:t>月</w:t>
            </w:r>
            <w:r>
              <w:rPr>
                <w:rFonts w:ascii="Arial" w:hAnsi="Arial" w:cs="Arial" w:eastAsia="Arial" w:hint="default"/>
                <w:sz w:val="21"/>
                <w:szCs w:val="21"/>
              </w:rPr>
              <w:t>13</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left"/>
              <w:rPr>
                <w:rFonts w:ascii="Arial" w:hAnsi="Arial" w:cs="Arial" w:eastAsia="Arial" w:hint="default"/>
                <w:sz w:val="21"/>
                <w:szCs w:val="21"/>
              </w:rPr>
            </w:pPr>
            <w:r>
              <w:rPr>
                <w:rFonts w:ascii="宋体" w:hAnsi="宋体" w:cs="宋体" w:eastAsia="宋体" w:hint="default"/>
                <w:sz w:val="21"/>
                <w:szCs w:val="21"/>
              </w:rPr>
              <w:t>联奕项目开发者应用软件</w:t>
            </w:r>
            <w:r>
              <w:rPr>
                <w:rFonts w:ascii="Arial" w:hAnsi="Arial" w:cs="Arial" w:eastAsia="Arial" w:hint="default"/>
                <w:sz w:val="21"/>
                <w:szCs w:val="21"/>
              </w:rPr>
              <w:t>V6.0</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3234450</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11</w:t>
            </w:r>
            <w:r>
              <w:rPr>
                <w:rFonts w:ascii="宋体" w:hAnsi="宋体" w:cs="宋体" w:eastAsia="宋体" w:hint="default"/>
                <w:sz w:val="21"/>
                <w:szCs w:val="21"/>
              </w:rPr>
              <w:t>月</w:t>
            </w:r>
            <w:r>
              <w:rPr>
                <w:rFonts w:ascii="Arial" w:hAnsi="Arial" w:cs="Arial" w:eastAsia="Arial" w:hint="default"/>
                <w:sz w:val="21"/>
                <w:szCs w:val="21"/>
              </w:rPr>
              <w:t>13</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left"/>
              <w:rPr>
                <w:rFonts w:ascii="宋体" w:hAnsi="宋体" w:cs="宋体" w:eastAsia="宋体" w:hint="default"/>
                <w:sz w:val="21"/>
                <w:szCs w:val="21"/>
              </w:rPr>
            </w:pPr>
            <w:r>
              <w:rPr>
                <w:rFonts w:ascii="宋体" w:hAnsi="宋体" w:cs="宋体" w:eastAsia="宋体" w:hint="default"/>
                <w:sz w:val="21"/>
                <w:szCs w:val="21"/>
              </w:rPr>
              <w:t>青海省高级人民法院电子卷宗巡查系统</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3253152</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11</w:t>
            </w:r>
            <w:r>
              <w:rPr>
                <w:rFonts w:ascii="宋体" w:hAnsi="宋体" w:cs="宋体" w:eastAsia="宋体" w:hint="default"/>
                <w:sz w:val="21"/>
                <w:szCs w:val="21"/>
              </w:rPr>
              <w:t>月</w:t>
            </w:r>
            <w:r>
              <w:rPr>
                <w:rFonts w:ascii="Arial" w:hAnsi="Arial" w:cs="Arial" w:eastAsia="Arial" w:hint="default"/>
                <w:sz w:val="21"/>
                <w:szCs w:val="21"/>
              </w:rPr>
              <w:t>19</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left"/>
              <w:rPr>
                <w:rFonts w:ascii="宋体" w:hAnsi="宋体" w:cs="宋体" w:eastAsia="宋体" w:hint="default"/>
                <w:sz w:val="21"/>
                <w:szCs w:val="21"/>
              </w:rPr>
            </w:pPr>
            <w:r>
              <w:rPr>
                <w:rFonts w:ascii="宋体" w:hAnsi="宋体" w:cs="宋体" w:eastAsia="宋体" w:hint="default"/>
                <w:sz w:val="21"/>
                <w:szCs w:val="21"/>
              </w:rPr>
              <w:t>青海省高级人民法院重大敏感案件管理系统</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3253147</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11</w:t>
            </w:r>
            <w:r>
              <w:rPr>
                <w:rFonts w:ascii="宋体" w:hAnsi="宋体" w:cs="宋体" w:eastAsia="宋体" w:hint="default"/>
                <w:sz w:val="21"/>
                <w:szCs w:val="21"/>
              </w:rPr>
              <w:t>月</w:t>
            </w:r>
            <w:r>
              <w:rPr>
                <w:rFonts w:ascii="Arial" w:hAnsi="Arial" w:cs="Arial" w:eastAsia="Arial" w:hint="default"/>
                <w:sz w:val="21"/>
                <w:szCs w:val="21"/>
              </w:rPr>
              <w:t>19</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left"/>
              <w:rPr>
                <w:rFonts w:ascii="Arial" w:hAnsi="Arial" w:cs="Arial" w:eastAsia="Arial" w:hint="default"/>
                <w:sz w:val="21"/>
                <w:szCs w:val="21"/>
              </w:rPr>
            </w:pPr>
            <w:r>
              <w:rPr>
                <w:rFonts w:ascii="宋体" w:hAnsi="宋体" w:cs="宋体" w:eastAsia="宋体" w:hint="default"/>
                <w:sz w:val="21"/>
                <w:szCs w:val="21"/>
              </w:rPr>
              <w:t>华宇廉政风险防控管理软件</w:t>
            </w:r>
            <w:r>
              <w:rPr>
                <w:rFonts w:ascii="Arial" w:hAnsi="Arial" w:cs="Arial" w:eastAsia="Arial" w:hint="default"/>
                <w:sz w:val="21"/>
                <w:szCs w:val="21"/>
              </w:rPr>
              <w:t>V1.0</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3271738</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11</w:t>
            </w:r>
            <w:r>
              <w:rPr>
                <w:rFonts w:ascii="宋体" w:hAnsi="宋体" w:cs="宋体" w:eastAsia="宋体" w:hint="default"/>
                <w:sz w:val="21"/>
                <w:szCs w:val="21"/>
              </w:rPr>
              <w:t>月</w:t>
            </w:r>
            <w:r>
              <w:rPr>
                <w:rFonts w:ascii="Arial" w:hAnsi="Arial" w:cs="Arial" w:eastAsia="Arial" w:hint="default"/>
                <w:sz w:val="21"/>
                <w:szCs w:val="21"/>
              </w:rPr>
              <w:t>26</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left"/>
              <w:rPr>
                <w:rFonts w:ascii="宋体" w:hAnsi="宋体" w:cs="宋体" w:eastAsia="宋体" w:hint="default"/>
                <w:sz w:val="21"/>
                <w:szCs w:val="21"/>
              </w:rPr>
            </w:pPr>
            <w:r>
              <w:rPr>
                <w:rFonts w:ascii="宋体" w:hAnsi="宋体" w:cs="宋体" w:eastAsia="宋体" w:hint="default"/>
                <w:sz w:val="21"/>
                <w:szCs w:val="21"/>
              </w:rPr>
              <w:t>庭审应用系统</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3275011</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11</w:t>
            </w:r>
            <w:r>
              <w:rPr>
                <w:rFonts w:ascii="宋体" w:hAnsi="宋体" w:cs="宋体" w:eastAsia="宋体" w:hint="default"/>
                <w:sz w:val="21"/>
                <w:szCs w:val="21"/>
              </w:rPr>
              <w:t>月</w:t>
            </w:r>
            <w:r>
              <w:rPr>
                <w:rFonts w:ascii="Arial" w:hAnsi="Arial" w:cs="Arial" w:eastAsia="Arial" w:hint="default"/>
                <w:sz w:val="21"/>
                <w:szCs w:val="21"/>
              </w:rPr>
              <w:t>27</w:t>
            </w:r>
            <w:r>
              <w:rPr>
                <w:rFonts w:ascii="宋体" w:hAnsi="宋体" w:cs="宋体" w:eastAsia="宋体" w:hint="default"/>
                <w:sz w:val="21"/>
                <w:szCs w:val="21"/>
              </w:rPr>
              <w:t>日</w:t>
            </w:r>
          </w:p>
        </w:tc>
      </w:tr>
      <w:tr>
        <w:trPr>
          <w:trHeight w:val="739"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before="37"/>
              <w:ind w:left="3" w:right="2"/>
              <w:jc w:val="left"/>
              <w:rPr>
                <w:rFonts w:ascii="Arial" w:hAnsi="Arial" w:cs="Arial" w:eastAsia="Arial" w:hint="default"/>
                <w:sz w:val="21"/>
                <w:szCs w:val="21"/>
              </w:rPr>
            </w:pPr>
            <w:r>
              <w:rPr>
                <w:rFonts w:ascii="宋体" w:hAnsi="宋体" w:cs="宋体" w:eastAsia="宋体" w:hint="default"/>
                <w:spacing w:val="9"/>
                <w:sz w:val="21"/>
                <w:szCs w:val="21"/>
              </w:rPr>
              <w:t>检察院案卡智能填录系统</w:t>
            </w:r>
            <w:r>
              <w:rPr>
                <w:rFonts w:ascii="Arial" w:hAnsi="Arial" w:cs="Arial" w:eastAsia="Arial" w:hint="default"/>
                <w:spacing w:val="9"/>
                <w:sz w:val="21"/>
                <w:szCs w:val="21"/>
              </w:rPr>
              <w:t>[</w:t>
            </w:r>
            <w:r>
              <w:rPr>
                <w:rFonts w:ascii="宋体" w:hAnsi="宋体" w:cs="宋体" w:eastAsia="宋体" w:hint="default"/>
                <w:spacing w:val="9"/>
                <w:sz w:val="21"/>
                <w:szCs w:val="21"/>
              </w:rPr>
              <w:t>简称：案卡填录系</w:t>
            </w:r>
            <w:r>
              <w:rPr>
                <w:rFonts w:ascii="宋体" w:hAnsi="宋体" w:cs="宋体" w:eastAsia="宋体" w:hint="default"/>
                <w:w w:val="99"/>
                <w:sz w:val="21"/>
                <w:szCs w:val="21"/>
              </w:rPr>
              <w:t> </w:t>
            </w:r>
            <w:r>
              <w:rPr>
                <w:rFonts w:ascii="宋体" w:hAnsi="宋体" w:cs="宋体" w:eastAsia="宋体" w:hint="default"/>
                <w:sz w:val="21"/>
                <w:szCs w:val="21"/>
              </w:rPr>
              <w:t>统</w:t>
            </w:r>
            <w:r>
              <w:rPr>
                <w:rFonts w:ascii="Arial" w:hAnsi="Arial" w:cs="Arial" w:eastAsia="Arial" w:hint="default"/>
                <w:sz w:val="21"/>
                <w:szCs w:val="21"/>
              </w:rPr>
              <w:t>]V2.0</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3383832</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11</w:t>
            </w:r>
            <w:r>
              <w:rPr>
                <w:rFonts w:ascii="宋体" w:hAnsi="宋体" w:cs="宋体" w:eastAsia="宋体" w:hint="default"/>
                <w:sz w:val="21"/>
                <w:szCs w:val="21"/>
              </w:rPr>
              <w:t>月</w:t>
            </w:r>
            <w:r>
              <w:rPr>
                <w:rFonts w:ascii="Arial" w:hAnsi="Arial" w:cs="Arial" w:eastAsia="Arial" w:hint="default"/>
                <w:sz w:val="21"/>
                <w:szCs w:val="21"/>
              </w:rPr>
              <w:t>30</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刑事证据智能分析系统</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3320303</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12</w:t>
            </w:r>
            <w:r>
              <w:rPr>
                <w:rFonts w:ascii="宋体" w:hAnsi="宋体" w:cs="宋体" w:eastAsia="宋体" w:hint="default"/>
                <w:sz w:val="21"/>
                <w:szCs w:val="21"/>
              </w:rPr>
              <w:t>月</w:t>
            </w:r>
            <w:r>
              <w:rPr>
                <w:rFonts w:ascii="Arial" w:hAnsi="Arial" w:cs="Arial" w:eastAsia="Arial" w:hint="default"/>
                <w:sz w:val="21"/>
                <w:szCs w:val="21"/>
              </w:rPr>
              <w:t>7</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数字法院智能管理系统</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3333330</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12</w:t>
            </w:r>
            <w:r>
              <w:rPr>
                <w:rFonts w:ascii="宋体" w:hAnsi="宋体" w:cs="宋体" w:eastAsia="宋体" w:hint="default"/>
                <w:sz w:val="21"/>
                <w:szCs w:val="21"/>
              </w:rPr>
              <w:t>月</w:t>
            </w:r>
            <w:r>
              <w:rPr>
                <w:rFonts w:ascii="Arial" w:hAnsi="Arial" w:cs="Arial" w:eastAsia="Arial" w:hint="default"/>
                <w:sz w:val="21"/>
                <w:szCs w:val="21"/>
              </w:rPr>
              <w:t>12</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left"/>
              <w:rPr>
                <w:rFonts w:ascii="宋体" w:hAnsi="宋体" w:cs="宋体" w:eastAsia="宋体" w:hint="default"/>
                <w:sz w:val="21"/>
                <w:szCs w:val="21"/>
              </w:rPr>
            </w:pPr>
            <w:r>
              <w:rPr>
                <w:rFonts w:ascii="宋体" w:hAnsi="宋体" w:cs="宋体" w:eastAsia="宋体" w:hint="default"/>
                <w:sz w:val="21"/>
                <w:szCs w:val="21"/>
              </w:rPr>
              <w:t>检察办案业务系统</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3333339</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12</w:t>
            </w:r>
            <w:r>
              <w:rPr>
                <w:rFonts w:ascii="宋体" w:hAnsi="宋体" w:cs="宋体" w:eastAsia="宋体" w:hint="default"/>
                <w:sz w:val="21"/>
                <w:szCs w:val="21"/>
              </w:rPr>
              <w:t>月</w:t>
            </w:r>
            <w:r>
              <w:rPr>
                <w:rFonts w:ascii="Arial" w:hAnsi="Arial" w:cs="Arial" w:eastAsia="Arial" w:hint="default"/>
                <w:sz w:val="21"/>
                <w:szCs w:val="21"/>
              </w:rPr>
              <w:t>12</w:t>
            </w:r>
            <w:r>
              <w:rPr>
                <w:rFonts w:ascii="宋体" w:hAnsi="宋体" w:cs="宋体" w:eastAsia="宋体" w:hint="default"/>
                <w:sz w:val="21"/>
                <w:szCs w:val="21"/>
              </w:rPr>
              <w:t>日</w:t>
            </w:r>
          </w:p>
        </w:tc>
      </w:tr>
      <w:tr>
        <w:trPr>
          <w:trHeight w:val="425"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left"/>
              <w:rPr>
                <w:rFonts w:ascii="宋体" w:hAnsi="宋体" w:cs="宋体" w:eastAsia="宋体" w:hint="default"/>
                <w:sz w:val="21"/>
                <w:szCs w:val="21"/>
              </w:rPr>
            </w:pPr>
            <w:r>
              <w:rPr>
                <w:rFonts w:ascii="宋体" w:hAnsi="宋体" w:cs="宋体" w:eastAsia="宋体" w:hint="default"/>
                <w:sz w:val="21"/>
                <w:szCs w:val="21"/>
              </w:rPr>
              <w:t>华宇政务应用支撑和研发平台</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3333351</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12</w:t>
            </w:r>
            <w:r>
              <w:rPr>
                <w:rFonts w:ascii="宋体" w:hAnsi="宋体" w:cs="宋体" w:eastAsia="宋体" w:hint="default"/>
                <w:sz w:val="21"/>
                <w:szCs w:val="21"/>
              </w:rPr>
              <w:t>月</w:t>
            </w:r>
            <w:r>
              <w:rPr>
                <w:rFonts w:ascii="Arial" w:hAnsi="Arial" w:cs="Arial" w:eastAsia="Arial" w:hint="default"/>
                <w:sz w:val="21"/>
                <w:szCs w:val="21"/>
              </w:rPr>
              <w:t>12</w:t>
            </w:r>
            <w:r>
              <w:rPr>
                <w:rFonts w:ascii="宋体" w:hAnsi="宋体" w:cs="宋体" w:eastAsia="宋体" w:hint="default"/>
                <w:sz w:val="21"/>
                <w:szCs w:val="21"/>
              </w:rPr>
              <w:t>日</w:t>
            </w:r>
          </w:p>
        </w:tc>
      </w:tr>
    </w:tbl>
    <w:p>
      <w:pPr>
        <w:spacing w:after="0" w:line="240" w:lineRule="auto"/>
        <w:jc w:val="center"/>
        <w:rPr>
          <w:rFonts w:ascii="宋体" w:hAnsi="宋体" w:cs="宋体" w:eastAsia="宋体" w:hint="default"/>
          <w:sz w:val="21"/>
          <w:szCs w:val="21"/>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4249"/>
        <w:gridCol w:w="2370"/>
        <w:gridCol w:w="1095"/>
        <w:gridCol w:w="1954"/>
      </w:tblGrid>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left"/>
              <w:rPr>
                <w:rFonts w:ascii="宋体" w:hAnsi="宋体" w:cs="宋体" w:eastAsia="宋体" w:hint="default"/>
                <w:sz w:val="21"/>
                <w:szCs w:val="21"/>
              </w:rPr>
            </w:pPr>
            <w:r>
              <w:rPr>
                <w:rFonts w:ascii="Arial" w:hAnsi="Arial" w:cs="Arial" w:eastAsia="Arial" w:hint="default"/>
                <w:sz w:val="21"/>
                <w:szCs w:val="21"/>
              </w:rPr>
              <w:t>ArteryDocker</w:t>
            </w:r>
            <w:r>
              <w:rPr>
                <w:rFonts w:ascii="宋体" w:hAnsi="宋体" w:cs="宋体" w:eastAsia="宋体" w:hint="default"/>
                <w:sz w:val="21"/>
                <w:szCs w:val="21"/>
              </w:rPr>
              <w:t>平台</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3336584</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12</w:t>
            </w:r>
            <w:r>
              <w:rPr>
                <w:rFonts w:ascii="宋体" w:hAnsi="宋体" w:cs="宋体" w:eastAsia="宋体" w:hint="default"/>
                <w:sz w:val="21"/>
                <w:szCs w:val="21"/>
              </w:rPr>
              <w:t>月</w:t>
            </w:r>
            <w:r>
              <w:rPr>
                <w:rFonts w:ascii="Arial" w:hAnsi="Arial" w:cs="Arial" w:eastAsia="Arial" w:hint="default"/>
                <w:sz w:val="21"/>
                <w:szCs w:val="21"/>
              </w:rPr>
              <w:t>12</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left"/>
              <w:rPr>
                <w:rFonts w:ascii="宋体" w:hAnsi="宋体" w:cs="宋体" w:eastAsia="宋体" w:hint="default"/>
                <w:sz w:val="21"/>
                <w:szCs w:val="21"/>
              </w:rPr>
            </w:pPr>
            <w:r>
              <w:rPr>
                <w:rFonts w:ascii="宋体" w:hAnsi="宋体" w:cs="宋体" w:eastAsia="宋体" w:hint="default"/>
                <w:sz w:val="21"/>
                <w:szCs w:val="21"/>
              </w:rPr>
              <w:t>纪检监察综合业务管理系统</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3360008</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12</w:t>
            </w:r>
            <w:r>
              <w:rPr>
                <w:rFonts w:ascii="宋体" w:hAnsi="宋体" w:cs="宋体" w:eastAsia="宋体" w:hint="default"/>
                <w:sz w:val="21"/>
                <w:szCs w:val="21"/>
              </w:rPr>
              <w:t>月</w:t>
            </w:r>
            <w:r>
              <w:rPr>
                <w:rFonts w:ascii="Arial" w:hAnsi="Arial" w:cs="Arial" w:eastAsia="Arial" w:hint="default"/>
                <w:sz w:val="21"/>
                <w:szCs w:val="21"/>
              </w:rPr>
              <w:t>18</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廉政档案信息系统</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3359791</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12</w:t>
            </w:r>
            <w:r>
              <w:rPr>
                <w:rFonts w:ascii="宋体" w:hAnsi="宋体" w:cs="宋体" w:eastAsia="宋体" w:hint="default"/>
                <w:sz w:val="21"/>
                <w:szCs w:val="21"/>
              </w:rPr>
              <w:t>月</w:t>
            </w:r>
            <w:r>
              <w:rPr>
                <w:rFonts w:ascii="Arial" w:hAnsi="Arial" w:cs="Arial" w:eastAsia="Arial" w:hint="default"/>
                <w:sz w:val="21"/>
                <w:szCs w:val="21"/>
              </w:rPr>
              <w:t>18</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 w:right="0"/>
              <w:jc w:val="left"/>
              <w:rPr>
                <w:rFonts w:ascii="宋体" w:hAnsi="宋体" w:cs="宋体" w:eastAsia="宋体" w:hint="default"/>
                <w:sz w:val="21"/>
                <w:szCs w:val="21"/>
              </w:rPr>
            </w:pPr>
            <w:r>
              <w:rPr>
                <w:rFonts w:ascii="宋体" w:hAnsi="宋体" w:cs="宋体" w:eastAsia="宋体" w:hint="default"/>
                <w:sz w:val="21"/>
                <w:szCs w:val="21"/>
              </w:rPr>
              <w:t>电子诉讼平台</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3376044</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12</w:t>
            </w:r>
            <w:r>
              <w:rPr>
                <w:rFonts w:ascii="宋体" w:hAnsi="宋体" w:cs="宋体" w:eastAsia="宋体" w:hint="default"/>
                <w:sz w:val="21"/>
                <w:szCs w:val="21"/>
              </w:rPr>
              <w:t>月</w:t>
            </w:r>
            <w:r>
              <w:rPr>
                <w:rFonts w:ascii="Arial" w:hAnsi="Arial" w:cs="Arial" w:eastAsia="Arial" w:hint="default"/>
                <w:sz w:val="21"/>
                <w:szCs w:val="21"/>
              </w:rPr>
              <w:t>20</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 w:right="0"/>
              <w:jc w:val="left"/>
              <w:rPr>
                <w:rFonts w:ascii="Arial" w:hAnsi="Arial" w:cs="Arial" w:eastAsia="Arial" w:hint="default"/>
                <w:sz w:val="21"/>
                <w:szCs w:val="21"/>
              </w:rPr>
            </w:pPr>
            <w:r>
              <w:rPr>
                <w:rFonts w:ascii="宋体" w:hAnsi="宋体" w:cs="宋体" w:eastAsia="宋体" w:hint="default"/>
                <w:sz w:val="21"/>
                <w:szCs w:val="21"/>
              </w:rPr>
              <w:t>睿智数据治理平台</w:t>
            </w:r>
            <w:r>
              <w:rPr>
                <w:rFonts w:ascii="Arial" w:hAnsi="Arial" w:cs="Arial" w:eastAsia="Arial" w:hint="default"/>
                <w:sz w:val="21"/>
                <w:szCs w:val="21"/>
              </w:rPr>
              <w:t>[</w:t>
            </w:r>
            <w:r>
              <w:rPr>
                <w:rFonts w:ascii="宋体" w:hAnsi="宋体" w:cs="宋体" w:eastAsia="宋体" w:hint="default"/>
                <w:sz w:val="21"/>
                <w:szCs w:val="21"/>
              </w:rPr>
              <w:t>简称：睿治</w:t>
            </w:r>
            <w:r>
              <w:rPr>
                <w:rFonts w:ascii="Arial" w:hAnsi="Arial" w:cs="Arial" w:eastAsia="Arial" w:hint="default"/>
                <w:sz w:val="21"/>
                <w:szCs w:val="21"/>
              </w:rPr>
              <w:t>]</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3414662</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12</w:t>
            </w:r>
            <w:r>
              <w:rPr>
                <w:rFonts w:ascii="宋体" w:hAnsi="宋体" w:cs="宋体" w:eastAsia="宋体" w:hint="default"/>
                <w:sz w:val="21"/>
                <w:szCs w:val="21"/>
              </w:rPr>
              <w:t>月</w:t>
            </w:r>
            <w:r>
              <w:rPr>
                <w:rFonts w:ascii="Arial" w:hAnsi="Arial" w:cs="Arial" w:eastAsia="Arial" w:hint="default"/>
                <w:sz w:val="21"/>
                <w:szCs w:val="21"/>
              </w:rPr>
              <w:t>27</w:t>
            </w:r>
            <w:r>
              <w:rPr>
                <w:rFonts w:ascii="宋体" w:hAnsi="宋体" w:cs="宋体" w:eastAsia="宋体" w:hint="default"/>
                <w:sz w:val="21"/>
                <w:szCs w:val="21"/>
              </w:rPr>
              <w:t>日</w:t>
            </w:r>
          </w:p>
        </w:tc>
      </w:tr>
      <w:tr>
        <w:trPr>
          <w:trHeight w:val="427" w:hRule="exact"/>
        </w:trPr>
        <w:tc>
          <w:tcPr>
            <w:tcW w:w="4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left"/>
              <w:rPr>
                <w:rFonts w:ascii="Arial" w:hAnsi="Arial" w:cs="Arial" w:eastAsia="Arial" w:hint="default"/>
                <w:sz w:val="21"/>
                <w:szCs w:val="21"/>
              </w:rPr>
            </w:pPr>
            <w:r>
              <w:rPr>
                <w:rFonts w:ascii="Arial" w:hAnsi="Arial" w:cs="Arial" w:eastAsia="Arial" w:hint="default"/>
                <w:sz w:val="21"/>
                <w:szCs w:val="21"/>
              </w:rPr>
              <w:t>ABI</w:t>
            </w:r>
            <w:r>
              <w:rPr>
                <w:rFonts w:ascii="宋体" w:hAnsi="宋体" w:cs="宋体" w:eastAsia="宋体" w:hint="default"/>
                <w:sz w:val="21"/>
                <w:szCs w:val="21"/>
              </w:rPr>
              <w:t>一站式数据分析平台</w:t>
            </w:r>
            <w:r>
              <w:rPr>
                <w:rFonts w:ascii="Arial" w:hAnsi="Arial" w:cs="Arial" w:eastAsia="Arial" w:hint="default"/>
                <w:sz w:val="21"/>
                <w:szCs w:val="21"/>
              </w:rPr>
              <w:t>[</w:t>
            </w:r>
            <w:r>
              <w:rPr>
                <w:rFonts w:ascii="宋体" w:hAnsi="宋体" w:cs="宋体" w:eastAsia="宋体" w:hint="default"/>
                <w:sz w:val="21"/>
                <w:szCs w:val="21"/>
              </w:rPr>
              <w:t>简称：</w:t>
            </w:r>
            <w:r>
              <w:rPr>
                <w:rFonts w:ascii="Arial" w:hAnsi="Arial" w:cs="Arial" w:eastAsia="Arial" w:hint="default"/>
                <w:sz w:val="21"/>
                <w:szCs w:val="21"/>
              </w:rPr>
              <w:t>ABI]</w:t>
            </w:r>
          </w:p>
        </w:tc>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3414637</w:t>
            </w:r>
            <w:r>
              <w:rPr>
                <w:rFonts w:ascii="宋体" w:hAnsi="宋体" w:cs="宋体" w:eastAsia="宋体" w:hint="default"/>
                <w:sz w:val="21"/>
                <w:szCs w:val="21"/>
              </w:rPr>
              <w:t>号</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8"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r>
              <w:rPr>
                <w:rFonts w:ascii="Arial" w:hAnsi="Arial" w:cs="Arial" w:eastAsia="Arial" w:hint="default"/>
                <w:sz w:val="21"/>
                <w:szCs w:val="21"/>
              </w:rPr>
              <w:t>12</w:t>
            </w:r>
            <w:r>
              <w:rPr>
                <w:rFonts w:ascii="宋体" w:hAnsi="宋体" w:cs="宋体" w:eastAsia="宋体" w:hint="default"/>
                <w:sz w:val="21"/>
                <w:szCs w:val="21"/>
              </w:rPr>
              <w:t>月</w:t>
            </w:r>
            <w:r>
              <w:rPr>
                <w:rFonts w:ascii="Arial" w:hAnsi="Arial" w:cs="Arial" w:eastAsia="Arial" w:hint="default"/>
                <w:sz w:val="21"/>
                <w:szCs w:val="21"/>
              </w:rPr>
              <w:t>27</w:t>
            </w:r>
            <w:r>
              <w:rPr>
                <w:rFonts w:ascii="宋体" w:hAnsi="宋体" w:cs="宋体" w:eastAsia="宋体" w:hint="default"/>
                <w:sz w:val="21"/>
                <w:szCs w:val="21"/>
              </w:rPr>
              <w:t>日</w:t>
            </w:r>
          </w:p>
        </w:tc>
      </w:tr>
    </w:tbl>
    <w:p>
      <w:pPr>
        <w:spacing w:line="240" w:lineRule="auto" w:before="1"/>
        <w:rPr>
          <w:rFonts w:ascii="Times New Roman" w:hAnsi="Times New Roman" w:cs="Times New Roman" w:eastAsia="Times New Roman" w:hint="default"/>
          <w:sz w:val="10"/>
          <w:szCs w:val="10"/>
        </w:rPr>
      </w:pPr>
    </w:p>
    <w:p>
      <w:pPr>
        <w:pStyle w:val="Heading3"/>
        <w:spacing w:line="240" w:lineRule="auto" w:before="26"/>
        <w:ind w:left="592" w:right="996"/>
        <w:jc w:val="left"/>
      </w:pPr>
      <w:r>
        <w:rPr/>
        <w:t>报告期内，新增专利如下：</w:t>
      </w:r>
    </w:p>
    <w:p>
      <w:pPr>
        <w:spacing w:line="240" w:lineRule="auto" w:before="7"/>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2314"/>
        <w:gridCol w:w="931"/>
        <w:gridCol w:w="2025"/>
        <w:gridCol w:w="2159"/>
        <w:gridCol w:w="825"/>
        <w:gridCol w:w="1414"/>
      </w:tblGrid>
      <w:tr>
        <w:trPr>
          <w:trHeight w:val="427" w:hRule="exact"/>
        </w:trPr>
        <w:tc>
          <w:tcPr>
            <w:tcW w:w="2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b/>
                <w:bCs/>
                <w:sz w:val="21"/>
                <w:szCs w:val="21"/>
              </w:rPr>
              <w:t>专利名称</w:t>
            </w:r>
            <w:r>
              <w:rPr>
                <w:rFonts w:ascii="宋体" w:hAnsi="宋体" w:cs="宋体" w:eastAsia="宋体" w:hint="default"/>
                <w:sz w:val="21"/>
                <w:szCs w:val="21"/>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b/>
                <w:bCs/>
                <w:sz w:val="21"/>
                <w:szCs w:val="21"/>
              </w:rPr>
              <w:t>专利类型</w:t>
            </w:r>
            <w:r>
              <w:rPr>
                <w:rFonts w:ascii="宋体" w:hAnsi="宋体" w:cs="宋体" w:eastAsia="宋体" w:hint="default"/>
                <w:sz w:val="21"/>
                <w:szCs w:val="21"/>
              </w:rPr>
            </w:r>
          </w:p>
        </w:tc>
        <w:tc>
          <w:tcPr>
            <w:tcW w:w="2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b/>
                <w:bCs/>
                <w:sz w:val="21"/>
                <w:szCs w:val="21"/>
              </w:rPr>
              <w:t>专利号</w:t>
            </w:r>
            <w:r>
              <w:rPr>
                <w:rFonts w:ascii="宋体" w:hAnsi="宋体" w:cs="宋体" w:eastAsia="宋体" w:hint="default"/>
                <w:sz w:val="21"/>
                <w:szCs w:val="21"/>
              </w:rPr>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宋体" w:hAnsi="宋体" w:cs="宋体" w:eastAsia="宋体" w:hint="default"/>
                <w:sz w:val="21"/>
                <w:szCs w:val="21"/>
              </w:rPr>
            </w:pPr>
            <w:r>
              <w:rPr>
                <w:rFonts w:ascii="宋体" w:hAnsi="宋体" w:cs="宋体" w:eastAsia="宋体" w:hint="default"/>
                <w:b/>
                <w:bCs/>
                <w:sz w:val="21"/>
                <w:szCs w:val="21"/>
              </w:rPr>
              <w:t>有效期</w:t>
            </w:r>
            <w:r>
              <w:rPr>
                <w:rFonts w:ascii="宋体" w:hAnsi="宋体" w:cs="宋体" w:eastAsia="宋体" w:hint="default"/>
                <w:sz w:val="21"/>
                <w:szCs w:val="21"/>
              </w:rPr>
            </w:r>
          </w:p>
        </w:tc>
        <w:tc>
          <w:tcPr>
            <w:tcW w:w="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93"/>
              <w:jc w:val="right"/>
              <w:rPr>
                <w:rFonts w:ascii="宋体" w:hAnsi="宋体" w:cs="宋体" w:eastAsia="宋体" w:hint="default"/>
                <w:sz w:val="21"/>
                <w:szCs w:val="21"/>
              </w:rPr>
            </w:pPr>
            <w:r>
              <w:rPr>
                <w:rFonts w:ascii="宋体" w:hAnsi="宋体" w:cs="宋体" w:eastAsia="宋体" w:hint="default"/>
                <w:b/>
                <w:bCs/>
                <w:w w:val="95"/>
                <w:sz w:val="21"/>
                <w:szCs w:val="21"/>
              </w:rPr>
              <w:t>状态</w:t>
            </w:r>
            <w:r>
              <w:rPr>
                <w:rFonts w:ascii="宋体" w:hAnsi="宋体" w:cs="宋体" w:eastAsia="宋体" w:hint="default"/>
                <w:sz w:val="21"/>
                <w:szCs w:val="21"/>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宋体" w:hAnsi="宋体" w:cs="宋体" w:eastAsia="宋体" w:hint="default"/>
                <w:sz w:val="21"/>
                <w:szCs w:val="21"/>
              </w:rPr>
            </w:pPr>
            <w:r>
              <w:rPr>
                <w:rFonts w:ascii="宋体" w:hAnsi="宋体" w:cs="宋体" w:eastAsia="宋体" w:hint="default"/>
                <w:b/>
                <w:bCs/>
                <w:sz w:val="21"/>
                <w:szCs w:val="21"/>
              </w:rPr>
              <w:t>专利权人</w:t>
            </w:r>
            <w:r>
              <w:rPr>
                <w:rFonts w:ascii="宋体" w:hAnsi="宋体" w:cs="宋体" w:eastAsia="宋体" w:hint="default"/>
                <w:sz w:val="21"/>
                <w:szCs w:val="21"/>
              </w:rPr>
            </w:r>
          </w:p>
        </w:tc>
      </w:tr>
      <w:tr>
        <w:trPr>
          <w:trHeight w:val="427" w:hRule="exact"/>
        </w:trPr>
        <w:tc>
          <w:tcPr>
            <w:tcW w:w="2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带图形用户界面的电脑</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3"/>
              <w:jc w:val="center"/>
              <w:rPr>
                <w:rFonts w:ascii="宋体" w:hAnsi="宋体" w:cs="宋体" w:eastAsia="宋体" w:hint="default"/>
                <w:sz w:val="21"/>
                <w:szCs w:val="21"/>
              </w:rPr>
            </w:pPr>
            <w:r>
              <w:rPr>
                <w:rFonts w:ascii="宋体" w:hAnsi="宋体" w:cs="宋体" w:eastAsia="宋体" w:hint="default"/>
                <w:sz w:val="21"/>
                <w:szCs w:val="21"/>
              </w:rPr>
              <w:t>外观专利</w:t>
            </w:r>
          </w:p>
        </w:tc>
        <w:tc>
          <w:tcPr>
            <w:tcW w:w="2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8" w:right="0"/>
              <w:jc w:val="center"/>
              <w:rPr>
                <w:rFonts w:ascii="Arial" w:hAnsi="Arial" w:cs="Arial" w:eastAsia="Arial" w:hint="default"/>
                <w:sz w:val="21"/>
                <w:szCs w:val="21"/>
              </w:rPr>
            </w:pPr>
            <w:r>
              <w:rPr>
                <w:rFonts w:ascii="Arial"/>
                <w:sz w:val="21"/>
              </w:rPr>
              <w:t>ZL201730336721.4</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7" w:right="0"/>
              <w:jc w:val="center"/>
              <w:rPr>
                <w:rFonts w:ascii="Arial" w:hAnsi="Arial" w:cs="Arial" w:eastAsia="Arial" w:hint="default"/>
                <w:sz w:val="21"/>
                <w:szCs w:val="21"/>
              </w:rPr>
            </w:pPr>
            <w:r>
              <w:rPr>
                <w:rFonts w:ascii="Arial" w:hAnsi="Arial" w:cs="Arial" w:eastAsia="Arial" w:hint="default"/>
                <w:sz w:val="21"/>
                <w:szCs w:val="21"/>
              </w:rPr>
              <w:t>2018/5/22</w:t>
            </w:r>
            <w:r>
              <w:rPr>
                <w:rFonts w:ascii="宋体" w:hAnsi="宋体" w:cs="宋体" w:eastAsia="宋体" w:hint="default"/>
                <w:sz w:val="21"/>
                <w:szCs w:val="21"/>
              </w:rPr>
              <w:t>至</w:t>
            </w:r>
            <w:r>
              <w:rPr>
                <w:rFonts w:ascii="Arial" w:hAnsi="Arial" w:cs="Arial" w:eastAsia="Arial" w:hint="default"/>
                <w:sz w:val="21"/>
                <w:szCs w:val="21"/>
              </w:rPr>
              <w:t>2028/5/21</w:t>
            </w:r>
          </w:p>
        </w:tc>
        <w:tc>
          <w:tcPr>
            <w:tcW w:w="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96"/>
              <w:jc w:val="right"/>
              <w:rPr>
                <w:rFonts w:ascii="宋体" w:hAnsi="宋体" w:cs="宋体" w:eastAsia="宋体" w:hint="default"/>
                <w:sz w:val="21"/>
                <w:szCs w:val="21"/>
              </w:rPr>
            </w:pPr>
            <w:r>
              <w:rPr>
                <w:rFonts w:ascii="宋体" w:hAnsi="宋体" w:cs="宋体" w:eastAsia="宋体" w:hint="default"/>
                <w:spacing w:val="-1"/>
                <w:w w:val="95"/>
                <w:sz w:val="21"/>
                <w:szCs w:val="21"/>
              </w:rPr>
              <w:t>授权</w:t>
            </w:r>
            <w:r>
              <w:rPr>
                <w:rFonts w:ascii="宋体" w:hAnsi="宋体" w:cs="宋体" w:eastAsia="宋体" w:hint="default"/>
                <w:spacing w:val="-1"/>
                <w:sz w:val="21"/>
                <w:szCs w:val="21"/>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华宇信息</w:t>
            </w:r>
          </w:p>
        </w:tc>
      </w:tr>
      <w:tr>
        <w:trPr>
          <w:trHeight w:val="739" w:hRule="exact"/>
        </w:trPr>
        <w:tc>
          <w:tcPr>
            <w:tcW w:w="231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413" w:right="100" w:hanging="315"/>
              <w:jc w:val="left"/>
              <w:rPr>
                <w:rFonts w:ascii="宋体" w:hAnsi="宋体" w:cs="宋体" w:eastAsia="宋体" w:hint="default"/>
                <w:sz w:val="21"/>
                <w:szCs w:val="21"/>
              </w:rPr>
            </w:pPr>
            <w:r>
              <w:rPr>
                <w:rFonts w:ascii="宋体" w:hAnsi="宋体" w:cs="宋体" w:eastAsia="宋体" w:hint="default"/>
                <w:sz w:val="21"/>
                <w:szCs w:val="21"/>
              </w:rPr>
              <w:t>基于驱动层内核级代码</w:t>
            </w:r>
            <w:r>
              <w:rPr>
                <w:rFonts w:ascii="宋体" w:hAnsi="宋体" w:cs="宋体" w:eastAsia="宋体" w:hint="default"/>
                <w:w w:val="99"/>
                <w:sz w:val="21"/>
                <w:szCs w:val="21"/>
              </w:rPr>
              <w:t> </w:t>
            </w:r>
            <w:r>
              <w:rPr>
                <w:rFonts w:ascii="宋体" w:hAnsi="宋体" w:cs="宋体" w:eastAsia="宋体" w:hint="default"/>
                <w:sz w:val="21"/>
                <w:szCs w:val="21"/>
              </w:rPr>
              <w:t>的文件加密方法</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3"/>
              <w:jc w:val="center"/>
              <w:rPr>
                <w:rFonts w:ascii="宋体" w:hAnsi="宋体" w:cs="宋体" w:eastAsia="宋体" w:hint="default"/>
                <w:sz w:val="21"/>
                <w:szCs w:val="21"/>
              </w:rPr>
            </w:pPr>
            <w:r>
              <w:rPr>
                <w:rFonts w:ascii="宋体" w:hAnsi="宋体" w:cs="宋体" w:eastAsia="宋体" w:hint="default"/>
                <w:sz w:val="21"/>
                <w:szCs w:val="21"/>
              </w:rPr>
              <w:t>发明专利</w:t>
            </w:r>
          </w:p>
        </w:tc>
        <w:tc>
          <w:tcPr>
            <w:tcW w:w="2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5" w:right="0"/>
              <w:jc w:val="center"/>
              <w:rPr>
                <w:rFonts w:ascii="Arial" w:hAnsi="Arial" w:cs="Arial" w:eastAsia="Arial" w:hint="default"/>
                <w:sz w:val="21"/>
                <w:szCs w:val="21"/>
              </w:rPr>
            </w:pPr>
            <w:r>
              <w:rPr>
                <w:rFonts w:ascii="Arial"/>
                <w:sz w:val="21"/>
              </w:rPr>
              <w:t>ZL2014</w:t>
            </w:r>
            <w:r>
              <w:rPr>
                <w:rFonts w:ascii="Arial"/>
                <w:spacing w:val="-8"/>
                <w:sz w:val="21"/>
              </w:rPr>
              <w:t> </w:t>
            </w:r>
            <w:r>
              <w:rPr>
                <w:rFonts w:ascii="Arial"/>
                <w:sz w:val="21"/>
              </w:rPr>
              <w:t>0532699.6</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7" w:right="0"/>
              <w:jc w:val="center"/>
              <w:rPr>
                <w:rFonts w:ascii="Arial" w:hAnsi="Arial" w:cs="Arial" w:eastAsia="Arial" w:hint="default"/>
                <w:sz w:val="21"/>
                <w:szCs w:val="21"/>
              </w:rPr>
            </w:pPr>
            <w:r>
              <w:rPr>
                <w:rFonts w:ascii="Arial" w:hAnsi="Arial" w:cs="Arial" w:eastAsia="Arial" w:hint="default"/>
                <w:sz w:val="21"/>
                <w:szCs w:val="21"/>
              </w:rPr>
              <w:t>2018/5/31</w:t>
            </w:r>
            <w:r>
              <w:rPr>
                <w:rFonts w:ascii="宋体" w:hAnsi="宋体" w:cs="宋体" w:eastAsia="宋体" w:hint="default"/>
                <w:sz w:val="21"/>
                <w:szCs w:val="21"/>
              </w:rPr>
              <w:t>至</w:t>
            </w:r>
            <w:r>
              <w:rPr>
                <w:rFonts w:ascii="Arial" w:hAnsi="Arial" w:cs="Arial" w:eastAsia="Arial" w:hint="default"/>
                <w:sz w:val="21"/>
                <w:szCs w:val="21"/>
              </w:rPr>
              <w:t>2038/5/30</w:t>
            </w:r>
          </w:p>
        </w:tc>
        <w:tc>
          <w:tcPr>
            <w:tcW w:w="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96"/>
              <w:jc w:val="right"/>
              <w:rPr>
                <w:rFonts w:ascii="宋体" w:hAnsi="宋体" w:cs="宋体" w:eastAsia="宋体" w:hint="default"/>
                <w:sz w:val="21"/>
                <w:szCs w:val="21"/>
              </w:rPr>
            </w:pPr>
            <w:r>
              <w:rPr>
                <w:rFonts w:ascii="宋体" w:hAnsi="宋体" w:cs="宋体" w:eastAsia="宋体" w:hint="default"/>
                <w:spacing w:val="-1"/>
                <w:w w:val="95"/>
                <w:sz w:val="21"/>
                <w:szCs w:val="21"/>
              </w:rPr>
              <w:t>授权</w:t>
            </w:r>
            <w:r>
              <w:rPr>
                <w:rFonts w:ascii="宋体" w:hAnsi="宋体" w:cs="宋体" w:eastAsia="宋体" w:hint="default"/>
                <w:spacing w:val="-1"/>
                <w:sz w:val="21"/>
                <w:szCs w:val="21"/>
              </w:rPr>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联奕科技</w:t>
            </w:r>
          </w:p>
        </w:tc>
      </w:tr>
    </w:tbl>
    <w:p>
      <w:pPr>
        <w:spacing w:after="0" w:line="240" w:lineRule="auto"/>
        <w:jc w:val="center"/>
        <w:rPr>
          <w:rFonts w:ascii="宋体" w:hAnsi="宋体" w:cs="宋体" w:eastAsia="宋体" w:hint="default"/>
          <w:sz w:val="21"/>
          <w:szCs w:val="21"/>
        </w:rPr>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1"/>
        <w:spacing w:line="439" w:lineRule="exact"/>
        <w:ind w:left="2932" w:right="996"/>
        <w:jc w:val="left"/>
        <w:rPr>
          <w:b w:val="0"/>
          <w:bCs w:val="0"/>
        </w:rPr>
      </w:pPr>
      <w:bookmarkStart w:name="第四节 经营情况讨论与分析" w:id="21"/>
      <w:bookmarkEnd w:id="21"/>
      <w:r>
        <w:rPr>
          <w:b w:val="0"/>
          <w:bCs w:val="0"/>
        </w:rPr>
      </w:r>
      <w:bookmarkStart w:name="_bookmark2" w:id="22"/>
      <w:bookmarkEnd w:id="22"/>
      <w:r>
        <w:rPr>
          <w:b w:val="0"/>
          <w:bCs w:val="0"/>
        </w:rPr>
      </w:r>
      <w:r>
        <w:rPr/>
        <w:t>第四节</w:t>
      </w:r>
      <w:r>
        <w:rPr>
          <w:spacing w:val="61"/>
        </w:rPr>
        <w:t> </w:t>
      </w:r>
      <w:r>
        <w:rPr/>
        <w:t>经营情况讨论与分析</w:t>
      </w:r>
      <w:r>
        <w:rPr>
          <w:b w:val="0"/>
          <w:bCs w:val="0"/>
        </w:rPr>
      </w:r>
    </w:p>
    <w:p>
      <w:pPr>
        <w:spacing w:line="240" w:lineRule="auto" w:before="16"/>
        <w:rPr>
          <w:rFonts w:ascii="微软雅黑" w:hAnsi="微软雅黑" w:cs="微软雅黑" w:eastAsia="微软雅黑" w:hint="default"/>
          <w:b/>
          <w:bCs/>
          <w:sz w:val="24"/>
          <w:szCs w:val="24"/>
        </w:rPr>
      </w:pPr>
    </w:p>
    <w:p>
      <w:pPr>
        <w:pStyle w:val="Heading2"/>
        <w:spacing w:line="240" w:lineRule="auto"/>
        <w:ind w:right="996"/>
        <w:jc w:val="left"/>
        <w:rPr>
          <w:b w:val="0"/>
          <w:bCs w:val="0"/>
        </w:rPr>
      </w:pPr>
      <w:bookmarkStart w:name="一、概述" w:id="23"/>
      <w:bookmarkEnd w:id="23"/>
      <w:r>
        <w:rPr>
          <w:b w:val="0"/>
          <w:bCs w:val="0"/>
        </w:rPr>
      </w:r>
      <w:r>
        <w:rPr/>
        <w:t>一、概述</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right="1012" w:firstLine="480"/>
        <w:jc w:val="both"/>
      </w:pPr>
      <w:r>
        <w:rPr/>
        <w:t>报告期内，公司实现新签合同额</w:t>
      </w:r>
      <w:r>
        <w:rPr>
          <w:rFonts w:ascii="Arial" w:hAnsi="Arial" w:cs="Arial" w:eastAsia="Arial" w:hint="default"/>
        </w:rPr>
        <w:t>39.66</w:t>
      </w:r>
      <w:r>
        <w:rPr/>
        <w:t>亿元，较去年同期增长</w:t>
      </w:r>
      <w:r>
        <w:rPr>
          <w:rFonts w:ascii="Arial" w:hAnsi="Arial" w:cs="Arial" w:eastAsia="Arial" w:hint="default"/>
        </w:rPr>
        <w:t>40.39%</w:t>
      </w:r>
      <w:r>
        <w:rPr/>
        <w:t>，期末在手合同额 </w:t>
      </w:r>
      <w:r>
        <w:rPr>
          <w:rFonts w:ascii="Arial" w:hAnsi="Arial" w:cs="Arial" w:eastAsia="Arial" w:hint="default"/>
        </w:rPr>
        <w:t>26.54</w:t>
      </w:r>
      <w:r>
        <w:rPr/>
        <w:t>亿元，较去年同期增长</w:t>
      </w:r>
      <w:r>
        <w:rPr>
          <w:rFonts w:ascii="Arial" w:hAnsi="Arial" w:cs="Arial" w:eastAsia="Arial" w:hint="default"/>
        </w:rPr>
        <w:t>52.69%</w:t>
      </w:r>
      <w:r>
        <w:rPr/>
        <w:t>。报告期内，公司实现营业收入</w:t>
      </w:r>
      <w:r>
        <w:rPr>
          <w:rFonts w:ascii="Arial" w:hAnsi="Arial" w:cs="Arial" w:eastAsia="Arial" w:hint="default"/>
        </w:rPr>
        <w:t>27.08</w:t>
      </w:r>
      <w:r>
        <w:rPr/>
        <w:t>亿元，较去年同期 </w:t>
      </w:r>
      <w:r>
        <w:rPr>
          <w:spacing w:val="-5"/>
        </w:rPr>
        <w:t>增长</w:t>
      </w:r>
      <w:r>
        <w:rPr>
          <w:rFonts w:ascii="Arial" w:hAnsi="Arial" w:cs="Arial" w:eastAsia="Arial" w:hint="default"/>
          <w:spacing w:val="-5"/>
        </w:rPr>
        <w:t>15.84%</w:t>
      </w:r>
      <w:r>
        <w:rPr>
          <w:spacing w:val="-5"/>
        </w:rPr>
        <w:t>；毛利率为</w:t>
      </w:r>
      <w:r>
        <w:rPr>
          <w:rFonts w:ascii="Arial" w:hAnsi="Arial" w:cs="Arial" w:eastAsia="Arial" w:hint="default"/>
          <w:spacing w:val="-5"/>
        </w:rPr>
        <w:t>43.42%</w:t>
      </w:r>
      <w:r>
        <w:rPr>
          <w:spacing w:val="-5"/>
        </w:rPr>
        <w:t>，较去年增加</w:t>
      </w:r>
      <w:r>
        <w:rPr>
          <w:rFonts w:ascii="Arial" w:hAnsi="Arial" w:cs="Arial" w:eastAsia="Arial" w:hint="default"/>
          <w:spacing w:val="-5"/>
        </w:rPr>
        <w:t>3.0</w:t>
      </w:r>
      <w:r>
        <w:rPr>
          <w:spacing w:val="-5"/>
        </w:rPr>
        <w:t>个百分点；归属于母公司所有者的净利润</w:t>
      </w:r>
      <w:r>
        <w:rPr>
          <w:rFonts w:ascii="Arial" w:hAnsi="Arial" w:cs="Arial" w:eastAsia="Arial" w:hint="default"/>
          <w:spacing w:val="-5"/>
        </w:rPr>
        <w:t>4.98</w:t>
      </w:r>
      <w:r>
        <w:rPr>
          <w:rFonts w:ascii="Arial" w:hAnsi="Arial" w:cs="Arial" w:eastAsia="Arial" w:hint="default"/>
          <w:spacing w:val="-51"/>
        </w:rPr>
        <w:t> </w:t>
      </w:r>
      <w:r>
        <w:rPr>
          <w:rFonts w:ascii="Arial" w:hAnsi="Arial" w:cs="Arial" w:eastAsia="Arial" w:hint="default"/>
          <w:spacing w:val="-51"/>
        </w:rPr>
      </w:r>
      <w:r>
        <w:rPr>
          <w:spacing w:val="-6"/>
        </w:rPr>
        <w:t>亿元，较去年同期增长</w:t>
      </w:r>
      <w:r>
        <w:rPr>
          <w:rFonts w:ascii="Arial" w:hAnsi="Arial" w:cs="Arial" w:eastAsia="Arial" w:hint="default"/>
          <w:spacing w:val="-6"/>
        </w:rPr>
        <w:t>30.58%</w:t>
      </w:r>
      <w:r>
        <w:rPr>
          <w:spacing w:val="-6"/>
        </w:rPr>
        <w:t>。扣非后归属于上市公司股东净利润</w:t>
      </w:r>
      <w:r>
        <w:rPr>
          <w:rFonts w:ascii="Arial" w:hAnsi="Arial" w:cs="Arial" w:eastAsia="Arial" w:hint="default"/>
          <w:spacing w:val="-6"/>
        </w:rPr>
        <w:t>4.56</w:t>
      </w:r>
      <w:r>
        <w:rPr>
          <w:spacing w:val="-6"/>
        </w:rPr>
        <w:t>亿，同比增长</w:t>
      </w:r>
      <w:r>
        <w:rPr>
          <w:rFonts w:ascii="Arial" w:hAnsi="Arial" w:cs="Arial" w:eastAsia="Arial" w:hint="default"/>
          <w:spacing w:val="-6"/>
        </w:rPr>
        <w:t>21.40%</w:t>
      </w:r>
      <w:r>
        <w:rPr>
          <w:spacing w:val="-6"/>
        </w:rPr>
        <w:t>。</w:t>
      </w:r>
    </w:p>
    <w:p>
      <w:pPr>
        <w:pStyle w:val="Heading3"/>
        <w:spacing w:line="273" w:lineRule="auto" w:before="5"/>
        <w:ind w:right="1132" w:firstLine="480"/>
        <w:jc w:val="both"/>
      </w:pPr>
      <w:r>
        <w:rPr/>
        <w:t>作为致力于“帮助客户更好地服务社会”的软件服务企业，公司是国内法律科技市场的 主要领导企业，并在教育信息化、安全可靠、市场监管等重要的软件服务市场占据了领先优</w:t>
      </w:r>
      <w:r>
        <w:rPr>
          <w:spacing w:val="-89"/>
        </w:rPr>
        <w:t> </w:t>
      </w:r>
      <w:r>
        <w:rPr>
          <w:spacing w:val="-89"/>
        </w:rPr>
      </w:r>
      <w:r>
        <w:rPr/>
        <w:t>势，同时公司也是领域内诸多重要技术应用和创新的积极推动者。一方面，伴随社会发展，</w:t>
      </w:r>
      <w:r>
        <w:rPr>
          <w:spacing w:val="-89"/>
        </w:rPr>
        <w:t> </w:t>
      </w:r>
      <w:r>
        <w:rPr>
          <w:spacing w:val="-89"/>
        </w:rPr>
      </w:r>
      <w:r>
        <w:rPr/>
        <w:t>面对所承担的重要社会服务责任，这些重要行业越来越有需要和能力在社会服务、业务管理</w:t>
      </w:r>
      <w:r>
        <w:rPr>
          <w:spacing w:val="-89"/>
        </w:rPr>
        <w:t> </w:t>
      </w:r>
      <w:r>
        <w:rPr>
          <w:spacing w:val="-89"/>
        </w:rPr>
      </w:r>
      <w:r>
        <w:rPr/>
        <w:t>和数据应用方面投入更大力量、更多资源；一方面，作为智慧信息服务专家，报告期内，公</w:t>
      </w:r>
      <w:r>
        <w:rPr>
          <w:spacing w:val="-89"/>
        </w:rPr>
        <w:t> </w:t>
      </w:r>
      <w:r>
        <w:rPr>
          <w:spacing w:val="-89"/>
        </w:rPr>
      </w:r>
      <w:r>
        <w:rPr/>
        <w:t>司坚定执行了清晰专注的战略规划，业务快速发展，经营业绩稳健增长，充分发挥并进一步</w:t>
      </w:r>
      <w:r>
        <w:rPr>
          <w:spacing w:val="-89"/>
        </w:rPr>
        <w:t> </w:t>
      </w:r>
      <w:r>
        <w:rPr>
          <w:spacing w:val="-89"/>
        </w:rPr>
      </w:r>
      <w:r>
        <w:rPr/>
        <w:t>巩固了以上优势。</w:t>
      </w:r>
    </w:p>
    <w:p>
      <w:pPr>
        <w:pStyle w:val="Heading3"/>
        <w:spacing w:line="268" w:lineRule="auto" w:before="10"/>
        <w:ind w:right="1120" w:firstLine="480"/>
        <w:jc w:val="both"/>
      </w:pPr>
      <w:r>
        <w:rPr/>
        <w:t>报告期内，</w:t>
      </w:r>
      <w:r>
        <w:rPr>
          <w:rFonts w:ascii="宋体" w:hAnsi="宋体" w:cs="宋体" w:eastAsia="宋体" w:hint="default"/>
          <w:b/>
          <w:bCs/>
        </w:rPr>
        <w:t>在法律科技领域，</w:t>
      </w:r>
      <w:r>
        <w:rPr/>
        <w:t>公司全方位覆盖法律机关单位和商业法律服务领域的“一 </w:t>
      </w:r>
      <w:r>
        <w:rPr>
          <w:spacing w:val="-1"/>
          <w:w w:val="99"/>
        </w:rPr>
        <w:t>体化法律服务平台”，持续扩展连接与深化业务覆盖。报告期内</w:t>
      </w:r>
      <w:r>
        <w:rPr>
          <w:rFonts w:ascii="Arial" w:hAnsi="Arial" w:cs="Arial" w:eastAsia="Arial" w:hint="default"/>
          <w:spacing w:val="-1"/>
          <w:w w:val="99"/>
        </w:rPr>
        <w:t>,</w:t>
      </w:r>
      <w:r>
        <w:rPr>
          <w:spacing w:val="-1"/>
          <w:w w:val="99"/>
        </w:rPr>
        <w:t>在法律科技领域，公司实现</w:t>
      </w:r>
      <w:r>
        <w:rPr/>
        <w:t> 新签合同额</w:t>
      </w:r>
      <w:r>
        <w:rPr>
          <w:rFonts w:ascii="Arial" w:hAnsi="Arial" w:cs="Arial" w:eastAsia="Arial" w:hint="default"/>
        </w:rPr>
        <w:t>24.36</w:t>
      </w:r>
      <w:r>
        <w:rPr/>
        <w:t>亿，同比增长</w:t>
      </w:r>
      <w:r>
        <w:rPr>
          <w:rFonts w:ascii="Arial" w:hAnsi="Arial" w:cs="Arial" w:eastAsia="Arial" w:hint="default"/>
        </w:rPr>
        <w:t>34.63%</w:t>
      </w:r>
      <w:r>
        <w:rPr/>
        <w:t>；期末在手合同额</w:t>
      </w:r>
      <w:r>
        <w:rPr>
          <w:rFonts w:ascii="Arial" w:hAnsi="Arial" w:cs="Arial" w:eastAsia="Arial" w:hint="default"/>
        </w:rPr>
        <w:t>17.36</w:t>
      </w:r>
      <w:r>
        <w:rPr/>
        <w:t>亿，同比增长</w:t>
      </w:r>
      <w:r>
        <w:rPr>
          <w:rFonts w:ascii="Arial" w:hAnsi="Arial" w:cs="Arial" w:eastAsia="Arial" w:hint="default"/>
        </w:rPr>
        <w:t>40.85%</w:t>
      </w:r>
      <w:r>
        <w:rPr/>
        <w:t>；实现</w:t>
      </w:r>
      <w:r>
        <w:rPr>
          <w:spacing w:val="-50"/>
        </w:rPr>
        <w:t> </w:t>
      </w:r>
      <w:r>
        <w:rPr>
          <w:spacing w:val="-50"/>
        </w:rPr>
      </w:r>
      <w:r>
        <w:rPr/>
        <w:t>营业收入</w:t>
      </w:r>
      <w:r>
        <w:rPr>
          <w:rFonts w:ascii="Arial" w:hAnsi="Arial" w:cs="Arial" w:eastAsia="Arial" w:hint="default"/>
        </w:rPr>
        <w:t>17.45</w:t>
      </w:r>
      <w:r>
        <w:rPr/>
        <w:t>亿，同比增长</w:t>
      </w:r>
      <w:r>
        <w:rPr>
          <w:rFonts w:ascii="Arial" w:hAnsi="Arial" w:cs="Arial" w:eastAsia="Arial" w:hint="default"/>
        </w:rPr>
        <w:t>3.17%</w:t>
      </w:r>
      <w:r>
        <w:rPr/>
        <w:t>；毛利率为</w:t>
      </w:r>
      <w:r>
        <w:rPr>
          <w:rFonts w:ascii="Arial" w:hAnsi="Arial" w:cs="Arial" w:eastAsia="Arial" w:hint="default"/>
        </w:rPr>
        <w:t>44.23%</w:t>
      </w:r>
      <w:r>
        <w:rPr/>
        <w:t>，较去年同期增加</w:t>
      </w:r>
      <w:r>
        <w:rPr>
          <w:rFonts w:ascii="Arial" w:hAnsi="Arial" w:cs="Arial" w:eastAsia="Arial" w:hint="default"/>
        </w:rPr>
        <w:t>3.66</w:t>
      </w:r>
      <w:r>
        <w:rPr/>
        <w:t>个百分点。</w:t>
      </w:r>
      <w:r>
        <w:rPr>
          <w:rFonts w:ascii="宋体" w:hAnsi="宋体" w:cs="宋体" w:eastAsia="宋体" w:hint="default"/>
          <w:b/>
          <w:bCs/>
        </w:rPr>
        <w:t>在</w:t>
      </w:r>
      <w:r>
        <w:rPr>
          <w:rFonts w:ascii="宋体" w:hAnsi="宋体" w:cs="宋体" w:eastAsia="宋体" w:hint="default"/>
          <w:b/>
          <w:bCs/>
          <w:spacing w:val="-29"/>
        </w:rPr>
        <w:t> </w:t>
      </w:r>
      <w:r>
        <w:rPr>
          <w:rFonts w:ascii="宋体" w:hAnsi="宋体" w:cs="宋体" w:eastAsia="宋体" w:hint="default"/>
          <w:b/>
          <w:bCs/>
        </w:rPr>
        <w:t>教育信息化领域，</w:t>
      </w:r>
      <w:r>
        <w:rPr/>
        <w:t>公司以自研软件为核心，提供整体智慧校园解决方案，致力于“教学、教</w:t>
      </w:r>
      <w:r>
        <w:rPr>
          <w:spacing w:val="-90"/>
        </w:rPr>
        <w:t> </w:t>
      </w:r>
      <w:r>
        <w:rPr>
          <w:spacing w:val="-90"/>
        </w:rPr>
      </w:r>
      <w:r>
        <w:rPr>
          <w:spacing w:val="-1"/>
        </w:rPr>
        <w:t>务、学生服务”多场景需求，在全国各类高等院校中广泛推广和应用。报告期内</w:t>
      </w:r>
      <w:r>
        <w:rPr>
          <w:rFonts w:ascii="Arial" w:hAnsi="Arial" w:cs="Arial" w:eastAsia="Arial" w:hint="default"/>
          <w:spacing w:val="-1"/>
        </w:rPr>
        <w:t>,</w:t>
      </w:r>
      <w:r>
        <w:rPr>
          <w:spacing w:val="-1"/>
        </w:rPr>
        <w:t>在教育信息</w:t>
      </w:r>
      <w:r>
        <w:rPr>
          <w:spacing w:val="-107"/>
        </w:rPr>
        <w:t> </w:t>
      </w:r>
      <w:r>
        <w:rPr>
          <w:spacing w:val="-1"/>
        </w:rPr>
        <w:t>化领域，公司实现新签合同额</w:t>
      </w:r>
      <w:r>
        <w:rPr>
          <w:rFonts w:ascii="Arial" w:hAnsi="Arial" w:cs="Arial" w:eastAsia="Arial" w:hint="default"/>
          <w:spacing w:val="-1"/>
        </w:rPr>
        <w:t>6.21</w:t>
      </w:r>
      <w:r>
        <w:rPr>
          <w:spacing w:val="-1"/>
        </w:rPr>
        <w:t>亿，同比增长</w:t>
      </w:r>
      <w:r>
        <w:rPr>
          <w:rFonts w:ascii="Arial" w:hAnsi="Arial" w:cs="Arial" w:eastAsia="Arial" w:hint="default"/>
          <w:spacing w:val="-1"/>
        </w:rPr>
        <w:t>35.05%</w:t>
      </w:r>
      <w:r>
        <w:rPr>
          <w:spacing w:val="-1"/>
        </w:rPr>
        <w:t>，期末在手合同额</w:t>
      </w:r>
      <w:r>
        <w:rPr>
          <w:rFonts w:ascii="Arial" w:hAnsi="Arial" w:cs="Arial" w:eastAsia="Arial" w:hint="default"/>
          <w:spacing w:val="-1"/>
        </w:rPr>
        <w:t>4.03</w:t>
      </w:r>
      <w:r>
        <w:rPr>
          <w:spacing w:val="-1"/>
        </w:rPr>
        <w:t>亿，同比增长</w:t>
      </w:r>
      <w:r>
        <w:rPr>
          <w:spacing w:val="-108"/>
        </w:rPr>
        <w:t> </w:t>
      </w:r>
      <w:r>
        <w:rPr>
          <w:spacing w:val="-108"/>
        </w:rPr>
      </w:r>
      <w:r>
        <w:rPr>
          <w:rFonts w:ascii="Arial" w:hAnsi="Arial" w:cs="Arial" w:eastAsia="Arial" w:hint="default"/>
        </w:rPr>
        <w:t>96.03%</w:t>
      </w:r>
      <w:r>
        <w:rPr/>
        <w:t>；实现营业收入</w:t>
      </w:r>
      <w:r>
        <w:rPr>
          <w:rFonts w:ascii="Arial" w:hAnsi="Arial" w:cs="Arial" w:eastAsia="Arial" w:hint="default"/>
        </w:rPr>
        <w:t>3.78</w:t>
      </w:r>
      <w:r>
        <w:rPr/>
        <w:t>亿，较去年同期增长</w:t>
      </w:r>
      <w:r>
        <w:rPr>
          <w:rFonts w:ascii="Arial" w:hAnsi="Arial" w:cs="Arial" w:eastAsia="Arial" w:hint="default"/>
        </w:rPr>
        <w:t>70.60%</w:t>
      </w:r>
      <w:r>
        <w:rPr/>
        <w:t>；毛利率为</w:t>
      </w:r>
      <w:r>
        <w:rPr>
          <w:rFonts w:ascii="Arial" w:hAnsi="Arial" w:cs="Arial" w:eastAsia="Arial" w:hint="default"/>
        </w:rPr>
        <w:t>50.15%</w:t>
      </w:r>
      <w:r>
        <w:rPr/>
        <w:t>，与去年基本持 平。</w:t>
      </w:r>
      <w:r>
        <w:rPr>
          <w:rFonts w:ascii="宋体" w:hAnsi="宋体" w:cs="宋体" w:eastAsia="宋体" w:hint="default"/>
          <w:b/>
          <w:bCs/>
        </w:rPr>
        <w:t>在安全可靠领域，</w:t>
      </w:r>
      <w:r>
        <w:rPr/>
        <w:t>公司继续加大安全可靠平台产品研发投入，形成基于安全可靠平台的</w:t>
      </w:r>
      <w:r>
        <w:rPr>
          <w:spacing w:val="-88"/>
        </w:rPr>
        <w:t> </w:t>
      </w:r>
      <w:r>
        <w:rPr>
          <w:spacing w:val="-88"/>
        </w:rPr>
      </w:r>
      <w:r>
        <w:rPr/>
        <w:t>系列产品，形成从数据层到应用层全面覆盖的业务产品线，有效解决基于安全可靠平台的产</w:t>
      </w:r>
      <w:r>
        <w:rPr>
          <w:spacing w:val="-89"/>
        </w:rPr>
        <w:t> </w:t>
      </w:r>
      <w:r>
        <w:rPr>
          <w:spacing w:val="-89"/>
        </w:rPr>
      </w:r>
      <w:r>
        <w:rPr/>
        <w:t>品性能、易用性等关键问题。目前已经与国内相关厂商形成战略合作，在产品研发、产品适</w:t>
      </w:r>
      <w:r>
        <w:rPr>
          <w:spacing w:val="-89"/>
        </w:rPr>
        <w:t> </w:t>
      </w:r>
      <w:r>
        <w:rPr>
          <w:spacing w:val="-89"/>
        </w:rPr>
      </w:r>
      <w:r>
        <w:rPr/>
        <w:t>配、产品优化等方面开展深入合作。凭借深厚的技术积累和业务优势，已经形成了完整的面</w:t>
      </w:r>
      <w:r>
        <w:rPr>
          <w:spacing w:val="-89"/>
        </w:rPr>
        <w:t> </w:t>
      </w:r>
      <w:r>
        <w:rPr>
          <w:spacing w:val="-89"/>
        </w:rPr>
      </w:r>
      <w:r>
        <w:rPr/>
        <w:t>向党政办公的安全可靠解决方案。报告期内，公司在安全可靠市场业务持续开拓，在八个省</w:t>
      </w:r>
      <w:r>
        <w:rPr>
          <w:spacing w:val="-89"/>
        </w:rPr>
        <w:t> </w:t>
      </w:r>
      <w:r>
        <w:rPr>
          <w:spacing w:val="-89"/>
        </w:rPr>
      </w:r>
      <w:r>
        <w:rPr/>
        <w:t>市落单。</w:t>
      </w:r>
      <w:r>
        <w:rPr>
          <w:rFonts w:ascii="宋体" w:hAnsi="宋体" w:cs="宋体" w:eastAsia="宋体" w:hint="default"/>
          <w:b/>
          <w:bCs/>
        </w:rPr>
        <w:t>在市场监管领域，</w:t>
      </w:r>
      <w:r>
        <w:rPr/>
        <w:t>过去两年受到国家机构改革的影响，食品安全与市场监管的信息</w:t>
      </w:r>
      <w:r>
        <w:rPr>
          <w:spacing w:val="-90"/>
        </w:rPr>
        <w:t> </w:t>
      </w:r>
      <w:r>
        <w:rPr>
          <w:spacing w:val="-90"/>
        </w:rPr>
      </w:r>
      <w:r>
        <w:rPr/>
        <w:t>化整体需求有所放缓，但随着组织机构改革的逐步落地，市场需求正在逐渐释放。公司基于</w:t>
      </w:r>
      <w:r>
        <w:rPr>
          <w:spacing w:val="-89"/>
        </w:rPr>
        <w:t> </w:t>
      </w:r>
      <w:r>
        <w:rPr>
          <w:spacing w:val="-89"/>
        </w:rPr>
      </w:r>
      <w:r>
        <w:rPr/>
        <w:t>多年来在市场监管多细分领域的业务和技术积累，积极争取机构改革带来的新需求，持续巩</w:t>
      </w:r>
      <w:r>
        <w:rPr>
          <w:spacing w:val="-89"/>
        </w:rPr>
        <w:t> </w:t>
      </w:r>
      <w:r>
        <w:rPr>
          <w:spacing w:val="-89"/>
        </w:rPr>
      </w:r>
      <w:r>
        <w:rPr/>
        <w:t>固竞争优势。报告期内，在市场监管领域，公司收入完成</w:t>
      </w:r>
      <w:r>
        <w:rPr>
          <w:rFonts w:ascii="Arial" w:hAnsi="Arial" w:cs="Arial" w:eastAsia="Arial" w:hint="default"/>
        </w:rPr>
        <w:t>0.95</w:t>
      </w:r>
      <w:r>
        <w:rPr/>
        <w:t>亿，同比增长</w:t>
      </w:r>
      <w:r>
        <w:rPr>
          <w:rFonts w:ascii="Arial" w:hAnsi="Arial" w:cs="Arial" w:eastAsia="Arial" w:hint="default"/>
        </w:rPr>
        <w:t>100.70%</w:t>
      </w:r>
      <w:r>
        <w:rPr/>
        <w:t>。</w:t>
      </w:r>
    </w:p>
    <w:p>
      <w:pPr>
        <w:pStyle w:val="Heading3"/>
        <w:spacing w:line="273" w:lineRule="auto"/>
        <w:ind w:right="996" w:firstLine="482"/>
        <w:jc w:val="left"/>
      </w:pPr>
      <w:r>
        <w:rPr/>
        <w:t>报告期内，公司业务快速发展得益于法律科技、教育信息化、安全可靠等业务领域市场 的繁荣发展。近年来，以国家治理体系和治理能力现代化为导向，党和国家持续深入推进司</w:t>
      </w:r>
      <w:r>
        <w:rPr>
          <w:spacing w:val="-89"/>
        </w:rPr>
        <w:t> </w:t>
      </w:r>
      <w:r>
        <w:rPr>
          <w:spacing w:val="-89"/>
        </w:rPr>
      </w:r>
      <w:r>
        <w:rPr>
          <w:spacing w:val="-8"/>
        </w:rPr>
        <w:t>法体制改革，坚定推进依法治国工作路线，强调法令行则国治。在国家大战略背景下，“法律”</w:t>
      </w:r>
      <w:r>
        <w:rPr>
          <w:spacing w:val="-106"/>
        </w:rPr>
        <w:t> </w:t>
      </w:r>
      <w:r>
        <w:rPr>
          <w:spacing w:val="-106"/>
        </w:rPr>
      </w:r>
      <w:r>
        <w:rPr>
          <w:spacing w:val="-2"/>
        </w:rPr>
        <w:t>持续为我国经济建设、政治建设、文化建设、社会建设、生态文明建设提供基础支撑性服务，</w:t>
      </w:r>
      <w:r>
        <w:rPr/>
        <w:t> </w:t>
      </w:r>
      <w:r>
        <w:rPr>
          <w:spacing w:val="-3"/>
          <w:w w:val="99"/>
        </w:rPr>
        <w:t>法律服务领域发展持续蓬勃和繁荣。</w:t>
      </w:r>
      <w:r>
        <w:rPr>
          <w:rFonts w:ascii="Arial" w:hAnsi="Arial" w:cs="Arial" w:eastAsia="Arial" w:hint="default"/>
          <w:spacing w:val="-3"/>
          <w:w w:val="99"/>
        </w:rPr>
        <w:t>2018</w:t>
      </w:r>
      <w:r>
        <w:rPr>
          <w:spacing w:val="-3"/>
          <w:w w:val="99"/>
        </w:rPr>
        <w:t>年</w:t>
      </w:r>
      <w:r>
        <w:rPr>
          <w:rFonts w:ascii="Arial" w:hAnsi="Arial" w:cs="Arial" w:eastAsia="Arial" w:hint="default"/>
          <w:spacing w:val="-3"/>
          <w:w w:val="99"/>
        </w:rPr>
        <w:t>4</w:t>
      </w:r>
      <w:r>
        <w:rPr>
          <w:spacing w:val="-3"/>
          <w:w w:val="99"/>
        </w:rPr>
        <w:t>月教育部正式印发《教育信息化</w:t>
      </w:r>
      <w:r>
        <w:rPr>
          <w:rFonts w:ascii="Arial" w:hAnsi="Arial" w:cs="Arial" w:eastAsia="Arial" w:hint="default"/>
          <w:spacing w:val="-3"/>
          <w:w w:val="99"/>
        </w:rPr>
        <w:t>2.0</w:t>
      </w:r>
      <w:r>
        <w:rPr>
          <w:spacing w:val="-3"/>
          <w:w w:val="99"/>
        </w:rPr>
        <w:t>行动计划》，</w:t>
      </w:r>
    </w:p>
    <w:p>
      <w:pPr>
        <w:spacing w:after="0" w:line="273" w:lineRule="auto"/>
        <w:jc w:val="left"/>
        <w:sectPr>
          <w:pgSz w:w="11910" w:h="16840"/>
          <w:pgMar w:header="746" w:footer="978" w:top="1060" w:bottom="1160" w:left="1020" w:right="0"/>
        </w:sectPr>
      </w:pPr>
    </w:p>
    <w:p>
      <w:pPr>
        <w:spacing w:line="240" w:lineRule="auto" w:before="3"/>
        <w:rPr>
          <w:rFonts w:ascii="宋体" w:hAnsi="宋体" w:cs="宋体" w:eastAsia="宋体" w:hint="default"/>
          <w:sz w:val="25"/>
          <w:szCs w:val="25"/>
        </w:rPr>
      </w:pPr>
    </w:p>
    <w:p>
      <w:pPr>
        <w:pStyle w:val="Heading3"/>
        <w:spacing w:line="266" w:lineRule="auto" w:before="26"/>
        <w:ind w:right="1130"/>
        <w:jc w:val="both"/>
      </w:pPr>
      <w:r>
        <w:rPr/>
        <w:t>将教育信息化</w:t>
      </w:r>
      <w:r>
        <w:rPr>
          <w:rFonts w:ascii="Arial" w:hAnsi="Arial" w:cs="Arial" w:eastAsia="Arial" w:hint="default"/>
        </w:rPr>
        <w:t>2.0</w:t>
      </w:r>
      <w:r>
        <w:rPr/>
        <w:t>定位于“互联网</w:t>
      </w:r>
      <w:r>
        <w:rPr>
          <w:rFonts w:ascii="Arial" w:hAnsi="Arial" w:cs="Arial" w:eastAsia="Arial" w:hint="default"/>
        </w:rPr>
        <w:t>+</w:t>
      </w:r>
      <w:r>
        <w:rPr/>
        <w:t>教育”的具体实施计划，以加快教育现代化和教育强国建</w:t>
      </w:r>
      <w:r>
        <w:rPr>
          <w:spacing w:val="-83"/>
        </w:rPr>
        <w:t> </w:t>
      </w:r>
      <w:r>
        <w:rPr>
          <w:spacing w:val="-83"/>
        </w:rPr>
      </w:r>
      <w:r>
        <w:rPr>
          <w:spacing w:val="-1"/>
        </w:rPr>
        <w:t>设，推进新时代教育信息化发展，培育创新驱动发展新引擎。</w:t>
      </w:r>
      <w:r>
        <w:rPr>
          <w:rFonts w:ascii="Arial" w:hAnsi="Arial" w:cs="Arial" w:eastAsia="Arial" w:hint="default"/>
          <w:spacing w:val="-1"/>
        </w:rPr>
        <w:t>2018</w:t>
      </w:r>
      <w:r>
        <w:rPr>
          <w:spacing w:val="-1"/>
        </w:rPr>
        <w:t>年国家加快安全可靠工作</w:t>
      </w:r>
      <w:r>
        <w:rPr>
          <w:spacing w:val="-97"/>
        </w:rPr>
        <w:t> </w:t>
      </w:r>
      <w:r>
        <w:rPr/>
        <w:t>进度，持续优化政策环境，国家、行业、地方相继组建协会与工作委员会专项推进安全可靠</w:t>
      </w:r>
      <w:r>
        <w:rPr>
          <w:spacing w:val="-89"/>
        </w:rPr>
        <w:t> </w:t>
      </w:r>
      <w:r>
        <w:rPr>
          <w:spacing w:val="-89"/>
        </w:rPr>
      </w:r>
      <w:r>
        <w:rPr/>
        <w:t>工作进程。此外，产业链上游产品质量持续提升，相关行业技术标准不断规范完善，安全可</w:t>
      </w:r>
      <w:r>
        <w:rPr>
          <w:spacing w:val="-89"/>
        </w:rPr>
        <w:t> </w:t>
      </w:r>
      <w:r>
        <w:rPr>
          <w:spacing w:val="-89"/>
        </w:rPr>
      </w:r>
      <w:r>
        <w:rPr/>
        <w:t>靠相关产业将加速创新和发展。</w:t>
      </w:r>
    </w:p>
    <w:p>
      <w:pPr>
        <w:pStyle w:val="Heading3"/>
        <w:spacing w:line="271" w:lineRule="auto" w:before="19"/>
        <w:ind w:right="996" w:firstLine="480"/>
        <w:jc w:val="left"/>
      </w:pPr>
      <w:r>
        <w:rPr/>
        <w:t>报告期内，公司业务快速发展同样得益于自身核心竞争力的持续增强。作为软件服务公 司，公司业务战略的特点，一是社会价值高所以发展空间大，二是竞争地位高所以盈利能力</w:t>
      </w:r>
      <w:r>
        <w:rPr>
          <w:spacing w:val="-89"/>
        </w:rPr>
        <w:t> </w:t>
      </w:r>
      <w:r>
        <w:rPr>
          <w:spacing w:val="-89"/>
        </w:rPr>
      </w:r>
      <w:r>
        <w:rPr/>
        <w:t>强。我们认为，公司之所以能够持续发展，竞争地位以及业务规模、增速均长期市场领先，</w:t>
      </w:r>
      <w:r>
        <w:rPr>
          <w:spacing w:val="-89"/>
        </w:rPr>
        <w:t> </w:t>
      </w:r>
      <w:r>
        <w:rPr>
          <w:spacing w:val="-89"/>
        </w:rPr>
      </w:r>
      <w:r>
        <w:rPr/>
        <w:t>深层次的驱动力是业务应用创新，即围绕客户业务战略持续创新做好技术应用和软件服务，</w:t>
      </w:r>
      <w:r>
        <w:rPr>
          <w:spacing w:val="-89"/>
        </w:rPr>
        <w:t> </w:t>
      </w:r>
      <w:r>
        <w:rPr>
          <w:spacing w:val="-89"/>
        </w:rPr>
      </w:r>
      <w:r>
        <w:rPr>
          <w:spacing w:val="-2"/>
        </w:rPr>
        <w:t>帮助客户更好服务社会的过程中获得商业回报。随着人工智能、大数据、云计算、移动互联、</w:t>
      </w:r>
      <w:r>
        <w:rPr/>
        <w:t> 区块链等为代表的新一代信息技术发展，公司在产品技术应用和业务价值提升等方面不断创</w:t>
      </w:r>
      <w:r>
        <w:rPr>
          <w:spacing w:val="-89"/>
        </w:rPr>
        <w:t> </w:t>
      </w:r>
      <w:r>
        <w:rPr>
          <w:spacing w:val="-89"/>
        </w:rPr>
      </w:r>
      <w:r>
        <w:rPr>
          <w:spacing w:val="-2"/>
        </w:rPr>
        <w:t>新，从业务应用、数据应用和知识服务等方面积极响应客户的高要求，持续创造新客户价值。</w:t>
      </w:r>
      <w:r>
        <w:rPr/>
        <w:t> </w:t>
      </w:r>
      <w:r>
        <w:rPr>
          <w:rFonts w:ascii="宋体" w:hAnsi="宋体" w:cs="宋体" w:eastAsia="宋体" w:hint="default"/>
          <w:b/>
          <w:bCs/>
        </w:rPr>
        <w:t>在法律科技领域，</w:t>
      </w:r>
      <w:r>
        <w:rPr/>
        <w:t>法律机关新一代智能化应用系统、面向商业法律服务领域的应用软件和数</w:t>
      </w:r>
      <w:r>
        <w:rPr>
          <w:spacing w:val="-88"/>
        </w:rPr>
        <w:t> </w:t>
      </w:r>
      <w:r>
        <w:rPr>
          <w:spacing w:val="-88"/>
        </w:rPr>
      </w:r>
      <w:r>
        <w:rPr/>
        <w:t>据服务的能力核心，是公司自主研发的人工智能认知引擎——元典睿核平台。元典睿核已整</w:t>
      </w:r>
      <w:r>
        <w:rPr>
          <w:spacing w:val="-89"/>
        </w:rPr>
        <w:t> </w:t>
      </w:r>
      <w:r>
        <w:rPr>
          <w:spacing w:val="-89"/>
        </w:rPr>
      </w:r>
      <w:r>
        <w:rPr>
          <w:spacing w:val="-2"/>
        </w:rPr>
        <w:t>合十余类行业数据源，可支持全方位的法律知识检索分析和精准案例推送服务；支持对法院、</w:t>
      </w:r>
      <w:r>
        <w:rPr/>
        <w:t> 检察院、公安、监狱、仲裁、律师、人民调解和司法行政等多个行业中的文书进行信息项提</w:t>
      </w:r>
      <w:r>
        <w:rPr>
          <w:spacing w:val="-89"/>
        </w:rPr>
        <w:t> </w:t>
      </w:r>
      <w:r>
        <w:rPr>
          <w:spacing w:val="-89"/>
        </w:rPr>
      </w:r>
      <w:r>
        <w:rPr/>
        <w:t>取；支持多类常见多发案由的证据指引；支持各类文书的智能生成。元典睿核荣获“</w:t>
      </w:r>
      <w:r>
        <w:rPr>
          <w:rFonts w:ascii="Arial" w:hAnsi="Arial" w:cs="Arial" w:eastAsia="Arial" w:hint="default"/>
        </w:rPr>
        <w:t>2018</w:t>
      </w:r>
      <w:r>
        <w:rPr/>
        <w:t>年 </w:t>
      </w:r>
      <w:r>
        <w:rPr>
          <w:spacing w:val="-3"/>
        </w:rPr>
        <w:t>度中国电子信息行业创新成果（创新产品类）盘古奖”。在元典睿核法律认知引擎的基础上，</w:t>
      </w:r>
      <w:r>
        <w:rPr>
          <w:spacing w:val="-117"/>
        </w:rPr>
        <w:t> </w:t>
      </w:r>
      <w:r>
        <w:rPr>
          <w:spacing w:val="-117"/>
        </w:rPr>
      </w:r>
      <w:r>
        <w:rPr/>
        <w:t>公司围绕诉服、证据、文书、分析、检索等多个维度展开智能产品研发和业务布局。</w:t>
      </w:r>
      <w:r>
        <w:rPr>
          <w:rFonts w:ascii="Arial" w:hAnsi="Arial" w:cs="Arial" w:eastAsia="Arial" w:hint="default"/>
        </w:rPr>
        <w:t>2018</w:t>
      </w:r>
      <w:r>
        <w:rPr/>
        <w:t>年 </w:t>
      </w:r>
      <w:r>
        <w:rPr>
          <w:rFonts w:ascii="Arial" w:hAnsi="Arial" w:cs="Arial" w:eastAsia="Arial" w:hint="default"/>
        </w:rPr>
        <w:t>5</w:t>
      </w:r>
      <w:r>
        <w:rPr/>
        <w:t>月</w:t>
      </w:r>
      <w:r>
        <w:rPr>
          <w:rFonts w:ascii="Arial" w:hAnsi="Arial" w:cs="Arial" w:eastAsia="Arial" w:hint="default"/>
        </w:rPr>
        <w:t>23</w:t>
      </w:r>
      <w:r>
        <w:rPr/>
        <w:t>日发布新一代智慧法院应用系统；</w:t>
      </w:r>
      <w:r>
        <w:rPr>
          <w:rFonts w:ascii="Arial" w:hAnsi="Arial" w:cs="Arial" w:eastAsia="Arial" w:hint="default"/>
        </w:rPr>
        <w:t>2018</w:t>
      </w:r>
      <w:r>
        <w:rPr/>
        <w:t>年</w:t>
      </w:r>
      <w:r>
        <w:rPr>
          <w:rFonts w:ascii="Arial" w:hAnsi="Arial" w:cs="Arial" w:eastAsia="Arial" w:hint="default"/>
        </w:rPr>
        <w:t>7</w:t>
      </w:r>
      <w:r>
        <w:rPr/>
        <w:t>月</w:t>
      </w:r>
      <w:r>
        <w:rPr>
          <w:rFonts w:ascii="Arial" w:hAnsi="Arial" w:cs="Arial" w:eastAsia="Arial" w:hint="default"/>
        </w:rPr>
        <w:t>13</w:t>
      </w:r>
      <w:r>
        <w:rPr/>
        <w:t>日发布“下一代”智慧检务应用系统； </w:t>
      </w:r>
      <w:r>
        <w:rPr>
          <w:spacing w:val="-16"/>
        </w:rPr>
        <w:t>报告期内公司还应用推广了“智慧监狱”、“智慧戒毒”、“智慧调解”、“新一代”政法协同平</w:t>
      </w:r>
      <w:r>
        <w:rPr/>
        <w:t> 台等应用系统。报告期内“元典律师工作平台”为三万名律师提供业务软件和数据服务。持</w:t>
      </w:r>
      <w:r>
        <w:rPr>
          <w:spacing w:val="-89"/>
        </w:rPr>
        <w:t> </w:t>
      </w:r>
      <w:r>
        <w:rPr>
          <w:spacing w:val="-89"/>
        </w:rPr>
      </w:r>
      <w:r>
        <w:rPr/>
        <w:t>续的应用创新奠定了公司未来业务发展的基石。</w:t>
      </w:r>
      <w:r>
        <w:rPr>
          <w:rFonts w:ascii="宋体" w:hAnsi="宋体" w:cs="宋体" w:eastAsia="宋体" w:hint="default"/>
          <w:b/>
          <w:bCs/>
        </w:rPr>
        <w:t>在教育信息化领域，</w:t>
      </w:r>
      <w:r>
        <w:rPr/>
        <w:t>公司发布首款智慧教学</w:t>
      </w:r>
      <w:r>
        <w:rPr>
          <w:spacing w:val="-89"/>
        </w:rPr>
        <w:t> </w:t>
      </w:r>
      <w:r>
        <w:rPr>
          <w:spacing w:val="-89"/>
        </w:rPr>
      </w:r>
      <w:r>
        <w:rPr>
          <w:spacing w:val="-1"/>
          <w:w w:val="99"/>
        </w:rPr>
        <w:t>融合解决方案“奕课堂”，致力于帮助高校客户改进教学模式，推进智慧课堂建设。</w:t>
      </w:r>
      <w:r>
        <w:rPr>
          <w:rFonts w:ascii="Arial" w:hAnsi="Arial" w:cs="Arial" w:eastAsia="Arial" w:hint="default"/>
          <w:spacing w:val="-1"/>
          <w:w w:val="99"/>
        </w:rPr>
        <w:t>2018</w:t>
      </w:r>
      <w:r>
        <w:rPr>
          <w:spacing w:val="-1"/>
          <w:w w:val="99"/>
        </w:rPr>
        <w:t>年</w:t>
      </w:r>
      <w:r>
        <w:rPr>
          <w:spacing w:val="-112"/>
          <w:w w:val="99"/>
        </w:rPr>
        <w:t> </w:t>
      </w:r>
      <w:r>
        <w:rPr>
          <w:rFonts w:ascii="Arial" w:hAnsi="Arial" w:cs="Arial" w:eastAsia="Arial" w:hint="default"/>
        </w:rPr>
        <w:t>10</w:t>
      </w:r>
      <w:r>
        <w:rPr/>
        <w:t>月发布至今已中标中山大学、暨南大学、广东石油化工学院、广东水利电力职业技术学院</w:t>
      </w:r>
      <w:r>
        <w:rPr>
          <w:spacing w:val="-111"/>
        </w:rPr>
        <w:t> </w:t>
      </w:r>
      <w:r>
        <w:rPr>
          <w:spacing w:val="-111"/>
        </w:rPr>
      </w:r>
      <w:r>
        <w:rPr/>
        <w:t>等项目。该方案有望成为公司教育信息化业务又一重要增长引擎。</w:t>
      </w:r>
    </w:p>
    <w:p>
      <w:pPr>
        <w:spacing w:line="240" w:lineRule="auto" w:before="13"/>
        <w:rPr>
          <w:rFonts w:ascii="宋体" w:hAnsi="宋体" w:cs="宋体" w:eastAsia="宋体" w:hint="default"/>
          <w:sz w:val="24"/>
          <w:szCs w:val="24"/>
        </w:rPr>
      </w:pPr>
    </w:p>
    <w:p>
      <w:pPr>
        <w:pStyle w:val="Heading3"/>
        <w:spacing w:line="276" w:lineRule="auto"/>
        <w:ind w:left="532" w:right="996"/>
        <w:jc w:val="left"/>
      </w:pPr>
      <w:r>
        <w:rPr/>
        <w:t>下面，详细介绍报告期内公司在法律科技和教育信息化这两个领域的业务发展情况。 </w:t>
      </w:r>
      <w:r>
        <w:rPr>
          <w:rFonts w:ascii="宋体" w:hAnsi="宋体" w:cs="宋体" w:eastAsia="宋体" w:hint="default"/>
          <w:b/>
          <w:bCs/>
          <w:spacing w:val="2"/>
        </w:rPr>
        <w:t>在法律科技领域，</w:t>
      </w:r>
      <w:r>
        <w:rPr>
          <w:spacing w:val="2"/>
        </w:rPr>
        <w:t>公司全方位覆盖法律机关单位和商业法律服务领域的“一体化法律服</w:t>
      </w:r>
    </w:p>
    <w:p>
      <w:pPr>
        <w:pStyle w:val="Heading3"/>
        <w:spacing w:line="268" w:lineRule="auto" w:before="7"/>
        <w:ind w:right="1129"/>
        <w:jc w:val="both"/>
      </w:pPr>
      <w:r>
        <w:rPr/>
        <w:t>务平台”持续扩展连接与深化业务覆盖。公司以法律科技为核心驱动力，拓展面向法律机关</w:t>
      </w:r>
      <w:r>
        <w:rPr>
          <w:spacing w:val="-89"/>
        </w:rPr>
        <w:t> </w:t>
      </w:r>
      <w:r>
        <w:rPr>
          <w:spacing w:val="-89"/>
        </w:rPr>
      </w:r>
      <w:r>
        <w:rPr/>
        <w:t>单位的业务，全面覆盖全国</w:t>
      </w:r>
      <w:r>
        <w:rPr>
          <w:rFonts w:ascii="Arial" w:hAnsi="Arial" w:cs="Arial" w:eastAsia="Arial" w:hint="default"/>
        </w:rPr>
        <w:t>31</w:t>
      </w:r>
      <w:r>
        <w:rPr/>
        <w:t>个省级行政区，报告期内公司已经拓展覆盖全国各级法院、检</w:t>
      </w:r>
      <w:r>
        <w:rPr>
          <w:spacing w:val="-113"/>
        </w:rPr>
        <w:t> </w:t>
      </w:r>
      <w:r>
        <w:rPr>
          <w:spacing w:val="-113"/>
        </w:rPr>
      </w:r>
      <w:r>
        <w:rPr>
          <w:spacing w:val="2"/>
        </w:rPr>
        <w:t>察院、司法行政、公安机关、政法委、纪委监察委等，信息化服务覆盖用户超过</w:t>
      </w:r>
      <w:r>
        <w:rPr>
          <w:rFonts w:ascii="Arial" w:hAnsi="Arial" w:cs="Arial" w:eastAsia="Arial" w:hint="default"/>
          <w:spacing w:val="2"/>
        </w:rPr>
        <w:t>300</w:t>
      </w:r>
      <w:r>
        <w:rPr>
          <w:spacing w:val="2"/>
        </w:rPr>
        <w:t>个业务</w:t>
      </w:r>
      <w:r>
        <w:rPr>
          <w:spacing w:val="-104"/>
        </w:rPr>
        <w:t> </w:t>
      </w:r>
      <w:r>
        <w:rPr>
          <w:spacing w:val="-104"/>
        </w:rPr>
      </w:r>
      <w:r>
        <w:rPr>
          <w:spacing w:val="-2"/>
        </w:rPr>
        <w:t>场所、</w:t>
      </w:r>
      <w:r>
        <w:rPr>
          <w:rFonts w:ascii="Arial" w:hAnsi="Arial" w:cs="Arial" w:eastAsia="Arial" w:hint="default"/>
          <w:spacing w:val="-2"/>
        </w:rPr>
        <w:t>50</w:t>
      </w:r>
      <w:r>
        <w:rPr>
          <w:spacing w:val="-2"/>
        </w:rPr>
        <w:t>类功能场所、</w:t>
      </w:r>
      <w:r>
        <w:rPr>
          <w:rFonts w:ascii="Arial" w:hAnsi="Arial" w:cs="Arial" w:eastAsia="Arial" w:hint="default"/>
          <w:spacing w:val="-2"/>
        </w:rPr>
        <w:t>34</w:t>
      </w:r>
      <w:r>
        <w:rPr>
          <w:spacing w:val="-2"/>
        </w:rPr>
        <w:t>类业务人员、</w:t>
      </w:r>
      <w:r>
        <w:rPr>
          <w:rFonts w:ascii="Arial" w:hAnsi="Arial" w:cs="Arial" w:eastAsia="Arial" w:hint="default"/>
          <w:spacing w:val="-2"/>
        </w:rPr>
        <w:t>20</w:t>
      </w:r>
      <w:r>
        <w:rPr>
          <w:spacing w:val="-2"/>
        </w:rPr>
        <w:t>类业务服务对象。公司利用多领域业务优势，围绕</w:t>
      </w:r>
      <w:r>
        <w:rPr>
          <w:spacing w:val="-81"/>
        </w:rPr>
        <w:t> </w:t>
      </w:r>
      <w:r>
        <w:rPr>
          <w:spacing w:val="-81"/>
        </w:rPr>
      </w:r>
      <w:r>
        <w:rPr/>
        <w:t>各法律机关单位，快速支撑用户实现法律机关之间信息共享和业务协作，包括政法委跨部门</w:t>
      </w:r>
      <w:r>
        <w:rPr>
          <w:spacing w:val="-89"/>
        </w:rPr>
        <w:t> </w:t>
      </w:r>
      <w:r>
        <w:rPr>
          <w:spacing w:val="-89"/>
        </w:rPr>
      </w:r>
      <w:r>
        <w:rPr/>
        <w:t>大数据协同办案、法检互联、法监互联、公检互联等。报告期内，公司快速发展面向律师的</w:t>
      </w:r>
      <w:r>
        <w:rPr>
          <w:spacing w:val="-89"/>
        </w:rPr>
        <w:t> </w:t>
      </w:r>
      <w:r>
        <w:rPr>
          <w:spacing w:val="-89"/>
        </w:rPr>
      </w:r>
      <w:r>
        <w:rPr>
          <w:rFonts w:ascii="Arial" w:hAnsi="Arial" w:cs="Arial" w:eastAsia="Arial" w:hint="default"/>
        </w:rPr>
        <w:t>SaaS</w:t>
      </w:r>
      <w:r>
        <w:rPr/>
        <w:t>服务，为三万名律师提供业务软件和数据服务，用户数量同比增长超过</w:t>
      </w:r>
      <w:r>
        <w:rPr>
          <w:rFonts w:ascii="Arial" w:hAnsi="Arial" w:cs="Arial" w:eastAsia="Arial" w:hint="default"/>
        </w:rPr>
        <w:t>200%</w:t>
      </w:r>
      <w:r>
        <w:rPr/>
        <w:t>；并为法</w:t>
      </w:r>
      <w:r>
        <w:rPr>
          <w:spacing w:val="-93"/>
        </w:rPr>
        <w:t> </w:t>
      </w:r>
      <w:r>
        <w:rPr>
          <w:spacing w:val="-93"/>
        </w:rPr>
      </w:r>
      <w:r>
        <w:rPr/>
        <w:t>律服务产业链上多方主体提供连接服务，探索拓展“一体化法律服务平台”连接保险、银行</w:t>
      </w:r>
      <w:r>
        <w:rPr>
          <w:spacing w:val="-89"/>
        </w:rPr>
        <w:t> </w:t>
      </w:r>
      <w:r>
        <w:rPr>
          <w:spacing w:val="-89"/>
        </w:rPr>
      </w:r>
      <w:r>
        <w:rPr/>
        <w:t>等金融服务机构以及调解、仲裁、公证、鉴定等法律服务机构。公司持续提升产业链角色扩</w:t>
      </w:r>
      <w:r>
        <w:rPr>
          <w:spacing w:val="-89"/>
        </w:rPr>
        <w:t> </w:t>
      </w:r>
      <w:r>
        <w:rPr>
          <w:spacing w:val="-89"/>
        </w:rPr>
      </w:r>
      <w:r>
        <w:rPr/>
        <w:t>展和业务场景覆盖，不断创新产品，有效拓展“一体化法律服务平台”覆盖，为公司保持和</w:t>
      </w:r>
    </w:p>
    <w:p>
      <w:pPr>
        <w:spacing w:after="0" w:line="268" w:lineRule="auto"/>
        <w:jc w:val="both"/>
        <w:sectPr>
          <w:pgSz w:w="11910" w:h="16840"/>
          <w:pgMar w:header="746" w:footer="978" w:top="1060" w:bottom="1160" w:left="1020" w:right="0"/>
        </w:sectPr>
      </w:pPr>
    </w:p>
    <w:p>
      <w:pPr>
        <w:spacing w:line="240" w:lineRule="auto" w:before="3"/>
        <w:rPr>
          <w:rFonts w:ascii="宋体" w:hAnsi="宋体" w:cs="宋体" w:eastAsia="宋体" w:hint="default"/>
          <w:sz w:val="25"/>
          <w:szCs w:val="25"/>
        </w:rPr>
      </w:pPr>
    </w:p>
    <w:p>
      <w:pPr>
        <w:pStyle w:val="Heading3"/>
        <w:spacing w:line="276" w:lineRule="auto" w:before="26"/>
        <w:ind w:left="592" w:right="996" w:hanging="480"/>
        <w:jc w:val="left"/>
      </w:pPr>
      <w:r>
        <w:rPr>
          <w:spacing w:val="-2"/>
        </w:rPr>
        <w:t>提升核心竞争力、优化业务结构创造了条件，同时助力提升全社会法律服务效率和质量水平。</w:t>
      </w:r>
      <w:r>
        <w:rPr/>
        <w:t> 报告期内，公司持续推动技术应用创新，深入参与行业重点项目建设与业务创新研究，</w:t>
      </w:r>
    </w:p>
    <w:p>
      <w:pPr>
        <w:pStyle w:val="Heading3"/>
        <w:spacing w:line="276" w:lineRule="auto" w:before="7"/>
        <w:ind w:left="592" w:right="996" w:hanging="480"/>
        <w:jc w:val="left"/>
      </w:pPr>
      <w:r>
        <w:rPr/>
        <w:t>持续加强公司在法律科技领域的市场优势。 法院行业。公司负责承建标志着我国审判业务和程序专业化改革的北京互联网法院、最</w:t>
      </w:r>
    </w:p>
    <w:p>
      <w:pPr>
        <w:pStyle w:val="Heading3"/>
        <w:spacing w:line="268" w:lineRule="auto" w:before="7"/>
        <w:ind w:right="1130"/>
        <w:jc w:val="both"/>
      </w:pPr>
      <w:r>
        <w:rPr/>
        <w:t>高人民法院知识产权庭信息化建设，提供包括全流程网络化诉讼服务和新型科技法庭在内的</w:t>
      </w:r>
      <w:r>
        <w:rPr>
          <w:spacing w:val="-89"/>
        </w:rPr>
        <w:t> </w:t>
      </w:r>
      <w:r>
        <w:rPr>
          <w:spacing w:val="-89"/>
        </w:rPr>
      </w:r>
      <w:r>
        <w:rPr>
          <w:spacing w:val="-11"/>
        </w:rPr>
        <w:t>众多科技创新。报告期内公司基于最高法院指导意见要求，针对法院电子卷宗“生成难”、“流</w:t>
      </w:r>
      <w:r>
        <w:rPr>
          <w:spacing w:val="-100"/>
        </w:rPr>
        <w:t> </w:t>
      </w:r>
      <w:r>
        <w:rPr>
          <w:spacing w:val="-100"/>
        </w:rPr>
      </w:r>
      <w:r>
        <w:rPr>
          <w:spacing w:val="-21"/>
        </w:rPr>
        <w:t>转难”、“利用难”、“归档难”、“监管难”这五大难题，提供以电子卷宗管理系统为核心的“电</w:t>
      </w:r>
      <w:r>
        <w:rPr/>
        <w:t> </w:t>
      </w:r>
      <w:r>
        <w:rPr>
          <w:spacing w:val="-1"/>
          <w:w w:val="99"/>
        </w:rPr>
        <w:t>子卷宗随案同步生成和深度应用解决方案”。目前电子卷宗管理系统在全国近</w:t>
      </w:r>
      <w:r>
        <w:rPr>
          <w:rFonts w:ascii="Arial" w:hAnsi="Arial" w:cs="Arial" w:eastAsia="Arial" w:hint="default"/>
          <w:spacing w:val="-1"/>
          <w:w w:val="99"/>
        </w:rPr>
        <w:t>2000</w:t>
      </w:r>
      <w:r>
        <w:rPr>
          <w:spacing w:val="-1"/>
          <w:w w:val="99"/>
        </w:rPr>
        <w:t>家法院上</w:t>
      </w:r>
      <w:r>
        <w:rPr>
          <w:spacing w:val="-115"/>
          <w:w w:val="99"/>
        </w:rPr>
        <w:t> </w:t>
      </w:r>
      <w:r>
        <w:rPr>
          <w:spacing w:val="-115"/>
          <w:w w:val="99"/>
        </w:rPr>
      </w:r>
      <w:r>
        <w:rPr/>
        <w:t>线，基于电子卷宗深度利用的“睿审”系统在全国</w:t>
      </w:r>
      <w:r>
        <w:rPr>
          <w:rFonts w:ascii="Arial" w:hAnsi="Arial" w:cs="Arial" w:eastAsia="Arial" w:hint="default"/>
        </w:rPr>
        <w:t>14</w:t>
      </w:r>
      <w:r>
        <w:rPr/>
        <w:t>个省份上线运行。公司在各地不断打磨</w:t>
      </w:r>
      <w:r>
        <w:rPr>
          <w:spacing w:val="-112"/>
        </w:rPr>
        <w:t> </w:t>
      </w:r>
      <w:r>
        <w:rPr>
          <w:spacing w:val="-112"/>
        </w:rPr>
      </w:r>
      <w:r>
        <w:rPr>
          <w:spacing w:val="-6"/>
        </w:rPr>
        <w:t>完善自身产品，已经打造了北京“睿法官”、河北“要素式审判”、江苏“苏州模式”等一批</w:t>
      </w:r>
      <w:r>
        <w:rPr>
          <w:spacing w:val="-83"/>
        </w:rPr>
        <w:t> </w:t>
      </w:r>
      <w:r>
        <w:rPr>
          <w:spacing w:val="-83"/>
        </w:rPr>
      </w:r>
      <w:r>
        <w:rPr/>
        <w:t>具有全国影响力的成功案例。报告期内公司依托法院行业优势继续扩大军队行业优势，中标</w:t>
      </w:r>
      <w:r>
        <w:rPr>
          <w:spacing w:val="-89"/>
        </w:rPr>
        <w:t> </w:t>
      </w:r>
      <w:r>
        <w:rPr>
          <w:spacing w:val="-89"/>
        </w:rPr>
      </w:r>
      <w:r>
        <w:rPr/>
        <w:t>解放军军事法院二期信息化建设项目。</w:t>
      </w:r>
      <w:r>
        <w:rPr>
          <w:rFonts w:ascii="Arial" w:hAnsi="Arial" w:cs="Arial" w:eastAsia="Arial" w:hint="default"/>
        </w:rPr>
        <w:t>2018</w:t>
      </w:r>
      <w:r>
        <w:rPr/>
        <w:t>年</w:t>
      </w:r>
      <w:r>
        <w:rPr>
          <w:rFonts w:ascii="Arial" w:hAnsi="Arial" w:cs="Arial" w:eastAsia="Arial" w:hint="default"/>
        </w:rPr>
        <w:t>4</w:t>
      </w:r>
      <w:r>
        <w:rPr/>
        <w:t>月首届数字中国建设峰会上，公司承建的人</w:t>
      </w:r>
      <w:r>
        <w:rPr>
          <w:spacing w:val="-46"/>
        </w:rPr>
        <w:t> </w:t>
      </w:r>
      <w:r>
        <w:rPr>
          <w:spacing w:val="-46"/>
        </w:rPr>
      </w:r>
      <w:r>
        <w:rPr/>
        <w:t>民法院大数据管理和服务平台入选“数字中国”建设年度最佳实践成果。</w:t>
      </w:r>
    </w:p>
    <w:p>
      <w:pPr>
        <w:pStyle w:val="Heading3"/>
        <w:spacing w:line="264" w:lineRule="auto" w:before="17"/>
        <w:ind w:right="1130" w:firstLine="480"/>
        <w:jc w:val="both"/>
      </w:pPr>
      <w:r>
        <w:rPr/>
        <w:t>检察院行业。晓督智慧决策产品已形成强技术壁垒，市场占有率超过</w:t>
      </w:r>
      <w:r>
        <w:rPr>
          <w:rFonts w:ascii="Arial" w:hAnsi="Arial" w:cs="Arial" w:eastAsia="Arial" w:hint="default"/>
        </w:rPr>
        <w:t>40%</w:t>
      </w:r>
      <w:r>
        <w:rPr/>
        <w:t>，报告期内在 包括北京等多省市部署和应用。在智慧民行细分领域，公司与浙江省人民检察院联合研发，</w:t>
      </w:r>
      <w:r>
        <w:rPr>
          <w:spacing w:val="-89"/>
        </w:rPr>
        <w:t> </w:t>
      </w:r>
      <w:r>
        <w:rPr>
          <w:spacing w:val="-89"/>
        </w:rPr>
      </w:r>
      <w:r>
        <w:rPr/>
        <w:t>全国率先发布民行诉讼监督智能辅助系统。该系统主动发现案件线索，形成了一套“智能排</w:t>
      </w:r>
      <w:r>
        <w:rPr>
          <w:spacing w:val="-89"/>
        </w:rPr>
        <w:t> </w:t>
      </w:r>
      <w:r>
        <w:rPr>
          <w:spacing w:val="-89"/>
        </w:rPr>
      </w:r>
      <w:r>
        <w:rPr>
          <w:spacing w:val="2"/>
        </w:rPr>
        <w:t>查</w:t>
      </w:r>
      <w:r>
        <w:rPr>
          <w:rFonts w:ascii="Arial" w:hAnsi="Arial" w:cs="Arial" w:eastAsia="Arial" w:hint="default"/>
          <w:spacing w:val="2"/>
        </w:rPr>
        <w:t>+</w:t>
      </w:r>
      <w:r>
        <w:rPr>
          <w:spacing w:val="2"/>
        </w:rPr>
        <w:t>人工审查</w:t>
      </w:r>
      <w:r>
        <w:rPr>
          <w:rFonts w:ascii="Arial" w:hAnsi="Arial" w:cs="Arial" w:eastAsia="Arial" w:hint="default"/>
          <w:spacing w:val="2"/>
        </w:rPr>
        <w:t>+</w:t>
      </w:r>
      <w:r>
        <w:rPr>
          <w:spacing w:val="2"/>
        </w:rPr>
        <w:t>深入调查</w:t>
      </w:r>
      <w:r>
        <w:rPr>
          <w:rFonts w:ascii="Arial" w:hAnsi="Arial" w:cs="Arial" w:eastAsia="Arial" w:hint="default"/>
          <w:spacing w:val="2"/>
        </w:rPr>
        <w:t>+</w:t>
      </w:r>
      <w:r>
        <w:rPr>
          <w:spacing w:val="2"/>
        </w:rPr>
        <w:t>移送侦查”的“四步式”民事诉讼检察监督模式。以绍兴市人民检</w:t>
      </w:r>
      <w:r>
        <w:rPr/>
        <w:t> </w:t>
      </w:r>
      <w:r>
        <w:rPr>
          <w:spacing w:val="-3"/>
        </w:rPr>
        <w:t>察院为例，自今年</w:t>
      </w:r>
      <w:r>
        <w:rPr>
          <w:rFonts w:ascii="Arial" w:hAnsi="Arial" w:cs="Arial" w:eastAsia="Arial" w:hint="default"/>
          <w:spacing w:val="-3"/>
        </w:rPr>
        <w:t>3</w:t>
      </w:r>
      <w:r>
        <w:rPr>
          <w:spacing w:val="-3"/>
        </w:rPr>
        <w:t>月底系统启动以来，该院在有效发现民事监督线索的同时，共移送公安机</w:t>
      </w:r>
      <w:r>
        <w:rPr>
          <w:spacing w:val="-95"/>
        </w:rPr>
        <w:t> </w:t>
      </w:r>
      <w:r>
        <w:rPr>
          <w:spacing w:val="-95"/>
        </w:rPr>
      </w:r>
      <w:r>
        <w:rPr>
          <w:spacing w:val="2"/>
        </w:rPr>
        <w:t>关涉嫌刑事犯罪线索</w:t>
      </w:r>
      <w:r>
        <w:rPr>
          <w:rFonts w:ascii="Arial" w:hAnsi="Arial" w:cs="Arial" w:eastAsia="Arial" w:hint="default"/>
          <w:spacing w:val="2"/>
        </w:rPr>
        <w:t>250</w:t>
      </w:r>
      <w:r>
        <w:rPr>
          <w:spacing w:val="2"/>
        </w:rPr>
        <w:t>余件，其中多起案件涉嫌虚假诉讼，有数批案件涉嫌套路贷、敲诈</w:t>
      </w:r>
      <w:r>
        <w:rPr>
          <w:spacing w:val="-105"/>
        </w:rPr>
        <w:t> </w:t>
      </w:r>
      <w:r>
        <w:rPr>
          <w:spacing w:val="-105"/>
        </w:rPr>
      </w:r>
      <w:r>
        <w:rPr/>
        <w:t>勒索、非法拘禁等涉黑涉恶案件。</w:t>
      </w:r>
    </w:p>
    <w:p>
      <w:pPr>
        <w:pStyle w:val="Heading3"/>
        <w:spacing w:line="268" w:lineRule="auto" w:before="19"/>
        <w:ind w:right="1009" w:firstLine="480"/>
        <w:jc w:val="left"/>
      </w:pPr>
      <w:r>
        <w:rPr/>
        <w:t>司法行政行业。公司围绕监狱、戒毒、调解和应急指挥等方面进行持续产品设计研发和 创新。监狱一站式综合管理平台以罪犯入监</w:t>
      </w:r>
      <w:r>
        <w:rPr>
          <w:rFonts w:ascii="Arial" w:hAnsi="Arial" w:cs="Arial" w:eastAsia="Arial" w:hint="default"/>
        </w:rPr>
        <w:t>-</w:t>
      </w:r>
      <w:r>
        <w:rPr/>
        <w:t>改造</w:t>
      </w:r>
      <w:r>
        <w:rPr>
          <w:rFonts w:ascii="Arial" w:hAnsi="Arial" w:cs="Arial" w:eastAsia="Arial" w:hint="default"/>
        </w:rPr>
        <w:t>-</w:t>
      </w:r>
      <w:r>
        <w:rPr/>
        <w:t>出监作为全刑罚执行生命周期的主线脉络， 贯穿了监狱狱政、狱侦、刑罚、教改、劳改、生卫六大核心执法业务的管理系统。为监狱推</w:t>
      </w:r>
      <w:r>
        <w:rPr>
          <w:spacing w:val="-89"/>
        </w:rPr>
        <w:t> </w:t>
      </w:r>
      <w:r>
        <w:rPr>
          <w:spacing w:val="-89"/>
        </w:rPr>
      </w:r>
      <w:r>
        <w:rPr/>
        <w:t>行智慧监狱建设提供核心数据支撑，为监狱践行“五大改造”新格局提供着力点。目前本产</w:t>
      </w:r>
      <w:r>
        <w:rPr>
          <w:spacing w:val="-89"/>
        </w:rPr>
        <w:t> </w:t>
      </w:r>
      <w:r>
        <w:rPr>
          <w:spacing w:val="-89"/>
        </w:rPr>
      </w:r>
      <w:r>
        <w:rPr>
          <w:spacing w:val="-3"/>
        </w:rPr>
        <w:t>品已在在北京市、云南省、浙江省部署应用。戒毒一站式综合管理平台以“平台</w:t>
      </w:r>
      <w:r>
        <w:rPr>
          <w:rFonts w:ascii="Arial" w:hAnsi="Arial" w:cs="Arial" w:eastAsia="Arial" w:hint="default"/>
          <w:spacing w:val="-3"/>
        </w:rPr>
        <w:t>+</w:t>
      </w:r>
      <w:r>
        <w:rPr>
          <w:spacing w:val="-3"/>
        </w:rPr>
        <w:t>业务”的形</w:t>
      </w:r>
      <w:r>
        <w:rPr>
          <w:spacing w:val="-101"/>
        </w:rPr>
        <w:t> </w:t>
      </w:r>
      <w:r>
        <w:rPr>
          <w:spacing w:val="-101"/>
        </w:rPr>
      </w:r>
      <w:r>
        <w:rPr>
          <w:spacing w:val="-2"/>
        </w:rPr>
        <w:t>式，实现了戒毒人员从入所收治到解除离所的全流程管理。先期在重庆、北京、上海、河北、</w:t>
      </w:r>
      <w:r>
        <w:rPr>
          <w:spacing w:val="-117"/>
        </w:rPr>
        <w:t> </w:t>
      </w:r>
      <w:r>
        <w:rPr>
          <w:spacing w:val="-117"/>
        </w:rPr>
      </w:r>
      <w:r>
        <w:rPr>
          <w:spacing w:val="-3"/>
        </w:rPr>
        <w:t>江西</w:t>
      </w:r>
      <w:r>
        <w:rPr>
          <w:rFonts w:ascii="Arial" w:hAnsi="Arial" w:cs="Arial" w:eastAsia="Arial" w:hint="default"/>
          <w:spacing w:val="-3"/>
        </w:rPr>
        <w:t>5</w:t>
      </w:r>
      <w:r>
        <w:rPr>
          <w:spacing w:val="-3"/>
        </w:rPr>
        <w:t>省（市）试点运行。目前已在司法部戒毒管理局落地中央级平台，并在重庆市落地省级</w:t>
      </w:r>
      <w:r>
        <w:rPr>
          <w:spacing w:val="-93"/>
        </w:rPr>
        <w:t> </w:t>
      </w:r>
      <w:r>
        <w:rPr>
          <w:spacing w:val="-93"/>
        </w:rPr>
      </w:r>
      <w:r>
        <w:rPr/>
        <w:t>平台。智慧调解产品体系包含智慧调解信息管理平台、智慧调解微信小程序以及微调解小程</w:t>
      </w:r>
      <w:r>
        <w:rPr>
          <w:spacing w:val="-89"/>
        </w:rPr>
        <w:t> </w:t>
      </w:r>
      <w:r>
        <w:rPr>
          <w:spacing w:val="-89"/>
        </w:rPr>
      </w:r>
      <w:r>
        <w:rPr/>
        <w:t>序（公众版）产品，旨在打造基层调解工作智慧联动体系，全方位提高调解员调解能力，智</w:t>
      </w:r>
      <w:r>
        <w:rPr>
          <w:spacing w:val="-89"/>
        </w:rPr>
        <w:t> </w:t>
      </w:r>
      <w:r>
        <w:rPr>
          <w:spacing w:val="-89"/>
        </w:rPr>
      </w:r>
      <w:r>
        <w:rPr/>
        <w:t>能化促进基层调解工作提质增效。目前已在贵州、海南、青海、新疆、新疆建设兵团部署应</w:t>
      </w:r>
      <w:r>
        <w:rPr>
          <w:spacing w:val="-89"/>
        </w:rPr>
        <w:t> </w:t>
      </w:r>
      <w:r>
        <w:rPr>
          <w:spacing w:val="-89"/>
        </w:rPr>
      </w:r>
      <w:r>
        <w:rPr/>
        <w:t>用。</w:t>
      </w:r>
    </w:p>
    <w:p>
      <w:pPr>
        <w:pStyle w:val="Heading3"/>
        <w:spacing w:line="268" w:lineRule="auto" w:before="17"/>
        <w:ind w:right="1123" w:firstLine="480"/>
        <w:jc w:val="both"/>
      </w:pPr>
      <w:r>
        <w:rPr/>
        <w:t>政法委行业。</w:t>
      </w:r>
      <w:r>
        <w:rPr>
          <w:rFonts w:ascii="Arial" w:hAnsi="Arial" w:cs="Arial" w:eastAsia="Arial" w:hint="default"/>
        </w:rPr>
        <w:t>2018</w:t>
      </w:r>
      <w:r>
        <w:rPr/>
        <w:t>年</w:t>
      </w:r>
      <w:r>
        <w:rPr>
          <w:rFonts w:ascii="Arial" w:hAnsi="Arial" w:cs="Arial" w:eastAsia="Arial" w:hint="default"/>
        </w:rPr>
        <w:t>5</w:t>
      </w:r>
      <w:r>
        <w:rPr/>
        <w:t>月</w:t>
      </w:r>
      <w:r>
        <w:rPr>
          <w:rFonts w:ascii="Arial" w:hAnsi="Arial" w:cs="Arial" w:eastAsia="Arial" w:hint="default"/>
        </w:rPr>
        <w:t>28</w:t>
      </w:r>
      <w:r>
        <w:rPr/>
        <w:t>日，全国跨部门大数据办案平台建设座谈在苏州召开，公司 参与建设的“苏州跨部门大数据办案系统三期”成果在会上演示汇报，系统着力打造以刑事</w:t>
      </w:r>
      <w:r>
        <w:rPr>
          <w:spacing w:val="-89"/>
        </w:rPr>
        <w:t> </w:t>
      </w:r>
      <w:r>
        <w:rPr>
          <w:spacing w:val="-89"/>
        </w:rPr>
      </w:r>
      <w:r>
        <w:rPr/>
        <w:t>案件跨部门网上协同办案为重点，以信息流、业务流、管理流、监督流为主线，构建全市政</w:t>
      </w:r>
      <w:r>
        <w:rPr>
          <w:spacing w:val="-89"/>
        </w:rPr>
        <w:t> </w:t>
      </w:r>
      <w:r>
        <w:rPr>
          <w:spacing w:val="-89"/>
        </w:rPr>
      </w:r>
      <w:r>
        <w:rPr/>
        <w:t>法跨部门业务协同平台，有效实现了政法部门之间网上办案协同和信息化资源跨部门深度应</w:t>
      </w:r>
      <w:r>
        <w:rPr>
          <w:spacing w:val="-89"/>
        </w:rPr>
        <w:t> </w:t>
      </w:r>
      <w:r>
        <w:rPr>
          <w:spacing w:val="-89"/>
        </w:rPr>
      </w:r>
      <w:r>
        <w:rPr/>
        <w:t>用。报告期内，以业务协同平台为核心构建面向政法部门跨部门办案的解决方案，已在包括</w:t>
      </w:r>
      <w:r>
        <w:rPr>
          <w:spacing w:val="-89"/>
        </w:rPr>
        <w:t> </w:t>
      </w:r>
      <w:r>
        <w:rPr>
          <w:spacing w:val="-89"/>
        </w:rPr>
      </w:r>
      <w:r>
        <w:rPr>
          <w:spacing w:val="-5"/>
        </w:rPr>
        <w:t>北京、浙江、湖北、贵州、青海、天津、苏州等地落单。其中在浙江、苏州等地已经实现</w:t>
      </w:r>
      <w:r>
        <w:rPr>
          <w:rFonts w:ascii="Arial" w:hAnsi="Arial" w:cs="Arial" w:eastAsia="Arial" w:hint="default"/>
          <w:spacing w:val="-5"/>
        </w:rPr>
        <w:t>96%</w:t>
      </w:r>
      <w:r>
        <w:rPr>
          <w:rFonts w:ascii="Arial" w:hAnsi="Arial" w:cs="Arial" w:eastAsia="Arial" w:hint="default"/>
          <w:spacing w:val="-56"/>
        </w:rPr>
        <w:t> </w:t>
      </w:r>
      <w:r>
        <w:rPr>
          <w:rFonts w:ascii="Arial" w:hAnsi="Arial" w:cs="Arial" w:eastAsia="Arial" w:hint="default"/>
          <w:spacing w:val="-56"/>
        </w:rPr>
      </w:r>
      <w:r>
        <w:rPr/>
        <w:t>以上的案件在该平台流转，浙江跨部门办案平台在不到一年时间内已办理近</w:t>
      </w:r>
      <w:r>
        <w:rPr>
          <w:rFonts w:ascii="Arial" w:hAnsi="Arial" w:cs="Arial" w:eastAsia="Arial" w:hint="default"/>
        </w:rPr>
        <w:t>10</w:t>
      </w:r>
      <w:r>
        <w:rPr/>
        <w:t>万件案件。同</w:t>
      </w:r>
    </w:p>
    <w:p>
      <w:pPr>
        <w:spacing w:after="0" w:line="268" w:lineRule="auto"/>
        <w:jc w:val="both"/>
        <w:sectPr>
          <w:footerReference w:type="default" r:id="rId12"/>
          <w:pgSz w:w="11910" w:h="16840"/>
          <w:pgMar w:footer="978" w:header="746" w:top="1060" w:bottom="1160" w:left="1020" w:right="0"/>
          <w:pgNumType w:start="20"/>
        </w:sectPr>
      </w:pPr>
    </w:p>
    <w:p>
      <w:pPr>
        <w:spacing w:line="240" w:lineRule="auto" w:before="3"/>
        <w:rPr>
          <w:rFonts w:ascii="宋体" w:hAnsi="宋体" w:cs="宋体" w:eastAsia="宋体" w:hint="default"/>
          <w:sz w:val="25"/>
          <w:szCs w:val="25"/>
        </w:rPr>
      </w:pPr>
    </w:p>
    <w:p>
      <w:pPr>
        <w:pStyle w:val="Heading3"/>
        <w:spacing w:line="264" w:lineRule="auto" w:before="26"/>
        <w:ind w:right="1129"/>
        <w:jc w:val="both"/>
      </w:pPr>
      <w:r>
        <w:rPr/>
        <w:t>时，公司</w:t>
      </w:r>
      <w:r>
        <w:rPr>
          <w:rFonts w:ascii="Arial" w:hAnsi="Arial" w:cs="Arial" w:eastAsia="Arial" w:hint="default"/>
        </w:rPr>
        <w:t>2018</w:t>
      </w:r>
      <w:r>
        <w:rPr/>
        <w:t>年</w:t>
      </w:r>
      <w:r>
        <w:rPr>
          <w:rFonts w:ascii="Arial" w:hAnsi="Arial" w:cs="Arial" w:eastAsia="Arial" w:hint="default"/>
        </w:rPr>
        <w:t>12</w:t>
      </w:r>
      <w:r>
        <w:rPr/>
        <w:t>月</w:t>
      </w:r>
      <w:r>
        <w:rPr>
          <w:rFonts w:ascii="Arial" w:hAnsi="Arial" w:cs="Arial" w:eastAsia="Arial" w:hint="default"/>
        </w:rPr>
        <w:t>26</w:t>
      </w:r>
      <w:r>
        <w:rPr/>
        <w:t>日中标北京市政法办案智能管理系统建设项目政法智能办案平台</w:t>
      </w:r>
      <w:r>
        <w:rPr>
          <w:rFonts w:ascii="Arial" w:hAnsi="Arial" w:cs="Arial" w:eastAsia="Arial" w:hint="default"/>
        </w:rPr>
        <w:t>-</w:t>
      </w:r>
      <w:r>
        <w:rPr/>
        <w:t>中</w:t>
      </w:r>
      <w:r>
        <w:rPr>
          <w:spacing w:val="-47"/>
        </w:rPr>
        <w:t> </w:t>
      </w:r>
      <w:r>
        <w:rPr/>
        <w:t>心平台建设项目，通过该项目公司将对已有跨部门业务协同与刑事案件智能辅助办案进行升</w:t>
      </w:r>
      <w:r>
        <w:rPr>
          <w:spacing w:val="-89"/>
        </w:rPr>
        <w:t> </w:t>
      </w:r>
      <w:r>
        <w:rPr>
          <w:spacing w:val="-89"/>
        </w:rPr>
      </w:r>
      <w:r>
        <w:rPr>
          <w:spacing w:val="-1"/>
        </w:rPr>
        <w:t>级，构建协同办案公安、检察院、法院智能大脑，将</w:t>
      </w:r>
      <w:r>
        <w:rPr>
          <w:rFonts w:ascii="Arial" w:hAnsi="Arial" w:cs="Arial" w:eastAsia="Arial" w:hint="default"/>
          <w:spacing w:val="-1"/>
        </w:rPr>
        <w:t>OCR</w:t>
      </w:r>
      <w:r>
        <w:rPr>
          <w:spacing w:val="-1"/>
        </w:rPr>
        <w:t>、文书、证据、案例、庭审等功能</w:t>
      </w:r>
      <w:r>
        <w:rPr>
          <w:spacing w:val="-97"/>
        </w:rPr>
        <w:t> </w:t>
      </w:r>
      <w:r>
        <w:rPr>
          <w:spacing w:val="-97"/>
        </w:rPr>
      </w:r>
      <w:r>
        <w:rPr/>
        <w:t>与业务流程进行深度集成整合，构建“新一代”政法协同平台。</w:t>
      </w:r>
    </w:p>
    <w:p>
      <w:pPr>
        <w:pStyle w:val="Heading3"/>
        <w:spacing w:line="276" w:lineRule="auto" w:before="19"/>
        <w:ind w:left="592" w:right="996"/>
        <w:jc w:val="left"/>
      </w:pPr>
      <w:r>
        <w:rPr/>
        <w:t>纪委监察委行业。报告期内公司负责承建多省重大信息化项目建设。 商业法律服务领域。报告期内“元典律师工作平台”为三万名律师提供业务软件和数据</w:t>
      </w:r>
    </w:p>
    <w:p>
      <w:pPr>
        <w:pStyle w:val="Heading3"/>
        <w:spacing w:line="268" w:lineRule="auto" w:before="7"/>
        <w:ind w:right="996"/>
        <w:jc w:val="left"/>
      </w:pPr>
      <w:r>
        <w:rPr/>
        <w:t>服务，并且完成在线诉讼服务在吉林法院和上海法院正式上线，打通工作平台和法院诉讼服</w:t>
      </w:r>
      <w:r>
        <w:rPr>
          <w:spacing w:val="-89"/>
        </w:rPr>
        <w:t> </w:t>
      </w:r>
      <w:r>
        <w:rPr>
          <w:spacing w:val="-89"/>
        </w:rPr>
      </w:r>
      <w:r>
        <w:rPr/>
        <w:t>务的信息交互。律师工作平台上的增值服务模块持续创新，智能助手模块“法官怎么判”预</w:t>
      </w:r>
      <w:r>
        <w:rPr>
          <w:spacing w:val="-89"/>
        </w:rPr>
        <w:t> </w:t>
      </w:r>
      <w:r>
        <w:rPr>
          <w:spacing w:val="-89"/>
        </w:rPr>
      </w:r>
      <w:r>
        <w:rPr/>
        <w:t>售期间付费用户超过</w:t>
      </w:r>
      <w:r>
        <w:rPr>
          <w:rFonts w:ascii="Arial" w:hAnsi="Arial" w:cs="Arial" w:eastAsia="Arial" w:hint="default"/>
        </w:rPr>
        <w:t>1000</w:t>
      </w:r>
      <w:r>
        <w:rPr/>
        <w:t>人。报告期内，作为在线矛盾纠纷多元化解平台的一个重要创新， 全国首个劳动争议裁审一体化处理网络平台在东莞上线。该平台服务于当事人、调解组织、</w:t>
      </w:r>
      <w:r>
        <w:rPr>
          <w:spacing w:val="-89"/>
        </w:rPr>
        <w:t> </w:t>
      </w:r>
      <w:r>
        <w:rPr>
          <w:spacing w:val="-89"/>
        </w:rPr>
      </w:r>
      <w:r>
        <w:rPr>
          <w:spacing w:val="-4"/>
          <w:w w:val="99"/>
        </w:rPr>
        <w:t>仲裁机构、法院四方，提供广泛的业务支持，获评广东省法院系统</w:t>
      </w:r>
      <w:r>
        <w:rPr>
          <w:rFonts w:ascii="Arial" w:hAnsi="Arial" w:cs="Arial" w:eastAsia="Arial" w:hint="default"/>
          <w:spacing w:val="-4"/>
          <w:w w:val="99"/>
        </w:rPr>
        <w:t>2018</w:t>
      </w:r>
      <w:r>
        <w:rPr>
          <w:spacing w:val="-4"/>
          <w:w w:val="99"/>
        </w:rPr>
        <w:t>年度“十大微创新”。</w:t>
      </w:r>
      <w:r>
        <w:rPr>
          <w:spacing w:val="-86"/>
          <w:w w:val="99"/>
        </w:rPr>
        <w:t> </w:t>
      </w:r>
      <w:r>
        <w:rPr>
          <w:spacing w:val="-86"/>
          <w:w w:val="99"/>
        </w:rPr>
      </w:r>
      <w:r>
        <w:rPr>
          <w:spacing w:val="-5"/>
        </w:rPr>
        <w:t>报告期内，公司携手多家保险公司共同打造财产保全在线一体化办理平台“保全通”，已在部</w:t>
      </w:r>
      <w:r>
        <w:rPr>
          <w:spacing w:val="-116"/>
        </w:rPr>
        <w:t> </w:t>
      </w:r>
      <w:r>
        <w:rPr>
          <w:spacing w:val="-116"/>
        </w:rPr>
      </w:r>
      <w:r>
        <w:rPr/>
        <w:t>分法院正式上线。</w:t>
      </w:r>
    </w:p>
    <w:p>
      <w:pPr>
        <w:pStyle w:val="Heading3"/>
        <w:spacing w:line="271" w:lineRule="auto" w:before="17"/>
        <w:ind w:right="1130" w:firstLine="480"/>
        <w:jc w:val="both"/>
      </w:pPr>
      <w:r>
        <w:rPr/>
        <w:t>报告期内，公司积极储备未来法律科技市场的新动能，积极建设包含法律实务、法学研 究、法律科技等各方面的法律服务生态，积极履行行业龙头企业的社会责任。报告期内，公</w:t>
      </w:r>
      <w:r>
        <w:rPr>
          <w:spacing w:val="-89"/>
        </w:rPr>
        <w:t> </w:t>
      </w:r>
      <w:r>
        <w:rPr>
          <w:spacing w:val="-89"/>
        </w:rPr>
      </w:r>
      <w:r>
        <w:rPr/>
        <w:t>司中标国家重点研发计划“两高一部”课题，推动法律大数据、法律人工智能等领域深入研</w:t>
      </w:r>
      <w:r>
        <w:rPr>
          <w:spacing w:val="-89"/>
        </w:rPr>
        <w:t> </w:t>
      </w:r>
      <w:r>
        <w:rPr>
          <w:spacing w:val="-89"/>
        </w:rPr>
      </w:r>
      <w:r>
        <w:rPr>
          <w:spacing w:val="-5"/>
        </w:rPr>
        <w:t>究，为未来的智慧法院和智慧检务等法律智能“蓄能”。公司分别与北京大学、清华大学联合</w:t>
      </w:r>
      <w:r>
        <w:rPr>
          <w:spacing w:val="-117"/>
        </w:rPr>
        <w:t> </w:t>
      </w:r>
      <w:r>
        <w:rPr>
          <w:spacing w:val="-117"/>
        </w:rPr>
      </w:r>
      <w:r>
        <w:rPr>
          <w:spacing w:val="-2"/>
        </w:rPr>
        <w:t>举办了“人工智能与中国法律新时代”论坛、“首届司法大数据论坛</w:t>
      </w:r>
      <w:r>
        <w:rPr>
          <w:rFonts w:ascii="Arial" w:hAnsi="Arial" w:cs="Arial" w:eastAsia="Arial" w:hint="default"/>
          <w:spacing w:val="-2"/>
        </w:rPr>
        <w:t>-</w:t>
      </w:r>
      <w:r>
        <w:rPr>
          <w:spacing w:val="-2"/>
        </w:rPr>
        <w:t>新一代信息技术如何助</w:t>
      </w:r>
      <w:r>
        <w:rPr>
          <w:spacing w:val="-94"/>
        </w:rPr>
        <w:t> </w:t>
      </w:r>
      <w:r>
        <w:rPr>
          <w:spacing w:val="-94"/>
        </w:rPr>
      </w:r>
      <w:r>
        <w:rPr/>
        <w:t>力司法责任制改革”论坛，并参与了国内首届计算法学论坛、首届国家数据与治理论坛等多</w:t>
      </w:r>
      <w:r>
        <w:rPr>
          <w:spacing w:val="-89"/>
        </w:rPr>
        <w:t> </w:t>
      </w:r>
      <w:r>
        <w:rPr>
          <w:spacing w:val="-89"/>
        </w:rPr>
      </w:r>
      <w:r>
        <w:rPr/>
        <w:t>个论坛活动，积极促进法律科技思想及实践在学界与产业界之间的深度融合。报告期内，公</w:t>
      </w:r>
      <w:r>
        <w:rPr>
          <w:spacing w:val="-89"/>
        </w:rPr>
        <w:t> </w:t>
      </w:r>
      <w:r>
        <w:rPr>
          <w:spacing w:val="-89"/>
        </w:rPr>
      </w:r>
      <w:r>
        <w:rPr>
          <w:spacing w:val="-3"/>
        </w:rPr>
        <w:t>司参与国家重点研发计划《公共安全风险防控与应急技术装备》专项项目</w:t>
      </w:r>
      <w:r>
        <w:rPr>
          <w:rFonts w:ascii="Arial" w:hAnsi="Arial" w:cs="Arial" w:eastAsia="Arial" w:hint="default"/>
          <w:spacing w:val="-3"/>
        </w:rPr>
        <w:t>8</w:t>
      </w:r>
      <w:r>
        <w:rPr>
          <w:spacing w:val="-3"/>
        </w:rPr>
        <w:t>项，牵头与参与课</w:t>
      </w:r>
      <w:r>
        <w:rPr>
          <w:spacing w:val="-95"/>
        </w:rPr>
        <w:t> </w:t>
      </w:r>
      <w:r>
        <w:rPr>
          <w:spacing w:val="-95"/>
        </w:rPr>
      </w:r>
      <w:r>
        <w:rPr/>
        <w:t>题</w:t>
      </w:r>
      <w:r>
        <w:rPr>
          <w:rFonts w:ascii="Arial" w:hAnsi="Arial" w:cs="Arial" w:eastAsia="Arial" w:hint="default"/>
        </w:rPr>
        <w:t>19</w:t>
      </w:r>
      <w:r>
        <w:rPr/>
        <w:t>项。公司依托课题，通过加快建立以企业为主体、市场为导向、产学研相结合的技术创</w:t>
      </w:r>
      <w:r>
        <w:rPr>
          <w:spacing w:val="-111"/>
        </w:rPr>
        <w:t> </w:t>
      </w:r>
      <w:r>
        <w:rPr>
          <w:spacing w:val="-111"/>
        </w:rPr>
      </w:r>
      <w:r>
        <w:rPr/>
        <w:t>新体系，引导和支持创新要素向企业集聚，促进科技成果向现实生产力转化，积极促进并提</w:t>
      </w:r>
      <w:r>
        <w:rPr>
          <w:spacing w:val="-89"/>
        </w:rPr>
        <w:t> </w:t>
      </w:r>
      <w:r>
        <w:rPr>
          <w:spacing w:val="-89"/>
        </w:rPr>
      </w:r>
      <w:r>
        <w:rPr/>
        <w:t>高公司自主创新能力。报告期内，公司与北京北大英华科技有限公司签订战略合作协议，双</w:t>
      </w:r>
      <w:r>
        <w:rPr>
          <w:spacing w:val="-89"/>
        </w:rPr>
        <w:t> </w:t>
      </w:r>
      <w:r>
        <w:rPr>
          <w:spacing w:val="-89"/>
        </w:rPr>
      </w:r>
      <w:r>
        <w:rPr/>
        <w:t>方同意就北大英华核心法律数据库服务和专题法律数据库服务开展全面和战略性合作，并在</w:t>
      </w:r>
      <w:r>
        <w:rPr>
          <w:spacing w:val="-89"/>
        </w:rPr>
        <w:t> </w:t>
      </w:r>
      <w:r>
        <w:rPr>
          <w:spacing w:val="-89"/>
        </w:rPr>
      </w:r>
      <w:r>
        <w:rPr/>
        <w:t>市场营销和售后服务等方面互相支持开展合作。</w:t>
      </w:r>
    </w:p>
    <w:p>
      <w:pPr>
        <w:pStyle w:val="Heading3"/>
        <w:spacing w:line="266" w:lineRule="auto" w:before="14"/>
        <w:ind w:right="1120" w:firstLine="480"/>
        <w:jc w:val="both"/>
      </w:pPr>
      <w:r>
        <w:rPr>
          <w:rFonts w:ascii="宋体" w:hAnsi="宋体" w:cs="宋体" w:eastAsia="宋体" w:hint="default"/>
          <w:b/>
          <w:bCs/>
        </w:rPr>
        <w:t>在教育信息化领域，</w:t>
      </w:r>
      <w:r>
        <w:rPr/>
        <w:t>公司业务覆盖全国</w:t>
      </w:r>
      <w:r>
        <w:rPr>
          <w:rFonts w:ascii="Arial" w:hAnsi="Arial" w:cs="Arial" w:eastAsia="Arial" w:hint="default"/>
        </w:rPr>
        <w:t>30</w:t>
      </w:r>
      <w:r>
        <w:rPr/>
        <w:t>个省级行政区，累计为</w:t>
      </w:r>
      <w:r>
        <w:rPr>
          <w:rFonts w:ascii="Arial" w:hAnsi="Arial" w:cs="Arial" w:eastAsia="Arial" w:hint="default"/>
        </w:rPr>
        <w:t>800</w:t>
      </w:r>
      <w:r>
        <w:rPr/>
        <w:t>多所高校、</w:t>
      </w:r>
      <w:r>
        <w:rPr>
          <w:rFonts w:ascii="Arial" w:hAnsi="Arial" w:cs="Arial" w:eastAsia="Arial" w:hint="default"/>
        </w:rPr>
        <w:t>2000</w:t>
      </w:r>
      <w:r>
        <w:rPr/>
        <w:t>多 万师生提供信息化服务，高校信息化领域业务增速第一。公司以自研软件为核心，提供整体</w:t>
      </w:r>
      <w:r>
        <w:rPr>
          <w:spacing w:val="-89"/>
        </w:rPr>
        <w:t> </w:t>
      </w:r>
      <w:r>
        <w:rPr>
          <w:spacing w:val="-89"/>
        </w:rPr>
      </w:r>
      <w:r>
        <w:rPr/>
        <w:t>智慧校园解决方案，致力于“教学、教务、学生服务”多场景需求，在全国各类高等院校中</w:t>
      </w:r>
      <w:r>
        <w:rPr>
          <w:spacing w:val="-89"/>
        </w:rPr>
        <w:t> </w:t>
      </w:r>
      <w:r>
        <w:rPr>
          <w:spacing w:val="-89"/>
        </w:rPr>
      </w:r>
      <w:r>
        <w:rPr>
          <w:spacing w:val="-1"/>
        </w:rPr>
        <w:t>广泛推广和应用。公司持续创新软件产品和解决方案，</w:t>
      </w:r>
      <w:r>
        <w:rPr>
          <w:rFonts w:ascii="Arial" w:hAnsi="Arial" w:cs="Arial" w:eastAsia="Arial" w:hint="default"/>
          <w:spacing w:val="-1"/>
        </w:rPr>
        <w:t>2018</w:t>
      </w:r>
      <w:r>
        <w:rPr>
          <w:spacing w:val="-1"/>
        </w:rPr>
        <w:t>年四季度发布智慧课堂与智慧实</w:t>
      </w:r>
      <w:r>
        <w:rPr>
          <w:spacing w:val="-97"/>
        </w:rPr>
        <w:t> </w:t>
      </w:r>
      <w:r>
        <w:rPr/>
        <w:t>训室等创新解决方案。</w:t>
      </w:r>
    </w:p>
    <w:p>
      <w:pPr>
        <w:pStyle w:val="Heading3"/>
        <w:spacing w:line="273" w:lineRule="auto" w:before="19"/>
        <w:ind w:right="1010" w:firstLine="480"/>
        <w:jc w:val="both"/>
      </w:pPr>
      <w:r>
        <w:rPr/>
        <w:t>报告期内，公司智慧校园平台及系列产品在全国范围内落地实践并深度推广，各大区都 取得了显著的经营成果，业务规模稳居行业领先地位。南区市场。持续稳居华南地区龙头地</w:t>
      </w:r>
      <w:r>
        <w:rPr>
          <w:spacing w:val="-89"/>
        </w:rPr>
        <w:t> </w:t>
      </w:r>
      <w:r>
        <w:rPr>
          <w:spacing w:val="-89"/>
        </w:rPr>
      </w:r>
      <w:r>
        <w:rPr/>
        <w:t>位。在高教领域，中标中山大学、广州大学、广州医科大学、广东石油化工学院、岭南师范</w:t>
      </w:r>
      <w:r>
        <w:rPr>
          <w:spacing w:val="-89"/>
        </w:rPr>
        <w:t> </w:t>
      </w:r>
      <w:r>
        <w:rPr>
          <w:spacing w:val="-89"/>
        </w:rPr>
      </w:r>
      <w:r>
        <w:rPr/>
        <w:t>学院等智慧校园重要建设项目；在基础教育领域，中标雷州市教育局、连州市教育局、南沙</w:t>
      </w:r>
      <w:r>
        <w:rPr>
          <w:spacing w:val="-89"/>
        </w:rPr>
        <w:t> </w:t>
      </w:r>
      <w:r>
        <w:rPr>
          <w:spacing w:val="-89"/>
        </w:rPr>
      </w:r>
      <w:r>
        <w:rPr/>
        <w:t>区教育局、恩平市教育局、信宜市教育局等重要建设项目。北区华北市场。报告期内，中标</w:t>
      </w:r>
      <w:r>
        <w:rPr>
          <w:spacing w:val="-89"/>
        </w:rPr>
        <w:t> </w:t>
      </w:r>
      <w:r>
        <w:rPr>
          <w:spacing w:val="-89"/>
        </w:rPr>
      </w:r>
      <w:r>
        <w:rPr/>
        <w:t>北京电影学院、首都医科大学、北京石油化工学院、北京联合大学、北京印刷学院、河北工</w:t>
      </w:r>
      <w:r>
        <w:rPr>
          <w:spacing w:val="-89"/>
        </w:rPr>
        <w:t> </w:t>
      </w:r>
      <w:r>
        <w:rPr>
          <w:spacing w:val="-89"/>
        </w:rPr>
      </w:r>
      <w:r>
        <w:rPr>
          <w:spacing w:val="-2"/>
        </w:rPr>
        <w:t>程大学等本科常态数据监测平台项目，并完成上线使用。因公司服务响应快，产品成熟度高，</w:t>
      </w:r>
    </w:p>
    <w:p>
      <w:pPr>
        <w:spacing w:after="0" w:line="273" w:lineRule="auto"/>
        <w:jc w:val="both"/>
        <w:sectPr>
          <w:pgSz w:w="11910" w:h="16840"/>
          <w:pgMar w:header="746" w:footer="978" w:top="1060" w:bottom="1160" w:left="1020" w:right="0"/>
        </w:sectPr>
      </w:pPr>
    </w:p>
    <w:p>
      <w:pPr>
        <w:spacing w:line="240" w:lineRule="auto" w:before="3"/>
        <w:rPr>
          <w:rFonts w:ascii="宋体" w:hAnsi="宋体" w:cs="宋体" w:eastAsia="宋体" w:hint="default"/>
          <w:sz w:val="25"/>
          <w:szCs w:val="25"/>
        </w:rPr>
      </w:pPr>
    </w:p>
    <w:p>
      <w:pPr>
        <w:pStyle w:val="Heading3"/>
        <w:spacing w:line="271" w:lineRule="auto" w:before="26"/>
        <w:ind w:right="996"/>
        <w:jc w:val="left"/>
      </w:pPr>
      <w:r>
        <w:rPr/>
        <w:t>应用性能好得到校方一致好评，多所院校已启动二期招标。同时，河北区域内打造河北机电</w:t>
      </w:r>
      <w:r>
        <w:rPr>
          <w:spacing w:val="-89"/>
        </w:rPr>
        <w:t> </w:t>
      </w:r>
      <w:r>
        <w:rPr>
          <w:spacing w:val="-89"/>
        </w:rPr>
      </w:r>
      <w:r>
        <w:rPr/>
        <w:t>职业技术学院、邢台学院两个标杆案例，凭借产品移动端人性化功能设计，获得了良好的口</w:t>
      </w:r>
      <w:r>
        <w:rPr>
          <w:spacing w:val="-89"/>
        </w:rPr>
        <w:t> </w:t>
      </w:r>
      <w:r>
        <w:rPr>
          <w:spacing w:val="-89"/>
        </w:rPr>
      </w:r>
      <w:r>
        <w:rPr/>
        <w:t>碑效应，为数字校园业务在河北地区的推广打下了良好的基础。东区市场。在高职教学质量</w:t>
      </w:r>
      <w:r>
        <w:rPr>
          <w:spacing w:val="-89"/>
        </w:rPr>
        <w:t> </w:t>
      </w:r>
      <w:r>
        <w:rPr>
          <w:spacing w:val="-89"/>
        </w:rPr>
      </w:r>
      <w:r>
        <w:rPr>
          <w:spacing w:val="-2"/>
        </w:rPr>
        <w:t>诊断与改进业务上取得重要突破，并迅速形成规模效应。报告期内，中标浙江机电职业教学、</w:t>
      </w:r>
      <w:r>
        <w:rPr/>
        <w:t> 浙江金融职业技术学院、安徽职业技术学院、江苏医药职业学院、盐城工业职业技术学院、</w:t>
      </w:r>
      <w:r>
        <w:rPr>
          <w:spacing w:val="-89"/>
        </w:rPr>
        <w:t> </w:t>
      </w:r>
      <w:r>
        <w:rPr>
          <w:spacing w:val="-89"/>
        </w:rPr>
      </w:r>
      <w:r>
        <w:rPr/>
        <w:t>上海工艺美术职业学院等二十余个诊改项目，同时承建了上海市教委诊改平台，并打造无锡</w:t>
      </w:r>
      <w:r>
        <w:rPr>
          <w:spacing w:val="-89"/>
        </w:rPr>
        <w:t> </w:t>
      </w:r>
      <w:r>
        <w:rPr>
          <w:spacing w:val="-89"/>
        </w:rPr>
      </w:r>
      <w:r>
        <w:rPr/>
        <w:t>职业技术学院、浙江机电职业技术学院、浙江金融职业技术学院等多个全国领先的诊改标杆</w:t>
      </w:r>
      <w:r>
        <w:rPr>
          <w:spacing w:val="-89"/>
        </w:rPr>
        <w:t> </w:t>
      </w:r>
      <w:r>
        <w:rPr>
          <w:spacing w:val="-89"/>
        </w:rPr>
      </w:r>
      <w:r>
        <w:rPr/>
        <w:t>案例。西区市场。</w:t>
      </w:r>
      <w:r>
        <w:rPr>
          <w:rFonts w:ascii="Arial" w:hAnsi="Arial" w:cs="Arial" w:eastAsia="Arial" w:hint="default"/>
        </w:rPr>
        <w:t>2018</w:t>
      </w:r>
      <w:r>
        <w:rPr/>
        <w:t>年实现业务全面覆盖。宁夏地区，连续中标宁夏工商职业技术学院、 宁夏民族职业技术学院等项目，为该区域带来先进的校园信息化管理思路，促进教育资源平</w:t>
      </w:r>
      <w:r>
        <w:rPr>
          <w:spacing w:val="-89"/>
        </w:rPr>
        <w:t> </w:t>
      </w:r>
      <w:r>
        <w:rPr>
          <w:spacing w:val="-89"/>
        </w:rPr>
      </w:r>
      <w:r>
        <w:rPr>
          <w:spacing w:val="-3"/>
        </w:rPr>
        <w:t>衡。陕西市场，打造西区第一个</w:t>
      </w:r>
      <w:r>
        <w:rPr>
          <w:rFonts w:ascii="Arial" w:hAnsi="Arial" w:cs="Arial" w:eastAsia="Arial" w:hint="default"/>
          <w:spacing w:val="-3"/>
        </w:rPr>
        <w:t>211</w:t>
      </w:r>
      <w:r>
        <w:rPr>
          <w:spacing w:val="-3"/>
        </w:rPr>
        <w:t>院校标杆案例——西北大学本科评估项目，帮助学校实现</w:t>
      </w:r>
      <w:r>
        <w:rPr>
          <w:spacing w:val="-117"/>
        </w:rPr>
        <w:t> </w:t>
      </w:r>
      <w:r>
        <w:rPr>
          <w:spacing w:val="-117"/>
        </w:rPr>
      </w:r>
      <w:r>
        <w:rPr/>
        <w:t>内涵式发展，打造世界水平的一流本科教育；陕西工业职业技术学院作为国家示范性高等职</w:t>
      </w:r>
      <w:r>
        <w:rPr>
          <w:spacing w:val="-89"/>
        </w:rPr>
        <w:t> </w:t>
      </w:r>
      <w:r>
        <w:rPr>
          <w:spacing w:val="-89"/>
        </w:rPr>
      </w:r>
      <w:r>
        <w:rPr/>
        <w:t>业院校，是首批</w:t>
      </w:r>
      <w:r>
        <w:rPr>
          <w:rFonts w:ascii="Arial" w:hAnsi="Arial" w:cs="Arial" w:eastAsia="Arial" w:hint="default"/>
        </w:rPr>
        <w:t>27</w:t>
      </w:r>
      <w:r>
        <w:rPr/>
        <w:t>所高职诊改工作试点院校之一，公司承建该校的诊改项目，是全国首家通</w:t>
      </w:r>
      <w:r>
        <w:rPr>
          <w:spacing w:val="-110"/>
        </w:rPr>
        <w:t> </w:t>
      </w:r>
      <w:r>
        <w:rPr>
          <w:spacing w:val="-110"/>
        </w:rPr>
      </w:r>
      <w:r>
        <w:rPr/>
        <w:t>过专家组诊改复合调研工作的标杆，受到全国诊改委专家组和观摩专家组的高度赞誉。中区</w:t>
      </w:r>
      <w:r>
        <w:rPr>
          <w:spacing w:val="-89"/>
        </w:rPr>
        <w:t> </w:t>
      </w:r>
      <w:r>
        <w:rPr>
          <w:spacing w:val="-89"/>
        </w:rPr>
      </w:r>
      <w:r>
        <w:rPr/>
        <w:t>市场。云南地区，陆续中标云南交通职业技术学院项目、昆明医科大学、楚雄师范学院、云</w:t>
      </w:r>
      <w:r>
        <w:rPr>
          <w:spacing w:val="-89"/>
        </w:rPr>
        <w:t> </w:t>
      </w:r>
      <w:r>
        <w:rPr>
          <w:spacing w:val="-89"/>
        </w:rPr>
      </w:r>
      <w:r>
        <w:rPr/>
        <w:t>南财经职业学院、昆明铁道职业技术学院等十余个智慧校园建设项目，几乎涵盖该区域所有</w:t>
      </w:r>
      <w:r>
        <w:rPr>
          <w:spacing w:val="-89"/>
        </w:rPr>
        <w:t> </w:t>
      </w:r>
      <w:r>
        <w:rPr>
          <w:spacing w:val="-89"/>
        </w:rPr>
      </w:r>
      <w:r>
        <w:rPr/>
        <w:t>新增项目，成为当地高校的合作首选单位。湖北地区，成功中标武汉铁路职业技术学院智慧</w:t>
      </w:r>
      <w:r>
        <w:rPr>
          <w:spacing w:val="-89"/>
        </w:rPr>
        <w:t> </w:t>
      </w:r>
      <w:r>
        <w:rPr>
          <w:spacing w:val="-89"/>
        </w:rPr>
      </w:r>
      <w:r>
        <w:rPr/>
        <w:t>校园建设项目，中标金额达</w:t>
      </w:r>
      <w:r>
        <w:rPr>
          <w:rFonts w:ascii="Arial" w:hAnsi="Arial" w:cs="Arial" w:eastAsia="Arial" w:hint="default"/>
        </w:rPr>
        <w:t>1098.8</w:t>
      </w:r>
      <w:r>
        <w:rPr/>
        <w:t>万元，是湖北省乃至全国高职院校中一次性投入最高的软</w:t>
      </w:r>
      <w:r>
        <w:rPr>
          <w:spacing w:val="-103"/>
        </w:rPr>
        <w:t> </w:t>
      </w:r>
      <w:r>
        <w:rPr>
          <w:spacing w:val="-103"/>
        </w:rPr>
      </w:r>
      <w:r>
        <w:rPr/>
        <w:t>件项目。作为国家示范性高职院校项目，其成功建设在全国高职院校中具有强影响力和标杆</w:t>
      </w:r>
      <w:r>
        <w:rPr>
          <w:spacing w:val="-89"/>
        </w:rPr>
        <w:t> </w:t>
      </w:r>
      <w:r>
        <w:rPr>
          <w:spacing w:val="-89"/>
        </w:rPr>
      </w:r>
      <w:r>
        <w:rPr/>
        <w:t>示范作用。</w:t>
      </w:r>
    </w:p>
    <w:p>
      <w:pPr>
        <w:pStyle w:val="Heading3"/>
        <w:spacing w:line="271" w:lineRule="auto" w:before="14"/>
        <w:ind w:right="996" w:firstLine="480"/>
        <w:jc w:val="left"/>
      </w:pPr>
      <w:r>
        <w:rPr/>
        <w:t>报告期内，公司在全国范围内积极推广重点软件产品，布局专业软件产品销售团队，特 别针对本科评估系统、职业教育诊断与改进系统、微服务教务、微服务办事大厅、奕课堂智</w:t>
      </w:r>
      <w:r>
        <w:rPr>
          <w:spacing w:val="-89"/>
        </w:rPr>
        <w:t> </w:t>
      </w:r>
      <w:r>
        <w:rPr>
          <w:spacing w:val="-89"/>
        </w:rPr>
      </w:r>
      <w:r>
        <w:rPr/>
        <w:t>慧课室解决方案等拳头产品。其中，本科评估、高职诊改两款软件面向全国推广以来，订单</w:t>
      </w:r>
      <w:r>
        <w:rPr>
          <w:spacing w:val="-89"/>
        </w:rPr>
        <w:t> </w:t>
      </w:r>
      <w:r>
        <w:rPr>
          <w:spacing w:val="-89"/>
        </w:rPr>
      </w:r>
      <w:r>
        <w:rPr>
          <w:spacing w:val="2"/>
        </w:rPr>
        <w:t>呈爆发式增长，成功中标二十余个省市超过</w:t>
      </w:r>
      <w:r>
        <w:rPr>
          <w:rFonts w:ascii="Arial" w:hAnsi="Arial" w:cs="Arial" w:eastAsia="Arial" w:hint="default"/>
          <w:spacing w:val="2"/>
        </w:rPr>
        <w:t>100</w:t>
      </w:r>
      <w:r>
        <w:rPr>
          <w:spacing w:val="2"/>
        </w:rPr>
        <w:t>所院校，且大部分院校已完成二期、三期招</w:t>
      </w:r>
      <w:r>
        <w:rPr>
          <w:spacing w:val="-107"/>
        </w:rPr>
        <w:t> </w:t>
      </w:r>
      <w:r>
        <w:rPr>
          <w:spacing w:val="-107"/>
        </w:rPr>
      </w:r>
      <w:r>
        <w:rPr>
          <w:spacing w:val="-2"/>
        </w:rPr>
        <w:t>标，进一步奠定了公司在该细分产品领域的市场领先地位。公司产品交付效果持续行业领先，</w:t>
      </w:r>
      <w:r>
        <w:rPr/>
        <w:t> 在全国范围内打造了数十个样板工程，帮助一百多所院校成功推进教学改革。陕西工业职业</w:t>
      </w:r>
      <w:r>
        <w:rPr>
          <w:spacing w:val="-89"/>
        </w:rPr>
        <w:t> </w:t>
      </w:r>
      <w:r>
        <w:rPr>
          <w:spacing w:val="-89"/>
        </w:rPr>
      </w:r>
      <w:r>
        <w:rPr/>
        <w:t>技术学院作为全国首家通过专家组诊改复合调研工作的标杆学校，受到全国诊改委专家组和</w:t>
      </w:r>
      <w:r>
        <w:rPr>
          <w:spacing w:val="-89"/>
        </w:rPr>
        <w:t> </w:t>
      </w:r>
      <w:r>
        <w:rPr>
          <w:spacing w:val="-89"/>
        </w:rPr>
      </w:r>
      <w:r>
        <w:rPr/>
        <w:t>观摩专家组的高度赞誉，并作为全国样板案例多次接受其他院校的参观学习。无锡职业技术</w:t>
      </w:r>
      <w:r>
        <w:rPr>
          <w:spacing w:val="-89"/>
        </w:rPr>
        <w:t> </w:t>
      </w:r>
      <w:r>
        <w:rPr>
          <w:spacing w:val="-89"/>
        </w:rPr>
      </w:r>
      <w:r>
        <w:rPr>
          <w:spacing w:val="2"/>
        </w:rPr>
        <w:t>学院作为全国诊改</w:t>
      </w:r>
      <w:r>
        <w:rPr>
          <w:rFonts w:ascii="Arial" w:hAnsi="Arial" w:cs="Arial" w:eastAsia="Arial" w:hint="default"/>
          <w:spacing w:val="2"/>
        </w:rPr>
        <w:t>27</w:t>
      </w:r>
      <w:r>
        <w:rPr>
          <w:spacing w:val="2"/>
        </w:rPr>
        <w:t>所试点院校之一，连续</w:t>
      </w:r>
      <w:r>
        <w:rPr>
          <w:rFonts w:ascii="Arial" w:hAnsi="Arial" w:cs="Arial" w:eastAsia="Arial" w:hint="default"/>
          <w:spacing w:val="2"/>
        </w:rPr>
        <w:t>2</w:t>
      </w:r>
      <w:r>
        <w:rPr>
          <w:spacing w:val="2"/>
        </w:rPr>
        <w:t>期的成功建设对国内其他高职院校起到引领和</w:t>
      </w:r>
      <w:r>
        <w:rPr>
          <w:spacing w:val="-103"/>
        </w:rPr>
        <w:t> </w:t>
      </w:r>
      <w:r>
        <w:rPr>
          <w:spacing w:val="-103"/>
        </w:rPr>
      </w:r>
      <w:r>
        <w:rPr/>
        <w:t>示范作用，成为公司在该领域的样板工程。报告期内，公司承建了上海市教委诊改平台。作</w:t>
      </w:r>
      <w:r>
        <w:rPr>
          <w:spacing w:val="-89"/>
        </w:rPr>
        <w:t> </w:t>
      </w:r>
      <w:r>
        <w:rPr>
          <w:spacing w:val="-89"/>
        </w:rPr>
      </w:r>
      <w:r>
        <w:rPr/>
        <w:t>为上海市高职院校上级主管单位的管理平台，该平台将与各学校的诊改平台完成对接，也为</w:t>
      </w:r>
      <w:r>
        <w:rPr>
          <w:spacing w:val="-89"/>
        </w:rPr>
        <w:t> </w:t>
      </w:r>
      <w:r>
        <w:rPr>
          <w:spacing w:val="-89"/>
        </w:rPr>
      </w:r>
      <w:r>
        <w:rPr/>
        <w:t>公司拓展上海其他高职院校奠定坚实基础。</w:t>
      </w:r>
    </w:p>
    <w:p>
      <w:pPr>
        <w:pStyle w:val="Heading3"/>
        <w:spacing w:line="271" w:lineRule="auto" w:before="14"/>
        <w:ind w:right="1132" w:firstLine="480"/>
        <w:jc w:val="both"/>
      </w:pPr>
      <w:r>
        <w:rPr>
          <w:spacing w:val="-2"/>
          <w:w w:val="99"/>
        </w:rPr>
        <w:t>报告期内，公司积极落实《教育信息化</w:t>
      </w:r>
      <w:r>
        <w:rPr>
          <w:rFonts w:ascii="Arial" w:hAnsi="Arial" w:cs="Arial" w:eastAsia="Arial" w:hint="default"/>
          <w:spacing w:val="-2"/>
          <w:w w:val="99"/>
        </w:rPr>
        <w:t>2.0</w:t>
      </w:r>
      <w:r>
        <w:rPr>
          <w:spacing w:val="-2"/>
          <w:w w:val="99"/>
        </w:rPr>
        <w:t>行动计划》，率先推出数据治理及服务治理创</w:t>
      </w:r>
      <w:r>
        <w:rPr/>
        <w:t> 新方案，成功打造中山大学、华南农业大学，华中农业大学，武汉大学等院校重点项目。公</w:t>
      </w:r>
      <w:r>
        <w:rPr>
          <w:spacing w:val="-89"/>
        </w:rPr>
        <w:t> </w:t>
      </w:r>
      <w:r>
        <w:rPr>
          <w:spacing w:val="-89"/>
        </w:rPr>
      </w:r>
      <w:r>
        <w:rPr/>
        <w:t>司中标华南师范大学、陕西工业职业技术学院、广东省外语艺术职业学院等数据治理项目，</w:t>
      </w:r>
      <w:r>
        <w:rPr>
          <w:spacing w:val="-89"/>
        </w:rPr>
        <w:t> </w:t>
      </w:r>
      <w:r>
        <w:rPr>
          <w:spacing w:val="-89"/>
        </w:rPr>
      </w:r>
      <w:r>
        <w:rPr/>
        <w:t>帮助这些学校提升数据质量、规范数据使用、支撑数据应用与决策，将松散的数据沉淀为科</w:t>
      </w:r>
      <w:r>
        <w:rPr>
          <w:spacing w:val="-89"/>
        </w:rPr>
        <w:t> </w:t>
      </w:r>
      <w:r>
        <w:rPr>
          <w:spacing w:val="-89"/>
        </w:rPr>
      </w:r>
      <w:r>
        <w:rPr/>
        <w:t>学有效的学校数据资产，有效创造客户价值。</w:t>
      </w:r>
    </w:p>
    <w:p>
      <w:pPr>
        <w:spacing w:after="0" w:line="271" w:lineRule="auto"/>
        <w:jc w:val="both"/>
        <w:sectPr>
          <w:pgSz w:w="11910" w:h="16840"/>
          <w:pgMar w:header="746" w:footer="978" w:top="1060" w:bottom="1160" w:left="1020" w:right="0"/>
        </w:sectPr>
      </w:pPr>
    </w:p>
    <w:p>
      <w:pPr>
        <w:spacing w:line="240" w:lineRule="auto" w:before="8"/>
        <w:rPr>
          <w:rFonts w:ascii="宋体" w:hAnsi="宋体" w:cs="宋体" w:eastAsia="宋体" w:hint="default"/>
          <w:sz w:val="23"/>
          <w:szCs w:val="23"/>
        </w:rPr>
      </w:pPr>
    </w:p>
    <w:p>
      <w:pPr>
        <w:pStyle w:val="Heading2"/>
        <w:spacing w:line="240" w:lineRule="auto"/>
        <w:ind w:right="996"/>
        <w:jc w:val="left"/>
        <w:rPr>
          <w:b w:val="0"/>
          <w:bCs w:val="0"/>
        </w:rPr>
      </w:pPr>
      <w:bookmarkStart w:name="二、主营业务分析" w:id="24"/>
      <w:bookmarkEnd w:id="24"/>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96"/>
        <w:jc w:val="left"/>
        <w:rPr>
          <w:b w:val="0"/>
          <w:bCs w:val="0"/>
        </w:rPr>
      </w:pPr>
      <w:bookmarkStart w:name="1、概述" w:id="25"/>
      <w:bookmarkEnd w:id="25"/>
      <w:r>
        <w:rPr>
          <w:b w:val="0"/>
          <w:bCs w:val="0"/>
        </w:rPr>
      </w:r>
      <w:r>
        <w:rPr>
          <w:rFonts w:ascii="Arial" w:hAnsi="Arial" w:cs="Arial" w:eastAsia="Arial" w:hint="default"/>
        </w:rPr>
        <w:t>1</w:t>
      </w:r>
      <w:r>
        <w:rPr/>
        <w:t>、概述</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592" w:right="996"/>
        <w:jc w:val="left"/>
      </w:pPr>
      <w:r>
        <w:rPr/>
        <w:t>参见“经营情况讨论与分析”中的“一、概述”相关内容。</w:t>
      </w:r>
    </w:p>
    <w:p>
      <w:pPr>
        <w:spacing w:line="240" w:lineRule="auto" w:before="7"/>
        <w:rPr>
          <w:rFonts w:ascii="宋体" w:hAnsi="宋体" w:cs="宋体" w:eastAsia="宋体" w:hint="default"/>
          <w:sz w:val="26"/>
          <w:szCs w:val="26"/>
        </w:rPr>
      </w:pPr>
    </w:p>
    <w:p>
      <w:pPr>
        <w:pStyle w:val="Heading4"/>
        <w:spacing w:line="240" w:lineRule="auto"/>
        <w:ind w:right="996"/>
        <w:jc w:val="left"/>
        <w:rPr>
          <w:b w:val="0"/>
          <w:bCs w:val="0"/>
        </w:rPr>
      </w:pPr>
      <w:bookmarkStart w:name="2、收入与成本" w:id="26"/>
      <w:bookmarkEnd w:id="26"/>
      <w:r>
        <w:rPr>
          <w:b w:val="0"/>
          <w:bCs w:val="0"/>
        </w:rPr>
      </w:r>
      <w:r>
        <w:rPr>
          <w:rFonts w:ascii="Arial" w:hAnsi="Arial" w:cs="Arial" w:eastAsia="Arial" w:hint="default"/>
        </w:rPr>
        <w:t>2</w:t>
      </w:r>
      <w:r>
        <w:rPr/>
        <w:t>、收入与成本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6"/>
        <w:jc w:val="left"/>
        <w:rPr>
          <w:b w:val="0"/>
          <w:bCs w:val="0"/>
        </w:rPr>
      </w:pPr>
      <w:bookmarkStart w:name="（1）营业收入构成" w:id="27"/>
      <w:bookmarkEnd w:id="27"/>
      <w:r>
        <w:rPr>
          <w:b w:val="0"/>
          <w:bCs w:val="0"/>
        </w:rPr>
      </w:r>
      <w:r>
        <w:rPr/>
        <w:t>（</w:t>
      </w:r>
      <w:r>
        <w:rPr>
          <w:rFonts w:ascii="Arial" w:hAnsi="Arial" w:cs="Arial" w:eastAsia="Arial" w:hint="default"/>
        </w:rPr>
        <w:t>1</w:t>
      </w:r>
      <w:r>
        <w:rPr/>
        <w:t>）营业收入构成</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right="1119"/>
        <w:jc w:val="left"/>
      </w:pPr>
      <w:r>
        <w:rPr>
          <w:spacing w:val="-5"/>
        </w:rPr>
        <w:t>公司是否需遵守《深圳证券交易所行业信息披露指引第</w:t>
      </w:r>
      <w:r>
        <w:rPr>
          <w:spacing w:val="-55"/>
        </w:rPr>
        <w:t> </w:t>
      </w:r>
      <w:r>
        <w:rPr>
          <w:rFonts w:ascii="Arial" w:hAnsi="Arial" w:cs="Arial" w:eastAsia="Arial" w:hint="default"/>
          <w:w w:val="99"/>
        </w:rPr>
        <w:t>12</w:t>
      </w:r>
      <w:r>
        <w:rPr>
          <w:rFonts w:ascii="Arial" w:hAnsi="Arial" w:cs="Arial" w:eastAsia="Arial" w:hint="default"/>
          <w:spacing w:val="-4"/>
          <w:w w:val="99"/>
        </w:rPr>
        <w:t> </w:t>
      </w:r>
      <w:r>
        <w:rPr/>
        <w:t>号</w:t>
      </w:r>
      <w:r>
        <w:rPr>
          <w:rFonts w:ascii="Arial" w:hAnsi="Arial" w:cs="Arial" w:eastAsia="Arial" w:hint="default"/>
        </w:rPr>
        <w:t>——</w:t>
      </w:r>
      <w:r>
        <w:rPr/>
        <w:t>上市公司从软件与信息技术 服务业务》的披露要求</w:t>
      </w:r>
    </w:p>
    <w:p>
      <w:pPr>
        <w:pStyle w:val="Heading3"/>
        <w:spacing w:line="240" w:lineRule="auto" w:before="43"/>
        <w:ind w:right="996"/>
        <w:jc w:val="left"/>
      </w:pPr>
      <w:r>
        <w:rPr/>
        <w:t>是</w:t>
      </w:r>
    </w:p>
    <w:p>
      <w:pPr>
        <w:pStyle w:val="BodyText"/>
        <w:spacing w:line="240" w:lineRule="auto" w:before="61"/>
        <w:ind w:left="0" w:right="1135"/>
        <w:jc w:val="right"/>
      </w:pPr>
      <w:r>
        <w:rPr>
          <w:w w:val="95"/>
        </w:rPr>
        <w:t>单位：元</w:t>
      </w:r>
      <w:r>
        <w:rPr/>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960"/>
        <w:gridCol w:w="1076"/>
        <w:gridCol w:w="1076"/>
        <w:gridCol w:w="1076"/>
        <w:gridCol w:w="1077"/>
        <w:gridCol w:w="1076"/>
        <w:gridCol w:w="1076"/>
        <w:gridCol w:w="1076"/>
        <w:gridCol w:w="1077"/>
      </w:tblGrid>
      <w:tr>
        <w:trPr>
          <w:trHeight w:val="402" w:hRule="exact"/>
        </w:trPr>
        <w:tc>
          <w:tcPr>
            <w:tcW w:w="960" w:type="dxa"/>
            <w:vMerge w:val="restart"/>
            <w:tcBorders>
              <w:top w:val="single" w:sz="4" w:space="0" w:color="000000"/>
              <w:left w:val="single" w:sz="4" w:space="0" w:color="000000"/>
              <w:right w:val="single" w:sz="4" w:space="0" w:color="000000"/>
            </w:tcBorders>
            <w:shd w:val="clear" w:color="auto" w:fill="D2D2D2"/>
          </w:tcPr>
          <w:p>
            <w:pPr/>
          </w:p>
        </w:tc>
        <w:tc>
          <w:tcPr>
            <w:tcW w:w="430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10"/>
                <w:sz w:val="18"/>
                <w:szCs w:val="18"/>
              </w:rPr>
              <w:t> </w:t>
            </w:r>
            <w:r>
              <w:rPr>
                <w:rFonts w:ascii="宋体" w:hAnsi="宋体" w:cs="宋体" w:eastAsia="宋体" w:hint="default"/>
                <w:sz w:val="18"/>
                <w:szCs w:val="18"/>
              </w:rPr>
              <w:t>年度</w:t>
            </w:r>
          </w:p>
        </w:tc>
        <w:tc>
          <w:tcPr>
            <w:tcW w:w="430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年度</w:t>
            </w:r>
          </w:p>
        </w:tc>
      </w:tr>
      <w:tr>
        <w:trPr>
          <w:trHeight w:val="402" w:hRule="exact"/>
        </w:trPr>
        <w:tc>
          <w:tcPr>
            <w:tcW w:w="960" w:type="dxa"/>
            <w:vMerge/>
            <w:tcBorders>
              <w:left w:val="single" w:sz="4" w:space="0" w:color="000000"/>
              <w:bottom w:val="single" w:sz="4" w:space="0" w:color="000000"/>
              <w:right w:val="single" w:sz="4" w:space="0" w:color="000000"/>
            </w:tcBorders>
            <w:shd w:val="clear" w:color="auto" w:fill="D2D2D2"/>
          </w:tcPr>
          <w:p>
            <w:pP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4"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Arial" w:hAnsi="Arial" w:cs="Arial" w:eastAsia="Arial" w:hint="default"/>
                <w:sz w:val="18"/>
                <w:szCs w:val="18"/>
              </w:rPr>
            </w:pPr>
            <w:r>
              <w:rPr>
                <w:rFonts w:ascii="Arial"/>
                <w:spacing w:val="-2"/>
                <w:sz w:val="18"/>
              </w:rPr>
              <w:t>351,988,113</w:t>
            </w:r>
          </w:p>
          <w:p>
            <w:pPr>
              <w:pStyle w:val="TableParagraph"/>
              <w:spacing w:line="240" w:lineRule="auto" w:before="105"/>
              <w:ind w:right="19"/>
              <w:jc w:val="right"/>
              <w:rPr>
                <w:rFonts w:ascii="Arial" w:hAnsi="Arial" w:cs="Arial" w:eastAsia="Arial" w:hint="default"/>
                <w:sz w:val="18"/>
                <w:szCs w:val="18"/>
              </w:rPr>
            </w:pPr>
            <w:r>
              <w:rPr>
                <w:rFonts w:ascii="Arial"/>
                <w:w w:val="95"/>
                <w:sz w:val="18"/>
              </w:rPr>
              <w:t>.60</w:t>
            </w:r>
            <w:r>
              <w:rPr>
                <w:rFonts w:ascii="Arial"/>
                <w:sz w:val="18"/>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644,360,565</w:t>
            </w:r>
          </w:p>
          <w:p>
            <w:pPr>
              <w:pStyle w:val="TableParagraph"/>
              <w:spacing w:line="240" w:lineRule="auto" w:before="105"/>
              <w:ind w:right="20"/>
              <w:jc w:val="right"/>
              <w:rPr>
                <w:rFonts w:ascii="Arial" w:hAnsi="Arial" w:cs="Arial" w:eastAsia="Arial" w:hint="default"/>
                <w:sz w:val="18"/>
                <w:szCs w:val="18"/>
              </w:rPr>
            </w:pPr>
            <w:r>
              <w:rPr>
                <w:rFonts w:ascii="Arial"/>
                <w:w w:val="95"/>
                <w:sz w:val="18"/>
              </w:rPr>
              <w:t>.98</w:t>
            </w:r>
            <w:r>
              <w:rPr>
                <w:rFonts w:ascii="Arial"/>
                <w:sz w:val="18"/>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605,072,442</w:t>
            </w:r>
          </w:p>
          <w:p>
            <w:pPr>
              <w:pStyle w:val="TableParagraph"/>
              <w:spacing w:line="240" w:lineRule="auto" w:before="105"/>
              <w:ind w:right="19"/>
              <w:jc w:val="right"/>
              <w:rPr>
                <w:rFonts w:ascii="Arial" w:hAnsi="Arial" w:cs="Arial" w:eastAsia="Arial" w:hint="default"/>
                <w:sz w:val="18"/>
                <w:szCs w:val="18"/>
              </w:rPr>
            </w:pPr>
            <w:r>
              <w:rPr>
                <w:rFonts w:ascii="Arial"/>
                <w:w w:val="95"/>
                <w:sz w:val="18"/>
              </w:rPr>
              <w:t>.84</w:t>
            </w:r>
            <w:r>
              <w:rPr>
                <w:rFonts w:ascii="Arial"/>
                <w:sz w:val="18"/>
              </w:rPr>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left"/>
              <w:rPr>
                <w:rFonts w:ascii="Arial" w:hAnsi="Arial" w:cs="Arial" w:eastAsia="Arial" w:hint="default"/>
                <w:sz w:val="18"/>
                <w:szCs w:val="18"/>
              </w:rPr>
            </w:pPr>
            <w:r>
              <w:rPr>
                <w:rFonts w:ascii="Arial"/>
                <w:sz w:val="18"/>
              </w:rPr>
              <w:t>1,107,075,0</w:t>
            </w:r>
          </w:p>
          <w:p>
            <w:pPr>
              <w:pStyle w:val="TableParagraph"/>
              <w:spacing w:line="240" w:lineRule="auto" w:before="105"/>
              <w:ind w:left="593" w:right="0"/>
              <w:jc w:val="left"/>
              <w:rPr>
                <w:rFonts w:ascii="Arial" w:hAnsi="Arial" w:cs="Arial" w:eastAsia="Arial" w:hint="default"/>
                <w:sz w:val="18"/>
                <w:szCs w:val="18"/>
              </w:rPr>
            </w:pPr>
            <w:r>
              <w:rPr>
                <w:rFonts w:ascii="Arial"/>
                <w:sz w:val="18"/>
              </w:rPr>
              <w:t>46.14</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277,615,083</w:t>
            </w:r>
          </w:p>
          <w:p>
            <w:pPr>
              <w:pStyle w:val="TableParagraph"/>
              <w:spacing w:line="240" w:lineRule="auto" w:before="105"/>
              <w:ind w:right="19"/>
              <w:jc w:val="right"/>
              <w:rPr>
                <w:rFonts w:ascii="Arial" w:hAnsi="Arial" w:cs="Arial" w:eastAsia="Arial" w:hint="default"/>
                <w:sz w:val="18"/>
                <w:szCs w:val="18"/>
              </w:rPr>
            </w:pPr>
            <w:r>
              <w:rPr>
                <w:rFonts w:ascii="Arial"/>
                <w:w w:val="95"/>
                <w:sz w:val="18"/>
              </w:rPr>
              <w:t>.65</w:t>
            </w:r>
            <w:r>
              <w:rPr>
                <w:rFonts w:ascii="Arial"/>
                <w:sz w:val="18"/>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570,185,084</w:t>
            </w:r>
          </w:p>
          <w:p>
            <w:pPr>
              <w:pStyle w:val="TableParagraph"/>
              <w:spacing w:line="240" w:lineRule="auto" w:before="105"/>
              <w:ind w:right="20"/>
              <w:jc w:val="right"/>
              <w:rPr>
                <w:rFonts w:ascii="Arial" w:hAnsi="Arial" w:cs="Arial" w:eastAsia="Arial" w:hint="default"/>
                <w:sz w:val="18"/>
                <w:szCs w:val="18"/>
              </w:rPr>
            </w:pPr>
            <w:r>
              <w:rPr>
                <w:rFonts w:ascii="Arial"/>
                <w:w w:val="95"/>
                <w:sz w:val="18"/>
              </w:rPr>
              <w:t>.53</w:t>
            </w:r>
            <w:r>
              <w:rPr>
                <w:rFonts w:ascii="Arial"/>
                <w:sz w:val="18"/>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491,936,749</w:t>
            </w:r>
          </w:p>
          <w:p>
            <w:pPr>
              <w:pStyle w:val="TableParagraph"/>
              <w:spacing w:line="240" w:lineRule="auto" w:before="105"/>
              <w:ind w:right="20"/>
              <w:jc w:val="right"/>
              <w:rPr>
                <w:rFonts w:ascii="Arial" w:hAnsi="Arial" w:cs="Arial" w:eastAsia="Arial" w:hint="default"/>
                <w:sz w:val="18"/>
                <w:szCs w:val="18"/>
              </w:rPr>
            </w:pPr>
            <w:r>
              <w:rPr>
                <w:rFonts w:ascii="Arial"/>
                <w:w w:val="95"/>
                <w:sz w:val="18"/>
              </w:rPr>
              <w:t>.66</w:t>
            </w:r>
            <w:r>
              <w:rPr>
                <w:rFonts w:ascii="Arial"/>
                <w:sz w:val="18"/>
              </w:rPr>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Arial" w:hAnsi="Arial" w:cs="Arial" w:eastAsia="Arial" w:hint="default"/>
                <w:sz w:val="18"/>
                <w:szCs w:val="18"/>
              </w:rPr>
            </w:pPr>
            <w:r>
              <w:rPr>
                <w:rFonts w:ascii="Arial"/>
                <w:spacing w:val="-1"/>
                <w:sz w:val="18"/>
              </w:rPr>
              <w:t>998,408,215</w:t>
            </w:r>
          </w:p>
          <w:p>
            <w:pPr>
              <w:pStyle w:val="TableParagraph"/>
              <w:spacing w:line="240" w:lineRule="auto" w:before="105"/>
              <w:ind w:right="20"/>
              <w:jc w:val="right"/>
              <w:rPr>
                <w:rFonts w:ascii="Arial" w:hAnsi="Arial" w:cs="Arial" w:eastAsia="Arial" w:hint="default"/>
                <w:sz w:val="18"/>
                <w:szCs w:val="18"/>
              </w:rPr>
            </w:pPr>
            <w:r>
              <w:rPr>
                <w:rFonts w:ascii="Arial"/>
                <w:w w:val="95"/>
                <w:sz w:val="18"/>
              </w:rPr>
              <w:t>.91</w:t>
            </w:r>
            <w:r>
              <w:rPr>
                <w:rFonts w:ascii="Arial"/>
                <w:sz w:val="18"/>
              </w:rPr>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5"/>
              <w:jc w:val="both"/>
              <w:rPr>
                <w:rFonts w:ascii="宋体" w:hAnsi="宋体" w:cs="宋体" w:eastAsia="宋体" w:hint="default"/>
                <w:sz w:val="18"/>
                <w:szCs w:val="18"/>
              </w:rPr>
            </w:pPr>
            <w:r>
              <w:rPr>
                <w:rFonts w:ascii="宋体" w:hAnsi="宋体" w:cs="宋体" w:eastAsia="宋体" w:hint="default"/>
                <w:sz w:val="18"/>
                <w:szCs w:val="18"/>
              </w:rPr>
              <w:t>归属于上市 公司股东的 净利润</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50,713,899.</w:t>
            </w:r>
          </w:p>
          <w:p>
            <w:pPr>
              <w:pStyle w:val="TableParagraph"/>
              <w:spacing w:line="240" w:lineRule="auto" w:before="105"/>
              <w:ind w:right="19"/>
              <w:jc w:val="right"/>
              <w:rPr>
                <w:rFonts w:ascii="Arial" w:hAnsi="Arial" w:cs="Arial" w:eastAsia="Arial" w:hint="default"/>
                <w:sz w:val="18"/>
                <w:szCs w:val="18"/>
              </w:rPr>
            </w:pPr>
            <w:r>
              <w:rPr>
                <w:rFonts w:ascii="Arial"/>
                <w:w w:val="95"/>
                <w:sz w:val="18"/>
              </w:rPr>
              <w:t>42</w:t>
            </w:r>
            <w:r>
              <w:rPr>
                <w:rFonts w:ascii="Arial"/>
                <w:sz w:val="18"/>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1"/>
                <w:sz w:val="18"/>
              </w:rPr>
              <w:t>164,355,703</w:t>
            </w:r>
          </w:p>
          <w:p>
            <w:pPr>
              <w:pStyle w:val="TableParagraph"/>
              <w:spacing w:line="240" w:lineRule="auto" w:before="105"/>
              <w:ind w:right="20"/>
              <w:jc w:val="right"/>
              <w:rPr>
                <w:rFonts w:ascii="Arial" w:hAnsi="Arial" w:cs="Arial" w:eastAsia="Arial" w:hint="default"/>
                <w:sz w:val="18"/>
                <w:szCs w:val="18"/>
              </w:rPr>
            </w:pPr>
            <w:r>
              <w:rPr>
                <w:rFonts w:ascii="Arial"/>
                <w:w w:val="95"/>
                <w:sz w:val="18"/>
              </w:rPr>
              <w:t>.82</w:t>
            </w:r>
            <w:r>
              <w:rPr>
                <w:rFonts w:ascii="Arial"/>
                <w:sz w:val="18"/>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90,503,637.</w:t>
            </w:r>
          </w:p>
          <w:p>
            <w:pPr>
              <w:pStyle w:val="TableParagraph"/>
              <w:spacing w:line="240" w:lineRule="auto" w:before="105"/>
              <w:ind w:right="21"/>
              <w:jc w:val="right"/>
              <w:rPr>
                <w:rFonts w:ascii="Arial" w:hAnsi="Arial" w:cs="Arial" w:eastAsia="Arial" w:hint="default"/>
                <w:sz w:val="18"/>
                <w:szCs w:val="18"/>
              </w:rPr>
            </w:pPr>
            <w:r>
              <w:rPr>
                <w:rFonts w:ascii="Arial"/>
                <w:w w:val="95"/>
                <w:sz w:val="18"/>
              </w:rPr>
              <w:t>09</w:t>
            </w:r>
            <w:r>
              <w:rPr>
                <w:rFonts w:ascii="Arial"/>
                <w:sz w:val="18"/>
              </w:rPr>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1"/>
                <w:sz w:val="18"/>
              </w:rPr>
              <w:t>192,135,002</w:t>
            </w:r>
          </w:p>
          <w:p>
            <w:pPr>
              <w:pStyle w:val="TableParagraph"/>
              <w:spacing w:line="240" w:lineRule="auto" w:before="105"/>
              <w:ind w:right="20"/>
              <w:jc w:val="right"/>
              <w:rPr>
                <w:rFonts w:ascii="Arial" w:hAnsi="Arial" w:cs="Arial" w:eastAsia="Arial" w:hint="default"/>
                <w:sz w:val="18"/>
                <w:szCs w:val="18"/>
              </w:rPr>
            </w:pPr>
            <w:r>
              <w:rPr>
                <w:rFonts w:ascii="Arial"/>
                <w:w w:val="95"/>
                <w:sz w:val="18"/>
              </w:rPr>
              <w:t>.87</w:t>
            </w:r>
            <w:r>
              <w:rPr>
                <w:rFonts w:ascii="Arial"/>
                <w:sz w:val="18"/>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38,052,730.</w:t>
            </w:r>
          </w:p>
          <w:p>
            <w:pPr>
              <w:pStyle w:val="TableParagraph"/>
              <w:spacing w:line="240" w:lineRule="auto" w:before="105"/>
              <w:ind w:right="19"/>
              <w:jc w:val="right"/>
              <w:rPr>
                <w:rFonts w:ascii="Arial" w:hAnsi="Arial" w:cs="Arial" w:eastAsia="Arial" w:hint="default"/>
                <w:sz w:val="18"/>
                <w:szCs w:val="18"/>
              </w:rPr>
            </w:pPr>
            <w:r>
              <w:rPr>
                <w:rFonts w:ascii="Arial"/>
                <w:w w:val="95"/>
                <w:sz w:val="18"/>
              </w:rPr>
              <w:t>25</w:t>
            </w:r>
            <w:r>
              <w:rPr>
                <w:rFonts w:ascii="Arial"/>
                <w:sz w:val="18"/>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2"/>
                <w:sz w:val="18"/>
              </w:rPr>
              <w:t>118,366,736</w:t>
            </w:r>
          </w:p>
          <w:p>
            <w:pPr>
              <w:pStyle w:val="TableParagraph"/>
              <w:spacing w:line="240" w:lineRule="auto" w:before="105"/>
              <w:ind w:right="20"/>
              <w:jc w:val="right"/>
              <w:rPr>
                <w:rFonts w:ascii="Arial" w:hAnsi="Arial" w:cs="Arial" w:eastAsia="Arial" w:hint="default"/>
                <w:sz w:val="18"/>
                <w:szCs w:val="18"/>
              </w:rPr>
            </w:pPr>
            <w:r>
              <w:rPr>
                <w:rFonts w:ascii="Arial"/>
                <w:w w:val="95"/>
                <w:sz w:val="18"/>
              </w:rPr>
              <w:t>.49</w:t>
            </w:r>
            <w:r>
              <w:rPr>
                <w:rFonts w:ascii="Arial"/>
                <w:sz w:val="18"/>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1"/>
                <w:sz w:val="18"/>
              </w:rPr>
              <w:t>69,518,584.</w:t>
            </w:r>
          </w:p>
          <w:p>
            <w:pPr>
              <w:pStyle w:val="TableParagraph"/>
              <w:spacing w:line="240" w:lineRule="auto" w:before="105"/>
              <w:ind w:right="20"/>
              <w:jc w:val="right"/>
              <w:rPr>
                <w:rFonts w:ascii="Arial" w:hAnsi="Arial" w:cs="Arial" w:eastAsia="Arial" w:hint="default"/>
                <w:sz w:val="18"/>
                <w:szCs w:val="18"/>
              </w:rPr>
            </w:pPr>
            <w:r>
              <w:rPr>
                <w:rFonts w:ascii="Arial"/>
                <w:w w:val="95"/>
                <w:sz w:val="18"/>
              </w:rPr>
              <w:t>28</w:t>
            </w:r>
            <w:r>
              <w:rPr>
                <w:rFonts w:ascii="Arial"/>
                <w:sz w:val="18"/>
              </w:rPr>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18"/>
                <w:szCs w:val="18"/>
              </w:rPr>
            </w:pPr>
            <w:r>
              <w:rPr>
                <w:rFonts w:ascii="Arial"/>
                <w:spacing w:val="-1"/>
                <w:sz w:val="18"/>
              </w:rPr>
              <w:t>155,228,097</w:t>
            </w:r>
          </w:p>
          <w:p>
            <w:pPr>
              <w:pStyle w:val="TableParagraph"/>
              <w:spacing w:line="240" w:lineRule="auto" w:before="105"/>
              <w:ind w:right="17"/>
              <w:jc w:val="right"/>
              <w:rPr>
                <w:rFonts w:ascii="Arial" w:hAnsi="Arial" w:cs="Arial" w:eastAsia="Arial" w:hint="default"/>
                <w:sz w:val="18"/>
                <w:szCs w:val="18"/>
              </w:rPr>
            </w:pPr>
            <w:r>
              <w:rPr>
                <w:rFonts w:ascii="Arial"/>
                <w:spacing w:val="-4"/>
                <w:w w:val="95"/>
                <w:sz w:val="18"/>
              </w:rPr>
              <w:t>.11</w:t>
            </w:r>
            <w:r>
              <w:rPr>
                <w:rFonts w:ascii="Arial"/>
                <w:spacing w:val="-4"/>
                <w:sz w:val="18"/>
              </w:rPr>
            </w:r>
          </w:p>
        </w:tc>
      </w:tr>
    </w:tbl>
    <w:p>
      <w:pPr>
        <w:pStyle w:val="Heading3"/>
        <w:spacing w:line="285" w:lineRule="auto" w:before="2"/>
        <w:ind w:left="592" w:right="996" w:hanging="480"/>
        <w:jc w:val="left"/>
      </w:pPr>
      <w:r>
        <w:rPr/>
        <w:t>说明经营季节性（或周期性）发生的原因及波动风险 公司主营业务覆盖法律科技、市场监管、教育信息化等领域，客户主要为国家机关、单</w:t>
      </w:r>
    </w:p>
    <w:p>
      <w:pPr>
        <w:pStyle w:val="Heading3"/>
        <w:spacing w:line="273" w:lineRule="auto"/>
        <w:ind w:right="1132"/>
        <w:jc w:val="both"/>
      </w:pPr>
      <w:r>
        <w:rPr/>
        <w:t>位及高校等。公司承接的应用软件、系统建设服务等主营业务受到客户的预算、招标时间安</w:t>
      </w:r>
      <w:r>
        <w:rPr>
          <w:spacing w:val="-89"/>
        </w:rPr>
        <w:t> </w:t>
      </w:r>
      <w:r>
        <w:rPr>
          <w:spacing w:val="-89"/>
        </w:rPr>
      </w:r>
      <w:r>
        <w:rPr/>
        <w:t>排等因素的影响，收入确认具有一定的季节性特征。年度中四季度的新签合同及确认收入通</w:t>
      </w:r>
      <w:r>
        <w:rPr>
          <w:spacing w:val="-89"/>
        </w:rPr>
        <w:t> </w:t>
      </w:r>
      <w:r>
        <w:rPr>
          <w:spacing w:val="-89"/>
        </w:rPr>
      </w:r>
      <w:r>
        <w:rPr/>
        <w:t>常会高于其它季度。</w:t>
      </w:r>
    </w:p>
    <w:p>
      <w:pPr>
        <w:pStyle w:val="Heading3"/>
        <w:spacing w:line="240" w:lineRule="auto" w:before="50"/>
        <w:ind w:right="0"/>
        <w:jc w:val="both"/>
      </w:pPr>
      <w:r>
        <w:rPr/>
        <w:t>营业收入整体情况</w:t>
      </w:r>
    </w:p>
    <w:p>
      <w:pPr>
        <w:pStyle w:val="BodyText"/>
        <w:spacing w:line="240" w:lineRule="auto" w:before="85"/>
        <w:ind w:left="0" w:right="1135"/>
        <w:jc w:val="right"/>
      </w:pPr>
      <w:r>
        <w:rPr>
          <w:w w:val="95"/>
        </w:rPr>
        <w:t>单位：元</w:t>
      </w:r>
      <w:r>
        <w:rPr/>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10"/>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2,708,496,168.56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
              <w:jc w:val="right"/>
              <w:rPr>
                <w:rFonts w:ascii="Arial" w:hAnsi="Arial" w:cs="Arial" w:eastAsia="Arial" w:hint="default"/>
                <w:sz w:val="18"/>
                <w:szCs w:val="18"/>
              </w:rPr>
            </w:pPr>
            <w:r>
              <w:rPr>
                <w:rFonts w:ascii="Arial"/>
                <w:w w:val="95"/>
                <w:sz w:val="18"/>
              </w:rPr>
              <w:t>100%</w:t>
            </w:r>
            <w:r>
              <w:rPr>
                <w:rFonts w:ascii="Arial"/>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2,338,145,133.75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15.84%</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法律科技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1,745,212,651.65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64.43%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1,691,651,818.51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72.35%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3.17%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教育信息化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378,416,462.27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13.97%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221,809,087.71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9.49%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70.60%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市场监管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Arial" w:hAnsi="Arial" w:cs="Arial" w:eastAsia="Arial" w:hint="default"/>
                <w:sz w:val="18"/>
                <w:szCs w:val="18"/>
              </w:rPr>
            </w:pPr>
            <w:r>
              <w:rPr>
                <w:rFonts w:ascii="Arial"/>
                <w:spacing w:val="-2"/>
                <w:sz w:val="18"/>
              </w:rPr>
              <w:t>94,978,112.80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3.51%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47,324,343.31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2.02%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100.70%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大企业及其他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489,888,941.84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18.09%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377,359,884.22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16.14%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29.82%</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应用软件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1,315,621,892.85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48.57%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1,127,137,445.49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48.21%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16.72%</w:t>
            </w:r>
          </w:p>
        </w:tc>
      </w:tr>
    </w:tbl>
    <w:p>
      <w:pPr>
        <w:spacing w:after="0" w:line="240" w:lineRule="auto"/>
        <w:jc w:val="right"/>
        <w:rPr>
          <w:rFonts w:ascii="Arial" w:hAnsi="Arial" w:cs="Arial" w:eastAsia="Arial"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系统建设服务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914,046,990.53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33.75%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835,812,238.17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35.75%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9.36%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运维服务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478,827,285.18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17.68%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375,195,450.09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16.04%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27.62%</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1,000,524,820.69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36.94%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978,916,343.75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41.87%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2.21%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429,472,599.47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15.86%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265,904,531.01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3"/>
                <w:sz w:val="18"/>
              </w:rPr>
              <w:t>11.37%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61.51%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370,735,343.69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13.69%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285,557,513.92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12.21%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29.83%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341,974,526.90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12.63%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278,750,728.58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3"/>
                <w:sz w:val="18"/>
              </w:rPr>
              <w:t>11.92%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22.68%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216,869,516.54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8.01%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228,798,124.98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9.79%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-5.21%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205,234,927.32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7.58%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173,236,979.00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7.41%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18.47%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143,684,433.95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5.30%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126,980,912.51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5.43%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13.15%</w:t>
            </w:r>
          </w:p>
        </w:tc>
      </w:tr>
    </w:tbl>
    <w:p>
      <w:pPr>
        <w:spacing w:line="240" w:lineRule="auto" w:before="3"/>
        <w:rPr>
          <w:rFonts w:ascii="宋体" w:hAnsi="宋体" w:cs="宋体" w:eastAsia="宋体" w:hint="default"/>
          <w:sz w:val="19"/>
          <w:szCs w:val="19"/>
        </w:rPr>
      </w:pPr>
    </w:p>
    <w:p>
      <w:pPr>
        <w:pStyle w:val="Heading4"/>
        <w:spacing w:line="240" w:lineRule="auto" w:before="34"/>
        <w:ind w:right="996"/>
        <w:jc w:val="left"/>
        <w:rPr>
          <w:b w:val="0"/>
          <w:bCs w:val="0"/>
        </w:rPr>
      </w:pPr>
      <w:bookmarkStart w:name="（2）占公司营业收入或营业利润10%以上的行业、产品或地区情况" w:id="28"/>
      <w:bookmarkEnd w:id="28"/>
      <w:r>
        <w:rPr>
          <w:b w:val="0"/>
          <w:bCs w:val="0"/>
        </w:rPr>
      </w:r>
      <w:r>
        <w:rPr/>
        <w:t>（</w:t>
      </w:r>
      <w:r>
        <w:rPr>
          <w:rFonts w:ascii="Arial" w:hAnsi="Arial" w:cs="Arial" w:eastAsia="Arial" w:hint="default"/>
        </w:rPr>
        <w:t>2</w:t>
      </w:r>
      <w:r>
        <w:rPr/>
        <w:t>）占公司营业收入或营业利润</w:t>
      </w:r>
      <w:r>
        <w:rPr>
          <w:spacing w:val="-64"/>
        </w:rPr>
        <w:t> </w:t>
      </w:r>
      <w:r>
        <w:rPr>
          <w:rFonts w:ascii="Arial" w:hAnsi="Arial" w:cs="Arial" w:eastAsia="Arial" w:hint="default"/>
        </w:rPr>
        <w:t>10%</w:t>
      </w:r>
      <w:r>
        <w:rPr/>
        <w:t>以上的行业、产品或地区情况</w:t>
      </w:r>
      <w:r>
        <w:rPr>
          <w:b w:val="0"/>
          <w:bCs w:val="0"/>
        </w:rPr>
      </w:r>
    </w:p>
    <w:p>
      <w:pPr>
        <w:spacing w:line="240" w:lineRule="auto" w:before="12"/>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746" w:footer="978" w:top="1060" w:bottom="1160" w:left="1020" w:right="0"/>
        </w:sectPr>
      </w:pPr>
    </w:p>
    <w:p>
      <w:pPr>
        <w:pStyle w:val="Heading3"/>
        <w:spacing w:line="240" w:lineRule="auto" w:before="26"/>
        <w:ind w:right="-18"/>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pStyle w:val="BodyText"/>
        <w:spacing w:line="240" w:lineRule="auto" w:before="140"/>
        <w:ind w:right="0"/>
        <w:jc w:val="left"/>
      </w:pPr>
      <w:r>
        <w:rPr/>
        <w:t>单位：元</w:t>
      </w:r>
    </w:p>
    <w:p>
      <w:pPr>
        <w:spacing w:after="0" w:line="240" w:lineRule="auto"/>
        <w:jc w:val="left"/>
        <w:sectPr>
          <w:type w:val="continuous"/>
          <w:pgSz w:w="11910" w:h="16840"/>
          <w:pgMar w:top="1060" w:bottom="1160" w:left="1020" w:right="0"/>
          <w:cols w:num="2" w:equalWidth="0">
            <w:col w:w="1949" w:space="6849"/>
            <w:col w:w="2092"/>
          </w:cols>
        </w:sectPr>
      </w:pP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7"/>
        <w:gridCol w:w="1610"/>
        <w:gridCol w:w="1418"/>
        <w:gridCol w:w="1071"/>
        <w:gridCol w:w="1367"/>
        <w:gridCol w:w="1367"/>
        <w:gridCol w:w="1371"/>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17" w:right="46" w:hanging="269"/>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10"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法律科技</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Arial" w:hAnsi="Arial" w:cs="Arial" w:eastAsia="Arial" w:hint="default"/>
                <w:sz w:val="18"/>
                <w:szCs w:val="18"/>
              </w:rPr>
            </w:pPr>
            <w:r>
              <w:rPr>
                <w:rFonts w:ascii="Arial"/>
                <w:spacing w:val="-1"/>
                <w:sz w:val="18"/>
              </w:rPr>
              <w:t>1,745,212,651.65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973,291,465.47</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44.23%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Arial" w:hAnsi="Arial" w:cs="Arial" w:eastAsia="Arial" w:hint="default"/>
                <w:sz w:val="18"/>
                <w:szCs w:val="18"/>
              </w:rPr>
            </w:pPr>
            <w:r>
              <w:rPr>
                <w:rFonts w:ascii="Arial"/>
                <w:spacing w:val="-1"/>
                <w:sz w:val="18"/>
              </w:rPr>
              <w:t>3.17%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-3.19%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Arial" w:hAnsi="Arial" w:cs="Arial" w:eastAsia="Arial" w:hint="default"/>
                <w:sz w:val="18"/>
                <w:szCs w:val="18"/>
              </w:rPr>
            </w:pPr>
            <w:r>
              <w:rPr>
                <w:rFonts w:ascii="Arial"/>
                <w:spacing w:val="-1"/>
                <w:sz w:val="18"/>
              </w:rPr>
              <w:t>3.66%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教育信息化</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378,416,462.27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188,657,137.95</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50.15%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70.60%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71.75%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-0.33%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市场监管</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Arial" w:hAnsi="Arial" w:cs="Arial" w:eastAsia="Arial" w:hint="default"/>
                <w:sz w:val="18"/>
                <w:szCs w:val="18"/>
              </w:rPr>
            </w:pPr>
            <w:r>
              <w:rPr>
                <w:rFonts w:ascii="Arial"/>
                <w:spacing w:val="-2"/>
                <w:sz w:val="18"/>
              </w:rPr>
              <w:t>94,978,112.80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58,720,404.03</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38.17%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100.70%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3"/>
                <w:sz w:val="18"/>
              </w:rPr>
              <w:t>117.09%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-4.67%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大企业及其他</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489,888,941.84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Arial" w:hAnsi="Arial" w:cs="Arial" w:eastAsia="Arial" w:hint="default"/>
                <w:sz w:val="18"/>
                <w:szCs w:val="18"/>
              </w:rPr>
            </w:pPr>
            <w:r>
              <w:rPr>
                <w:rFonts w:ascii="Arial"/>
                <w:spacing w:val="-2"/>
                <w:sz w:val="18"/>
              </w:rPr>
              <w:t>311,678,390.21</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36.38%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29.82%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26.21%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1.82%</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应用软件</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Arial" w:hAnsi="Arial" w:cs="Arial" w:eastAsia="Arial" w:hint="default"/>
                <w:sz w:val="18"/>
                <w:szCs w:val="18"/>
              </w:rPr>
            </w:pPr>
            <w:r>
              <w:rPr>
                <w:rFonts w:ascii="Arial"/>
                <w:spacing w:val="-1"/>
                <w:sz w:val="18"/>
              </w:rPr>
              <w:t>1,315,621,892.85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465,839,890.79</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64.59%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16.72%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3.54%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4.51%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系统建设服务</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914,046,990.53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767,567,917.15</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16.03%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Arial" w:hAnsi="Arial" w:cs="Arial" w:eastAsia="Arial" w:hint="default"/>
                <w:sz w:val="18"/>
                <w:szCs w:val="18"/>
              </w:rPr>
            </w:pPr>
            <w:r>
              <w:rPr>
                <w:rFonts w:ascii="Arial"/>
                <w:spacing w:val="-1"/>
                <w:sz w:val="18"/>
              </w:rPr>
              <w:t>9.36%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9.77%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-0.31%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运维服务</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478,827,285.18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298,939,589.72</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37.57%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27.62%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24.54%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1.55%</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Arial" w:hAnsi="Arial" w:cs="Arial" w:eastAsia="Arial" w:hint="default"/>
                <w:sz w:val="18"/>
                <w:szCs w:val="18"/>
              </w:rPr>
            </w:pPr>
            <w:r>
              <w:rPr>
                <w:rFonts w:ascii="Arial"/>
                <w:spacing w:val="-1"/>
                <w:sz w:val="18"/>
              </w:rPr>
              <w:t>1,000,524,820.69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656,312,083.46</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34.40%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-1.44%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2.43%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429,472,599.47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231,964,231.53</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45.99%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61.51%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51.09%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Arial" w:hAnsi="Arial" w:cs="Arial" w:eastAsia="Arial" w:hint="default"/>
                <w:sz w:val="18"/>
                <w:szCs w:val="18"/>
              </w:rPr>
            </w:pPr>
            <w:r>
              <w:rPr>
                <w:rFonts w:ascii="Arial"/>
                <w:spacing w:val="-1"/>
                <w:sz w:val="18"/>
              </w:rPr>
              <w:t>3.73%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370,735,343.69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227,046,207.53</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38.76%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29.83%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35.45%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-2.54%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341,974,526.90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162,968,968.91</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52.34%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22.68%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22.90%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-0.09%</w:t>
            </w:r>
          </w:p>
        </w:tc>
      </w:tr>
    </w:tbl>
    <w:p>
      <w:pPr>
        <w:pStyle w:val="Heading3"/>
        <w:spacing w:line="259" w:lineRule="auto" w:before="27"/>
        <w:ind w:right="1139"/>
        <w:jc w:val="left"/>
      </w:pPr>
      <w:r>
        <w:rPr/>
        <w:t>公司主营业务数据统计口径在报告期发生调整的情况下，公司最近</w:t>
      </w:r>
      <w:r>
        <w:rPr>
          <w:spacing w:val="-60"/>
        </w:rPr>
        <w:t> </w:t>
      </w:r>
      <w:r>
        <w:rPr>
          <w:rFonts w:ascii="Arial" w:hAnsi="Arial" w:cs="Arial" w:eastAsia="Arial" w:hint="default"/>
        </w:rPr>
        <w:t>1</w:t>
      </w:r>
      <w:r>
        <w:rPr>
          <w:rFonts w:ascii="Arial" w:hAnsi="Arial" w:cs="Arial" w:eastAsia="Arial" w:hint="default"/>
          <w:spacing w:val="-6"/>
        </w:rPr>
        <w:t> </w:t>
      </w:r>
      <w:r>
        <w:rPr/>
        <w:t>年按报告期末口径调整 后的主营业务数据</w:t>
      </w:r>
    </w:p>
    <w:p>
      <w:pPr>
        <w:pStyle w:val="Heading3"/>
        <w:spacing w:line="240" w:lineRule="auto" w:before="41"/>
        <w:ind w:right="996"/>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after="0" w:line="240" w:lineRule="auto"/>
        <w:jc w:val="left"/>
        <w:sectPr>
          <w:type w:val="continuous"/>
          <w:pgSz w:w="11910" w:h="16840"/>
          <w:pgMar w:top="1060" w:bottom="1160" w:left="1020" w:right="0"/>
        </w:sectPr>
      </w:pPr>
    </w:p>
    <w:p>
      <w:pPr>
        <w:spacing w:line="240" w:lineRule="auto" w:before="10"/>
        <w:rPr>
          <w:rFonts w:ascii="宋体" w:hAnsi="宋体" w:cs="宋体" w:eastAsia="宋体" w:hint="default"/>
          <w:sz w:val="24"/>
          <w:szCs w:val="24"/>
        </w:rPr>
      </w:pPr>
    </w:p>
    <w:p>
      <w:pPr>
        <w:pStyle w:val="Heading4"/>
        <w:spacing w:line="240" w:lineRule="auto" w:before="34"/>
        <w:ind w:right="996"/>
        <w:jc w:val="left"/>
        <w:rPr>
          <w:b w:val="0"/>
          <w:bCs w:val="0"/>
        </w:rPr>
      </w:pPr>
      <w:bookmarkStart w:name="（3）公司实物销售收入是否大于劳务收入" w:id="29"/>
      <w:bookmarkEnd w:id="29"/>
      <w:r>
        <w:rPr>
          <w:b w:val="0"/>
          <w:bCs w:val="0"/>
        </w:rPr>
      </w:r>
      <w:r>
        <w:rPr/>
        <w:t>（</w:t>
      </w:r>
      <w:r>
        <w:rPr>
          <w:rFonts w:ascii="Arial" w:hAnsi="Arial" w:cs="Arial" w:eastAsia="Arial" w:hint="default"/>
        </w:rPr>
        <w:t>3</w:t>
      </w:r>
      <w:r>
        <w:rPr/>
        <w:t>）公司实物销售收入是否大于劳务收入</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right="996"/>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8"/>
        </w:rPr>
        <w:t> </w:t>
      </w:r>
      <w:r>
        <w:rPr/>
        <w:t>否</w:t>
      </w:r>
    </w:p>
    <w:p>
      <w:pPr>
        <w:spacing w:line="240" w:lineRule="auto" w:before="5"/>
        <w:rPr>
          <w:rFonts w:ascii="宋体" w:hAnsi="宋体" w:cs="宋体" w:eastAsia="宋体" w:hint="default"/>
          <w:sz w:val="23"/>
          <w:szCs w:val="23"/>
        </w:rPr>
      </w:pPr>
    </w:p>
    <w:p>
      <w:pPr>
        <w:pStyle w:val="Heading4"/>
        <w:spacing w:line="240" w:lineRule="auto"/>
        <w:ind w:right="996"/>
        <w:jc w:val="left"/>
        <w:rPr>
          <w:b w:val="0"/>
          <w:bCs w:val="0"/>
        </w:rPr>
      </w:pPr>
      <w:bookmarkStart w:name="（4）公司已签订的重大销售合同截至本报告期的履行情况" w:id="30"/>
      <w:bookmarkEnd w:id="30"/>
      <w:r>
        <w:rPr>
          <w:b w:val="0"/>
          <w:bCs w:val="0"/>
        </w:rPr>
      </w:r>
      <w:r>
        <w:rPr/>
        <w:t>（</w:t>
      </w:r>
      <w:r>
        <w:rPr>
          <w:rFonts w:ascii="Arial" w:hAnsi="Arial" w:cs="Arial" w:eastAsia="Arial" w:hint="default"/>
        </w:rPr>
        <w:t>4</w:t>
      </w:r>
      <w:r>
        <w:rPr/>
        <w:t>）公司已签订的重大销售合同截至本报告期的履行情况</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right="996"/>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3"/>
        <w:rPr>
          <w:rFonts w:ascii="宋体" w:hAnsi="宋体" w:cs="宋体" w:eastAsia="宋体" w:hint="default"/>
          <w:sz w:val="23"/>
          <w:szCs w:val="23"/>
        </w:rPr>
      </w:pPr>
    </w:p>
    <w:p>
      <w:pPr>
        <w:pStyle w:val="Heading4"/>
        <w:spacing w:line="240" w:lineRule="auto"/>
        <w:ind w:right="996"/>
        <w:jc w:val="left"/>
        <w:rPr>
          <w:b w:val="0"/>
          <w:bCs w:val="0"/>
        </w:rPr>
      </w:pPr>
      <w:bookmarkStart w:name="（5）营业成本构成" w:id="31"/>
      <w:bookmarkEnd w:id="31"/>
      <w:r>
        <w:rPr>
          <w:b w:val="0"/>
          <w:bCs w:val="0"/>
        </w:rPr>
      </w:r>
      <w:r>
        <w:rPr/>
        <w:t>（</w:t>
      </w:r>
      <w:r>
        <w:rPr>
          <w:rFonts w:ascii="Arial" w:hAnsi="Arial" w:cs="Arial" w:eastAsia="Arial" w:hint="default"/>
        </w:rPr>
        <w:t>5</w:t>
      </w:r>
      <w:r>
        <w:rPr/>
        <w:t>）营业成本构成</w:t>
      </w:r>
      <w:r>
        <w:rPr>
          <w:b w:val="0"/>
          <w:bCs w:val="0"/>
        </w:rPr>
      </w:r>
    </w:p>
    <w:p>
      <w:pPr>
        <w:spacing w:line="240" w:lineRule="auto" w:before="12"/>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746" w:footer="978" w:top="1060" w:bottom="1160" w:left="1020" w:right="0"/>
        </w:sectPr>
      </w:pPr>
    </w:p>
    <w:p>
      <w:pPr>
        <w:pStyle w:val="Heading3"/>
        <w:spacing w:line="240" w:lineRule="auto" w:before="26"/>
        <w:ind w:right="-20"/>
        <w:jc w:val="left"/>
      </w:pPr>
      <w:r>
        <w:rPr/>
        <w:t>主营业务成本构成</w:t>
      </w:r>
    </w:p>
    <w:p>
      <w:pPr>
        <w:spacing w:line="240" w:lineRule="auto" w:before="0"/>
        <w:rPr>
          <w:rFonts w:ascii="宋体" w:hAnsi="宋体" w:cs="宋体" w:eastAsia="宋体" w:hint="default"/>
          <w:sz w:val="20"/>
          <w:szCs w:val="20"/>
        </w:rPr>
      </w:pPr>
      <w:r>
        <w:rPr/>
        <w:br w:type="column"/>
      </w:r>
      <w:r>
        <w:rPr>
          <w:rFonts w:ascii="宋体"/>
          <w:sz w:val="20"/>
        </w:rPr>
      </w:r>
    </w:p>
    <w:p>
      <w:pPr>
        <w:pStyle w:val="BodyText"/>
        <w:spacing w:line="240" w:lineRule="auto" w:before="140"/>
        <w:ind w:right="0"/>
        <w:jc w:val="left"/>
      </w:pPr>
      <w:r>
        <w:rPr/>
        <w:t>单位：元</w:t>
      </w:r>
    </w:p>
    <w:p>
      <w:pPr>
        <w:spacing w:after="0" w:line="240" w:lineRule="auto"/>
        <w:jc w:val="left"/>
        <w:sectPr>
          <w:type w:val="continuous"/>
          <w:pgSz w:w="11910" w:h="16840"/>
          <w:pgMar w:top="1060" w:bottom="1160" w:left="1020" w:right="0"/>
          <w:cols w:num="2" w:equalWidth="0">
            <w:col w:w="2033" w:space="6765"/>
            <w:col w:w="2092"/>
          </w:cols>
        </w:sectPr>
      </w:pP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85"/>
        <w:gridCol w:w="1701"/>
        <w:gridCol w:w="1701"/>
        <w:gridCol w:w="1559"/>
        <w:gridCol w:w="1559"/>
        <w:gridCol w:w="1061"/>
      </w:tblGrid>
      <w:tr>
        <w:trPr>
          <w:trHeight w:val="402" w:hRule="exact"/>
        </w:trPr>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67" w:right="0"/>
              <w:jc w:val="left"/>
              <w:rPr>
                <w:rFonts w:ascii="宋体" w:hAnsi="宋体" w:cs="宋体" w:eastAsia="宋体" w:hint="default"/>
                <w:sz w:val="21"/>
                <w:szCs w:val="21"/>
              </w:rPr>
            </w:pPr>
            <w:r>
              <w:rPr>
                <w:rFonts w:ascii="宋体" w:hAnsi="宋体" w:cs="宋体" w:eastAsia="宋体" w:hint="default"/>
                <w:sz w:val="21"/>
                <w:szCs w:val="21"/>
              </w:rPr>
              <w:t>成本构成</w:t>
            </w:r>
          </w:p>
        </w:tc>
        <w:tc>
          <w:tcPr>
            <w:tcW w:w="34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right="1"/>
              <w:jc w:val="center"/>
              <w:rPr>
                <w:rFonts w:ascii="宋体" w:hAnsi="宋体" w:cs="宋体" w:eastAsia="宋体" w:hint="default"/>
                <w:sz w:val="21"/>
                <w:szCs w:val="21"/>
              </w:rPr>
            </w:pPr>
            <w:r>
              <w:rPr>
                <w:rFonts w:ascii="宋体" w:hAnsi="宋体" w:cs="宋体" w:eastAsia="宋体" w:hint="default"/>
                <w:sz w:val="21"/>
                <w:szCs w:val="21"/>
              </w:rPr>
              <w:t>本报告期</w:t>
            </w:r>
          </w:p>
        </w:tc>
        <w:tc>
          <w:tcPr>
            <w:tcW w:w="31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上年同期</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2"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09" w:right="0"/>
              <w:jc w:val="left"/>
              <w:rPr>
                <w:rFonts w:ascii="宋体" w:hAnsi="宋体" w:cs="宋体" w:eastAsia="宋体" w:hint="default"/>
                <w:sz w:val="21"/>
                <w:szCs w:val="21"/>
              </w:rPr>
            </w:pPr>
            <w:r>
              <w:rPr>
                <w:rFonts w:ascii="宋体" w:hAnsi="宋体" w:cs="宋体" w:eastAsia="宋体" w:hint="default"/>
                <w:sz w:val="21"/>
                <w:szCs w:val="21"/>
              </w:rPr>
              <w:t>占营业成本比重</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39"/>
              <w:jc w:val="right"/>
              <w:rPr>
                <w:rFonts w:ascii="宋体" w:hAnsi="宋体" w:cs="宋体" w:eastAsia="宋体" w:hint="default"/>
                <w:sz w:val="21"/>
                <w:szCs w:val="21"/>
              </w:rPr>
            </w:pPr>
            <w:r>
              <w:rPr>
                <w:rFonts w:ascii="宋体" w:hAnsi="宋体" w:cs="宋体" w:eastAsia="宋体" w:hint="default"/>
                <w:w w:val="95"/>
                <w:sz w:val="21"/>
                <w:szCs w:val="21"/>
              </w:rPr>
              <w:t>占营业成本比重</w:t>
            </w:r>
            <w:r>
              <w:rPr>
                <w:rFonts w:ascii="宋体" w:hAnsi="宋体" w:cs="宋体" w:eastAsia="宋体" w:hint="default"/>
                <w:sz w:val="21"/>
                <w:szCs w:val="21"/>
              </w:rPr>
            </w:r>
          </w:p>
        </w:tc>
        <w:tc>
          <w:tcPr>
            <w:tcW w:w="106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材料及设备采购成本</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2"/>
              <w:jc w:val="right"/>
              <w:rPr>
                <w:rFonts w:ascii="Arial" w:hAnsi="Arial" w:cs="Arial" w:eastAsia="Arial" w:hint="default"/>
                <w:sz w:val="21"/>
                <w:szCs w:val="21"/>
              </w:rPr>
            </w:pPr>
            <w:r>
              <w:rPr>
                <w:rFonts w:ascii="Arial"/>
                <w:w w:val="95"/>
                <w:sz w:val="21"/>
              </w:rPr>
              <w:t>1,082,233,803.58</w:t>
            </w:r>
            <w:r>
              <w:rPr>
                <w:rFonts w:ascii="Arial"/>
                <w:sz w:val="21"/>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sz w:val="21"/>
              </w:rPr>
              <w:t>70.63%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1" w:right="0"/>
              <w:jc w:val="center"/>
              <w:rPr>
                <w:rFonts w:ascii="Arial" w:hAnsi="Arial" w:cs="Arial" w:eastAsia="Arial" w:hint="default"/>
                <w:sz w:val="21"/>
                <w:szCs w:val="21"/>
              </w:rPr>
            </w:pPr>
            <w:r>
              <w:rPr>
                <w:rFonts w:ascii="Arial"/>
                <w:sz w:val="21"/>
              </w:rPr>
              <w:t>968,216,144.49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w w:val="95"/>
                <w:sz w:val="21"/>
              </w:rPr>
              <w:t>69.70%</w:t>
            </w:r>
            <w:r>
              <w:rPr>
                <w:rFonts w:ascii="Arial"/>
                <w:sz w:val="21"/>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3"/>
                <w:w w:val="95"/>
                <w:sz w:val="21"/>
              </w:rPr>
              <w:t>11.78%</w:t>
            </w:r>
            <w:r>
              <w:rPr>
                <w:rFonts w:ascii="Arial"/>
                <w:spacing w:val="-3"/>
                <w:sz w:val="21"/>
              </w:rPr>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人工成本及费用</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4"/>
              <w:jc w:val="right"/>
              <w:rPr>
                <w:rFonts w:ascii="Arial" w:hAnsi="Arial" w:cs="Arial" w:eastAsia="Arial" w:hint="default"/>
                <w:sz w:val="21"/>
                <w:szCs w:val="21"/>
              </w:rPr>
            </w:pPr>
            <w:r>
              <w:rPr>
                <w:rFonts w:ascii="Arial"/>
                <w:spacing w:val="-1"/>
                <w:w w:val="95"/>
                <w:sz w:val="21"/>
              </w:rPr>
              <w:t>450,113,594.08</w:t>
            </w:r>
            <w:r>
              <w:rPr>
                <w:rFonts w:ascii="Arial"/>
                <w:spacing w:val="-1"/>
                <w:sz w:val="21"/>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Arial" w:hAnsi="Arial" w:cs="Arial" w:eastAsia="Arial" w:hint="default"/>
                <w:sz w:val="21"/>
                <w:szCs w:val="21"/>
              </w:rPr>
            </w:pPr>
            <w:r>
              <w:rPr>
                <w:rFonts w:ascii="Arial"/>
                <w:spacing w:val="-1"/>
                <w:sz w:val="21"/>
              </w:rPr>
              <w:t>29.37%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1" w:right="0"/>
              <w:jc w:val="center"/>
              <w:rPr>
                <w:rFonts w:ascii="Arial" w:hAnsi="Arial" w:cs="Arial" w:eastAsia="Arial" w:hint="default"/>
                <w:sz w:val="21"/>
                <w:szCs w:val="21"/>
              </w:rPr>
            </w:pPr>
            <w:r>
              <w:rPr>
                <w:rFonts w:ascii="Arial"/>
                <w:sz w:val="21"/>
              </w:rPr>
              <w:t>420,971,571.31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95"/>
                <w:sz w:val="21"/>
              </w:rPr>
              <w:t>30.30%</w:t>
            </w:r>
            <w:r>
              <w:rPr>
                <w:rFonts w:ascii="Arial"/>
                <w:sz w:val="21"/>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95"/>
                <w:sz w:val="21"/>
              </w:rPr>
              <w:t>6.92%</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060" w:bottom="1160" w:left="1020" w:right="0"/>
        </w:sectPr>
      </w:pPr>
    </w:p>
    <w:p>
      <w:pPr>
        <w:pStyle w:val="Heading3"/>
        <w:spacing w:line="240" w:lineRule="auto" w:before="1"/>
        <w:ind w:right="-20"/>
        <w:jc w:val="left"/>
      </w:pPr>
      <w:r>
        <w:rPr/>
        <w:t>产品分类</w:t>
      </w:r>
    </w:p>
    <w:p>
      <w:pPr>
        <w:spacing w:line="240" w:lineRule="auto" w:before="11"/>
        <w:rPr>
          <w:rFonts w:ascii="宋体" w:hAnsi="宋体" w:cs="宋体" w:eastAsia="宋体" w:hint="default"/>
          <w:sz w:val="28"/>
          <w:szCs w:val="28"/>
        </w:rPr>
      </w:pPr>
      <w:r>
        <w:rPr/>
        <w:br w:type="column"/>
      </w:r>
      <w:r>
        <w:rPr>
          <w:rFonts w:ascii="宋体"/>
          <w:sz w:val="28"/>
        </w:rPr>
      </w:r>
    </w:p>
    <w:p>
      <w:pPr>
        <w:pStyle w:val="BodyText"/>
        <w:spacing w:line="240" w:lineRule="auto" w:before="0"/>
        <w:ind w:right="0"/>
        <w:jc w:val="left"/>
      </w:pPr>
      <w:r>
        <w:rPr/>
        <w:t>单位：元</w:t>
      </w:r>
    </w:p>
    <w:p>
      <w:pPr>
        <w:spacing w:after="0" w:line="240" w:lineRule="auto"/>
        <w:jc w:val="left"/>
        <w:sectPr>
          <w:type w:val="continuous"/>
          <w:pgSz w:w="11910" w:h="16840"/>
          <w:pgMar w:top="1060" w:bottom="1160" w:left="1020" w:right="0"/>
          <w:cols w:num="2" w:equalWidth="0">
            <w:col w:w="1073" w:space="7725"/>
            <w:col w:w="2092"/>
          </w:cols>
        </w:sectPr>
      </w:pP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9"/>
        <w:gridCol w:w="1041"/>
        <w:gridCol w:w="1693"/>
        <w:gridCol w:w="1142"/>
        <w:gridCol w:w="1701"/>
        <w:gridCol w:w="1559"/>
        <w:gridCol w:w="1066"/>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257" w:right="0"/>
              <w:jc w:val="left"/>
              <w:rPr>
                <w:rFonts w:ascii="宋体" w:hAnsi="宋体" w:cs="宋体" w:eastAsia="宋体" w:hint="default"/>
                <w:sz w:val="21"/>
                <w:szCs w:val="21"/>
              </w:rPr>
            </w:pPr>
            <w:r>
              <w:rPr>
                <w:rFonts w:ascii="宋体" w:hAnsi="宋体" w:cs="宋体" w:eastAsia="宋体" w:hint="default"/>
                <w:sz w:val="21"/>
                <w:szCs w:val="21"/>
              </w:rPr>
              <w:t>产品分类</w:t>
            </w:r>
          </w:p>
        </w:tc>
        <w:tc>
          <w:tcPr>
            <w:tcW w:w="10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1" w:right="0"/>
              <w:jc w:val="center"/>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10"/>
                <w:sz w:val="21"/>
                <w:szCs w:val="21"/>
              </w:rPr>
              <w:t> </w:t>
            </w:r>
            <w:r>
              <w:rPr>
                <w:rFonts w:ascii="宋体" w:hAnsi="宋体" w:cs="宋体" w:eastAsia="宋体" w:hint="default"/>
                <w:sz w:val="21"/>
                <w:szCs w:val="21"/>
              </w:rPr>
              <w:t>年</w:t>
            </w:r>
          </w:p>
        </w:tc>
        <w:tc>
          <w:tcPr>
            <w:tcW w:w="32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right="0"/>
              <w:jc w:val="center"/>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7"/>
                <w:sz w:val="21"/>
                <w:szCs w:val="21"/>
              </w:rPr>
              <w:t> </w:t>
            </w:r>
            <w:r>
              <w:rPr>
                <w:rFonts w:ascii="宋体" w:hAnsi="宋体" w:cs="宋体" w:eastAsia="宋体" w:hint="default"/>
                <w:sz w:val="21"/>
                <w:szCs w:val="21"/>
              </w:rPr>
              <w:t>年</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714"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041" w:type="dxa"/>
            <w:vMerge/>
            <w:tcBorders>
              <w:left w:val="single" w:sz="4" w:space="0" w:color="000000"/>
              <w:bottom w:val="single" w:sz="4" w:space="0" w:color="000000"/>
              <w:right w:val="single" w:sz="4" w:space="0" w:color="000000"/>
            </w:tcBorders>
            <w:shd w:val="clear" w:color="auto" w:fill="D2D2D2"/>
          </w:tcPr>
          <w:p>
            <w:pPr/>
          </w:p>
        </w:tc>
        <w:tc>
          <w:tcPr>
            <w:tcW w:w="1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5"/>
              <w:ind w:left="354" w:right="40" w:hanging="315"/>
              <w:jc w:val="left"/>
              <w:rPr>
                <w:rFonts w:ascii="宋体" w:hAnsi="宋体" w:cs="宋体" w:eastAsia="宋体" w:hint="default"/>
                <w:sz w:val="21"/>
                <w:szCs w:val="21"/>
              </w:rPr>
            </w:pPr>
            <w:r>
              <w:rPr>
                <w:rFonts w:ascii="宋体" w:hAnsi="宋体" w:cs="宋体" w:eastAsia="宋体" w:hint="default"/>
                <w:sz w:val="21"/>
                <w:szCs w:val="21"/>
              </w:rPr>
              <w:t>占营业成本</w:t>
            </w:r>
            <w:r>
              <w:rPr>
                <w:rFonts w:ascii="宋体" w:hAnsi="宋体" w:cs="宋体" w:eastAsia="宋体" w:hint="default"/>
                <w:w w:val="99"/>
                <w:sz w:val="21"/>
                <w:szCs w:val="21"/>
              </w:rPr>
              <w:t> </w:t>
            </w:r>
            <w:r>
              <w:rPr>
                <w:rFonts w:ascii="宋体" w:hAnsi="宋体" w:cs="宋体" w:eastAsia="宋体" w:hint="default"/>
                <w:sz w:val="21"/>
                <w:szCs w:val="21"/>
              </w:rPr>
              <w:t>比重</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39"/>
              <w:jc w:val="right"/>
              <w:rPr>
                <w:rFonts w:ascii="宋体" w:hAnsi="宋体" w:cs="宋体" w:eastAsia="宋体" w:hint="default"/>
                <w:sz w:val="21"/>
                <w:szCs w:val="21"/>
              </w:rPr>
            </w:pPr>
            <w:r>
              <w:rPr>
                <w:rFonts w:ascii="宋体" w:hAnsi="宋体" w:cs="宋体" w:eastAsia="宋体" w:hint="default"/>
                <w:w w:val="95"/>
                <w:sz w:val="21"/>
                <w:szCs w:val="21"/>
              </w:rPr>
              <w:t>占营业成本比重</w:t>
            </w:r>
            <w:r>
              <w:rPr>
                <w:rFonts w:ascii="宋体" w:hAnsi="宋体" w:cs="宋体" w:eastAsia="宋体" w:hint="default"/>
                <w:sz w:val="21"/>
                <w:szCs w:val="21"/>
              </w:rPr>
            </w:r>
          </w:p>
        </w:tc>
        <w:tc>
          <w:tcPr>
            <w:tcW w:w="10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应用软件</w:t>
            </w:r>
          </w:p>
        </w:tc>
        <w:tc>
          <w:tcPr>
            <w:tcW w:w="1041"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Arial" w:hAnsi="Arial" w:cs="Arial" w:eastAsia="Arial" w:hint="default"/>
                <w:sz w:val="21"/>
                <w:szCs w:val="21"/>
              </w:rPr>
            </w:pPr>
            <w:r>
              <w:rPr>
                <w:rFonts w:ascii="Arial"/>
                <w:w w:val="95"/>
                <w:sz w:val="21"/>
              </w:rPr>
              <w:t>465,839,890.79</w:t>
            </w:r>
            <w:r>
              <w:rPr>
                <w:rFonts w:ascii="Arial"/>
                <w:sz w:val="21"/>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30.40%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Arial" w:hAnsi="Arial" w:cs="Arial" w:eastAsia="Arial" w:hint="default"/>
                <w:sz w:val="21"/>
                <w:szCs w:val="21"/>
              </w:rPr>
            </w:pPr>
            <w:r>
              <w:rPr>
                <w:rFonts w:ascii="Arial"/>
                <w:w w:val="95"/>
                <w:sz w:val="21"/>
              </w:rPr>
              <w:t>449,921,260.95</w:t>
            </w:r>
            <w:r>
              <w:rPr>
                <w:rFonts w:ascii="Arial"/>
                <w:sz w:val="21"/>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w w:val="95"/>
                <w:sz w:val="21"/>
              </w:rPr>
              <w:t>32.39%</w:t>
            </w:r>
            <w:r>
              <w:rPr>
                <w:rFonts w:ascii="Arial"/>
                <w:sz w:val="21"/>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w w:val="95"/>
                <w:sz w:val="21"/>
              </w:rPr>
              <w:t>3.54%</w:t>
            </w:r>
            <w:r>
              <w:rPr>
                <w:rFonts w:ascii="Arial"/>
                <w:sz w:val="21"/>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系统建设服务</w:t>
            </w:r>
          </w:p>
        </w:tc>
        <w:tc>
          <w:tcPr>
            <w:tcW w:w="1041"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4"/>
              <w:jc w:val="right"/>
              <w:rPr>
                <w:rFonts w:ascii="Arial" w:hAnsi="Arial" w:cs="Arial" w:eastAsia="Arial" w:hint="default"/>
                <w:sz w:val="21"/>
                <w:szCs w:val="21"/>
              </w:rPr>
            </w:pPr>
            <w:r>
              <w:rPr>
                <w:rFonts w:ascii="Arial"/>
                <w:w w:val="95"/>
                <w:sz w:val="21"/>
              </w:rPr>
              <w:t>767,567,917.15</w:t>
            </w:r>
            <w:r>
              <w:rPr>
                <w:rFonts w:ascii="Arial"/>
                <w:sz w:val="21"/>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0"/>
              <w:jc w:val="right"/>
              <w:rPr>
                <w:rFonts w:ascii="Arial" w:hAnsi="Arial" w:cs="Arial" w:eastAsia="Arial" w:hint="default"/>
                <w:sz w:val="21"/>
                <w:szCs w:val="21"/>
              </w:rPr>
            </w:pPr>
            <w:r>
              <w:rPr>
                <w:rFonts w:ascii="Arial"/>
                <w:spacing w:val="-1"/>
                <w:sz w:val="21"/>
              </w:rPr>
              <w:t>50.09%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3"/>
              <w:jc w:val="right"/>
              <w:rPr>
                <w:rFonts w:ascii="Arial" w:hAnsi="Arial" w:cs="Arial" w:eastAsia="Arial" w:hint="default"/>
                <w:sz w:val="21"/>
                <w:szCs w:val="21"/>
              </w:rPr>
            </w:pPr>
            <w:r>
              <w:rPr>
                <w:rFonts w:ascii="Arial"/>
                <w:w w:val="95"/>
                <w:sz w:val="21"/>
              </w:rPr>
              <w:t>699,227,680.19</w:t>
            </w:r>
            <w:r>
              <w:rPr>
                <w:rFonts w:ascii="Arial"/>
                <w:sz w:val="21"/>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Arial" w:hAnsi="Arial" w:cs="Arial" w:eastAsia="Arial" w:hint="default"/>
                <w:sz w:val="21"/>
                <w:szCs w:val="21"/>
              </w:rPr>
            </w:pPr>
            <w:r>
              <w:rPr>
                <w:rFonts w:ascii="Arial"/>
                <w:w w:val="95"/>
                <w:sz w:val="21"/>
              </w:rPr>
              <w:t>50.33%</w:t>
            </w:r>
            <w:r>
              <w:rPr>
                <w:rFonts w:ascii="Arial"/>
                <w:sz w:val="21"/>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Arial" w:hAnsi="Arial" w:cs="Arial" w:eastAsia="Arial" w:hint="default"/>
                <w:sz w:val="21"/>
                <w:szCs w:val="21"/>
              </w:rPr>
            </w:pPr>
            <w:r>
              <w:rPr>
                <w:rFonts w:ascii="Arial"/>
                <w:w w:val="95"/>
                <w:sz w:val="21"/>
              </w:rPr>
              <w:t>9.77%</w:t>
            </w:r>
            <w:r>
              <w:rPr>
                <w:rFonts w:ascii="Arial"/>
                <w:sz w:val="21"/>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运维服务</w:t>
            </w:r>
          </w:p>
        </w:tc>
        <w:tc>
          <w:tcPr>
            <w:tcW w:w="1041"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Arial" w:hAnsi="Arial" w:cs="Arial" w:eastAsia="Arial" w:hint="default"/>
                <w:sz w:val="21"/>
                <w:szCs w:val="21"/>
              </w:rPr>
            </w:pPr>
            <w:r>
              <w:rPr>
                <w:rFonts w:ascii="Arial"/>
                <w:w w:val="95"/>
                <w:sz w:val="21"/>
              </w:rPr>
              <w:t>298,939,589.72</w:t>
            </w:r>
            <w:r>
              <w:rPr>
                <w:rFonts w:ascii="Arial"/>
                <w:sz w:val="21"/>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19.51%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Arial" w:hAnsi="Arial" w:cs="Arial" w:eastAsia="Arial" w:hint="default"/>
                <w:sz w:val="21"/>
                <w:szCs w:val="21"/>
              </w:rPr>
            </w:pPr>
            <w:r>
              <w:rPr>
                <w:rFonts w:ascii="Arial"/>
                <w:w w:val="95"/>
                <w:sz w:val="21"/>
              </w:rPr>
              <w:t>240,038,774.66</w:t>
            </w:r>
            <w:r>
              <w:rPr>
                <w:rFonts w:ascii="Arial"/>
                <w:sz w:val="21"/>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w w:val="95"/>
                <w:sz w:val="21"/>
              </w:rPr>
              <w:t>17.28%</w:t>
            </w:r>
            <w:r>
              <w:rPr>
                <w:rFonts w:ascii="Arial"/>
                <w:sz w:val="21"/>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24.54%</w:t>
            </w:r>
          </w:p>
        </w:tc>
      </w:tr>
    </w:tbl>
    <w:p>
      <w:pPr>
        <w:spacing w:line="240" w:lineRule="auto" w:before="4"/>
        <w:rPr>
          <w:rFonts w:ascii="宋体" w:hAnsi="宋体" w:cs="宋体" w:eastAsia="宋体" w:hint="default"/>
          <w:sz w:val="19"/>
          <w:szCs w:val="19"/>
        </w:rPr>
      </w:pPr>
    </w:p>
    <w:p>
      <w:pPr>
        <w:pStyle w:val="Heading4"/>
        <w:spacing w:line="240" w:lineRule="auto" w:before="34"/>
        <w:ind w:right="996"/>
        <w:jc w:val="left"/>
        <w:rPr>
          <w:b w:val="0"/>
          <w:bCs w:val="0"/>
        </w:rPr>
      </w:pPr>
      <w:bookmarkStart w:name="（6）报告期内合并范围是否发生变动" w:id="32"/>
      <w:bookmarkEnd w:id="32"/>
      <w:r>
        <w:rPr>
          <w:b w:val="0"/>
          <w:bCs w:val="0"/>
        </w:rPr>
      </w:r>
      <w:r>
        <w:rPr/>
        <w:t>（</w:t>
      </w:r>
      <w:r>
        <w:rPr>
          <w:rFonts w:ascii="Arial" w:hAnsi="Arial" w:cs="Arial" w:eastAsia="Arial" w:hint="default"/>
        </w:rPr>
        <w:t>6</w:t>
      </w:r>
      <w:r>
        <w:rPr/>
        <w:t>）报告期内合并范围是否发生变动</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right="996"/>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8"/>
        </w:rPr>
        <w:t> </w:t>
      </w:r>
      <w:r>
        <w:rPr/>
        <w:t>否</w:t>
      </w:r>
    </w:p>
    <w:p>
      <w:pPr>
        <w:pStyle w:val="Heading3"/>
        <w:spacing w:line="240" w:lineRule="auto" w:before="43"/>
        <w:ind w:left="592" w:right="996"/>
        <w:jc w:val="left"/>
      </w:pPr>
      <w:r>
        <w:rPr/>
        <w:t>本公司根据集团经营需要，新设二级控股子公司北京华宇九品科技有限公司。</w:t>
      </w:r>
    </w:p>
    <w:p>
      <w:pPr>
        <w:spacing w:line="240" w:lineRule="auto" w:before="7"/>
        <w:rPr>
          <w:rFonts w:ascii="宋体" w:hAnsi="宋体" w:cs="宋体" w:eastAsia="宋体" w:hint="default"/>
          <w:sz w:val="26"/>
          <w:szCs w:val="26"/>
        </w:rPr>
      </w:pPr>
    </w:p>
    <w:p>
      <w:pPr>
        <w:pStyle w:val="Heading4"/>
        <w:spacing w:line="240" w:lineRule="auto"/>
        <w:ind w:right="996"/>
        <w:jc w:val="left"/>
        <w:rPr>
          <w:b w:val="0"/>
          <w:bCs w:val="0"/>
        </w:rPr>
      </w:pPr>
      <w:bookmarkStart w:name="（7）公司报告期内业务、产品或服务发生重大变化或调整有关情况" w:id="33"/>
      <w:bookmarkEnd w:id="33"/>
      <w:r>
        <w:rPr>
          <w:b w:val="0"/>
          <w:bCs w:val="0"/>
        </w:rPr>
      </w:r>
      <w:r>
        <w:rPr/>
        <w:t>（</w:t>
      </w:r>
      <w:r>
        <w:rPr>
          <w:rFonts w:ascii="Arial" w:hAnsi="Arial" w:cs="Arial" w:eastAsia="Arial" w:hint="default"/>
        </w:rPr>
        <w:t>7</w:t>
      </w:r>
      <w:r>
        <w:rPr/>
        <w:t>）公司报告期内业务、产品或服务发生重大变化或调整有关情况</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right="996"/>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3"/>
        <w:rPr>
          <w:rFonts w:ascii="宋体" w:hAnsi="宋体" w:cs="宋体" w:eastAsia="宋体" w:hint="default"/>
          <w:sz w:val="23"/>
          <w:szCs w:val="23"/>
        </w:rPr>
      </w:pPr>
    </w:p>
    <w:p>
      <w:pPr>
        <w:pStyle w:val="Heading4"/>
        <w:spacing w:line="240" w:lineRule="auto"/>
        <w:ind w:right="996"/>
        <w:jc w:val="left"/>
        <w:rPr>
          <w:b w:val="0"/>
          <w:bCs w:val="0"/>
        </w:rPr>
      </w:pPr>
      <w:bookmarkStart w:name="（8）主要销售客户和主要供应商情况" w:id="34"/>
      <w:bookmarkEnd w:id="34"/>
      <w:r>
        <w:rPr>
          <w:b w:val="0"/>
          <w:bCs w:val="0"/>
        </w:rPr>
      </w:r>
      <w:r>
        <w:rPr/>
        <w:t>（</w:t>
      </w:r>
      <w:r>
        <w:rPr>
          <w:rFonts w:ascii="Arial" w:hAnsi="Arial" w:cs="Arial" w:eastAsia="Arial" w:hint="default"/>
        </w:rPr>
        <w:t>8</w:t>
      </w:r>
      <w:r>
        <w:rPr/>
        <w:t>）主要销售客户和主要供应商情况</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right="996"/>
        <w:jc w:val="left"/>
      </w:pPr>
      <w:r>
        <w:rPr/>
        <w:t>公司主要销售客户情况</w:t>
      </w:r>
    </w:p>
    <w:p>
      <w:pPr>
        <w:spacing w:line="240" w:lineRule="auto" w:before="1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6804"/>
        <w:gridCol w:w="2764"/>
      </w:tblGrid>
      <w:tr>
        <w:trPr>
          <w:trHeight w:val="402" w:hRule="exact"/>
        </w:trPr>
        <w:tc>
          <w:tcPr>
            <w:tcW w:w="6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前五名客户合计销售金额（元）</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4"/>
              <w:jc w:val="right"/>
              <w:rPr>
                <w:rFonts w:ascii="Arial" w:hAnsi="Arial" w:cs="Arial" w:eastAsia="Arial" w:hint="default"/>
                <w:sz w:val="21"/>
                <w:szCs w:val="21"/>
              </w:rPr>
            </w:pPr>
            <w:r>
              <w:rPr>
                <w:rFonts w:ascii="Arial"/>
                <w:w w:val="95"/>
                <w:sz w:val="21"/>
              </w:rPr>
              <w:t>248,317,738.19</w:t>
            </w:r>
            <w:r>
              <w:rPr>
                <w:rFonts w:ascii="Arial"/>
                <w:sz w:val="21"/>
              </w:rPr>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前五名客户合计销售金额占年度销售总额比例</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w w:val="95"/>
                <w:sz w:val="21"/>
              </w:rPr>
              <w:t>9.17%</w:t>
            </w:r>
            <w:r>
              <w:rPr>
                <w:rFonts w:ascii="Arial"/>
                <w:sz w:val="21"/>
              </w:rPr>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前五名客户销售额中关联方销售额占年度销售总额比例</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95"/>
                <w:sz w:val="21"/>
              </w:rPr>
              <w:t>0.00%</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060" w:bottom="1160" w:left="1020" w:right="0"/>
        </w:sectPr>
      </w:pPr>
    </w:p>
    <w:p>
      <w:pPr>
        <w:spacing w:line="240" w:lineRule="auto" w:before="8"/>
        <w:rPr>
          <w:rFonts w:ascii="宋体" w:hAnsi="宋体" w:cs="宋体" w:eastAsia="宋体" w:hint="default"/>
          <w:sz w:val="23"/>
          <w:szCs w:val="23"/>
        </w:rPr>
      </w:pPr>
    </w:p>
    <w:p>
      <w:pPr>
        <w:pStyle w:val="Heading3"/>
        <w:spacing w:line="240" w:lineRule="auto" w:before="26"/>
        <w:ind w:right="996"/>
        <w:jc w:val="left"/>
      </w:pPr>
      <w:r>
        <w:rPr/>
        <w:t>公司前</w:t>
      </w:r>
      <w:r>
        <w:rPr>
          <w:spacing w:val="-60"/>
        </w:rPr>
        <w:t> </w:t>
      </w:r>
      <w:r>
        <w:rPr>
          <w:rFonts w:ascii="Arial" w:hAnsi="Arial" w:cs="Arial" w:eastAsia="Arial" w:hint="default"/>
        </w:rPr>
        <w:t>5</w:t>
      </w:r>
      <w:r>
        <w:rPr>
          <w:rFonts w:ascii="Arial" w:hAnsi="Arial" w:cs="Arial" w:eastAsia="Arial" w:hint="default"/>
          <w:spacing w:val="-6"/>
        </w:rPr>
        <w:t> </w:t>
      </w:r>
      <w:r>
        <w:rPr/>
        <w:t>大客户资料</w:t>
      </w:r>
    </w:p>
    <w:p>
      <w:pPr>
        <w:spacing w:line="240" w:lineRule="auto" w:before="5"/>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85"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2"/>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525" w:right="0"/>
              <w:jc w:val="left"/>
              <w:rPr>
                <w:rFonts w:ascii="宋体" w:hAnsi="宋体" w:cs="宋体" w:eastAsia="宋体" w:hint="default"/>
                <w:sz w:val="21"/>
                <w:szCs w:val="21"/>
              </w:rPr>
            </w:pPr>
            <w:r>
              <w:rPr>
                <w:rFonts w:ascii="宋体" w:hAnsi="宋体" w:cs="宋体" w:eastAsia="宋体" w:hint="default"/>
                <w:sz w:val="21"/>
                <w:szCs w:val="21"/>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620" w:right="0"/>
              <w:jc w:val="left"/>
              <w:rPr>
                <w:rFonts w:ascii="宋体" w:hAnsi="宋体" w:cs="宋体" w:eastAsia="宋体" w:hint="default"/>
                <w:sz w:val="21"/>
                <w:szCs w:val="21"/>
              </w:rPr>
            </w:pPr>
            <w:r>
              <w:rPr>
                <w:rFonts w:ascii="宋体" w:hAnsi="宋体" w:cs="宋体" w:eastAsia="宋体" w:hint="default"/>
                <w:sz w:val="21"/>
                <w:szCs w:val="21"/>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2" w:right="0"/>
              <w:jc w:val="left"/>
              <w:rPr>
                <w:rFonts w:ascii="Arial" w:hAnsi="Arial" w:cs="Arial" w:eastAsia="Arial" w:hint="default"/>
                <w:sz w:val="21"/>
                <w:szCs w:val="21"/>
              </w:rPr>
            </w:pPr>
            <w:r>
              <w:rPr>
                <w:rFonts w:ascii="Arial"/>
                <w:w w:val="99"/>
                <w:sz w:val="21"/>
              </w:rPr>
              <w:t>1</w:t>
            </w:r>
            <w:r>
              <w:rPr>
                <w:rFonts w:ascii="Arial"/>
                <w:sz w:val="21"/>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青海省高级人民法院</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5"/>
              <w:jc w:val="right"/>
              <w:rPr>
                <w:rFonts w:ascii="Arial" w:hAnsi="Arial" w:cs="Arial" w:eastAsia="Arial" w:hint="default"/>
                <w:sz w:val="21"/>
                <w:szCs w:val="21"/>
              </w:rPr>
            </w:pPr>
            <w:r>
              <w:rPr>
                <w:rFonts w:ascii="Arial"/>
                <w:w w:val="95"/>
                <w:sz w:val="21"/>
              </w:rPr>
              <w:t>66,866,951.48</w:t>
            </w:r>
            <w:r>
              <w:rPr>
                <w:rFonts w:ascii="Arial"/>
                <w:sz w:val="21"/>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w w:val="95"/>
                <w:sz w:val="21"/>
              </w:rPr>
              <w:t>2.47%</w:t>
            </w:r>
            <w:r>
              <w:rPr>
                <w:rFonts w:ascii="Arial"/>
                <w:sz w:val="21"/>
              </w:rPr>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22" w:right="0"/>
              <w:jc w:val="left"/>
              <w:rPr>
                <w:rFonts w:ascii="Arial" w:hAnsi="Arial" w:cs="Arial" w:eastAsia="Arial" w:hint="default"/>
                <w:sz w:val="21"/>
                <w:szCs w:val="21"/>
              </w:rPr>
            </w:pPr>
            <w:r>
              <w:rPr>
                <w:rFonts w:ascii="Arial"/>
                <w:w w:val="99"/>
                <w:sz w:val="21"/>
              </w:rPr>
              <w:t>2</w:t>
            </w:r>
            <w:r>
              <w:rPr>
                <w:rFonts w:ascii="Arial"/>
                <w:sz w:val="21"/>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北京市高级人民法院</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5"/>
              <w:jc w:val="right"/>
              <w:rPr>
                <w:rFonts w:ascii="Arial" w:hAnsi="Arial" w:cs="Arial" w:eastAsia="Arial" w:hint="default"/>
                <w:sz w:val="21"/>
                <w:szCs w:val="21"/>
              </w:rPr>
            </w:pPr>
            <w:r>
              <w:rPr>
                <w:rFonts w:ascii="Arial"/>
                <w:w w:val="95"/>
                <w:sz w:val="21"/>
              </w:rPr>
              <w:t>54,183,632.08</w:t>
            </w:r>
            <w:r>
              <w:rPr>
                <w:rFonts w:ascii="Arial"/>
                <w:sz w:val="21"/>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w w:val="95"/>
                <w:sz w:val="21"/>
              </w:rPr>
              <w:t>2.00%</w:t>
            </w:r>
            <w:r>
              <w:rPr>
                <w:rFonts w:ascii="Arial"/>
                <w:sz w:val="21"/>
              </w:rPr>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2" w:right="0"/>
              <w:jc w:val="left"/>
              <w:rPr>
                <w:rFonts w:ascii="Arial" w:hAnsi="Arial" w:cs="Arial" w:eastAsia="Arial" w:hint="default"/>
                <w:sz w:val="21"/>
                <w:szCs w:val="21"/>
              </w:rPr>
            </w:pPr>
            <w:r>
              <w:rPr>
                <w:rFonts w:ascii="Arial"/>
                <w:w w:val="99"/>
                <w:sz w:val="21"/>
              </w:rPr>
              <w:t>3</w:t>
            </w:r>
            <w:r>
              <w:rPr>
                <w:rFonts w:ascii="Arial"/>
                <w:sz w:val="21"/>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最高人民法院</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5"/>
              <w:jc w:val="right"/>
              <w:rPr>
                <w:rFonts w:ascii="Arial" w:hAnsi="Arial" w:cs="Arial" w:eastAsia="Arial" w:hint="default"/>
                <w:sz w:val="21"/>
                <w:szCs w:val="21"/>
              </w:rPr>
            </w:pPr>
            <w:r>
              <w:rPr>
                <w:rFonts w:ascii="Arial"/>
                <w:w w:val="95"/>
                <w:sz w:val="21"/>
              </w:rPr>
              <w:t>51,721,059.83</w:t>
            </w:r>
            <w:r>
              <w:rPr>
                <w:rFonts w:ascii="Arial"/>
                <w:sz w:val="21"/>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w w:val="95"/>
                <w:sz w:val="21"/>
              </w:rPr>
              <w:t>1.91%</w:t>
            </w:r>
            <w:r>
              <w:rPr>
                <w:rFonts w:ascii="Arial"/>
                <w:sz w:val="21"/>
              </w:rPr>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22" w:right="0"/>
              <w:jc w:val="left"/>
              <w:rPr>
                <w:rFonts w:ascii="Arial" w:hAnsi="Arial" w:cs="Arial" w:eastAsia="Arial" w:hint="default"/>
                <w:sz w:val="21"/>
                <w:szCs w:val="21"/>
              </w:rPr>
            </w:pPr>
            <w:r>
              <w:rPr>
                <w:rFonts w:ascii="Arial"/>
                <w:w w:val="99"/>
                <w:sz w:val="21"/>
              </w:rPr>
              <w:t>4</w:t>
            </w:r>
            <w:r>
              <w:rPr>
                <w:rFonts w:ascii="Arial"/>
                <w:sz w:val="21"/>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Arial" w:hAnsi="Arial" w:cs="Arial" w:eastAsia="Arial" w:hint="default"/>
                <w:sz w:val="21"/>
                <w:szCs w:val="21"/>
              </w:rPr>
            </w:pPr>
            <w:r>
              <w:rPr>
                <w:rFonts w:ascii="宋体" w:hAnsi="宋体" w:cs="宋体" w:eastAsia="宋体" w:hint="default"/>
                <w:sz w:val="21"/>
                <w:szCs w:val="21"/>
              </w:rPr>
              <w:t>客户</w:t>
            </w:r>
            <w:r>
              <w:rPr>
                <w:rFonts w:ascii="宋体" w:hAnsi="宋体" w:cs="宋体" w:eastAsia="宋体" w:hint="default"/>
                <w:spacing w:val="-54"/>
                <w:sz w:val="21"/>
                <w:szCs w:val="21"/>
              </w:rPr>
              <w:t> </w:t>
            </w:r>
            <w:r>
              <w:rPr>
                <w:rFonts w:ascii="Arial" w:hAnsi="Arial" w:cs="Arial" w:eastAsia="Arial" w:hint="default"/>
                <w:sz w:val="21"/>
                <w:szCs w:val="21"/>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5"/>
              <w:jc w:val="right"/>
              <w:rPr>
                <w:rFonts w:ascii="Arial" w:hAnsi="Arial" w:cs="Arial" w:eastAsia="Arial" w:hint="default"/>
                <w:sz w:val="21"/>
                <w:szCs w:val="21"/>
              </w:rPr>
            </w:pPr>
            <w:r>
              <w:rPr>
                <w:rFonts w:ascii="Arial"/>
                <w:w w:val="95"/>
                <w:sz w:val="21"/>
              </w:rPr>
              <w:t>41,223,263.35</w:t>
            </w:r>
            <w:r>
              <w:rPr>
                <w:rFonts w:ascii="Arial"/>
                <w:sz w:val="21"/>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w w:val="95"/>
                <w:sz w:val="21"/>
              </w:rPr>
              <w:t>1.52%</w:t>
            </w:r>
            <w:r>
              <w:rPr>
                <w:rFonts w:ascii="Arial"/>
                <w:sz w:val="21"/>
              </w:rPr>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2" w:right="0"/>
              <w:jc w:val="left"/>
              <w:rPr>
                <w:rFonts w:ascii="Arial" w:hAnsi="Arial" w:cs="Arial" w:eastAsia="Arial" w:hint="default"/>
                <w:sz w:val="21"/>
                <w:szCs w:val="21"/>
              </w:rPr>
            </w:pPr>
            <w:r>
              <w:rPr>
                <w:rFonts w:ascii="Arial"/>
                <w:w w:val="99"/>
                <w:sz w:val="21"/>
              </w:rPr>
              <w:t>5</w:t>
            </w:r>
            <w:r>
              <w:rPr>
                <w:rFonts w:ascii="Arial"/>
                <w:sz w:val="21"/>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上海市高级人民法院</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5"/>
              <w:jc w:val="right"/>
              <w:rPr>
                <w:rFonts w:ascii="Arial" w:hAnsi="Arial" w:cs="Arial" w:eastAsia="Arial" w:hint="default"/>
                <w:sz w:val="21"/>
                <w:szCs w:val="21"/>
              </w:rPr>
            </w:pPr>
            <w:r>
              <w:rPr>
                <w:rFonts w:ascii="Arial"/>
                <w:w w:val="95"/>
                <w:sz w:val="21"/>
              </w:rPr>
              <w:t>34,322,831.45</w:t>
            </w:r>
            <w:r>
              <w:rPr>
                <w:rFonts w:ascii="Arial"/>
                <w:sz w:val="21"/>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w w:val="95"/>
                <w:sz w:val="21"/>
              </w:rPr>
              <w:t>1.27%</w:t>
            </w:r>
            <w:r>
              <w:rPr>
                <w:rFonts w:ascii="Arial"/>
                <w:sz w:val="21"/>
              </w:rPr>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1"/>
              <w:jc w:val="center"/>
              <w:rPr>
                <w:rFonts w:ascii="Arial" w:hAnsi="Arial" w:cs="Arial" w:eastAsia="Arial" w:hint="default"/>
                <w:sz w:val="21"/>
                <w:szCs w:val="21"/>
              </w:rPr>
            </w:pPr>
            <w:r>
              <w:rPr>
                <w:rFonts w:ascii="Arial"/>
                <w:sz w:val="21"/>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2"/>
              <w:jc w:val="right"/>
              <w:rPr>
                <w:rFonts w:ascii="Arial" w:hAnsi="Arial" w:cs="Arial" w:eastAsia="Arial" w:hint="default"/>
                <w:sz w:val="21"/>
                <w:szCs w:val="21"/>
              </w:rPr>
            </w:pPr>
            <w:r>
              <w:rPr>
                <w:rFonts w:ascii="Arial"/>
                <w:w w:val="95"/>
                <w:sz w:val="21"/>
              </w:rPr>
              <w:t>248,317,738.19</w:t>
            </w:r>
            <w:r>
              <w:rPr>
                <w:rFonts w:ascii="Arial"/>
                <w:sz w:val="21"/>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w w:val="95"/>
                <w:sz w:val="21"/>
              </w:rPr>
              <w:t>9.17%</w:t>
            </w:r>
            <w:r>
              <w:rPr>
                <w:rFonts w:ascii="Arial"/>
                <w:sz w:val="21"/>
              </w:rPr>
            </w:r>
          </w:p>
        </w:tc>
      </w:tr>
    </w:tbl>
    <w:p>
      <w:pPr>
        <w:pStyle w:val="Heading3"/>
        <w:spacing w:line="240" w:lineRule="auto" w:before="3"/>
        <w:ind w:right="996"/>
        <w:jc w:val="left"/>
      </w:pPr>
      <w:r>
        <w:rPr/>
        <w:t>主要客户其他情况说明</w:t>
      </w:r>
    </w:p>
    <w:p>
      <w:pPr>
        <w:pStyle w:val="Heading3"/>
        <w:spacing w:line="312" w:lineRule="auto" w:before="36"/>
        <w:ind w:right="859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公司主要供应商情况</w:t>
      </w:r>
    </w:p>
    <w:p>
      <w:pPr>
        <w:spacing w:line="240" w:lineRule="auto" w:before="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5670"/>
        <w:gridCol w:w="3898"/>
      </w:tblGrid>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前五名供应商合计采购金额（元）</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Arial" w:hAnsi="Arial" w:cs="Arial" w:eastAsia="Arial" w:hint="default"/>
                <w:sz w:val="21"/>
                <w:szCs w:val="21"/>
              </w:rPr>
            </w:pPr>
            <w:r>
              <w:rPr>
                <w:rFonts w:ascii="Arial"/>
                <w:spacing w:val="-1"/>
                <w:w w:val="95"/>
                <w:sz w:val="21"/>
              </w:rPr>
              <w:t>212,548,116.85</w:t>
            </w:r>
            <w:r>
              <w:rPr>
                <w:rFonts w:ascii="Arial"/>
                <w:spacing w:val="-1"/>
                <w:sz w:val="21"/>
              </w:rPr>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前五名供应商合计采购金额占年度采购总额比例</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Arial" w:hAnsi="Arial" w:cs="Arial" w:eastAsia="Arial" w:hint="default"/>
                <w:sz w:val="21"/>
                <w:szCs w:val="21"/>
              </w:rPr>
            </w:pPr>
            <w:r>
              <w:rPr>
                <w:rFonts w:ascii="Arial"/>
                <w:spacing w:val="-1"/>
                <w:sz w:val="21"/>
              </w:rPr>
              <w:t>16.79%</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前五名供应商采购额中关联方采购额占年度采购总额比例</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w w:val="95"/>
                <w:sz w:val="21"/>
              </w:rPr>
              <w:t>0.45%</w:t>
            </w:r>
            <w:r>
              <w:rPr>
                <w:rFonts w:ascii="Arial"/>
                <w:sz w:val="21"/>
              </w:rPr>
            </w:r>
          </w:p>
        </w:tc>
      </w:tr>
    </w:tbl>
    <w:p>
      <w:pPr>
        <w:pStyle w:val="Heading3"/>
        <w:spacing w:line="240" w:lineRule="auto" w:before="82"/>
        <w:ind w:right="996"/>
        <w:jc w:val="left"/>
      </w:pPr>
      <w:r>
        <w:rPr/>
        <w:t>公司前</w:t>
      </w:r>
      <w:r>
        <w:rPr>
          <w:spacing w:val="-60"/>
        </w:rPr>
        <w:t> </w:t>
      </w:r>
      <w:r>
        <w:rPr>
          <w:rFonts w:ascii="Arial" w:hAnsi="Arial" w:cs="Arial" w:eastAsia="Arial" w:hint="default"/>
        </w:rPr>
        <w:t>5</w:t>
      </w:r>
      <w:r>
        <w:rPr>
          <w:rFonts w:ascii="Arial" w:hAnsi="Arial" w:cs="Arial" w:eastAsia="Arial" w:hint="default"/>
          <w:spacing w:val="-6"/>
        </w:rPr>
        <w:t> </w:t>
      </w:r>
      <w:r>
        <w:rPr/>
        <w:t>名供应商资料</w:t>
      </w:r>
    </w:p>
    <w:p>
      <w:pPr>
        <w:spacing w:line="240" w:lineRule="auto" w:before="4"/>
        <w:rPr>
          <w:rFonts w:ascii="宋体" w:hAnsi="宋体" w:cs="宋体" w:eastAsia="宋体"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709"/>
        <w:gridCol w:w="4394"/>
        <w:gridCol w:w="2127"/>
        <w:gridCol w:w="2338"/>
      </w:tblGrid>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3"/>
              <w:jc w:val="center"/>
              <w:rPr>
                <w:rFonts w:ascii="宋体" w:hAnsi="宋体" w:cs="宋体" w:eastAsia="宋体" w:hint="default"/>
                <w:sz w:val="21"/>
                <w:szCs w:val="21"/>
              </w:rPr>
            </w:pPr>
            <w:r>
              <w:rPr>
                <w:rFonts w:ascii="宋体" w:hAnsi="宋体" w:cs="宋体" w:eastAsia="宋体" w:hint="default"/>
                <w:sz w:val="21"/>
                <w:szCs w:val="21"/>
              </w:rPr>
              <w:t>序号</w:t>
            </w:r>
          </w:p>
        </w:tc>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供应商名称</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427" w:right="0"/>
              <w:jc w:val="left"/>
              <w:rPr>
                <w:rFonts w:ascii="宋体" w:hAnsi="宋体" w:cs="宋体" w:eastAsia="宋体" w:hint="default"/>
                <w:sz w:val="21"/>
                <w:szCs w:val="21"/>
              </w:rPr>
            </w:pPr>
            <w:r>
              <w:rPr>
                <w:rFonts w:ascii="宋体" w:hAnsi="宋体" w:cs="宋体" w:eastAsia="宋体" w:hint="default"/>
                <w:sz w:val="21"/>
                <w:szCs w:val="21"/>
              </w:rPr>
              <w:t>采购额（元）</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18" w:right="0"/>
              <w:jc w:val="left"/>
              <w:rPr>
                <w:rFonts w:ascii="宋体" w:hAnsi="宋体" w:cs="宋体" w:eastAsia="宋体" w:hint="default"/>
                <w:sz w:val="21"/>
                <w:szCs w:val="21"/>
              </w:rPr>
            </w:pPr>
            <w:r>
              <w:rPr>
                <w:rFonts w:ascii="宋体" w:hAnsi="宋体" w:cs="宋体" w:eastAsia="宋体" w:hint="default"/>
                <w:sz w:val="21"/>
                <w:szCs w:val="21"/>
              </w:rPr>
              <w:t>占年度采购总额比例</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0"/>
              <w:jc w:val="center"/>
              <w:rPr>
                <w:rFonts w:ascii="Arial" w:hAnsi="Arial" w:cs="Arial" w:eastAsia="Arial" w:hint="default"/>
                <w:sz w:val="21"/>
                <w:szCs w:val="21"/>
              </w:rPr>
            </w:pPr>
            <w:r>
              <w:rPr>
                <w:rFonts w:ascii="Arial"/>
                <w:w w:val="99"/>
                <w:sz w:val="21"/>
              </w:rPr>
              <w:t>1</w:t>
            </w:r>
            <w:r>
              <w:rPr>
                <w:rFonts w:ascii="Arial"/>
                <w:sz w:val="21"/>
              </w:rPr>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21"/>
                <w:szCs w:val="21"/>
              </w:rPr>
            </w:pPr>
            <w:r>
              <w:rPr>
                <w:rFonts w:ascii="宋体" w:hAnsi="宋体" w:cs="宋体" w:eastAsia="宋体" w:hint="default"/>
                <w:sz w:val="21"/>
                <w:szCs w:val="21"/>
              </w:rPr>
              <w:t>恩益禧数码应用产品贸易（上海）有限公司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3"/>
              <w:jc w:val="right"/>
              <w:rPr>
                <w:rFonts w:ascii="Arial" w:hAnsi="Arial" w:cs="Arial" w:eastAsia="Arial" w:hint="default"/>
                <w:sz w:val="21"/>
                <w:szCs w:val="21"/>
              </w:rPr>
            </w:pPr>
            <w:r>
              <w:rPr>
                <w:rFonts w:ascii="Arial"/>
                <w:spacing w:val="-1"/>
                <w:w w:val="95"/>
                <w:sz w:val="21"/>
              </w:rPr>
              <w:t>116,824,000.00</w:t>
            </w:r>
            <w:r>
              <w:rPr>
                <w:rFonts w:ascii="Arial"/>
                <w:spacing w:val="-1"/>
                <w:sz w:val="21"/>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w w:val="95"/>
                <w:sz w:val="21"/>
              </w:rPr>
              <w:t>9.23%</w:t>
            </w:r>
            <w:r>
              <w:rPr>
                <w:rFonts w:ascii="Arial"/>
                <w:sz w:val="21"/>
              </w:rPr>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Arial" w:hAnsi="Arial" w:cs="Arial" w:eastAsia="Arial" w:hint="default"/>
                <w:sz w:val="21"/>
                <w:szCs w:val="21"/>
              </w:rPr>
            </w:pPr>
            <w:r>
              <w:rPr>
                <w:rFonts w:ascii="Arial"/>
                <w:w w:val="99"/>
                <w:sz w:val="21"/>
              </w:rPr>
              <w:t>2</w:t>
            </w:r>
            <w:r>
              <w:rPr>
                <w:rFonts w:ascii="Arial"/>
                <w:sz w:val="21"/>
              </w:rPr>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Arial" w:hAnsi="Arial" w:cs="Arial" w:eastAsia="Arial" w:hint="default"/>
                <w:sz w:val="21"/>
                <w:szCs w:val="21"/>
              </w:rPr>
            </w:pPr>
            <w:r>
              <w:rPr>
                <w:rFonts w:ascii="宋体" w:hAnsi="宋体" w:cs="宋体" w:eastAsia="宋体" w:hint="default"/>
                <w:sz w:val="21"/>
                <w:szCs w:val="21"/>
              </w:rPr>
              <w:t>供应商</w:t>
            </w:r>
            <w:r>
              <w:rPr>
                <w:rFonts w:ascii="宋体" w:hAnsi="宋体" w:cs="宋体" w:eastAsia="宋体" w:hint="default"/>
                <w:spacing w:val="-56"/>
                <w:sz w:val="21"/>
                <w:szCs w:val="21"/>
              </w:rPr>
              <w:t> </w:t>
            </w:r>
            <w:r>
              <w:rPr>
                <w:rFonts w:ascii="Arial" w:hAnsi="Arial" w:cs="Arial" w:eastAsia="Arial" w:hint="default"/>
                <w:sz w:val="21"/>
                <w:szCs w:val="21"/>
              </w:rPr>
              <w:t>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Arial" w:hAnsi="Arial" w:cs="Arial" w:eastAsia="Arial" w:hint="default"/>
                <w:sz w:val="21"/>
                <w:szCs w:val="21"/>
              </w:rPr>
            </w:pPr>
            <w:r>
              <w:rPr>
                <w:rFonts w:ascii="Arial"/>
                <w:w w:val="95"/>
                <w:sz w:val="21"/>
              </w:rPr>
              <w:t>33,539,940.00</w:t>
            </w:r>
            <w:r>
              <w:rPr>
                <w:rFonts w:ascii="Arial"/>
                <w:sz w:val="21"/>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w w:val="95"/>
                <w:sz w:val="21"/>
              </w:rPr>
              <w:t>2.65%</w:t>
            </w:r>
            <w:r>
              <w:rPr>
                <w:rFonts w:ascii="Arial"/>
                <w:sz w:val="21"/>
              </w:rPr>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0"/>
              <w:jc w:val="center"/>
              <w:rPr>
                <w:rFonts w:ascii="Arial" w:hAnsi="Arial" w:cs="Arial" w:eastAsia="Arial" w:hint="default"/>
                <w:sz w:val="21"/>
                <w:szCs w:val="21"/>
              </w:rPr>
            </w:pPr>
            <w:r>
              <w:rPr>
                <w:rFonts w:ascii="Arial"/>
                <w:w w:val="99"/>
                <w:sz w:val="21"/>
              </w:rPr>
              <w:t>3</w:t>
            </w:r>
            <w:r>
              <w:rPr>
                <w:rFonts w:ascii="Arial"/>
                <w:sz w:val="21"/>
              </w:rPr>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21"/>
                <w:szCs w:val="21"/>
              </w:rPr>
            </w:pPr>
            <w:r>
              <w:rPr>
                <w:rFonts w:ascii="宋体" w:hAnsi="宋体" w:cs="宋体" w:eastAsia="宋体" w:hint="default"/>
                <w:sz w:val="21"/>
                <w:szCs w:val="21"/>
              </w:rPr>
              <w:t>深圳市捷视飞通科技股份有限公司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6"/>
              <w:jc w:val="right"/>
              <w:rPr>
                <w:rFonts w:ascii="Arial" w:hAnsi="Arial" w:cs="Arial" w:eastAsia="Arial" w:hint="default"/>
                <w:sz w:val="21"/>
                <w:szCs w:val="21"/>
              </w:rPr>
            </w:pPr>
            <w:r>
              <w:rPr>
                <w:rFonts w:ascii="Arial"/>
                <w:w w:val="95"/>
                <w:sz w:val="21"/>
              </w:rPr>
              <w:t>22,463,580.31</w:t>
            </w:r>
            <w:r>
              <w:rPr>
                <w:rFonts w:ascii="Arial"/>
                <w:sz w:val="21"/>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w w:val="95"/>
                <w:sz w:val="21"/>
              </w:rPr>
              <w:t>1.77%</w:t>
            </w:r>
            <w:r>
              <w:rPr>
                <w:rFonts w:ascii="Arial"/>
                <w:sz w:val="21"/>
              </w:rPr>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Arial" w:hAnsi="Arial" w:cs="Arial" w:eastAsia="Arial" w:hint="default"/>
                <w:sz w:val="21"/>
                <w:szCs w:val="21"/>
              </w:rPr>
            </w:pPr>
            <w:r>
              <w:rPr>
                <w:rFonts w:ascii="Arial"/>
                <w:w w:val="99"/>
                <w:sz w:val="21"/>
              </w:rPr>
              <w:t>4</w:t>
            </w:r>
            <w:r>
              <w:rPr>
                <w:rFonts w:ascii="Arial"/>
                <w:sz w:val="21"/>
              </w:rPr>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北京华兴宏达科技发展有限公司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Arial" w:hAnsi="Arial" w:cs="Arial" w:eastAsia="Arial" w:hint="default"/>
                <w:sz w:val="21"/>
                <w:szCs w:val="21"/>
              </w:rPr>
            </w:pPr>
            <w:r>
              <w:rPr>
                <w:rFonts w:ascii="Arial"/>
                <w:w w:val="95"/>
                <w:sz w:val="21"/>
              </w:rPr>
              <w:t>21,855,709.00</w:t>
            </w:r>
            <w:r>
              <w:rPr>
                <w:rFonts w:ascii="Arial"/>
                <w:sz w:val="21"/>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w w:val="95"/>
                <w:sz w:val="21"/>
              </w:rPr>
              <w:t>1.73%</w:t>
            </w:r>
            <w:r>
              <w:rPr>
                <w:rFonts w:ascii="Arial"/>
                <w:sz w:val="21"/>
              </w:rPr>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0"/>
              <w:jc w:val="center"/>
              <w:rPr>
                <w:rFonts w:ascii="Arial" w:hAnsi="Arial" w:cs="Arial" w:eastAsia="Arial" w:hint="default"/>
                <w:sz w:val="21"/>
                <w:szCs w:val="21"/>
              </w:rPr>
            </w:pPr>
            <w:r>
              <w:rPr>
                <w:rFonts w:ascii="Arial"/>
                <w:w w:val="99"/>
                <w:sz w:val="21"/>
              </w:rPr>
              <w:t>5</w:t>
            </w:r>
            <w:r>
              <w:rPr>
                <w:rFonts w:ascii="Arial"/>
                <w:sz w:val="21"/>
              </w:rPr>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21"/>
                <w:szCs w:val="21"/>
              </w:rPr>
            </w:pPr>
            <w:r>
              <w:rPr>
                <w:rFonts w:ascii="宋体" w:hAnsi="宋体" w:cs="宋体" w:eastAsia="宋体" w:hint="default"/>
                <w:sz w:val="21"/>
                <w:szCs w:val="21"/>
              </w:rPr>
              <w:t>北京二联欣科科技有限公司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6"/>
              <w:jc w:val="right"/>
              <w:rPr>
                <w:rFonts w:ascii="Arial" w:hAnsi="Arial" w:cs="Arial" w:eastAsia="Arial" w:hint="default"/>
                <w:sz w:val="21"/>
                <w:szCs w:val="21"/>
              </w:rPr>
            </w:pPr>
            <w:r>
              <w:rPr>
                <w:rFonts w:ascii="Arial"/>
                <w:w w:val="95"/>
                <w:sz w:val="21"/>
              </w:rPr>
              <w:t>17,864,887.54</w:t>
            </w:r>
            <w:r>
              <w:rPr>
                <w:rFonts w:ascii="Arial"/>
                <w:sz w:val="21"/>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w w:val="95"/>
                <w:sz w:val="21"/>
              </w:rPr>
              <w:t>1.41%</w:t>
            </w:r>
            <w:r>
              <w:rPr>
                <w:rFonts w:ascii="Arial"/>
                <w:sz w:val="21"/>
              </w:rPr>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3" w:right="0"/>
              <w:jc w:val="center"/>
              <w:rPr>
                <w:rFonts w:ascii="Arial" w:hAnsi="Arial" w:cs="Arial" w:eastAsia="Arial" w:hint="default"/>
                <w:sz w:val="21"/>
                <w:szCs w:val="21"/>
              </w:rPr>
            </w:pPr>
            <w:r>
              <w:rPr>
                <w:rFonts w:ascii="Arial"/>
                <w:sz w:val="21"/>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Arial" w:hAnsi="Arial" w:cs="Arial" w:eastAsia="Arial" w:hint="default"/>
                <w:sz w:val="21"/>
                <w:szCs w:val="21"/>
              </w:rPr>
            </w:pPr>
            <w:r>
              <w:rPr>
                <w:rFonts w:ascii="Arial"/>
                <w:spacing w:val="-1"/>
                <w:w w:val="95"/>
                <w:sz w:val="21"/>
              </w:rPr>
              <w:t>212,548,116.85</w:t>
            </w:r>
            <w:r>
              <w:rPr>
                <w:rFonts w:ascii="Arial"/>
                <w:spacing w:val="-1"/>
                <w:sz w:val="21"/>
              </w:rPr>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sz w:val="21"/>
              </w:rPr>
              <w:t>16.79%</w:t>
            </w:r>
          </w:p>
        </w:tc>
      </w:tr>
    </w:tbl>
    <w:p>
      <w:pPr>
        <w:pStyle w:val="Heading3"/>
        <w:spacing w:line="240" w:lineRule="auto" w:before="82"/>
        <w:ind w:right="996"/>
        <w:jc w:val="left"/>
      </w:pPr>
      <w:r>
        <w:rPr/>
        <w:t>主要供应商其他情况说明</w:t>
      </w:r>
    </w:p>
    <w:p>
      <w:pPr>
        <w:pStyle w:val="Heading3"/>
        <w:spacing w:line="240" w:lineRule="auto" w:before="115"/>
        <w:ind w:right="996"/>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3"/>
        <w:rPr>
          <w:rFonts w:ascii="宋体" w:hAnsi="宋体" w:cs="宋体" w:eastAsia="宋体" w:hint="default"/>
          <w:sz w:val="23"/>
          <w:szCs w:val="23"/>
        </w:rPr>
      </w:pPr>
    </w:p>
    <w:p>
      <w:pPr>
        <w:pStyle w:val="Heading4"/>
        <w:spacing w:line="240" w:lineRule="auto"/>
        <w:ind w:right="996"/>
        <w:jc w:val="left"/>
        <w:rPr>
          <w:b w:val="0"/>
          <w:bCs w:val="0"/>
        </w:rPr>
      </w:pPr>
      <w:bookmarkStart w:name="3、费用" w:id="35"/>
      <w:bookmarkEnd w:id="35"/>
      <w:r>
        <w:rPr>
          <w:b w:val="0"/>
          <w:bCs w:val="0"/>
        </w:rPr>
      </w:r>
      <w:r>
        <w:rPr>
          <w:rFonts w:ascii="Arial" w:hAnsi="Arial" w:cs="Arial" w:eastAsia="Arial" w:hint="default"/>
        </w:rPr>
        <w:t>3</w:t>
      </w:r>
      <w:r>
        <w:rPr/>
        <w:t>、费用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35"/>
        <w:jc w:val="right"/>
      </w:pPr>
      <w:r>
        <w:rPr>
          <w:w w:val="95"/>
        </w:rPr>
        <w:t>单位：元</w:t>
      </w:r>
      <w:r>
        <w:rPr/>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5"/>
        <w:gridCol w:w="1637"/>
        <w:gridCol w:w="1637"/>
        <w:gridCol w:w="1461"/>
        <w:gridCol w:w="2918"/>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50" w:right="0"/>
              <w:jc w:val="left"/>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10"/>
                <w:sz w:val="21"/>
                <w:szCs w:val="21"/>
              </w:rPr>
              <w:t> </w:t>
            </w:r>
            <w:r>
              <w:rPr>
                <w:rFonts w:ascii="宋体" w:hAnsi="宋体" w:cs="宋体" w:eastAsia="宋体" w:hint="default"/>
                <w:sz w:val="21"/>
                <w:szCs w:val="21"/>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50" w:right="0"/>
              <w:jc w:val="left"/>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10"/>
                <w:sz w:val="21"/>
                <w:szCs w:val="21"/>
              </w:rPr>
              <w:t> </w:t>
            </w:r>
            <w:r>
              <w:rPr>
                <w:rFonts w:ascii="宋体" w:hAnsi="宋体" w:cs="宋体" w:eastAsia="宋体" w:hint="default"/>
                <w:sz w:val="21"/>
                <w:szCs w:val="21"/>
              </w:rPr>
              <w:t>年</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05" w:right="0"/>
              <w:jc w:val="left"/>
              <w:rPr>
                <w:rFonts w:ascii="宋体" w:hAnsi="宋体" w:cs="宋体" w:eastAsia="宋体" w:hint="default"/>
                <w:sz w:val="21"/>
                <w:szCs w:val="21"/>
              </w:rPr>
            </w:pPr>
            <w:r>
              <w:rPr>
                <w:rFonts w:ascii="宋体" w:hAnsi="宋体" w:cs="宋体" w:eastAsia="宋体" w:hint="default"/>
                <w:sz w:val="21"/>
                <w:szCs w:val="21"/>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24"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362" w:hRule="exact"/>
        </w:trPr>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461"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5"/>
              <w:ind w:left="23"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、并购联奕科技影响合并口径</w:t>
            </w:r>
          </w:p>
        </w:tc>
      </w:tr>
      <w:tr>
        <w:trPr>
          <w:trHeight w:val="665" w:hRule="exact"/>
        </w:trPr>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8"/>
              <w:ind w:left="2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2"/>
              <w:jc w:val="right"/>
              <w:rPr>
                <w:rFonts w:ascii="Arial" w:hAnsi="Arial" w:cs="Arial" w:eastAsia="Arial" w:hint="default"/>
                <w:sz w:val="21"/>
                <w:szCs w:val="21"/>
              </w:rPr>
            </w:pPr>
            <w:r>
              <w:rPr>
                <w:rFonts w:ascii="Arial"/>
                <w:w w:val="95"/>
                <w:sz w:val="21"/>
              </w:rPr>
              <w:t>198,935,513.56</w:t>
            </w:r>
            <w:r>
              <w:rPr>
                <w:rFonts w:ascii="Arial"/>
                <w:sz w:val="21"/>
              </w:rPr>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2"/>
              <w:jc w:val="right"/>
              <w:rPr>
                <w:rFonts w:ascii="Arial" w:hAnsi="Arial" w:cs="Arial" w:eastAsia="Arial" w:hint="default"/>
                <w:sz w:val="21"/>
                <w:szCs w:val="21"/>
              </w:rPr>
            </w:pPr>
            <w:r>
              <w:rPr>
                <w:rFonts w:ascii="Arial"/>
                <w:w w:val="95"/>
                <w:sz w:val="21"/>
              </w:rPr>
              <w:t>130,520,356.57</w:t>
            </w:r>
            <w:r>
              <w:rPr>
                <w:rFonts w:ascii="Arial"/>
                <w:sz w:val="21"/>
              </w:rPr>
            </w:r>
          </w:p>
        </w:tc>
        <w:tc>
          <w:tcPr>
            <w:tcW w:w="14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Arial" w:hAnsi="Arial" w:cs="Arial" w:eastAsia="Arial" w:hint="default"/>
                <w:sz w:val="21"/>
                <w:szCs w:val="21"/>
              </w:rPr>
            </w:pPr>
            <w:r>
              <w:rPr>
                <w:rFonts w:ascii="Arial"/>
                <w:w w:val="95"/>
                <w:sz w:val="21"/>
              </w:rPr>
              <w:t>52.42%</w:t>
            </w:r>
            <w:r>
              <w:rPr>
                <w:rFonts w:ascii="Arial"/>
                <w:sz w:val="21"/>
              </w:rPr>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的增加</w:t>
            </w:r>
          </w:p>
          <w:p>
            <w:pPr>
              <w:pStyle w:val="TableParagraph"/>
              <w:spacing w:line="240" w:lineRule="auto" w:before="78"/>
              <w:ind w:left="23"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、全国性营销网络布局带动的</w:t>
            </w:r>
          </w:p>
        </w:tc>
      </w:tr>
      <w:tr>
        <w:trPr>
          <w:trHeight w:val="352" w:hRule="exact"/>
        </w:trPr>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461"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薪酬及业务费用增加</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2"/>
              <w:jc w:val="right"/>
              <w:rPr>
                <w:rFonts w:ascii="Arial" w:hAnsi="Arial" w:cs="Arial" w:eastAsia="Arial" w:hint="default"/>
                <w:sz w:val="21"/>
                <w:szCs w:val="21"/>
              </w:rPr>
            </w:pPr>
            <w:r>
              <w:rPr>
                <w:rFonts w:ascii="Arial"/>
                <w:w w:val="95"/>
                <w:sz w:val="21"/>
              </w:rPr>
              <w:t>305,390,513.29</w:t>
            </w:r>
            <w:r>
              <w:rPr>
                <w:rFonts w:ascii="Arial"/>
                <w:sz w:val="21"/>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2"/>
              <w:jc w:val="right"/>
              <w:rPr>
                <w:rFonts w:ascii="Arial" w:hAnsi="Arial" w:cs="Arial" w:eastAsia="Arial" w:hint="default"/>
                <w:sz w:val="21"/>
                <w:szCs w:val="21"/>
              </w:rPr>
            </w:pPr>
            <w:r>
              <w:rPr>
                <w:rFonts w:ascii="Arial"/>
                <w:w w:val="95"/>
                <w:sz w:val="21"/>
              </w:rPr>
              <w:t>246,073,509.49</w:t>
            </w:r>
            <w:r>
              <w:rPr>
                <w:rFonts w:ascii="Arial"/>
                <w:sz w:val="21"/>
              </w:rPr>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3"/>
                <w:sz w:val="21"/>
              </w:rPr>
              <w:t>24.11%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5"/>
              <w:jc w:val="right"/>
              <w:rPr>
                <w:rFonts w:ascii="Arial" w:hAnsi="Arial" w:cs="Arial" w:eastAsia="Arial" w:hint="default"/>
                <w:sz w:val="21"/>
                <w:szCs w:val="21"/>
              </w:rPr>
            </w:pPr>
            <w:r>
              <w:rPr>
                <w:rFonts w:ascii="Arial"/>
                <w:w w:val="95"/>
                <w:sz w:val="21"/>
              </w:rPr>
              <w:t>-6,613,081.71</w:t>
            </w:r>
            <w:r>
              <w:rPr>
                <w:rFonts w:ascii="Arial"/>
                <w:sz w:val="21"/>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2"/>
              <w:jc w:val="right"/>
              <w:rPr>
                <w:rFonts w:ascii="Arial" w:hAnsi="Arial" w:cs="Arial" w:eastAsia="Arial" w:hint="default"/>
                <w:sz w:val="21"/>
                <w:szCs w:val="21"/>
              </w:rPr>
            </w:pPr>
            <w:r>
              <w:rPr>
                <w:rFonts w:ascii="Arial"/>
                <w:w w:val="95"/>
                <w:sz w:val="21"/>
              </w:rPr>
              <w:t>-7,649,125.04</w:t>
            </w:r>
            <w:r>
              <w:rPr>
                <w:rFonts w:ascii="Arial"/>
                <w:sz w:val="21"/>
              </w:rPr>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95"/>
                <w:sz w:val="21"/>
              </w:rPr>
              <w:t>13.54%</w:t>
            </w:r>
            <w:r>
              <w:rPr>
                <w:rFonts w:ascii="Arial"/>
                <w:sz w:val="21"/>
              </w:rPr>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5"/>
        <w:gridCol w:w="1637"/>
        <w:gridCol w:w="1637"/>
        <w:gridCol w:w="1461"/>
        <w:gridCol w:w="2918"/>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55" w:right="0"/>
              <w:jc w:val="left"/>
              <w:rPr>
                <w:rFonts w:ascii="Arial" w:hAnsi="Arial" w:cs="Arial" w:eastAsia="Arial" w:hint="default"/>
                <w:sz w:val="21"/>
                <w:szCs w:val="21"/>
              </w:rPr>
            </w:pPr>
            <w:r>
              <w:rPr>
                <w:rFonts w:ascii="Arial"/>
                <w:sz w:val="21"/>
              </w:rPr>
              <w:t>235,990,689.67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69" w:right="0"/>
              <w:jc w:val="left"/>
              <w:rPr>
                <w:rFonts w:ascii="Arial" w:hAnsi="Arial" w:cs="Arial" w:eastAsia="Arial" w:hint="default"/>
                <w:sz w:val="21"/>
                <w:szCs w:val="21"/>
              </w:rPr>
            </w:pPr>
            <w:r>
              <w:rPr>
                <w:rFonts w:ascii="Arial"/>
                <w:w w:val="95"/>
                <w:sz w:val="21"/>
              </w:rPr>
              <w:t>211,777,920.28</w:t>
            </w:r>
            <w:r>
              <w:rPr>
                <w:rFonts w:ascii="Arial"/>
                <w:sz w:val="21"/>
              </w:rPr>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35" w:right="0"/>
              <w:jc w:val="left"/>
              <w:rPr>
                <w:rFonts w:ascii="Arial" w:hAnsi="Arial" w:cs="Arial" w:eastAsia="Arial" w:hint="default"/>
                <w:sz w:val="21"/>
                <w:szCs w:val="21"/>
              </w:rPr>
            </w:pPr>
            <w:r>
              <w:rPr>
                <w:rFonts w:ascii="Arial"/>
                <w:spacing w:val="-3"/>
                <w:sz w:val="21"/>
              </w:rPr>
              <w:t>11.43%</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4"/>
        <w:spacing w:line="240" w:lineRule="auto" w:before="34"/>
        <w:ind w:right="996"/>
        <w:jc w:val="left"/>
        <w:rPr>
          <w:b w:val="0"/>
          <w:bCs w:val="0"/>
        </w:rPr>
      </w:pPr>
      <w:bookmarkStart w:name="4、研发投入" w:id="36"/>
      <w:bookmarkEnd w:id="36"/>
      <w:r>
        <w:rPr>
          <w:b w:val="0"/>
          <w:bCs w:val="0"/>
        </w:rPr>
      </w:r>
      <w:r>
        <w:rPr>
          <w:rFonts w:ascii="Arial" w:hAnsi="Arial" w:cs="Arial" w:eastAsia="Arial" w:hint="default"/>
        </w:rPr>
        <w:t>4</w:t>
      </w:r>
      <w:r>
        <w:rPr/>
        <w:t>、研发投入</w:t>
      </w:r>
      <w:r>
        <w:rPr>
          <w:b w:val="0"/>
          <w:bCs w:val="0"/>
        </w:rPr>
      </w:r>
    </w:p>
    <w:p>
      <w:pPr>
        <w:spacing w:line="240" w:lineRule="auto" w:before="11"/>
        <w:rPr>
          <w:rFonts w:ascii="宋体" w:hAnsi="宋体" w:cs="宋体" w:eastAsia="宋体" w:hint="default"/>
          <w:b/>
          <w:bCs/>
          <w:sz w:val="22"/>
          <w:szCs w:val="22"/>
        </w:rPr>
      </w:pPr>
    </w:p>
    <w:p>
      <w:pPr>
        <w:pStyle w:val="Heading3"/>
        <w:spacing w:line="273" w:lineRule="auto"/>
        <w:ind w:right="996"/>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w:t>
      </w:r>
      <w:r>
        <w:rPr>
          <w:spacing w:val="-2"/>
        </w:rPr>
        <w:t>报告期内，公司保持了较高的研发投入，研发支出总额为</w:t>
      </w:r>
      <w:r>
        <w:rPr>
          <w:rFonts w:ascii="Arial" w:hAnsi="Arial" w:cs="Arial" w:eastAsia="Arial" w:hint="default"/>
          <w:spacing w:val="-2"/>
        </w:rPr>
        <w:t>40,739.37</w:t>
      </w:r>
      <w:r>
        <w:rPr>
          <w:spacing w:val="-2"/>
        </w:rPr>
        <w:t>万元，占营业收入比例为</w:t>
      </w:r>
      <w:r>
        <w:rPr>
          <w:spacing w:val="-107"/>
        </w:rPr>
        <w:t> </w:t>
      </w:r>
      <w:r>
        <w:rPr>
          <w:spacing w:val="-107"/>
        </w:rPr>
      </w:r>
      <w:r>
        <w:rPr>
          <w:rFonts w:ascii="Arial" w:hAnsi="Arial" w:cs="Arial" w:eastAsia="Arial" w:hint="default"/>
        </w:rPr>
        <w:t>15.04%</w:t>
      </w:r>
      <w:r>
        <w:rPr/>
        <w:t>，为公司进一步提高核心竞争力提供有力的保障。 近三年公司研发投入金额及占营业收入的比例</w:t>
      </w:r>
    </w:p>
    <w:p>
      <w:pPr>
        <w:spacing w:line="240" w:lineRule="auto" w:before="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4395"/>
        <w:gridCol w:w="1701"/>
        <w:gridCol w:w="1842"/>
        <w:gridCol w:w="1630"/>
      </w:tblGrid>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482" w:right="0"/>
              <w:jc w:val="left"/>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10"/>
                <w:sz w:val="21"/>
                <w:szCs w:val="21"/>
              </w:rPr>
              <w:t> </w:t>
            </w:r>
            <w:r>
              <w:rPr>
                <w:rFonts w:ascii="宋体" w:hAnsi="宋体" w:cs="宋体" w:eastAsia="宋体" w:hint="default"/>
                <w:sz w:val="21"/>
                <w:szCs w:val="21"/>
              </w:rPr>
              <w:t>年</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553" w:right="0"/>
              <w:jc w:val="left"/>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10"/>
                <w:sz w:val="21"/>
                <w:szCs w:val="21"/>
              </w:rPr>
              <w:t> </w:t>
            </w:r>
            <w:r>
              <w:rPr>
                <w:rFonts w:ascii="宋体" w:hAnsi="宋体" w:cs="宋体" w:eastAsia="宋体" w:hint="default"/>
                <w:sz w:val="21"/>
                <w:szCs w:val="21"/>
              </w:rPr>
              <w:t>年</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446" w:right="0"/>
              <w:jc w:val="left"/>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10"/>
                <w:sz w:val="21"/>
                <w:szCs w:val="21"/>
              </w:rPr>
              <w:t> </w:t>
            </w:r>
            <w:r>
              <w:rPr>
                <w:rFonts w:ascii="宋体" w:hAnsi="宋体" w:cs="宋体" w:eastAsia="宋体" w:hint="default"/>
                <w:sz w:val="21"/>
                <w:szCs w:val="21"/>
              </w:rPr>
              <w:t>年</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研发人员数量（人）</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95"/>
                <w:sz w:val="21"/>
              </w:rPr>
              <w:t>2,341</w:t>
            </w:r>
            <w:r>
              <w:rPr>
                <w:rFonts w:ascii="Arial"/>
                <w:sz w:val="21"/>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8"/>
              <w:jc w:val="right"/>
              <w:rPr>
                <w:rFonts w:ascii="Arial" w:hAnsi="Arial" w:cs="Arial" w:eastAsia="Arial" w:hint="default"/>
                <w:sz w:val="21"/>
                <w:szCs w:val="21"/>
              </w:rPr>
            </w:pPr>
            <w:r>
              <w:rPr>
                <w:rFonts w:ascii="Arial"/>
                <w:w w:val="95"/>
                <w:sz w:val="21"/>
              </w:rPr>
              <w:t>2,169</w:t>
            </w:r>
            <w:r>
              <w:rPr>
                <w:rFonts w:ascii="Arial"/>
                <w:sz w:val="21"/>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95"/>
                <w:sz w:val="21"/>
              </w:rPr>
              <w:t>1,765</w:t>
            </w:r>
            <w:r>
              <w:rPr>
                <w:rFonts w:ascii="Arial"/>
                <w:sz w:val="21"/>
              </w:rPr>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研发人员数量占比</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7"/>
              <w:jc w:val="right"/>
              <w:rPr>
                <w:rFonts w:ascii="Arial" w:hAnsi="Arial" w:cs="Arial" w:eastAsia="Arial" w:hint="default"/>
                <w:sz w:val="21"/>
                <w:szCs w:val="21"/>
              </w:rPr>
            </w:pPr>
            <w:r>
              <w:rPr>
                <w:rFonts w:ascii="Arial"/>
                <w:w w:val="95"/>
                <w:sz w:val="21"/>
              </w:rPr>
              <w:t>38.80%</w:t>
            </w:r>
            <w:r>
              <w:rPr>
                <w:rFonts w:ascii="Arial"/>
                <w:sz w:val="21"/>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8"/>
              <w:jc w:val="right"/>
              <w:rPr>
                <w:rFonts w:ascii="Arial" w:hAnsi="Arial" w:cs="Arial" w:eastAsia="Arial" w:hint="default"/>
                <w:sz w:val="21"/>
                <w:szCs w:val="21"/>
              </w:rPr>
            </w:pPr>
            <w:r>
              <w:rPr>
                <w:rFonts w:ascii="Arial"/>
                <w:w w:val="95"/>
                <w:sz w:val="21"/>
              </w:rPr>
              <w:t>42.81%</w:t>
            </w:r>
            <w:r>
              <w:rPr>
                <w:rFonts w:ascii="Arial"/>
                <w:sz w:val="21"/>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Arial" w:hAnsi="Arial" w:cs="Arial" w:eastAsia="Arial" w:hint="default"/>
                <w:sz w:val="21"/>
                <w:szCs w:val="21"/>
              </w:rPr>
            </w:pPr>
            <w:r>
              <w:rPr>
                <w:rFonts w:ascii="Arial"/>
                <w:w w:val="95"/>
                <w:sz w:val="21"/>
              </w:rPr>
              <w:t>43.62%</w:t>
            </w:r>
            <w:r>
              <w:rPr>
                <w:rFonts w:ascii="Arial"/>
                <w:sz w:val="21"/>
              </w:rPr>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研发投入金额（元）</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2"/>
              <w:jc w:val="right"/>
              <w:rPr>
                <w:rFonts w:ascii="Arial" w:hAnsi="Arial" w:cs="Arial" w:eastAsia="Arial" w:hint="default"/>
                <w:sz w:val="21"/>
                <w:szCs w:val="21"/>
              </w:rPr>
            </w:pPr>
            <w:r>
              <w:rPr>
                <w:rFonts w:ascii="Arial"/>
                <w:w w:val="95"/>
                <w:sz w:val="21"/>
              </w:rPr>
              <w:t>407,393,733.58</w:t>
            </w:r>
            <w:r>
              <w:rPr>
                <w:rFonts w:ascii="Arial"/>
                <w:sz w:val="21"/>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3"/>
              <w:jc w:val="right"/>
              <w:rPr>
                <w:rFonts w:ascii="Arial" w:hAnsi="Arial" w:cs="Arial" w:eastAsia="Arial" w:hint="default"/>
                <w:sz w:val="21"/>
                <w:szCs w:val="21"/>
              </w:rPr>
            </w:pPr>
            <w:r>
              <w:rPr>
                <w:rFonts w:ascii="Arial"/>
                <w:w w:val="95"/>
                <w:sz w:val="21"/>
              </w:rPr>
              <w:t>330,774,398.82</w:t>
            </w:r>
            <w:r>
              <w:rPr>
                <w:rFonts w:ascii="Arial"/>
                <w:sz w:val="21"/>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4"/>
              <w:jc w:val="right"/>
              <w:rPr>
                <w:rFonts w:ascii="Arial" w:hAnsi="Arial" w:cs="Arial" w:eastAsia="Arial" w:hint="default"/>
                <w:sz w:val="21"/>
                <w:szCs w:val="21"/>
              </w:rPr>
            </w:pPr>
            <w:r>
              <w:rPr>
                <w:rFonts w:ascii="Arial"/>
                <w:w w:val="95"/>
                <w:sz w:val="21"/>
              </w:rPr>
              <w:t>261,040,731.41</w:t>
            </w:r>
            <w:r>
              <w:rPr>
                <w:rFonts w:ascii="Arial"/>
                <w:sz w:val="21"/>
              </w:rPr>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研发投入占营业收入比例</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Arial" w:hAnsi="Arial" w:cs="Arial" w:eastAsia="Arial" w:hint="default"/>
                <w:sz w:val="21"/>
                <w:szCs w:val="21"/>
              </w:rPr>
            </w:pPr>
            <w:r>
              <w:rPr>
                <w:rFonts w:ascii="Arial"/>
                <w:spacing w:val="-1"/>
                <w:sz w:val="21"/>
              </w:rPr>
              <w:t>15.04%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1"/>
              <w:jc w:val="right"/>
              <w:rPr>
                <w:rFonts w:ascii="Arial" w:hAnsi="Arial" w:cs="Arial" w:eastAsia="Arial" w:hint="default"/>
                <w:sz w:val="21"/>
                <w:szCs w:val="21"/>
              </w:rPr>
            </w:pPr>
            <w:r>
              <w:rPr>
                <w:rFonts w:ascii="Arial"/>
                <w:spacing w:val="-1"/>
                <w:sz w:val="21"/>
              </w:rPr>
              <w:t>14.15%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1"/>
              <w:jc w:val="right"/>
              <w:rPr>
                <w:rFonts w:ascii="Arial" w:hAnsi="Arial" w:cs="Arial" w:eastAsia="Arial" w:hint="default"/>
                <w:sz w:val="21"/>
                <w:szCs w:val="21"/>
              </w:rPr>
            </w:pPr>
            <w:r>
              <w:rPr>
                <w:rFonts w:ascii="Arial"/>
                <w:spacing w:val="-1"/>
                <w:sz w:val="21"/>
              </w:rPr>
              <w:t>14.34%</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研发支出资本化的金额（元）</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2"/>
              <w:jc w:val="right"/>
              <w:rPr>
                <w:rFonts w:ascii="Arial" w:hAnsi="Arial" w:cs="Arial" w:eastAsia="Arial" w:hint="default"/>
                <w:sz w:val="21"/>
                <w:szCs w:val="21"/>
              </w:rPr>
            </w:pPr>
            <w:r>
              <w:rPr>
                <w:rFonts w:ascii="Arial"/>
                <w:w w:val="95"/>
                <w:sz w:val="21"/>
              </w:rPr>
              <w:t>171,403,043.91</w:t>
            </w:r>
            <w:r>
              <w:rPr>
                <w:rFonts w:ascii="Arial"/>
                <w:sz w:val="21"/>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3"/>
              <w:jc w:val="right"/>
              <w:rPr>
                <w:rFonts w:ascii="Arial" w:hAnsi="Arial" w:cs="Arial" w:eastAsia="Arial" w:hint="default"/>
                <w:sz w:val="21"/>
                <w:szCs w:val="21"/>
              </w:rPr>
            </w:pPr>
            <w:r>
              <w:rPr>
                <w:rFonts w:ascii="Arial"/>
                <w:spacing w:val="-1"/>
                <w:w w:val="95"/>
                <w:sz w:val="21"/>
              </w:rPr>
              <w:t>118,996,478.54</w:t>
            </w:r>
            <w:r>
              <w:rPr>
                <w:rFonts w:ascii="Arial"/>
                <w:spacing w:val="-1"/>
                <w:sz w:val="21"/>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4"/>
              <w:jc w:val="right"/>
              <w:rPr>
                <w:rFonts w:ascii="Arial" w:hAnsi="Arial" w:cs="Arial" w:eastAsia="Arial" w:hint="default"/>
                <w:sz w:val="21"/>
                <w:szCs w:val="21"/>
              </w:rPr>
            </w:pPr>
            <w:r>
              <w:rPr>
                <w:rFonts w:ascii="Arial"/>
                <w:w w:val="95"/>
                <w:sz w:val="21"/>
              </w:rPr>
              <w:t>106,083,389.97</w:t>
            </w:r>
            <w:r>
              <w:rPr>
                <w:rFonts w:ascii="Arial"/>
                <w:sz w:val="21"/>
              </w:rPr>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资本化研发支出占研发投入的比例</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Arial" w:hAnsi="Arial" w:cs="Arial" w:eastAsia="Arial" w:hint="default"/>
                <w:sz w:val="21"/>
                <w:szCs w:val="21"/>
              </w:rPr>
            </w:pPr>
            <w:r>
              <w:rPr>
                <w:rFonts w:ascii="Arial"/>
                <w:spacing w:val="-1"/>
                <w:sz w:val="21"/>
              </w:rPr>
              <w:t>42.07%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1"/>
              <w:jc w:val="right"/>
              <w:rPr>
                <w:rFonts w:ascii="Arial" w:hAnsi="Arial" w:cs="Arial" w:eastAsia="Arial" w:hint="default"/>
                <w:sz w:val="21"/>
                <w:szCs w:val="21"/>
              </w:rPr>
            </w:pPr>
            <w:r>
              <w:rPr>
                <w:rFonts w:ascii="Arial"/>
                <w:spacing w:val="-1"/>
                <w:sz w:val="21"/>
              </w:rPr>
              <w:t>35.98%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1"/>
              <w:jc w:val="right"/>
              <w:rPr>
                <w:rFonts w:ascii="Arial" w:hAnsi="Arial" w:cs="Arial" w:eastAsia="Arial" w:hint="default"/>
                <w:sz w:val="21"/>
                <w:szCs w:val="21"/>
              </w:rPr>
            </w:pPr>
            <w:r>
              <w:rPr>
                <w:rFonts w:ascii="Arial"/>
                <w:spacing w:val="-1"/>
                <w:sz w:val="21"/>
              </w:rPr>
              <w:t>40.64%</w:t>
            </w:r>
          </w:p>
        </w:tc>
      </w:tr>
      <w:tr>
        <w:trPr>
          <w:trHeight w:val="402" w:hRule="exact"/>
        </w:trPr>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资本化研发支出占当期净利润的比重</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sz w:val="21"/>
              </w:rPr>
              <w:t>35.07%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Arial" w:hAnsi="Arial" w:cs="Arial" w:eastAsia="Arial" w:hint="default"/>
                <w:sz w:val="21"/>
                <w:szCs w:val="21"/>
              </w:rPr>
            </w:pPr>
            <w:r>
              <w:rPr>
                <w:rFonts w:ascii="Arial"/>
                <w:spacing w:val="-1"/>
                <w:sz w:val="21"/>
              </w:rPr>
              <w:t>31.75%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Arial" w:hAnsi="Arial" w:cs="Arial" w:eastAsia="Arial" w:hint="default"/>
                <w:sz w:val="21"/>
                <w:szCs w:val="21"/>
              </w:rPr>
            </w:pPr>
            <w:r>
              <w:rPr>
                <w:rFonts w:ascii="Arial"/>
                <w:spacing w:val="-1"/>
                <w:sz w:val="21"/>
              </w:rPr>
              <w:t>38.67%</w:t>
            </w:r>
          </w:p>
        </w:tc>
      </w:tr>
    </w:tbl>
    <w:p>
      <w:pPr>
        <w:pStyle w:val="Heading3"/>
        <w:spacing w:line="240" w:lineRule="auto" w:before="2"/>
        <w:ind w:right="996"/>
        <w:jc w:val="left"/>
      </w:pPr>
      <w:r>
        <w:rPr/>
        <w:t>研发投入总额占营业收入的比重较上年发生显著变化的原因</w:t>
      </w:r>
    </w:p>
    <w:p>
      <w:pPr>
        <w:pStyle w:val="Heading3"/>
        <w:spacing w:line="254" w:lineRule="auto" w:before="38"/>
        <w:ind w:right="547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研发投入资本化率大幅变动的原因及其合理性说明</w:t>
      </w:r>
    </w:p>
    <w:p>
      <w:pPr>
        <w:pStyle w:val="Heading3"/>
        <w:spacing w:line="240" w:lineRule="auto" w:before="24"/>
        <w:ind w:right="996"/>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pStyle w:val="Heading3"/>
        <w:spacing w:line="312" w:lineRule="exact" w:before="52"/>
        <w:ind w:right="1119"/>
        <w:jc w:val="left"/>
      </w:pPr>
      <w:r>
        <w:rPr>
          <w:spacing w:val="-5"/>
        </w:rPr>
        <w:t>公司需遵守《深圳证券交易所行业信息披露指引第</w:t>
      </w:r>
      <w:r>
        <w:rPr>
          <w:spacing w:val="-60"/>
        </w:rPr>
        <w:t> </w:t>
      </w:r>
      <w:r>
        <w:rPr>
          <w:rFonts w:ascii="Arial" w:hAnsi="Arial" w:cs="Arial" w:eastAsia="Arial" w:hint="default"/>
          <w:w w:val="99"/>
        </w:rPr>
        <w:t>12</w:t>
      </w:r>
      <w:r>
        <w:rPr>
          <w:rFonts w:ascii="Arial" w:hAnsi="Arial" w:cs="Arial" w:eastAsia="Arial" w:hint="default"/>
          <w:spacing w:val="-9"/>
          <w:w w:val="99"/>
        </w:rPr>
        <w:t> </w:t>
      </w:r>
      <w:r>
        <w:rPr/>
        <w:t>号</w:t>
      </w:r>
      <w:r>
        <w:rPr>
          <w:rFonts w:ascii="Arial" w:hAnsi="Arial" w:cs="Arial" w:eastAsia="Arial" w:hint="default"/>
        </w:rPr>
        <w:t>——</w:t>
      </w:r>
      <w:r>
        <w:rPr/>
        <w:t>上市公司从事软件与信息技术服 务业务》的披露要求</w:t>
      </w:r>
    </w:p>
    <w:p>
      <w:pPr>
        <w:pStyle w:val="BodyText"/>
        <w:spacing w:line="240" w:lineRule="auto" w:before="30"/>
        <w:ind w:left="0" w:right="1135"/>
        <w:jc w:val="right"/>
      </w:pPr>
      <w:r>
        <w:rPr/>
        <w:pict>
          <v:shape style="position:absolute;margin-left:481.440002pt;margin-top:55.963676pt;width:53.6pt;height:144.5pt;mso-position-horizontal-relative:page;mso-position-vertical-relative:paragraph;z-index:-86296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6"/>
                      <w:szCs w:val="2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487.549988pt;margin-top:55.963676pt;width:47.45pt;height:144.65pt;mso-position-horizontal-relative:page;mso-position-vertical-relative:paragraph;z-index:-862936" coordorigin="9751,1119" coordsize="949,2893">
            <v:shape style="position:absolute;left:9751;top:1119;width:949;height:2893" coordorigin="9751,1119" coordsize="949,2893" path="m9751,1119l10700,1119,10700,4012,9751,4012,9751,1119xe" filled="true" fillcolor="#ffffff" stroked="false">
              <v:path arrowok="t"/>
              <v:fill type="solid"/>
            </v:shape>
            <w10:wrap type="none"/>
          </v:group>
        </w:pict>
      </w:r>
      <w:r>
        <w:rPr>
          <w:w w:val="95"/>
        </w:rPr>
        <w:t>单位：元</w:t>
      </w:r>
      <w:r>
        <w:rPr/>
      </w:r>
    </w:p>
    <w:p>
      <w:pPr>
        <w:spacing w:line="240" w:lineRule="auto" w:before="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276"/>
        <w:gridCol w:w="1276"/>
        <w:gridCol w:w="6062"/>
        <w:gridCol w:w="954"/>
      </w:tblGrid>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42" w:right="91" w:hanging="449"/>
              <w:jc w:val="left"/>
              <w:rPr>
                <w:rFonts w:ascii="宋体" w:hAnsi="宋体" w:cs="宋体" w:eastAsia="宋体" w:hint="default"/>
                <w:sz w:val="18"/>
                <w:szCs w:val="18"/>
              </w:rPr>
            </w:pPr>
            <w:r>
              <w:rPr>
                <w:rFonts w:ascii="宋体" w:hAnsi="宋体" w:cs="宋体" w:eastAsia="宋体" w:hint="default"/>
                <w:sz w:val="18"/>
                <w:szCs w:val="18"/>
              </w:rPr>
              <w:t>研发资本化金 额</w:t>
            </w:r>
          </w:p>
        </w:tc>
        <w:tc>
          <w:tcPr>
            <w:tcW w:w="6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实施进度</w:t>
            </w:r>
          </w:p>
        </w:tc>
      </w:tr>
      <w:tr>
        <w:trPr>
          <w:trHeight w:val="356" w:hRule="exact"/>
        </w:trPr>
        <w:tc>
          <w:tcPr>
            <w:tcW w:w="1276"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60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第三代智能审判系统是华宇智慧审判的基础平台，也是华宇智慧法院的核心</w:t>
            </w:r>
          </w:p>
        </w:tc>
        <w:tc>
          <w:tcPr>
            <w:tcW w:w="95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6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产品，覆盖案件审判全流程，深度融入各个角色的办案场景中，并深度整合</w:t>
            </w:r>
          </w:p>
        </w:tc>
        <w:tc>
          <w:tcPr>
            <w:tcW w:w="95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6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电子卷宗，支撑法院无纸化办案。第三代智能审判系统结合智能服务为法官</w:t>
            </w:r>
          </w:p>
        </w:tc>
        <w:tc>
          <w:tcPr>
            <w:tcW w:w="954" w:type="dxa"/>
            <w:tcBorders>
              <w:top w:val="nil" w:sz="6" w:space="0" w:color="auto"/>
              <w:left w:val="single" w:sz="4" w:space="0" w:color="000000"/>
              <w:bottom w:val="nil" w:sz="6" w:space="0" w:color="auto"/>
              <w:right w:val="single" w:sz="4" w:space="0" w:color="000000"/>
            </w:tcBorders>
          </w:tcPr>
          <w:p>
            <w:pPr/>
          </w:p>
        </w:tc>
      </w:tr>
      <w:tr>
        <w:trPr>
          <w:trHeight w:val="940" w:hRule="exact"/>
        </w:trPr>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02" w:lineRule="auto"/>
              <w:ind w:left="22" w:right="6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、第三代智能 审判系统</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7"/>
              <w:jc w:val="right"/>
              <w:rPr>
                <w:rFonts w:ascii="Arial" w:hAnsi="Arial" w:cs="Arial" w:eastAsia="Arial" w:hint="default"/>
                <w:sz w:val="18"/>
                <w:szCs w:val="18"/>
              </w:rPr>
            </w:pPr>
            <w:r>
              <w:rPr>
                <w:rFonts w:ascii="Arial"/>
                <w:spacing w:val="-2"/>
                <w:sz w:val="18"/>
              </w:rPr>
              <w:t>62,114,660.72</w:t>
            </w:r>
          </w:p>
        </w:tc>
        <w:tc>
          <w:tcPr>
            <w:tcW w:w="60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1" w:right="21"/>
              <w:jc w:val="both"/>
              <w:rPr>
                <w:rFonts w:ascii="宋体" w:hAnsi="宋体" w:cs="宋体" w:eastAsia="宋体" w:hint="default"/>
                <w:sz w:val="18"/>
                <w:szCs w:val="18"/>
              </w:rPr>
            </w:pPr>
            <w:r>
              <w:rPr>
                <w:rFonts w:ascii="宋体" w:hAnsi="宋体" w:cs="宋体" w:eastAsia="宋体" w:hint="default"/>
                <w:sz w:val="18"/>
                <w:szCs w:val="18"/>
              </w:rPr>
              <w:t>提供办案辅助，减少法官工作量、提高工作效率、提升办案能力和审判管理 效果；满足团队化办案要求，为审判团队提供专属工作平台。第三代智能审 判系统按照华宇</w:t>
            </w:r>
            <w:r>
              <w:rPr>
                <w:rFonts w:ascii="宋体" w:hAnsi="宋体" w:cs="宋体" w:eastAsia="宋体" w:hint="default"/>
                <w:spacing w:val="-42"/>
                <w:sz w:val="18"/>
                <w:szCs w:val="18"/>
              </w:rPr>
              <w:t> </w:t>
            </w:r>
            <w:r>
              <w:rPr>
                <w:rFonts w:ascii="Arial" w:hAnsi="Arial" w:cs="Arial" w:eastAsia="Arial" w:hint="default"/>
                <w:sz w:val="18"/>
                <w:szCs w:val="18"/>
              </w:rPr>
              <w:t>UPM</w:t>
            </w:r>
            <w:r>
              <w:rPr>
                <w:rFonts w:ascii="Arial" w:hAnsi="Arial" w:cs="Arial" w:eastAsia="Arial" w:hint="default"/>
                <w:spacing w:val="-3"/>
                <w:sz w:val="18"/>
                <w:szCs w:val="18"/>
              </w:rPr>
              <w:t> </w:t>
            </w:r>
            <w:r>
              <w:rPr>
                <w:rFonts w:ascii="宋体" w:hAnsi="宋体" w:cs="宋体" w:eastAsia="宋体" w:hint="default"/>
                <w:spacing w:val="-3"/>
                <w:sz w:val="18"/>
                <w:szCs w:val="18"/>
              </w:rPr>
              <w:t>产品分层结构全新构建，能更好支持差异需求定制的快</w:t>
            </w: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66" w:right="0"/>
              <w:jc w:val="left"/>
              <w:rPr>
                <w:rFonts w:ascii="Arial" w:hAnsi="Arial" w:cs="Arial" w:eastAsia="Arial" w:hint="default"/>
                <w:sz w:val="18"/>
                <w:szCs w:val="18"/>
              </w:rPr>
            </w:pPr>
            <w:r>
              <w:rPr>
                <w:rFonts w:ascii="Arial"/>
                <w:sz w:val="18"/>
              </w:rPr>
              <w:t>75.00%</w:t>
            </w:r>
          </w:p>
        </w:tc>
      </w:tr>
      <w:tr>
        <w:trPr>
          <w:trHeight w:val="308" w:hRule="exact"/>
        </w:trPr>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60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速交付；采用微服务架构，支持虚拟化和云部署，使得结构更加灵活，性能</w:t>
            </w:r>
          </w:p>
        </w:tc>
        <w:tc>
          <w:tcPr>
            <w:tcW w:w="95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6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近乎无限扩展，充分满足法院案件不断增长的需要；适应未来国产化的要求</w:t>
            </w:r>
          </w:p>
        </w:tc>
        <w:tc>
          <w:tcPr>
            <w:tcW w:w="954"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1276"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60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可在国产化环境正常运行。</w:t>
            </w:r>
          </w:p>
        </w:tc>
        <w:tc>
          <w:tcPr>
            <w:tcW w:w="954"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02" w:lineRule="auto"/>
              <w:ind w:left="22" w:right="6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、新一代法律 </w:t>
            </w:r>
            <w:r>
              <w:rPr>
                <w:rFonts w:ascii="Arial" w:hAnsi="Arial" w:cs="Arial" w:eastAsia="Arial" w:hint="default"/>
                <w:sz w:val="18"/>
                <w:szCs w:val="18"/>
              </w:rPr>
              <w:t>AI</w:t>
            </w:r>
            <w:r>
              <w:rPr>
                <w:rFonts w:ascii="Arial" w:hAnsi="Arial" w:cs="Arial" w:eastAsia="Arial" w:hint="default"/>
                <w:spacing w:val="-5"/>
                <w:sz w:val="18"/>
                <w:szCs w:val="18"/>
              </w:rPr>
              <w:t> </w:t>
            </w:r>
            <w:r>
              <w:rPr>
                <w:rFonts w:ascii="宋体" w:hAnsi="宋体" w:cs="宋体" w:eastAsia="宋体" w:hint="default"/>
                <w:sz w:val="18"/>
                <w:szCs w:val="18"/>
              </w:rPr>
              <w:t>平台建设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30,900,387.47</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1" w:right="88"/>
              <w:jc w:val="both"/>
              <w:rPr>
                <w:rFonts w:ascii="宋体" w:hAnsi="宋体" w:cs="宋体" w:eastAsia="宋体" w:hint="default"/>
                <w:sz w:val="18"/>
                <w:szCs w:val="18"/>
              </w:rPr>
            </w:pPr>
            <w:r>
              <w:rPr>
                <w:rFonts w:ascii="宋体" w:hAnsi="宋体" w:cs="宋体" w:eastAsia="宋体" w:hint="default"/>
                <w:sz w:val="18"/>
                <w:szCs w:val="18"/>
              </w:rPr>
              <w:t>基于目前华宇已有的法律知识图谱引擎、人工智能认知感知引擎以及大数据 全生命周期平台，形成了以</w:t>
            </w:r>
            <w:r>
              <w:rPr>
                <w:rFonts w:ascii="Arial" w:hAnsi="Arial" w:cs="Arial" w:eastAsia="Arial" w:hint="default"/>
                <w:sz w:val="18"/>
                <w:szCs w:val="18"/>
              </w:rPr>
              <w:t>“</w:t>
            </w:r>
            <w:r>
              <w:rPr>
                <w:rFonts w:ascii="宋体" w:hAnsi="宋体" w:cs="宋体" w:eastAsia="宋体" w:hint="default"/>
                <w:sz w:val="18"/>
                <w:szCs w:val="18"/>
              </w:rPr>
              <w:t>睿核</w:t>
            </w:r>
            <w:r>
              <w:rPr>
                <w:rFonts w:ascii="Arial" w:hAnsi="Arial" w:cs="Arial" w:eastAsia="Arial" w:hint="default"/>
                <w:sz w:val="18"/>
                <w:szCs w:val="18"/>
              </w:rPr>
              <w:t>”“</w:t>
            </w:r>
            <w:r>
              <w:rPr>
                <w:rFonts w:ascii="宋体" w:hAnsi="宋体" w:cs="宋体" w:eastAsia="宋体" w:hint="default"/>
                <w:sz w:val="18"/>
                <w:szCs w:val="18"/>
              </w:rPr>
              <w:t>智核</w:t>
            </w:r>
            <w:r>
              <w:rPr>
                <w:rFonts w:ascii="Arial" w:hAnsi="Arial" w:cs="Arial" w:eastAsia="Arial" w:hint="default"/>
                <w:sz w:val="18"/>
                <w:szCs w:val="18"/>
              </w:rPr>
              <w:t>”“</w:t>
            </w:r>
            <w:r>
              <w:rPr>
                <w:rFonts w:ascii="宋体" w:hAnsi="宋体" w:cs="宋体" w:eastAsia="宋体" w:hint="default"/>
                <w:sz w:val="18"/>
                <w:szCs w:val="18"/>
              </w:rPr>
              <w:t>睿元</w:t>
            </w:r>
            <w:r>
              <w:rPr>
                <w:rFonts w:ascii="Arial" w:hAnsi="Arial" w:cs="Arial" w:eastAsia="Arial" w:hint="default"/>
                <w:sz w:val="18"/>
                <w:szCs w:val="18"/>
              </w:rPr>
              <w:t>”</w:t>
            </w:r>
            <w:r>
              <w:rPr>
                <w:rFonts w:ascii="宋体" w:hAnsi="宋体" w:cs="宋体" w:eastAsia="宋体" w:hint="default"/>
                <w:sz w:val="18"/>
                <w:szCs w:val="18"/>
              </w:rPr>
              <w:t>为核心的新一代法律人工智能 平台。</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6" w:right="0"/>
              <w:jc w:val="left"/>
              <w:rPr>
                <w:rFonts w:ascii="Arial" w:hAnsi="Arial" w:cs="Arial" w:eastAsia="Arial" w:hint="default"/>
                <w:sz w:val="18"/>
                <w:szCs w:val="18"/>
              </w:rPr>
            </w:pPr>
            <w:r>
              <w:rPr>
                <w:rFonts w:ascii="Arial"/>
                <w:sz w:val="18"/>
              </w:rPr>
              <w:t>14.00%</w:t>
            </w:r>
          </w:p>
        </w:tc>
      </w:tr>
      <w:tr>
        <w:trPr>
          <w:trHeight w:val="71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22" w:right="6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、市场综合监 管一体化平台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21,703,823.52</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1" w:right="88"/>
              <w:jc w:val="left"/>
              <w:rPr>
                <w:rFonts w:ascii="宋体" w:hAnsi="宋体" w:cs="宋体" w:eastAsia="宋体" w:hint="default"/>
                <w:sz w:val="18"/>
                <w:szCs w:val="18"/>
              </w:rPr>
            </w:pPr>
            <w:r>
              <w:rPr>
                <w:rFonts w:ascii="宋体" w:hAnsi="宋体" w:cs="宋体" w:eastAsia="宋体" w:hint="default"/>
                <w:sz w:val="18"/>
                <w:szCs w:val="18"/>
              </w:rPr>
              <w:t>充分运用移动互联网、大数据、云计算等技术积累，建设覆盖各级监管的市 场监管综合执法平台，使日常检查、专项检查、双随机检查等监管业务表格</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6" w:right="0"/>
              <w:jc w:val="left"/>
              <w:rPr>
                <w:rFonts w:ascii="Arial" w:hAnsi="Arial" w:cs="Arial" w:eastAsia="Arial" w:hint="default"/>
                <w:sz w:val="18"/>
                <w:szCs w:val="18"/>
              </w:rPr>
            </w:pPr>
            <w:r>
              <w:rPr>
                <w:rFonts w:ascii="Arial"/>
                <w:sz w:val="18"/>
              </w:rPr>
              <w:t>87.00%</w:t>
            </w:r>
          </w:p>
        </w:tc>
      </w:tr>
    </w:tbl>
    <w:p>
      <w:pPr>
        <w:spacing w:after="0" w:line="240" w:lineRule="auto"/>
        <w:jc w:val="left"/>
        <w:rPr>
          <w:rFonts w:ascii="Arial" w:hAnsi="Arial" w:cs="Arial" w:eastAsia="Arial"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76"/>
        <w:gridCol w:w="1276"/>
        <w:gridCol w:w="6062"/>
        <w:gridCol w:w="954"/>
      </w:tblGrid>
      <w:tr>
        <w:trPr>
          <w:trHeight w:val="986" w:hRule="exact"/>
        </w:trPr>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1" w:right="88"/>
              <w:jc w:val="both"/>
              <w:rPr>
                <w:rFonts w:ascii="宋体" w:hAnsi="宋体" w:cs="宋体" w:eastAsia="宋体" w:hint="default"/>
                <w:sz w:val="18"/>
                <w:szCs w:val="18"/>
              </w:rPr>
            </w:pPr>
            <w:r>
              <w:rPr>
                <w:rFonts w:ascii="宋体" w:hAnsi="宋体" w:cs="宋体" w:eastAsia="宋体" w:hint="default"/>
                <w:sz w:val="18"/>
                <w:szCs w:val="18"/>
              </w:rPr>
              <w:t>化、痕迹化、可视化、科学化、阳光化，推动监管部门之间、监管部门与企 业之间、业务系统之间数据融合，支持“双随机、一公开”监管，对数据进 行深度挖掘和多维呈现，提升监管效能和监管透明度。</w:t>
            </w:r>
          </w:p>
        </w:tc>
        <w:tc>
          <w:tcPr>
            <w:tcW w:w="95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6"/>
              <w:ind w:left="22" w:right="6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、法律智能平 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1"/>
              <w:jc w:val="right"/>
              <w:rPr>
                <w:rFonts w:ascii="Arial" w:hAnsi="Arial" w:cs="Arial" w:eastAsia="Arial" w:hint="default"/>
                <w:sz w:val="18"/>
                <w:szCs w:val="18"/>
              </w:rPr>
            </w:pPr>
            <w:r>
              <w:rPr>
                <w:rFonts w:ascii="Arial"/>
                <w:spacing w:val="-1"/>
                <w:sz w:val="18"/>
              </w:rPr>
              <w:t>15,813,342.62</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0"/>
              <w:ind w:left="21" w:right="88"/>
              <w:jc w:val="both"/>
              <w:rPr>
                <w:rFonts w:ascii="宋体" w:hAnsi="宋体" w:cs="宋体" w:eastAsia="宋体" w:hint="default"/>
                <w:sz w:val="18"/>
                <w:szCs w:val="18"/>
              </w:rPr>
            </w:pPr>
            <w:r>
              <w:rPr>
                <w:rFonts w:ascii="宋体" w:hAnsi="宋体" w:cs="宋体" w:eastAsia="宋体" w:hint="default"/>
                <w:sz w:val="18"/>
                <w:szCs w:val="18"/>
              </w:rPr>
              <w:t>法律智能平台是基于大数据、</w:t>
            </w:r>
            <w:r>
              <w:rPr>
                <w:rFonts w:ascii="Arial" w:hAnsi="Arial" w:cs="Arial" w:eastAsia="Arial" w:hint="default"/>
                <w:sz w:val="18"/>
                <w:szCs w:val="18"/>
              </w:rPr>
              <w:t>NLP</w:t>
            </w:r>
            <w:r>
              <w:rPr>
                <w:rFonts w:ascii="宋体" w:hAnsi="宋体" w:cs="宋体" w:eastAsia="宋体" w:hint="default"/>
                <w:sz w:val="18"/>
                <w:szCs w:val="18"/>
              </w:rPr>
              <w:t>、知识图谱、机器学习等相关技术，通过 构建一体化的知识中心，实现法律概念认知、法律知识点检索与推送，法律 主体分析、法律关系甄别等核心分析能力，最终为法院、检察院、律师事务 所及相关法律人员的各类法律业务应用提供支撑。</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0"/>
              <w:jc w:val="center"/>
              <w:rPr>
                <w:rFonts w:ascii="Arial" w:hAnsi="Arial" w:cs="Arial" w:eastAsia="Arial" w:hint="default"/>
                <w:sz w:val="18"/>
                <w:szCs w:val="18"/>
              </w:rPr>
            </w:pPr>
            <w:r>
              <w:rPr>
                <w:rFonts w:ascii="Arial"/>
                <w:sz w:val="18"/>
              </w:rPr>
              <w:t>80.00%</w:t>
            </w:r>
          </w:p>
        </w:tc>
      </w:tr>
      <w:tr>
        <w:trPr>
          <w:trHeight w:val="362" w:hRule="exact"/>
        </w:trPr>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、安全可靠软</w:t>
            </w:r>
          </w:p>
        </w:tc>
        <w:tc>
          <w:tcPr>
            <w:tcW w:w="1276" w:type="dxa"/>
            <w:tcBorders>
              <w:top w:val="single" w:sz="4" w:space="0" w:color="000000"/>
              <w:left w:val="single" w:sz="4" w:space="0" w:color="000000"/>
              <w:bottom w:val="nil" w:sz="6" w:space="0" w:color="auto"/>
              <w:right w:val="single" w:sz="4" w:space="0" w:color="000000"/>
            </w:tcBorders>
          </w:tcPr>
          <w:p>
            <w:pPr/>
          </w:p>
        </w:tc>
        <w:tc>
          <w:tcPr>
            <w:tcW w:w="60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通过建设集成测试中心是通过安全可靠组合方案测试的形式对技术路线进行</w:t>
            </w:r>
          </w:p>
        </w:tc>
        <w:tc>
          <w:tcPr>
            <w:tcW w:w="954" w:type="dxa"/>
            <w:tcBorders>
              <w:top w:val="single" w:sz="4" w:space="0" w:color="000000"/>
              <w:left w:val="single" w:sz="4" w:space="0" w:color="000000"/>
              <w:bottom w:val="nil" w:sz="6" w:space="0" w:color="auto"/>
              <w:right w:val="single" w:sz="4" w:space="0" w:color="000000"/>
            </w:tcBorders>
          </w:tcPr>
          <w:p>
            <w:pPr/>
          </w:p>
        </w:tc>
      </w:tr>
      <w:tr>
        <w:trPr>
          <w:trHeight w:val="620" w:hRule="exact"/>
        </w:trPr>
        <w:tc>
          <w:tcPr>
            <w:tcW w:w="1276"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161"/>
              <w:jc w:val="left"/>
              <w:rPr>
                <w:rFonts w:ascii="宋体" w:hAnsi="宋体" w:cs="宋体" w:eastAsia="宋体" w:hint="default"/>
                <w:sz w:val="18"/>
                <w:szCs w:val="18"/>
              </w:rPr>
            </w:pPr>
            <w:r>
              <w:rPr>
                <w:rFonts w:ascii="宋体" w:hAnsi="宋体" w:cs="宋体" w:eastAsia="宋体" w:hint="default"/>
                <w:sz w:val="18"/>
                <w:szCs w:val="18"/>
              </w:rPr>
              <w:t>件适配研发及 集成测试中心</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7"/>
              <w:jc w:val="right"/>
              <w:rPr>
                <w:rFonts w:ascii="Arial" w:hAnsi="Arial" w:cs="Arial" w:eastAsia="Arial" w:hint="default"/>
                <w:sz w:val="18"/>
                <w:szCs w:val="18"/>
              </w:rPr>
            </w:pPr>
            <w:r>
              <w:rPr>
                <w:rFonts w:ascii="Arial"/>
                <w:spacing w:val="-2"/>
                <w:sz w:val="18"/>
              </w:rPr>
              <w:t>11,525,691.29</w:t>
            </w:r>
          </w:p>
        </w:tc>
        <w:tc>
          <w:tcPr>
            <w:tcW w:w="6062"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1" w:right="88"/>
              <w:jc w:val="left"/>
              <w:rPr>
                <w:rFonts w:ascii="宋体" w:hAnsi="宋体" w:cs="宋体" w:eastAsia="宋体" w:hint="default"/>
                <w:sz w:val="18"/>
                <w:szCs w:val="18"/>
              </w:rPr>
            </w:pPr>
            <w:r>
              <w:rPr>
                <w:rFonts w:ascii="宋体" w:hAnsi="宋体" w:cs="宋体" w:eastAsia="宋体" w:hint="default"/>
                <w:sz w:val="18"/>
                <w:szCs w:val="18"/>
              </w:rPr>
              <w:t>收敛，与上下游厂商构建合作生态圈，加强技术合作同步，为客户提供在具 体业务场景下最优解决方案，缩短安全可靠国产化替代的技术风险和安全风</w:t>
            </w:r>
          </w:p>
        </w:tc>
        <w:tc>
          <w:tcPr>
            <w:tcW w:w="95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Arial" w:hAnsi="Arial" w:cs="Arial" w:eastAsia="Arial" w:hint="default"/>
                <w:sz w:val="18"/>
                <w:szCs w:val="18"/>
              </w:rPr>
            </w:pPr>
            <w:r>
              <w:rPr>
                <w:rFonts w:ascii="Arial"/>
                <w:sz w:val="18"/>
              </w:rPr>
              <w:t>15.00%</w:t>
            </w:r>
          </w:p>
        </w:tc>
      </w:tr>
      <w:tr>
        <w:trPr>
          <w:trHeight w:val="356" w:hRule="exact"/>
        </w:trPr>
        <w:tc>
          <w:tcPr>
            <w:tcW w:w="12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建设</w:t>
            </w:r>
          </w:p>
        </w:tc>
        <w:tc>
          <w:tcPr>
            <w:tcW w:w="1276" w:type="dxa"/>
            <w:tcBorders>
              <w:top w:val="nil" w:sz="6" w:space="0" w:color="auto"/>
              <w:left w:val="single" w:sz="4" w:space="0" w:color="000000"/>
              <w:bottom w:val="single" w:sz="4" w:space="0" w:color="000000"/>
              <w:right w:val="single" w:sz="4" w:space="0" w:color="000000"/>
            </w:tcBorders>
          </w:tcPr>
          <w:p>
            <w:pPr/>
          </w:p>
        </w:tc>
        <w:tc>
          <w:tcPr>
            <w:tcW w:w="60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险，更加快速、高效、低成本的完成项目建设。</w:t>
            </w:r>
          </w:p>
        </w:tc>
        <w:tc>
          <w:tcPr>
            <w:tcW w:w="954" w:type="dxa"/>
            <w:tcBorders>
              <w:top w:val="nil" w:sz="6" w:space="0" w:color="auto"/>
              <w:left w:val="single" w:sz="4" w:space="0" w:color="000000"/>
              <w:bottom w:val="single" w:sz="4" w:space="0" w:color="000000"/>
              <w:right w:val="single" w:sz="4" w:space="0" w:color="000000"/>
            </w:tcBorders>
          </w:tcPr>
          <w:p>
            <w:pPr/>
          </w:p>
        </w:tc>
      </w:tr>
    </w:tbl>
    <w:p>
      <w:pPr>
        <w:pStyle w:val="Heading3"/>
        <w:spacing w:line="299" w:lineRule="exact"/>
        <w:ind w:left="592" w:right="996"/>
        <w:jc w:val="left"/>
      </w:pPr>
      <w:r>
        <w:rPr/>
        <w:t>结合自身业务特点，公司将研究开发项目通过子公司董事会立项审批作为研发支出资本</w:t>
      </w:r>
    </w:p>
    <w:p>
      <w:pPr>
        <w:pStyle w:val="Heading3"/>
        <w:spacing w:line="273" w:lineRule="auto" w:before="46"/>
        <w:ind w:left="592" w:right="996" w:hanging="480"/>
        <w:jc w:val="left"/>
      </w:pPr>
      <w:r>
        <w:rPr/>
        <w:t>化开始的时点。 针对内部研发形成无形资产，公司制定了内部研发项目管理制度，对研发项目开始资本</w:t>
      </w:r>
    </w:p>
    <w:p>
      <w:pPr>
        <w:pStyle w:val="Heading3"/>
        <w:spacing w:line="273" w:lineRule="auto" w:before="12"/>
        <w:ind w:right="996"/>
        <w:jc w:val="left"/>
      </w:pPr>
      <w:r>
        <w:rPr>
          <w:spacing w:val="-2"/>
        </w:rPr>
        <w:t>化条件、无形资产的确认依据进行了具体规定。同时，公司建立了完善的研发项目管理体系、</w:t>
      </w:r>
      <w:r>
        <w:rPr/>
        <w:t> 项目财务核算体系，从项目前期调研、可行性分析论证、立项、实施、成本归集、结项等阶</w:t>
      </w:r>
      <w:r>
        <w:rPr>
          <w:spacing w:val="-89"/>
        </w:rPr>
        <w:t> </w:t>
      </w:r>
      <w:r>
        <w:rPr>
          <w:spacing w:val="-89"/>
        </w:rPr>
      </w:r>
      <w:r>
        <w:rPr/>
        <w:t>段，对内部研发形成无形资产进行严密管控。</w:t>
      </w:r>
    </w:p>
    <w:p>
      <w:pPr>
        <w:spacing w:line="240" w:lineRule="auto" w:before="13"/>
        <w:rPr>
          <w:rFonts w:ascii="宋体" w:hAnsi="宋体" w:cs="宋体" w:eastAsia="宋体" w:hint="default"/>
          <w:sz w:val="23"/>
          <w:szCs w:val="23"/>
        </w:rPr>
      </w:pPr>
    </w:p>
    <w:p>
      <w:pPr>
        <w:pStyle w:val="Heading4"/>
        <w:spacing w:line="240" w:lineRule="auto"/>
        <w:ind w:right="996"/>
        <w:jc w:val="left"/>
        <w:rPr>
          <w:b w:val="0"/>
          <w:bCs w:val="0"/>
        </w:rPr>
      </w:pPr>
      <w:bookmarkStart w:name="5、现金流" w:id="37"/>
      <w:bookmarkEnd w:id="37"/>
      <w:r>
        <w:rPr>
          <w:b w:val="0"/>
          <w:bCs w:val="0"/>
        </w:rPr>
      </w:r>
      <w:r>
        <w:rPr>
          <w:rFonts w:ascii="Arial" w:hAnsi="Arial" w:cs="Arial" w:eastAsia="Arial" w:hint="default"/>
        </w:rPr>
        <w:t>5</w:t>
      </w:r>
      <w:r>
        <w:rPr/>
        <w:t>、现金流</w:t>
      </w:r>
      <w:r>
        <w:rPr>
          <w:b w:val="0"/>
          <w:bCs w:val="0"/>
        </w:rPr>
      </w:r>
    </w:p>
    <w:p>
      <w:pPr>
        <w:spacing w:line="240" w:lineRule="auto" w:before="8"/>
        <w:rPr>
          <w:rFonts w:ascii="宋体" w:hAnsi="宋体" w:cs="宋体" w:eastAsia="宋体" w:hint="default"/>
          <w:b/>
          <w:bCs/>
          <w:sz w:val="24"/>
          <w:szCs w:val="24"/>
        </w:rPr>
      </w:pPr>
    </w:p>
    <w:p>
      <w:pPr>
        <w:pStyle w:val="BodyText"/>
        <w:spacing w:line="240" w:lineRule="auto" w:before="0"/>
        <w:ind w:left="0" w:right="1135"/>
        <w:jc w:val="right"/>
      </w:pPr>
      <w:r>
        <w:rPr>
          <w:w w:val="95"/>
        </w:rPr>
        <w:t>单位：元</w:t>
      </w:r>
      <w:r>
        <w:rPr/>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828"/>
        <w:gridCol w:w="2268"/>
        <w:gridCol w:w="1984"/>
        <w:gridCol w:w="1488"/>
      </w:tblGrid>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7"/>
                <w:sz w:val="21"/>
                <w:szCs w:val="21"/>
              </w:rPr>
              <w:t> </w:t>
            </w:r>
            <w:r>
              <w:rPr>
                <w:rFonts w:ascii="宋体" w:hAnsi="宋体" w:cs="宋体" w:eastAsia="宋体" w:hint="default"/>
                <w:sz w:val="21"/>
                <w:szCs w:val="21"/>
              </w:rPr>
              <w:t>年</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22" w:right="0"/>
              <w:jc w:val="left"/>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10"/>
                <w:sz w:val="21"/>
                <w:szCs w:val="21"/>
              </w:rPr>
              <w:t> </w:t>
            </w:r>
            <w:r>
              <w:rPr>
                <w:rFonts w:ascii="宋体" w:hAnsi="宋体" w:cs="宋体" w:eastAsia="宋体" w:hint="default"/>
                <w:sz w:val="21"/>
                <w:szCs w:val="21"/>
              </w:rPr>
              <w:t>年</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18"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2"/>
              <w:jc w:val="right"/>
              <w:rPr>
                <w:rFonts w:ascii="Arial" w:hAnsi="Arial" w:cs="Arial" w:eastAsia="Arial" w:hint="default"/>
                <w:sz w:val="21"/>
                <w:szCs w:val="21"/>
              </w:rPr>
            </w:pPr>
            <w:r>
              <w:rPr>
                <w:rFonts w:ascii="Arial"/>
                <w:w w:val="95"/>
                <w:sz w:val="21"/>
              </w:rPr>
              <w:t>3,206,727,568.06</w:t>
            </w:r>
            <w:r>
              <w:rPr>
                <w:rFonts w:ascii="Arial"/>
                <w:sz w:val="21"/>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1"/>
              <w:jc w:val="right"/>
              <w:rPr>
                <w:rFonts w:ascii="Arial" w:hAnsi="Arial" w:cs="Arial" w:eastAsia="Arial" w:hint="default"/>
                <w:sz w:val="21"/>
                <w:szCs w:val="21"/>
              </w:rPr>
            </w:pPr>
            <w:r>
              <w:rPr>
                <w:rFonts w:ascii="Arial"/>
                <w:w w:val="95"/>
                <w:sz w:val="21"/>
              </w:rPr>
              <w:t>2,791,541,267.95</w:t>
            </w:r>
            <w:r>
              <w:rPr>
                <w:rFonts w:ascii="Arial"/>
                <w:sz w:val="21"/>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Arial" w:hAnsi="Arial" w:cs="Arial" w:eastAsia="Arial" w:hint="default"/>
                <w:sz w:val="21"/>
                <w:szCs w:val="21"/>
              </w:rPr>
            </w:pPr>
            <w:r>
              <w:rPr>
                <w:rFonts w:ascii="Arial"/>
                <w:spacing w:val="-1"/>
                <w:sz w:val="21"/>
              </w:rPr>
              <w:t>14.87%</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2"/>
              <w:jc w:val="right"/>
              <w:rPr>
                <w:rFonts w:ascii="Arial" w:hAnsi="Arial" w:cs="Arial" w:eastAsia="Arial" w:hint="default"/>
                <w:sz w:val="21"/>
                <w:szCs w:val="21"/>
              </w:rPr>
            </w:pPr>
            <w:r>
              <w:rPr>
                <w:rFonts w:ascii="Arial"/>
                <w:w w:val="95"/>
                <w:sz w:val="21"/>
              </w:rPr>
              <w:t>2,886,566,258.48</w:t>
            </w:r>
            <w:r>
              <w:rPr>
                <w:rFonts w:ascii="Arial"/>
                <w:sz w:val="21"/>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
              <w:jc w:val="right"/>
              <w:rPr>
                <w:rFonts w:ascii="Arial" w:hAnsi="Arial" w:cs="Arial" w:eastAsia="Arial" w:hint="default"/>
                <w:sz w:val="21"/>
                <w:szCs w:val="21"/>
              </w:rPr>
            </w:pPr>
            <w:r>
              <w:rPr>
                <w:rFonts w:ascii="Arial"/>
                <w:w w:val="95"/>
                <w:sz w:val="21"/>
              </w:rPr>
              <w:t>2,300,017,964.61</w:t>
            </w:r>
            <w:r>
              <w:rPr>
                <w:rFonts w:ascii="Arial"/>
                <w:sz w:val="21"/>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sz w:val="21"/>
              </w:rPr>
              <w:t>25.50%</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2"/>
              <w:jc w:val="right"/>
              <w:rPr>
                <w:rFonts w:ascii="Arial" w:hAnsi="Arial" w:cs="Arial" w:eastAsia="Arial" w:hint="default"/>
                <w:sz w:val="21"/>
                <w:szCs w:val="21"/>
              </w:rPr>
            </w:pPr>
            <w:r>
              <w:rPr>
                <w:rFonts w:ascii="Arial"/>
                <w:w w:val="95"/>
                <w:sz w:val="21"/>
              </w:rPr>
              <w:t>320,161,309.58</w:t>
            </w:r>
            <w:r>
              <w:rPr>
                <w:rFonts w:ascii="Arial"/>
                <w:sz w:val="21"/>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4"/>
              <w:jc w:val="right"/>
              <w:rPr>
                <w:rFonts w:ascii="Arial" w:hAnsi="Arial" w:cs="Arial" w:eastAsia="Arial" w:hint="default"/>
                <w:sz w:val="21"/>
                <w:szCs w:val="21"/>
              </w:rPr>
            </w:pPr>
            <w:r>
              <w:rPr>
                <w:rFonts w:ascii="Arial"/>
                <w:w w:val="95"/>
                <w:sz w:val="21"/>
              </w:rPr>
              <w:t>491,523,303.34</w:t>
            </w:r>
            <w:r>
              <w:rPr>
                <w:rFonts w:ascii="Arial"/>
                <w:sz w:val="21"/>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-34.86%</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5"/>
              <w:jc w:val="right"/>
              <w:rPr>
                <w:rFonts w:ascii="Arial" w:hAnsi="Arial" w:cs="Arial" w:eastAsia="Arial" w:hint="default"/>
                <w:sz w:val="21"/>
                <w:szCs w:val="21"/>
              </w:rPr>
            </w:pPr>
            <w:r>
              <w:rPr>
                <w:rFonts w:ascii="Arial"/>
                <w:w w:val="95"/>
                <w:sz w:val="21"/>
              </w:rPr>
              <w:t>580,475.00</w:t>
            </w:r>
            <w:r>
              <w:rPr>
                <w:rFonts w:ascii="Arial"/>
                <w:sz w:val="21"/>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Arial" w:hAnsi="Arial" w:cs="Arial" w:eastAsia="Arial" w:hint="default"/>
                <w:sz w:val="21"/>
                <w:szCs w:val="21"/>
              </w:rPr>
            </w:pPr>
            <w:r>
              <w:rPr>
                <w:rFonts w:ascii="Arial"/>
                <w:w w:val="95"/>
                <w:sz w:val="21"/>
              </w:rPr>
              <w:t>2,578,686.53</w:t>
            </w:r>
            <w:r>
              <w:rPr>
                <w:rFonts w:ascii="Arial"/>
                <w:sz w:val="21"/>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-77.49%</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2"/>
              <w:jc w:val="right"/>
              <w:rPr>
                <w:rFonts w:ascii="Arial" w:hAnsi="Arial" w:cs="Arial" w:eastAsia="Arial" w:hint="default"/>
                <w:sz w:val="21"/>
                <w:szCs w:val="21"/>
              </w:rPr>
            </w:pPr>
            <w:r>
              <w:rPr>
                <w:rFonts w:ascii="Arial"/>
                <w:w w:val="95"/>
                <w:sz w:val="21"/>
              </w:rPr>
              <w:t>263,212,236.18</w:t>
            </w:r>
            <w:r>
              <w:rPr>
                <w:rFonts w:ascii="Arial"/>
                <w:sz w:val="21"/>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4"/>
              <w:jc w:val="right"/>
              <w:rPr>
                <w:rFonts w:ascii="Arial" w:hAnsi="Arial" w:cs="Arial" w:eastAsia="Arial" w:hint="default"/>
                <w:sz w:val="21"/>
                <w:szCs w:val="21"/>
              </w:rPr>
            </w:pPr>
            <w:r>
              <w:rPr>
                <w:rFonts w:ascii="Arial"/>
                <w:w w:val="95"/>
                <w:sz w:val="21"/>
              </w:rPr>
              <w:t>697,298,681.01</w:t>
            </w:r>
            <w:r>
              <w:rPr>
                <w:rFonts w:ascii="Arial"/>
                <w:sz w:val="21"/>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-62.25%</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2"/>
              <w:jc w:val="right"/>
              <w:rPr>
                <w:rFonts w:ascii="Arial" w:hAnsi="Arial" w:cs="Arial" w:eastAsia="Arial" w:hint="default"/>
                <w:sz w:val="21"/>
                <w:szCs w:val="21"/>
              </w:rPr>
            </w:pPr>
            <w:r>
              <w:rPr>
                <w:rFonts w:ascii="Arial"/>
                <w:w w:val="95"/>
                <w:sz w:val="21"/>
              </w:rPr>
              <w:t>-262,631,761.18</w:t>
            </w:r>
            <w:r>
              <w:rPr>
                <w:rFonts w:ascii="Arial"/>
                <w:sz w:val="21"/>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
              <w:jc w:val="right"/>
              <w:rPr>
                <w:rFonts w:ascii="Arial" w:hAnsi="Arial" w:cs="Arial" w:eastAsia="Arial" w:hint="default"/>
                <w:sz w:val="21"/>
                <w:szCs w:val="21"/>
              </w:rPr>
            </w:pPr>
            <w:r>
              <w:rPr>
                <w:rFonts w:ascii="Arial"/>
                <w:w w:val="95"/>
                <w:sz w:val="21"/>
              </w:rPr>
              <w:t>-694,719,994.48</w:t>
            </w:r>
            <w:r>
              <w:rPr>
                <w:rFonts w:ascii="Arial"/>
                <w:sz w:val="21"/>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sz w:val="21"/>
              </w:rPr>
              <w:t>62.20%</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5"/>
              <w:jc w:val="right"/>
              <w:rPr>
                <w:rFonts w:ascii="Arial" w:hAnsi="Arial" w:cs="Arial" w:eastAsia="Arial" w:hint="default"/>
                <w:sz w:val="21"/>
                <w:szCs w:val="21"/>
              </w:rPr>
            </w:pPr>
            <w:r>
              <w:rPr>
                <w:rFonts w:ascii="Arial"/>
                <w:w w:val="95"/>
                <w:sz w:val="21"/>
              </w:rPr>
              <w:t>52,089,799.03</w:t>
            </w:r>
            <w:r>
              <w:rPr>
                <w:rFonts w:ascii="Arial"/>
                <w:sz w:val="21"/>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4"/>
              <w:jc w:val="right"/>
              <w:rPr>
                <w:rFonts w:ascii="Arial" w:hAnsi="Arial" w:cs="Arial" w:eastAsia="Arial" w:hint="default"/>
                <w:sz w:val="21"/>
                <w:szCs w:val="21"/>
              </w:rPr>
            </w:pPr>
            <w:r>
              <w:rPr>
                <w:rFonts w:ascii="Arial"/>
                <w:w w:val="95"/>
                <w:sz w:val="21"/>
              </w:rPr>
              <w:t>746,630,328.38</w:t>
            </w:r>
            <w:r>
              <w:rPr>
                <w:rFonts w:ascii="Arial"/>
                <w:sz w:val="21"/>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-93.02%</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5"/>
              <w:jc w:val="right"/>
              <w:rPr>
                <w:rFonts w:ascii="Arial" w:hAnsi="Arial" w:cs="Arial" w:eastAsia="Arial" w:hint="default"/>
                <w:sz w:val="21"/>
                <w:szCs w:val="21"/>
              </w:rPr>
            </w:pPr>
            <w:r>
              <w:rPr>
                <w:rFonts w:ascii="Arial"/>
                <w:spacing w:val="-3"/>
                <w:sz w:val="21"/>
              </w:rPr>
              <w:t>116,117,592.79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Arial" w:hAnsi="Arial" w:cs="Arial" w:eastAsia="Arial" w:hint="default"/>
                <w:sz w:val="21"/>
                <w:szCs w:val="21"/>
              </w:rPr>
            </w:pPr>
            <w:r>
              <w:rPr>
                <w:rFonts w:ascii="Arial"/>
                <w:w w:val="95"/>
                <w:sz w:val="21"/>
              </w:rPr>
              <w:t>54,520,555.61</w:t>
            </w:r>
            <w:r>
              <w:rPr>
                <w:rFonts w:ascii="Arial"/>
                <w:sz w:val="21"/>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3"/>
                <w:sz w:val="21"/>
              </w:rPr>
              <w:t>112.98%</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2"/>
              <w:jc w:val="right"/>
              <w:rPr>
                <w:rFonts w:ascii="Arial" w:hAnsi="Arial" w:cs="Arial" w:eastAsia="Arial" w:hint="default"/>
                <w:sz w:val="21"/>
                <w:szCs w:val="21"/>
              </w:rPr>
            </w:pPr>
            <w:r>
              <w:rPr>
                <w:rFonts w:ascii="Arial"/>
                <w:w w:val="95"/>
                <w:sz w:val="21"/>
              </w:rPr>
              <w:t>-64,027,793.76</w:t>
            </w:r>
            <w:r>
              <w:rPr>
                <w:rFonts w:ascii="Arial"/>
                <w:sz w:val="21"/>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4"/>
              <w:jc w:val="right"/>
              <w:rPr>
                <w:rFonts w:ascii="Arial" w:hAnsi="Arial" w:cs="Arial" w:eastAsia="Arial" w:hint="default"/>
                <w:sz w:val="21"/>
                <w:szCs w:val="21"/>
              </w:rPr>
            </w:pPr>
            <w:r>
              <w:rPr>
                <w:rFonts w:ascii="Arial"/>
                <w:w w:val="95"/>
                <w:sz w:val="21"/>
              </w:rPr>
              <w:t>692,109,772.77</w:t>
            </w:r>
            <w:r>
              <w:rPr>
                <w:rFonts w:ascii="Arial"/>
                <w:sz w:val="21"/>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w w:val="95"/>
                <w:sz w:val="21"/>
              </w:rPr>
              <w:t>-109.25%</w:t>
            </w:r>
            <w:r>
              <w:rPr>
                <w:rFonts w:ascii="Arial"/>
                <w:sz w:val="21"/>
              </w:rPr>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5"/>
              <w:jc w:val="right"/>
              <w:rPr>
                <w:rFonts w:ascii="Arial" w:hAnsi="Arial" w:cs="Arial" w:eastAsia="Arial" w:hint="default"/>
                <w:sz w:val="21"/>
                <w:szCs w:val="21"/>
              </w:rPr>
            </w:pPr>
            <w:r>
              <w:rPr>
                <w:rFonts w:ascii="Arial"/>
                <w:w w:val="95"/>
                <w:sz w:val="21"/>
              </w:rPr>
              <w:t>-6,498,245.36</w:t>
            </w:r>
            <w:r>
              <w:rPr>
                <w:rFonts w:ascii="Arial"/>
                <w:sz w:val="21"/>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Arial" w:hAnsi="Arial" w:cs="Arial" w:eastAsia="Arial" w:hint="default"/>
                <w:sz w:val="21"/>
                <w:szCs w:val="21"/>
              </w:rPr>
            </w:pPr>
            <w:r>
              <w:rPr>
                <w:rFonts w:ascii="Arial"/>
                <w:w w:val="95"/>
                <w:sz w:val="21"/>
              </w:rPr>
              <w:t>488,913,081.63</w:t>
            </w:r>
            <w:r>
              <w:rPr>
                <w:rFonts w:ascii="Arial"/>
                <w:sz w:val="21"/>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w w:val="95"/>
                <w:sz w:val="21"/>
              </w:rPr>
              <w:t>-101.33%</w:t>
            </w:r>
            <w:r>
              <w:rPr>
                <w:rFonts w:ascii="Arial"/>
                <w:sz w:val="21"/>
              </w:rPr>
            </w:r>
          </w:p>
        </w:tc>
      </w:tr>
    </w:tbl>
    <w:p>
      <w:pPr>
        <w:pStyle w:val="Heading3"/>
        <w:spacing w:line="240" w:lineRule="auto" w:before="2"/>
        <w:ind w:right="996"/>
        <w:jc w:val="left"/>
      </w:pPr>
      <w:r>
        <w:rPr/>
        <w:t>相关数据同比发生重大变动的主要影响因素说明</w:t>
      </w:r>
    </w:p>
    <w:p>
      <w:pPr>
        <w:pStyle w:val="Heading3"/>
        <w:spacing w:line="256" w:lineRule="auto" w:before="38"/>
        <w:ind w:right="211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报告期内公司经营活动产生的现金净流量与本年度净利润存在重大差异的原因说明</w:t>
      </w:r>
    </w:p>
    <w:p>
      <w:pPr>
        <w:pStyle w:val="Heading3"/>
        <w:spacing w:line="240" w:lineRule="auto" w:before="19"/>
        <w:ind w:right="996"/>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after="0" w:line="240" w:lineRule="auto"/>
        <w:jc w:val="left"/>
        <w:sectPr>
          <w:pgSz w:w="11910" w:h="16840"/>
          <w:pgMar w:header="746" w:footer="978" w:top="1060" w:bottom="1160" w:left="1020" w:right="0"/>
        </w:sectPr>
      </w:pPr>
    </w:p>
    <w:p>
      <w:pPr>
        <w:spacing w:line="240" w:lineRule="auto" w:before="8"/>
        <w:rPr>
          <w:rFonts w:ascii="宋体" w:hAnsi="宋体" w:cs="宋体" w:eastAsia="宋体" w:hint="default"/>
          <w:sz w:val="23"/>
          <w:szCs w:val="23"/>
        </w:rPr>
      </w:pPr>
    </w:p>
    <w:p>
      <w:pPr>
        <w:pStyle w:val="Heading2"/>
        <w:spacing w:line="240" w:lineRule="auto"/>
        <w:ind w:right="996"/>
        <w:jc w:val="left"/>
        <w:rPr>
          <w:b w:val="0"/>
          <w:bCs w:val="0"/>
        </w:rPr>
      </w:pPr>
      <w:bookmarkStart w:name="三、非主营业务情况" w:id="38"/>
      <w:bookmarkEnd w:id="38"/>
      <w:r>
        <w:rPr>
          <w:b w:val="0"/>
          <w:bCs w:val="0"/>
        </w:rPr>
      </w:r>
      <w:r>
        <w:rPr/>
        <w:t>三、非主营业务情况</w:t>
      </w:r>
      <w:r>
        <w:rPr>
          <w:b w:val="0"/>
          <w:bCs w:val="0"/>
        </w:rPr>
      </w:r>
    </w:p>
    <w:p>
      <w:pPr>
        <w:spacing w:line="240" w:lineRule="auto" w:before="1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746" w:footer="978" w:top="1060" w:bottom="1160" w:left="1020" w:right="0"/>
        </w:sectPr>
      </w:pPr>
    </w:p>
    <w:p>
      <w:pPr>
        <w:pStyle w:val="Heading3"/>
        <w:spacing w:line="240" w:lineRule="auto" w:before="26"/>
        <w:ind w:right="-18"/>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pStyle w:val="BodyText"/>
        <w:spacing w:line="240" w:lineRule="auto" w:before="140"/>
        <w:ind w:right="0"/>
        <w:jc w:val="left"/>
      </w:pPr>
      <w:r>
        <w:rPr/>
        <w:t>单位：元</w:t>
      </w:r>
    </w:p>
    <w:p>
      <w:pPr>
        <w:spacing w:after="0" w:line="240" w:lineRule="auto"/>
        <w:jc w:val="left"/>
        <w:sectPr>
          <w:type w:val="continuous"/>
          <w:pgSz w:w="11910" w:h="16840"/>
          <w:pgMar w:top="1060" w:bottom="1160" w:left="1020" w:right="0"/>
          <w:cols w:num="2" w:equalWidth="0">
            <w:col w:w="1949" w:space="6849"/>
            <w:col w:w="2092"/>
          </w:cols>
        </w:sectPr>
      </w:pP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286"/>
        <w:gridCol w:w="1408"/>
        <w:gridCol w:w="1701"/>
        <w:gridCol w:w="3118"/>
        <w:gridCol w:w="1818"/>
      </w:tblGrid>
      <w:tr>
        <w:trPr>
          <w:trHeight w:val="402" w:hRule="exact"/>
        </w:trPr>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10" w:right="0"/>
              <w:jc w:val="left"/>
              <w:rPr>
                <w:rFonts w:ascii="宋体" w:hAnsi="宋体" w:cs="宋体" w:eastAsia="宋体" w:hint="default"/>
                <w:sz w:val="21"/>
                <w:szCs w:val="21"/>
              </w:rPr>
            </w:pPr>
            <w:r>
              <w:rPr>
                <w:rFonts w:ascii="宋体" w:hAnsi="宋体" w:cs="宋体" w:eastAsia="宋体" w:hint="default"/>
                <w:sz w:val="21"/>
                <w:szCs w:val="21"/>
              </w:rPr>
              <w:t>占利润总额比例</w:t>
            </w:r>
          </w:p>
        </w:tc>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924" w:right="0"/>
              <w:jc w:val="left"/>
              <w:rPr>
                <w:rFonts w:ascii="宋体" w:hAnsi="宋体" w:cs="宋体" w:eastAsia="宋体" w:hint="default"/>
                <w:sz w:val="21"/>
                <w:szCs w:val="21"/>
              </w:rPr>
            </w:pPr>
            <w:r>
              <w:rPr>
                <w:rFonts w:ascii="宋体" w:hAnsi="宋体" w:cs="宋体" w:eastAsia="宋体" w:hint="default"/>
                <w:sz w:val="21"/>
                <w:szCs w:val="21"/>
              </w:rPr>
              <w:t>形成原因说明</w:t>
            </w:r>
          </w:p>
        </w:tc>
        <w:tc>
          <w:tcPr>
            <w:tcW w:w="1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是否具有可持续性</w:t>
            </w:r>
          </w:p>
        </w:tc>
      </w:tr>
      <w:tr>
        <w:trPr>
          <w:trHeight w:val="402" w:hRule="exact"/>
        </w:trPr>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w w:val="95"/>
                <w:sz w:val="21"/>
              </w:rPr>
              <w:t>36,442,028.01</w:t>
            </w:r>
            <w:r>
              <w:rPr>
                <w:rFonts w:ascii="Arial"/>
                <w:sz w:val="21"/>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w w:val="95"/>
                <w:sz w:val="21"/>
              </w:rPr>
              <w:t>6.87%</w:t>
            </w:r>
            <w:r>
              <w:rPr>
                <w:rFonts w:ascii="Arial"/>
                <w:sz w:val="21"/>
              </w:rPr>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公司对捷视飞通的投资</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02" w:hRule="exact"/>
        </w:trPr>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资产减值</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6"/>
              <w:jc w:val="right"/>
              <w:rPr>
                <w:rFonts w:ascii="Arial" w:hAnsi="Arial" w:cs="Arial" w:eastAsia="Arial" w:hint="default"/>
                <w:sz w:val="21"/>
                <w:szCs w:val="21"/>
              </w:rPr>
            </w:pPr>
            <w:r>
              <w:rPr>
                <w:rFonts w:ascii="Arial"/>
                <w:w w:val="95"/>
                <w:sz w:val="21"/>
              </w:rPr>
              <w:t>21,286,419.77</w:t>
            </w:r>
            <w:r>
              <w:rPr>
                <w:rFonts w:ascii="Arial"/>
                <w:sz w:val="21"/>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w w:val="95"/>
                <w:sz w:val="21"/>
              </w:rPr>
              <w:t>4.01%</w:t>
            </w:r>
            <w:r>
              <w:rPr>
                <w:rFonts w:ascii="Arial"/>
                <w:sz w:val="21"/>
              </w:rPr>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本期应收项目计提的坏账准备</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02" w:hRule="exact"/>
        </w:trPr>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w w:val="95"/>
                <w:sz w:val="21"/>
              </w:rPr>
              <w:t>216,509.70</w:t>
            </w:r>
            <w:r>
              <w:rPr>
                <w:rFonts w:ascii="Arial"/>
                <w:sz w:val="21"/>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w w:val="95"/>
                <w:sz w:val="21"/>
              </w:rPr>
              <w:t>0.04%</w:t>
            </w:r>
            <w:r>
              <w:rPr>
                <w:rFonts w:ascii="Arial"/>
                <w:sz w:val="21"/>
              </w:rPr>
            </w:r>
          </w:p>
        </w:tc>
        <w:tc>
          <w:tcPr>
            <w:tcW w:w="3118"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02" w:hRule="exact"/>
        </w:trPr>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3"/>
              <w:jc w:val="right"/>
              <w:rPr>
                <w:rFonts w:ascii="Arial" w:hAnsi="Arial" w:cs="Arial" w:eastAsia="Arial" w:hint="default"/>
                <w:sz w:val="21"/>
                <w:szCs w:val="21"/>
              </w:rPr>
            </w:pPr>
            <w:r>
              <w:rPr>
                <w:rFonts w:ascii="Arial"/>
                <w:spacing w:val="-1"/>
                <w:w w:val="95"/>
                <w:sz w:val="21"/>
              </w:rPr>
              <w:t>11,214,317.81</w:t>
            </w:r>
            <w:r>
              <w:rPr>
                <w:rFonts w:ascii="Arial"/>
                <w:spacing w:val="-1"/>
                <w:sz w:val="21"/>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pacing w:val="-3"/>
                <w:w w:val="95"/>
                <w:sz w:val="21"/>
              </w:rPr>
              <w:t>2.11%</w:t>
            </w:r>
            <w:r>
              <w:rPr>
                <w:rFonts w:ascii="Arial"/>
                <w:spacing w:val="-3"/>
                <w:sz w:val="21"/>
              </w:rPr>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主要为本期公益性捐赠支出</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bl>
    <w:p>
      <w:pPr>
        <w:spacing w:line="240" w:lineRule="auto" w:before="1"/>
        <w:rPr>
          <w:rFonts w:ascii="宋体" w:hAnsi="宋体" w:cs="宋体" w:eastAsia="宋体" w:hint="default"/>
          <w:sz w:val="18"/>
          <w:szCs w:val="18"/>
        </w:rPr>
      </w:pPr>
    </w:p>
    <w:p>
      <w:pPr>
        <w:pStyle w:val="Heading2"/>
        <w:spacing w:line="240" w:lineRule="auto"/>
        <w:ind w:right="996"/>
        <w:jc w:val="left"/>
        <w:rPr>
          <w:b w:val="0"/>
          <w:bCs w:val="0"/>
        </w:rPr>
      </w:pPr>
      <w:bookmarkStart w:name="四、资产及负债状况" w:id="39"/>
      <w:bookmarkEnd w:id="39"/>
      <w:r>
        <w:rPr>
          <w:b w:val="0"/>
          <w:bCs w:val="0"/>
        </w:rPr>
      </w: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96"/>
        <w:jc w:val="left"/>
        <w:rPr>
          <w:b w:val="0"/>
          <w:bCs w:val="0"/>
        </w:rPr>
      </w:pPr>
      <w:bookmarkStart w:name="1、资产构成重大变动情况" w:id="40"/>
      <w:bookmarkEnd w:id="40"/>
      <w:r>
        <w:rPr>
          <w:b w:val="0"/>
          <w:bCs w:val="0"/>
        </w:rPr>
      </w:r>
      <w:r>
        <w:rPr>
          <w:rFonts w:ascii="Arial" w:hAnsi="Arial" w:cs="Arial" w:eastAsia="Arial" w:hint="default"/>
        </w:rPr>
        <w:t>1</w:t>
      </w:r>
      <w:r>
        <w:rPr/>
        <w:t>、资产构成重大变动情况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35"/>
        <w:jc w:val="right"/>
      </w:pPr>
      <w:r>
        <w:rPr>
          <w:w w:val="95"/>
        </w:rPr>
        <w:t>单位：元</w:t>
      </w:r>
      <w:r>
        <w:rPr/>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418"/>
        <w:gridCol w:w="1732"/>
        <w:gridCol w:w="896"/>
        <w:gridCol w:w="1766"/>
        <w:gridCol w:w="851"/>
        <w:gridCol w:w="742"/>
        <w:gridCol w:w="2164"/>
      </w:tblGrid>
      <w:tr>
        <w:trPr>
          <w:trHeight w:val="402"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39" w:right="0"/>
              <w:jc w:val="left"/>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9"/>
                <w:sz w:val="21"/>
                <w:szCs w:val="21"/>
              </w:rPr>
              <w:t> </w:t>
            </w:r>
            <w:r>
              <w:rPr>
                <w:rFonts w:ascii="宋体" w:hAnsi="宋体" w:cs="宋体" w:eastAsia="宋体" w:hint="default"/>
                <w:sz w:val="21"/>
                <w:szCs w:val="21"/>
              </w:rPr>
              <w:t>年末</w:t>
            </w:r>
          </w:p>
        </w:tc>
        <w:tc>
          <w:tcPr>
            <w:tcW w:w="26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834" w:right="0"/>
              <w:jc w:val="left"/>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9"/>
                <w:sz w:val="21"/>
                <w:szCs w:val="21"/>
              </w:rPr>
              <w:t> </w:t>
            </w:r>
            <w:r>
              <w:rPr>
                <w:rFonts w:ascii="宋体" w:hAnsi="宋体" w:cs="宋体" w:eastAsia="宋体" w:hint="default"/>
                <w:sz w:val="21"/>
                <w:szCs w:val="21"/>
              </w:rPr>
              <w:t>年末</w:t>
            </w:r>
          </w:p>
        </w:tc>
        <w:tc>
          <w:tcPr>
            <w:tcW w:w="7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73" w:lineRule="auto"/>
              <w:ind w:left="262" w:right="50" w:hanging="212"/>
              <w:jc w:val="left"/>
              <w:rPr>
                <w:rFonts w:ascii="宋体" w:hAnsi="宋体" w:cs="宋体" w:eastAsia="宋体" w:hint="default"/>
                <w:sz w:val="21"/>
                <w:szCs w:val="21"/>
              </w:rPr>
            </w:pPr>
            <w:r>
              <w:rPr>
                <w:rFonts w:ascii="宋体" w:hAnsi="宋体" w:cs="宋体" w:eastAsia="宋体" w:hint="default"/>
                <w:sz w:val="21"/>
                <w:szCs w:val="21"/>
              </w:rPr>
              <w:t>比重增</w:t>
            </w:r>
            <w:r>
              <w:rPr>
                <w:rFonts w:ascii="宋体" w:hAnsi="宋体" w:cs="宋体" w:eastAsia="宋体" w:hint="default"/>
                <w:w w:val="99"/>
                <w:sz w:val="21"/>
                <w:szCs w:val="21"/>
              </w:rPr>
              <w:t> </w:t>
            </w:r>
            <w:r>
              <w:rPr>
                <w:rFonts w:ascii="宋体" w:hAnsi="宋体" w:cs="宋体" w:eastAsia="宋体" w:hint="default"/>
                <w:sz w:val="21"/>
                <w:szCs w:val="21"/>
              </w:rPr>
              <w:t>减</w:t>
            </w:r>
          </w:p>
        </w:tc>
        <w:tc>
          <w:tcPr>
            <w:tcW w:w="2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714"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5"/>
              <w:ind w:left="232" w:right="22" w:hanging="209"/>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w w:val="99"/>
                <w:sz w:val="21"/>
                <w:szCs w:val="21"/>
              </w:rPr>
              <w:t> </w:t>
            </w:r>
            <w:r>
              <w:rPr>
                <w:rFonts w:ascii="宋体" w:hAnsi="宋体" w:cs="宋体" w:eastAsia="宋体" w:hint="default"/>
                <w:sz w:val="21"/>
                <w:szCs w:val="21"/>
              </w:rPr>
              <w:t>比例</w:t>
            </w:r>
          </w:p>
        </w:tc>
        <w:tc>
          <w:tcPr>
            <w:tcW w:w="1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5"/>
              <w:ind w:left="105" w:right="105"/>
              <w:jc w:val="left"/>
              <w:rPr>
                <w:rFonts w:ascii="宋体" w:hAnsi="宋体" w:cs="宋体" w:eastAsia="宋体" w:hint="default"/>
                <w:sz w:val="21"/>
                <w:szCs w:val="21"/>
              </w:rPr>
            </w:pPr>
            <w:r>
              <w:rPr>
                <w:rFonts w:ascii="宋体" w:hAnsi="宋体" w:cs="宋体" w:eastAsia="宋体" w:hint="default"/>
                <w:sz w:val="21"/>
                <w:szCs w:val="21"/>
              </w:rPr>
              <w:t>占总资</w:t>
            </w:r>
            <w:r>
              <w:rPr>
                <w:rFonts w:ascii="宋体" w:hAnsi="宋体" w:cs="宋体" w:eastAsia="宋体" w:hint="default"/>
                <w:w w:val="99"/>
                <w:sz w:val="21"/>
                <w:szCs w:val="21"/>
              </w:rPr>
              <w:t> </w:t>
            </w:r>
            <w:r>
              <w:rPr>
                <w:rFonts w:ascii="宋体" w:hAnsi="宋体" w:cs="宋体" w:eastAsia="宋体" w:hint="default"/>
                <w:sz w:val="21"/>
                <w:szCs w:val="21"/>
              </w:rPr>
              <w:t>产比例</w:t>
            </w:r>
          </w:p>
        </w:tc>
        <w:tc>
          <w:tcPr>
            <w:tcW w:w="742" w:type="dxa"/>
            <w:vMerge/>
            <w:tcBorders>
              <w:left w:val="single" w:sz="4" w:space="0" w:color="000000"/>
              <w:bottom w:val="single" w:sz="4" w:space="0" w:color="000000"/>
              <w:right w:val="single" w:sz="4" w:space="0" w:color="000000"/>
            </w:tcBorders>
            <w:shd w:val="clear" w:color="auto" w:fill="D2D2D2"/>
          </w:tcPr>
          <w:p>
            <w:pPr/>
          </w:p>
        </w:tc>
        <w:tc>
          <w:tcPr>
            <w:tcW w:w="216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1"/>
              <w:jc w:val="right"/>
              <w:rPr>
                <w:rFonts w:ascii="Arial" w:hAnsi="Arial" w:cs="Arial" w:eastAsia="Arial" w:hint="default"/>
                <w:sz w:val="21"/>
                <w:szCs w:val="21"/>
              </w:rPr>
            </w:pPr>
            <w:r>
              <w:rPr>
                <w:rFonts w:ascii="Arial"/>
                <w:w w:val="95"/>
                <w:sz w:val="21"/>
              </w:rPr>
              <w:t>1,303,142,047.61</w:t>
            </w:r>
            <w:r>
              <w:rPr>
                <w:rFonts w:ascii="Arial"/>
                <w:sz w:val="21"/>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95"/>
                <w:sz w:val="21"/>
              </w:rPr>
              <w:t>22.35%</w:t>
            </w:r>
            <w:r>
              <w:rPr>
                <w:rFonts w:ascii="Arial"/>
                <w:sz w:val="21"/>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1"/>
              <w:jc w:val="right"/>
              <w:rPr>
                <w:rFonts w:ascii="Arial" w:hAnsi="Arial" w:cs="Arial" w:eastAsia="Arial" w:hint="default"/>
                <w:sz w:val="21"/>
                <w:szCs w:val="21"/>
              </w:rPr>
            </w:pPr>
            <w:r>
              <w:rPr>
                <w:rFonts w:ascii="Arial"/>
                <w:spacing w:val="-1"/>
                <w:w w:val="95"/>
                <w:sz w:val="21"/>
              </w:rPr>
              <w:t>1,297,334,119.79</w:t>
            </w:r>
            <w:r>
              <w:rPr>
                <w:rFonts w:ascii="Arial"/>
                <w:spacing w:val="-1"/>
                <w:sz w:val="21"/>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25.28%</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8" w:right="0"/>
              <w:jc w:val="center"/>
              <w:rPr>
                <w:rFonts w:ascii="Arial" w:hAnsi="Arial" w:cs="Arial" w:eastAsia="Arial" w:hint="default"/>
                <w:sz w:val="21"/>
                <w:szCs w:val="21"/>
              </w:rPr>
            </w:pPr>
            <w:r>
              <w:rPr>
                <w:rFonts w:ascii="Arial"/>
                <w:sz w:val="21"/>
              </w:rPr>
              <w:t>-2.93%</w:t>
            </w:r>
          </w:p>
        </w:tc>
        <w:tc>
          <w:tcPr>
            <w:tcW w:w="21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3"/>
              <w:jc w:val="right"/>
              <w:rPr>
                <w:rFonts w:ascii="Arial" w:hAnsi="Arial" w:cs="Arial" w:eastAsia="Arial" w:hint="default"/>
                <w:sz w:val="21"/>
                <w:szCs w:val="21"/>
              </w:rPr>
            </w:pPr>
            <w:r>
              <w:rPr>
                <w:rFonts w:ascii="Arial"/>
                <w:w w:val="95"/>
                <w:sz w:val="21"/>
              </w:rPr>
              <w:t>923,975,361.74</w:t>
            </w:r>
            <w:r>
              <w:rPr>
                <w:rFonts w:ascii="Arial"/>
                <w:sz w:val="21"/>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95"/>
                <w:sz w:val="21"/>
              </w:rPr>
              <w:t>15.85%</w:t>
            </w:r>
            <w:r>
              <w:rPr>
                <w:rFonts w:ascii="Arial"/>
                <w:sz w:val="21"/>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4"/>
              <w:jc w:val="right"/>
              <w:rPr>
                <w:rFonts w:ascii="Arial" w:hAnsi="Arial" w:cs="Arial" w:eastAsia="Arial" w:hint="default"/>
                <w:sz w:val="21"/>
                <w:szCs w:val="21"/>
              </w:rPr>
            </w:pPr>
            <w:r>
              <w:rPr>
                <w:rFonts w:ascii="Arial"/>
                <w:w w:val="95"/>
                <w:sz w:val="21"/>
              </w:rPr>
              <w:t>642,207,932.98</w:t>
            </w:r>
            <w:r>
              <w:rPr>
                <w:rFonts w:ascii="Arial"/>
                <w:sz w:val="21"/>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12.52%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5" w:right="0"/>
              <w:jc w:val="center"/>
              <w:rPr>
                <w:rFonts w:ascii="Arial" w:hAnsi="Arial" w:cs="Arial" w:eastAsia="Arial" w:hint="default"/>
                <w:sz w:val="21"/>
                <w:szCs w:val="21"/>
              </w:rPr>
            </w:pPr>
            <w:r>
              <w:rPr>
                <w:rFonts w:ascii="Arial"/>
                <w:sz w:val="21"/>
              </w:rPr>
              <w:t>3.33%</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5"/>
              <w:ind w:left="24" w:right="30"/>
              <w:jc w:val="left"/>
              <w:rPr>
                <w:rFonts w:ascii="宋体" w:hAnsi="宋体" w:cs="宋体" w:eastAsia="宋体" w:hint="default"/>
                <w:sz w:val="21"/>
                <w:szCs w:val="21"/>
              </w:rPr>
            </w:pPr>
            <w:r>
              <w:rPr>
                <w:rFonts w:ascii="宋体" w:hAnsi="宋体" w:cs="宋体" w:eastAsia="宋体" w:hint="default"/>
                <w:sz w:val="21"/>
                <w:szCs w:val="21"/>
              </w:rPr>
              <w:t>公司业务增长带动应收</w:t>
            </w:r>
            <w:r>
              <w:rPr>
                <w:rFonts w:ascii="宋体" w:hAnsi="宋体" w:cs="宋体" w:eastAsia="宋体" w:hint="default"/>
                <w:w w:val="99"/>
                <w:sz w:val="21"/>
                <w:szCs w:val="21"/>
              </w:rPr>
              <w:t> </w:t>
            </w:r>
            <w:r>
              <w:rPr>
                <w:rFonts w:ascii="宋体" w:hAnsi="宋体" w:cs="宋体" w:eastAsia="宋体" w:hint="default"/>
                <w:sz w:val="21"/>
                <w:szCs w:val="21"/>
              </w:rPr>
              <w:t>账款的增加</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3"/>
              <w:jc w:val="right"/>
              <w:rPr>
                <w:rFonts w:ascii="Arial" w:hAnsi="Arial" w:cs="Arial" w:eastAsia="Arial" w:hint="default"/>
                <w:sz w:val="21"/>
                <w:szCs w:val="21"/>
              </w:rPr>
            </w:pPr>
            <w:r>
              <w:rPr>
                <w:rFonts w:ascii="Arial"/>
                <w:w w:val="95"/>
                <w:sz w:val="21"/>
              </w:rPr>
              <w:t>677,082,569.92</w:t>
            </w:r>
            <w:r>
              <w:rPr>
                <w:rFonts w:ascii="Arial"/>
                <w:sz w:val="21"/>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3"/>
                <w:w w:val="95"/>
                <w:sz w:val="21"/>
              </w:rPr>
              <w:t>11.61%</w:t>
            </w:r>
            <w:r>
              <w:rPr>
                <w:rFonts w:ascii="Arial"/>
                <w:spacing w:val="-3"/>
                <w:sz w:val="21"/>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4"/>
              <w:jc w:val="right"/>
              <w:rPr>
                <w:rFonts w:ascii="Arial" w:hAnsi="Arial" w:cs="Arial" w:eastAsia="Arial" w:hint="default"/>
                <w:sz w:val="21"/>
                <w:szCs w:val="21"/>
              </w:rPr>
            </w:pPr>
            <w:r>
              <w:rPr>
                <w:rFonts w:ascii="Arial"/>
                <w:spacing w:val="-2"/>
                <w:sz w:val="21"/>
              </w:rPr>
              <w:t>516,011,282.35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1"/>
                <w:sz w:val="21"/>
              </w:rPr>
              <w:t>10.06%</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95" w:right="0"/>
              <w:jc w:val="center"/>
              <w:rPr>
                <w:rFonts w:ascii="Arial" w:hAnsi="Arial" w:cs="Arial" w:eastAsia="Arial" w:hint="default"/>
                <w:sz w:val="21"/>
                <w:szCs w:val="21"/>
              </w:rPr>
            </w:pPr>
            <w:r>
              <w:rPr>
                <w:rFonts w:ascii="Arial"/>
                <w:sz w:val="21"/>
              </w:rPr>
              <w:t>1.55%</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处在实施阶段项目较多</w:t>
            </w:r>
          </w:p>
        </w:tc>
      </w:tr>
      <w:tr>
        <w:trPr>
          <w:trHeight w:val="1338"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732"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4"/>
              <w:jc w:val="right"/>
              <w:rPr>
                <w:rFonts w:ascii="Arial" w:hAnsi="Arial" w:cs="Arial" w:eastAsia="Arial" w:hint="default"/>
                <w:sz w:val="21"/>
                <w:szCs w:val="21"/>
              </w:rPr>
            </w:pPr>
            <w:r>
              <w:rPr>
                <w:rFonts w:ascii="Arial"/>
                <w:w w:val="95"/>
                <w:sz w:val="21"/>
              </w:rPr>
              <w:t>44,153,586.61</w:t>
            </w:r>
            <w:r>
              <w:rPr>
                <w:rFonts w:ascii="Arial"/>
                <w:sz w:val="21"/>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0"/>
              <w:jc w:val="right"/>
              <w:rPr>
                <w:rFonts w:ascii="Arial" w:hAnsi="Arial" w:cs="Arial" w:eastAsia="Arial" w:hint="default"/>
                <w:sz w:val="21"/>
                <w:szCs w:val="21"/>
              </w:rPr>
            </w:pPr>
            <w:r>
              <w:rPr>
                <w:rFonts w:ascii="Arial"/>
                <w:w w:val="95"/>
                <w:sz w:val="21"/>
              </w:rPr>
              <w:t>0.86%</w:t>
            </w:r>
            <w:r>
              <w:rPr>
                <w:rFonts w:ascii="Arial"/>
                <w:sz w:val="21"/>
              </w:rPr>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8" w:right="0"/>
              <w:jc w:val="center"/>
              <w:rPr>
                <w:rFonts w:ascii="Arial" w:hAnsi="Arial" w:cs="Arial" w:eastAsia="Arial" w:hint="default"/>
                <w:sz w:val="21"/>
                <w:szCs w:val="21"/>
              </w:rPr>
            </w:pPr>
            <w:r>
              <w:rPr>
                <w:rFonts w:ascii="Arial"/>
                <w:sz w:val="21"/>
              </w:rPr>
              <w:t>-0.86%</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5"/>
              <w:ind w:left="24" w:right="30"/>
              <w:jc w:val="both"/>
              <w:rPr>
                <w:rFonts w:ascii="宋体" w:hAnsi="宋体" w:cs="宋体" w:eastAsia="宋体" w:hint="default"/>
                <w:sz w:val="21"/>
                <w:szCs w:val="21"/>
              </w:rPr>
            </w:pPr>
            <w:r>
              <w:rPr>
                <w:rFonts w:ascii="宋体" w:hAnsi="宋体" w:cs="宋体" w:eastAsia="宋体" w:hint="default"/>
                <w:sz w:val="21"/>
                <w:szCs w:val="21"/>
              </w:rPr>
              <w:t>公司对捷视飞通的投资</w:t>
            </w:r>
            <w:r>
              <w:rPr>
                <w:rFonts w:ascii="宋体" w:hAnsi="宋体" w:cs="宋体" w:eastAsia="宋体" w:hint="default"/>
                <w:w w:val="99"/>
                <w:sz w:val="21"/>
                <w:szCs w:val="21"/>
              </w:rPr>
              <w:t> </w:t>
            </w:r>
            <w:r>
              <w:rPr>
                <w:rFonts w:ascii="宋体" w:hAnsi="宋体" w:cs="宋体" w:eastAsia="宋体" w:hint="default"/>
                <w:sz w:val="21"/>
                <w:szCs w:val="21"/>
              </w:rPr>
              <w:t>改为财务性投资，由本</w:t>
            </w:r>
            <w:r>
              <w:rPr>
                <w:rFonts w:ascii="宋体" w:hAnsi="宋体" w:cs="宋体" w:eastAsia="宋体" w:hint="default"/>
                <w:w w:val="99"/>
                <w:sz w:val="21"/>
                <w:szCs w:val="21"/>
              </w:rPr>
              <w:t> </w:t>
            </w:r>
            <w:r>
              <w:rPr>
                <w:rFonts w:ascii="宋体" w:hAnsi="宋体" w:cs="宋体" w:eastAsia="宋体" w:hint="default"/>
                <w:sz w:val="21"/>
                <w:szCs w:val="21"/>
              </w:rPr>
              <w:t>科目转出至可供出售金</w:t>
            </w:r>
            <w:r>
              <w:rPr>
                <w:rFonts w:ascii="宋体" w:hAnsi="宋体" w:cs="宋体" w:eastAsia="宋体" w:hint="default"/>
                <w:w w:val="99"/>
                <w:sz w:val="21"/>
                <w:szCs w:val="21"/>
              </w:rPr>
              <w:t> </w:t>
            </w:r>
            <w:r>
              <w:rPr>
                <w:rFonts w:ascii="宋体" w:hAnsi="宋体" w:cs="宋体" w:eastAsia="宋体" w:hint="default"/>
                <w:sz w:val="21"/>
                <w:szCs w:val="21"/>
              </w:rPr>
              <w:t>融资产科目</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3"/>
              <w:jc w:val="right"/>
              <w:rPr>
                <w:rFonts w:ascii="Arial" w:hAnsi="Arial" w:cs="Arial" w:eastAsia="Arial" w:hint="default"/>
                <w:sz w:val="21"/>
                <w:szCs w:val="21"/>
              </w:rPr>
            </w:pPr>
            <w:r>
              <w:rPr>
                <w:rFonts w:ascii="Arial"/>
                <w:w w:val="95"/>
                <w:sz w:val="21"/>
              </w:rPr>
              <w:t>252,901,655.59</w:t>
            </w:r>
            <w:r>
              <w:rPr>
                <w:rFonts w:ascii="Arial"/>
                <w:sz w:val="21"/>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95"/>
                <w:sz w:val="21"/>
              </w:rPr>
              <w:t>4.34%</w:t>
            </w:r>
            <w:r>
              <w:rPr>
                <w:rFonts w:ascii="Arial"/>
                <w:sz w:val="21"/>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4"/>
              <w:jc w:val="right"/>
              <w:rPr>
                <w:rFonts w:ascii="Arial" w:hAnsi="Arial" w:cs="Arial" w:eastAsia="Arial" w:hint="default"/>
                <w:sz w:val="21"/>
                <w:szCs w:val="21"/>
              </w:rPr>
            </w:pPr>
            <w:r>
              <w:rPr>
                <w:rFonts w:ascii="Arial"/>
                <w:w w:val="95"/>
                <w:sz w:val="21"/>
              </w:rPr>
              <w:t>259,383,902.21</w:t>
            </w:r>
            <w:r>
              <w:rPr>
                <w:rFonts w:ascii="Arial"/>
                <w:sz w:val="21"/>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w w:val="95"/>
                <w:sz w:val="21"/>
              </w:rPr>
              <w:t>5.06%</w:t>
            </w:r>
            <w:r>
              <w:rPr>
                <w:rFonts w:ascii="Arial"/>
                <w:sz w:val="21"/>
              </w:rPr>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8" w:right="0"/>
              <w:jc w:val="center"/>
              <w:rPr>
                <w:rFonts w:ascii="Arial" w:hAnsi="Arial" w:cs="Arial" w:eastAsia="Arial" w:hint="default"/>
                <w:sz w:val="21"/>
                <w:szCs w:val="21"/>
              </w:rPr>
            </w:pPr>
            <w:r>
              <w:rPr>
                <w:rFonts w:ascii="Arial"/>
                <w:sz w:val="21"/>
              </w:rPr>
              <w:t>-0.72%</w:t>
            </w:r>
          </w:p>
        </w:tc>
        <w:tc>
          <w:tcPr>
            <w:tcW w:w="21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6"/>
              <w:jc w:val="right"/>
              <w:rPr>
                <w:rFonts w:ascii="Arial" w:hAnsi="Arial" w:cs="Arial" w:eastAsia="Arial" w:hint="default"/>
                <w:sz w:val="21"/>
                <w:szCs w:val="21"/>
              </w:rPr>
            </w:pPr>
            <w:r>
              <w:rPr>
                <w:rFonts w:ascii="Arial"/>
                <w:w w:val="95"/>
                <w:sz w:val="21"/>
              </w:rPr>
              <w:t>39,000,000.00</w:t>
            </w:r>
            <w:r>
              <w:rPr>
                <w:rFonts w:ascii="Arial"/>
                <w:sz w:val="21"/>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Arial" w:hAnsi="Arial" w:cs="Arial" w:eastAsia="Arial" w:hint="default"/>
                <w:sz w:val="21"/>
                <w:szCs w:val="21"/>
              </w:rPr>
            </w:pPr>
            <w:r>
              <w:rPr>
                <w:rFonts w:ascii="Arial"/>
                <w:w w:val="95"/>
                <w:sz w:val="21"/>
              </w:rPr>
              <w:t>0.67%</w:t>
            </w:r>
            <w:r>
              <w:rPr>
                <w:rFonts w:ascii="Arial"/>
                <w:sz w:val="21"/>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4"/>
              <w:jc w:val="right"/>
              <w:rPr>
                <w:rFonts w:ascii="Arial" w:hAnsi="Arial" w:cs="Arial" w:eastAsia="Arial" w:hint="default"/>
                <w:sz w:val="21"/>
                <w:szCs w:val="21"/>
              </w:rPr>
            </w:pPr>
            <w:r>
              <w:rPr>
                <w:rFonts w:ascii="Arial"/>
                <w:w w:val="95"/>
                <w:sz w:val="21"/>
              </w:rPr>
              <w:t>60,350,000.00</w:t>
            </w:r>
            <w:r>
              <w:rPr>
                <w:rFonts w:ascii="Arial"/>
                <w:sz w:val="21"/>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0"/>
              <w:jc w:val="right"/>
              <w:rPr>
                <w:rFonts w:ascii="Arial" w:hAnsi="Arial" w:cs="Arial" w:eastAsia="Arial" w:hint="default"/>
                <w:sz w:val="21"/>
                <w:szCs w:val="21"/>
              </w:rPr>
            </w:pPr>
            <w:r>
              <w:rPr>
                <w:rFonts w:ascii="Arial"/>
                <w:w w:val="95"/>
                <w:sz w:val="21"/>
              </w:rPr>
              <w:t>1.18%</w:t>
            </w:r>
            <w:r>
              <w:rPr>
                <w:rFonts w:ascii="Arial"/>
                <w:sz w:val="21"/>
              </w:rPr>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8" w:right="0"/>
              <w:jc w:val="center"/>
              <w:rPr>
                <w:rFonts w:ascii="Arial" w:hAnsi="Arial" w:cs="Arial" w:eastAsia="Arial" w:hint="default"/>
                <w:sz w:val="21"/>
                <w:szCs w:val="21"/>
              </w:rPr>
            </w:pPr>
            <w:r>
              <w:rPr>
                <w:rFonts w:ascii="Arial"/>
                <w:sz w:val="21"/>
              </w:rPr>
              <w:t>-0.51%</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21"/>
                <w:szCs w:val="21"/>
              </w:rPr>
            </w:pPr>
            <w:r>
              <w:rPr>
                <w:rFonts w:ascii="宋体" w:hAnsi="宋体" w:cs="宋体" w:eastAsia="宋体" w:hint="default"/>
                <w:sz w:val="21"/>
                <w:szCs w:val="21"/>
              </w:rPr>
              <w:t>子公司归还借款</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3"/>
              <w:jc w:val="right"/>
              <w:rPr>
                <w:rFonts w:ascii="Arial" w:hAnsi="Arial" w:cs="Arial" w:eastAsia="Arial" w:hint="default"/>
                <w:sz w:val="21"/>
                <w:szCs w:val="21"/>
              </w:rPr>
            </w:pPr>
            <w:r>
              <w:rPr>
                <w:rFonts w:ascii="Arial"/>
                <w:w w:val="95"/>
                <w:sz w:val="21"/>
              </w:rPr>
              <w:t>283,634,799.06</w:t>
            </w:r>
            <w:r>
              <w:rPr>
                <w:rFonts w:ascii="Arial"/>
                <w:sz w:val="21"/>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95"/>
                <w:sz w:val="21"/>
              </w:rPr>
              <w:t>4.86%</w:t>
            </w:r>
            <w:r>
              <w:rPr>
                <w:rFonts w:ascii="Arial"/>
                <w:sz w:val="21"/>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4"/>
              <w:jc w:val="right"/>
              <w:rPr>
                <w:rFonts w:ascii="Arial" w:hAnsi="Arial" w:cs="Arial" w:eastAsia="Arial" w:hint="default"/>
                <w:sz w:val="21"/>
                <w:szCs w:val="21"/>
              </w:rPr>
            </w:pPr>
            <w:r>
              <w:rPr>
                <w:rFonts w:ascii="Arial"/>
                <w:w w:val="95"/>
                <w:sz w:val="21"/>
              </w:rPr>
              <w:t>202,210,633.56</w:t>
            </w:r>
            <w:r>
              <w:rPr>
                <w:rFonts w:ascii="Arial"/>
                <w:sz w:val="21"/>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w w:val="95"/>
                <w:sz w:val="21"/>
              </w:rPr>
              <w:t>3.94%</w:t>
            </w:r>
            <w:r>
              <w:rPr>
                <w:rFonts w:ascii="Arial"/>
                <w:sz w:val="21"/>
              </w:rPr>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95" w:right="0"/>
              <w:jc w:val="center"/>
              <w:rPr>
                <w:rFonts w:ascii="Arial" w:hAnsi="Arial" w:cs="Arial" w:eastAsia="Arial" w:hint="default"/>
                <w:sz w:val="21"/>
                <w:szCs w:val="21"/>
              </w:rPr>
            </w:pPr>
            <w:r>
              <w:rPr>
                <w:rFonts w:ascii="Arial"/>
                <w:sz w:val="21"/>
              </w:rPr>
              <w:t>0.92%</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4" w:right="30"/>
              <w:jc w:val="left"/>
              <w:rPr>
                <w:rFonts w:ascii="宋体" w:hAnsi="宋体" w:cs="宋体" w:eastAsia="宋体" w:hint="default"/>
                <w:sz w:val="21"/>
                <w:szCs w:val="21"/>
              </w:rPr>
            </w:pPr>
            <w:r>
              <w:rPr>
                <w:rFonts w:ascii="宋体" w:hAnsi="宋体" w:cs="宋体" w:eastAsia="宋体" w:hint="default"/>
                <w:sz w:val="21"/>
                <w:szCs w:val="21"/>
              </w:rPr>
              <w:t>公司业务增长导致的投</w:t>
            </w:r>
            <w:r>
              <w:rPr>
                <w:rFonts w:ascii="宋体" w:hAnsi="宋体" w:cs="宋体" w:eastAsia="宋体" w:hint="default"/>
                <w:w w:val="99"/>
                <w:sz w:val="21"/>
                <w:szCs w:val="21"/>
              </w:rPr>
              <w:t> </w:t>
            </w:r>
            <w:r>
              <w:rPr>
                <w:rFonts w:ascii="宋体" w:hAnsi="宋体" w:cs="宋体" w:eastAsia="宋体" w:hint="default"/>
                <w:sz w:val="21"/>
                <w:szCs w:val="21"/>
              </w:rPr>
              <w:t>标及履约保证金增加</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5"/>
              <w:ind w:left="22" w:right="125"/>
              <w:jc w:val="left"/>
              <w:rPr>
                <w:rFonts w:ascii="宋体" w:hAnsi="宋体" w:cs="宋体" w:eastAsia="宋体" w:hint="default"/>
                <w:sz w:val="21"/>
                <w:szCs w:val="21"/>
              </w:rPr>
            </w:pPr>
            <w:r>
              <w:rPr>
                <w:rFonts w:ascii="宋体" w:hAnsi="宋体" w:cs="宋体" w:eastAsia="宋体" w:hint="default"/>
                <w:sz w:val="21"/>
                <w:szCs w:val="21"/>
              </w:rPr>
              <w:t>可供出售金融</w:t>
            </w:r>
            <w:r>
              <w:rPr>
                <w:rFonts w:ascii="宋体" w:hAnsi="宋体" w:cs="宋体" w:eastAsia="宋体" w:hint="default"/>
                <w:w w:val="99"/>
                <w:sz w:val="21"/>
                <w:szCs w:val="21"/>
              </w:rPr>
              <w:t> </w:t>
            </w:r>
            <w:r>
              <w:rPr>
                <w:rFonts w:ascii="宋体" w:hAnsi="宋体" w:cs="宋体" w:eastAsia="宋体" w:hint="default"/>
                <w:sz w:val="21"/>
                <w:szCs w:val="21"/>
              </w:rPr>
              <w:t>资产</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3"/>
              <w:jc w:val="right"/>
              <w:rPr>
                <w:rFonts w:ascii="Arial" w:hAnsi="Arial" w:cs="Arial" w:eastAsia="Arial" w:hint="default"/>
                <w:sz w:val="21"/>
                <w:szCs w:val="21"/>
              </w:rPr>
            </w:pPr>
            <w:r>
              <w:rPr>
                <w:rFonts w:ascii="Arial"/>
                <w:w w:val="95"/>
                <w:sz w:val="21"/>
              </w:rPr>
              <w:t>131,000,000.00</w:t>
            </w:r>
            <w:r>
              <w:rPr>
                <w:rFonts w:ascii="Arial"/>
                <w:sz w:val="21"/>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95"/>
                <w:sz w:val="21"/>
              </w:rPr>
              <w:t>2.25%</w:t>
            </w:r>
            <w:r>
              <w:rPr>
                <w:rFonts w:ascii="Arial"/>
                <w:sz w:val="21"/>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4"/>
              <w:jc w:val="right"/>
              <w:rPr>
                <w:rFonts w:ascii="Arial" w:hAnsi="Arial" w:cs="Arial" w:eastAsia="Arial" w:hint="default"/>
                <w:sz w:val="21"/>
                <w:szCs w:val="21"/>
              </w:rPr>
            </w:pPr>
            <w:r>
              <w:rPr>
                <w:rFonts w:ascii="Arial"/>
                <w:w w:val="95"/>
                <w:sz w:val="21"/>
              </w:rPr>
              <w:t>34,000,000.00</w:t>
            </w:r>
            <w:r>
              <w:rPr>
                <w:rFonts w:ascii="Arial"/>
                <w:sz w:val="21"/>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w w:val="95"/>
                <w:sz w:val="21"/>
              </w:rPr>
              <w:t>0.66%</w:t>
            </w:r>
            <w:r>
              <w:rPr>
                <w:rFonts w:ascii="Arial"/>
                <w:sz w:val="21"/>
              </w:rPr>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5" w:right="0"/>
              <w:jc w:val="center"/>
              <w:rPr>
                <w:rFonts w:ascii="Arial" w:hAnsi="Arial" w:cs="Arial" w:eastAsia="Arial" w:hint="default"/>
                <w:sz w:val="21"/>
                <w:szCs w:val="21"/>
              </w:rPr>
            </w:pPr>
            <w:r>
              <w:rPr>
                <w:rFonts w:ascii="Arial"/>
                <w:sz w:val="21"/>
              </w:rPr>
              <w:t>1.59%</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公司对捷视飞通的投资</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3"/>
              <w:jc w:val="right"/>
              <w:rPr>
                <w:rFonts w:ascii="Arial" w:hAnsi="Arial" w:cs="Arial" w:eastAsia="Arial" w:hint="default"/>
                <w:sz w:val="21"/>
                <w:szCs w:val="21"/>
              </w:rPr>
            </w:pPr>
            <w:r>
              <w:rPr>
                <w:rFonts w:ascii="Arial"/>
                <w:w w:val="95"/>
                <w:sz w:val="21"/>
              </w:rPr>
              <w:t>288,458,816.48</w:t>
            </w:r>
            <w:r>
              <w:rPr>
                <w:rFonts w:ascii="Arial"/>
                <w:sz w:val="21"/>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95"/>
                <w:sz w:val="21"/>
              </w:rPr>
              <w:t>4.95%</w:t>
            </w:r>
            <w:r>
              <w:rPr>
                <w:rFonts w:ascii="Arial"/>
                <w:sz w:val="21"/>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4"/>
              <w:jc w:val="right"/>
              <w:rPr>
                <w:rFonts w:ascii="Arial" w:hAnsi="Arial" w:cs="Arial" w:eastAsia="Arial" w:hint="default"/>
                <w:sz w:val="21"/>
                <w:szCs w:val="21"/>
              </w:rPr>
            </w:pPr>
            <w:r>
              <w:rPr>
                <w:rFonts w:ascii="Arial"/>
                <w:w w:val="95"/>
                <w:sz w:val="21"/>
              </w:rPr>
              <w:t>204,322,955.08</w:t>
            </w:r>
            <w:r>
              <w:rPr>
                <w:rFonts w:ascii="Arial"/>
                <w:sz w:val="21"/>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w w:val="95"/>
                <w:sz w:val="21"/>
              </w:rPr>
              <w:t>3.98%</w:t>
            </w:r>
            <w:r>
              <w:rPr>
                <w:rFonts w:ascii="Arial"/>
                <w:sz w:val="21"/>
              </w:rPr>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95" w:right="0"/>
              <w:jc w:val="center"/>
              <w:rPr>
                <w:rFonts w:ascii="Arial" w:hAnsi="Arial" w:cs="Arial" w:eastAsia="Arial" w:hint="default"/>
                <w:sz w:val="21"/>
                <w:szCs w:val="21"/>
              </w:rPr>
            </w:pPr>
            <w:r>
              <w:rPr>
                <w:rFonts w:ascii="Arial"/>
                <w:sz w:val="21"/>
              </w:rPr>
              <w:t>0.97%</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公司自创无形资产增加</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5"/>
              <w:ind w:left="22" w:right="125"/>
              <w:jc w:val="left"/>
              <w:rPr>
                <w:rFonts w:ascii="宋体" w:hAnsi="宋体" w:cs="宋体" w:eastAsia="宋体" w:hint="default"/>
                <w:sz w:val="21"/>
                <w:szCs w:val="21"/>
              </w:rPr>
            </w:pPr>
            <w:r>
              <w:rPr>
                <w:rFonts w:ascii="宋体" w:hAnsi="宋体" w:cs="宋体" w:eastAsia="宋体" w:hint="default"/>
                <w:sz w:val="21"/>
                <w:szCs w:val="21"/>
              </w:rPr>
              <w:t>应付账款及应</w:t>
            </w:r>
            <w:r>
              <w:rPr>
                <w:rFonts w:ascii="宋体" w:hAnsi="宋体" w:cs="宋体" w:eastAsia="宋体" w:hint="default"/>
                <w:w w:val="99"/>
                <w:sz w:val="21"/>
                <w:szCs w:val="21"/>
              </w:rPr>
              <w:t> </w:t>
            </w:r>
            <w:r>
              <w:rPr>
                <w:rFonts w:ascii="宋体" w:hAnsi="宋体" w:cs="宋体" w:eastAsia="宋体" w:hint="default"/>
                <w:sz w:val="21"/>
                <w:szCs w:val="21"/>
              </w:rPr>
              <w:t>付票据</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3"/>
              <w:jc w:val="right"/>
              <w:rPr>
                <w:rFonts w:ascii="Arial" w:hAnsi="Arial" w:cs="Arial" w:eastAsia="Arial" w:hint="default"/>
                <w:sz w:val="21"/>
                <w:szCs w:val="21"/>
              </w:rPr>
            </w:pPr>
            <w:r>
              <w:rPr>
                <w:rFonts w:ascii="Arial"/>
                <w:w w:val="95"/>
                <w:sz w:val="21"/>
              </w:rPr>
              <w:t>431,436,428.16</w:t>
            </w:r>
            <w:r>
              <w:rPr>
                <w:rFonts w:ascii="Arial"/>
                <w:sz w:val="21"/>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w w:val="95"/>
                <w:sz w:val="21"/>
              </w:rPr>
              <w:t>7.40%</w:t>
            </w:r>
            <w:r>
              <w:rPr>
                <w:rFonts w:ascii="Arial"/>
                <w:sz w:val="21"/>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4"/>
              <w:jc w:val="right"/>
              <w:rPr>
                <w:rFonts w:ascii="Arial" w:hAnsi="Arial" w:cs="Arial" w:eastAsia="Arial" w:hint="default"/>
                <w:sz w:val="21"/>
                <w:szCs w:val="21"/>
              </w:rPr>
            </w:pPr>
            <w:r>
              <w:rPr>
                <w:rFonts w:ascii="Arial"/>
                <w:w w:val="95"/>
                <w:sz w:val="21"/>
              </w:rPr>
              <w:t>295,742,890.68</w:t>
            </w:r>
            <w:r>
              <w:rPr>
                <w:rFonts w:ascii="Arial"/>
                <w:sz w:val="21"/>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w w:val="95"/>
                <w:sz w:val="21"/>
              </w:rPr>
              <w:t>5.76%</w:t>
            </w:r>
            <w:r>
              <w:rPr>
                <w:rFonts w:ascii="Arial"/>
                <w:sz w:val="21"/>
              </w:rPr>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5" w:right="0"/>
              <w:jc w:val="center"/>
              <w:rPr>
                <w:rFonts w:ascii="Arial" w:hAnsi="Arial" w:cs="Arial" w:eastAsia="Arial" w:hint="default"/>
                <w:sz w:val="21"/>
                <w:szCs w:val="21"/>
              </w:rPr>
            </w:pPr>
            <w:r>
              <w:rPr>
                <w:rFonts w:ascii="Arial"/>
                <w:sz w:val="21"/>
              </w:rPr>
              <w:t>1.64%</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5"/>
              <w:ind w:left="24" w:right="30"/>
              <w:jc w:val="left"/>
              <w:rPr>
                <w:rFonts w:ascii="宋体" w:hAnsi="宋体" w:cs="宋体" w:eastAsia="宋体" w:hint="default"/>
                <w:sz w:val="21"/>
                <w:szCs w:val="21"/>
              </w:rPr>
            </w:pPr>
            <w:r>
              <w:rPr>
                <w:rFonts w:ascii="宋体" w:hAnsi="宋体" w:cs="宋体" w:eastAsia="宋体" w:hint="default"/>
                <w:sz w:val="21"/>
                <w:szCs w:val="21"/>
              </w:rPr>
              <w:t>公司业务增长及信用提</w:t>
            </w:r>
            <w:r>
              <w:rPr>
                <w:rFonts w:ascii="宋体" w:hAnsi="宋体" w:cs="宋体" w:eastAsia="宋体" w:hint="default"/>
                <w:w w:val="99"/>
                <w:sz w:val="21"/>
                <w:szCs w:val="21"/>
              </w:rPr>
              <w:t> </w:t>
            </w:r>
            <w:r>
              <w:rPr>
                <w:rFonts w:ascii="宋体" w:hAnsi="宋体" w:cs="宋体" w:eastAsia="宋体" w:hint="default"/>
                <w:sz w:val="21"/>
                <w:szCs w:val="21"/>
              </w:rPr>
              <w:t>高带动应付款项增加</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3"/>
              <w:jc w:val="right"/>
              <w:rPr>
                <w:rFonts w:ascii="Arial" w:hAnsi="Arial" w:cs="Arial" w:eastAsia="Arial" w:hint="default"/>
                <w:sz w:val="21"/>
                <w:szCs w:val="21"/>
              </w:rPr>
            </w:pPr>
            <w:r>
              <w:rPr>
                <w:rFonts w:ascii="Arial"/>
                <w:w w:val="95"/>
                <w:sz w:val="21"/>
              </w:rPr>
              <w:t>695,363,183.24</w:t>
            </w:r>
            <w:r>
              <w:rPr>
                <w:rFonts w:ascii="Arial"/>
                <w:sz w:val="21"/>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3"/>
                <w:w w:val="95"/>
                <w:sz w:val="21"/>
              </w:rPr>
              <w:t>11.93%</w:t>
            </w:r>
            <w:r>
              <w:rPr>
                <w:rFonts w:ascii="Arial"/>
                <w:spacing w:val="-3"/>
                <w:sz w:val="21"/>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4"/>
              <w:jc w:val="right"/>
              <w:rPr>
                <w:rFonts w:ascii="Arial" w:hAnsi="Arial" w:cs="Arial" w:eastAsia="Arial" w:hint="default"/>
                <w:sz w:val="21"/>
                <w:szCs w:val="21"/>
              </w:rPr>
            </w:pPr>
            <w:r>
              <w:rPr>
                <w:rFonts w:ascii="Arial"/>
                <w:w w:val="95"/>
                <w:sz w:val="21"/>
              </w:rPr>
              <w:t>519,829,345.82</w:t>
            </w:r>
            <w:r>
              <w:rPr>
                <w:rFonts w:ascii="Arial"/>
                <w:sz w:val="21"/>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10.13%</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95" w:right="0"/>
              <w:jc w:val="center"/>
              <w:rPr>
                <w:rFonts w:ascii="Arial" w:hAnsi="Arial" w:cs="Arial" w:eastAsia="Arial" w:hint="default"/>
                <w:sz w:val="21"/>
                <w:szCs w:val="21"/>
              </w:rPr>
            </w:pPr>
            <w:r>
              <w:rPr>
                <w:rFonts w:ascii="Arial"/>
                <w:sz w:val="21"/>
              </w:rPr>
              <w:t>1.80%</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4" w:right="30"/>
              <w:jc w:val="left"/>
              <w:rPr>
                <w:rFonts w:ascii="宋体" w:hAnsi="宋体" w:cs="宋体" w:eastAsia="宋体" w:hint="default"/>
                <w:sz w:val="21"/>
                <w:szCs w:val="21"/>
              </w:rPr>
            </w:pPr>
            <w:r>
              <w:rPr>
                <w:rFonts w:ascii="宋体" w:hAnsi="宋体" w:cs="宋体" w:eastAsia="宋体" w:hint="default"/>
                <w:sz w:val="21"/>
                <w:szCs w:val="21"/>
              </w:rPr>
              <w:t>业务增长预收客户合同</w:t>
            </w:r>
            <w:r>
              <w:rPr>
                <w:rFonts w:ascii="宋体" w:hAnsi="宋体" w:cs="宋体" w:eastAsia="宋体" w:hint="default"/>
                <w:w w:val="99"/>
                <w:sz w:val="21"/>
                <w:szCs w:val="21"/>
              </w:rPr>
              <w:t> </w:t>
            </w:r>
            <w:r>
              <w:rPr>
                <w:rFonts w:ascii="宋体" w:hAnsi="宋体" w:cs="宋体" w:eastAsia="宋体" w:hint="default"/>
                <w:sz w:val="21"/>
                <w:szCs w:val="21"/>
              </w:rPr>
              <w:t>款增加</w:t>
            </w:r>
          </w:p>
        </w:tc>
      </w:tr>
      <w:tr>
        <w:trPr>
          <w:trHeight w:val="41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3"/>
              <w:jc w:val="right"/>
              <w:rPr>
                <w:rFonts w:ascii="Arial" w:hAnsi="Arial" w:cs="Arial" w:eastAsia="Arial" w:hint="default"/>
                <w:sz w:val="21"/>
                <w:szCs w:val="21"/>
              </w:rPr>
            </w:pPr>
            <w:r>
              <w:rPr>
                <w:rFonts w:ascii="Arial"/>
                <w:w w:val="95"/>
                <w:sz w:val="21"/>
              </w:rPr>
              <w:t>197,033,327.33</w:t>
            </w:r>
            <w:r>
              <w:rPr>
                <w:rFonts w:ascii="Arial"/>
                <w:sz w:val="21"/>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9"/>
              <w:jc w:val="right"/>
              <w:rPr>
                <w:rFonts w:ascii="Arial" w:hAnsi="Arial" w:cs="Arial" w:eastAsia="Arial" w:hint="default"/>
                <w:sz w:val="21"/>
                <w:szCs w:val="21"/>
              </w:rPr>
            </w:pPr>
            <w:r>
              <w:rPr>
                <w:rFonts w:ascii="Arial"/>
                <w:w w:val="95"/>
                <w:sz w:val="21"/>
              </w:rPr>
              <w:t>3.38%</w:t>
            </w:r>
            <w:r>
              <w:rPr>
                <w:rFonts w:ascii="Arial"/>
                <w:sz w:val="21"/>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4"/>
              <w:jc w:val="right"/>
              <w:rPr>
                <w:rFonts w:ascii="Arial" w:hAnsi="Arial" w:cs="Arial" w:eastAsia="Arial" w:hint="default"/>
                <w:sz w:val="21"/>
                <w:szCs w:val="21"/>
              </w:rPr>
            </w:pPr>
            <w:r>
              <w:rPr>
                <w:rFonts w:ascii="Arial"/>
                <w:w w:val="95"/>
                <w:sz w:val="21"/>
              </w:rPr>
              <w:t>329,913,149.28</w:t>
            </w:r>
            <w:r>
              <w:rPr>
                <w:rFonts w:ascii="Arial"/>
                <w:sz w:val="21"/>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0"/>
              <w:jc w:val="right"/>
              <w:rPr>
                <w:rFonts w:ascii="Arial" w:hAnsi="Arial" w:cs="Arial" w:eastAsia="Arial" w:hint="default"/>
                <w:sz w:val="21"/>
                <w:szCs w:val="21"/>
              </w:rPr>
            </w:pPr>
            <w:r>
              <w:rPr>
                <w:rFonts w:ascii="Arial"/>
                <w:w w:val="95"/>
                <w:sz w:val="21"/>
              </w:rPr>
              <w:t>6.43%</w:t>
            </w:r>
            <w:r>
              <w:rPr>
                <w:rFonts w:ascii="Arial"/>
                <w:sz w:val="21"/>
              </w:rPr>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8" w:right="0"/>
              <w:jc w:val="center"/>
              <w:rPr>
                <w:rFonts w:ascii="Arial" w:hAnsi="Arial" w:cs="Arial" w:eastAsia="Arial" w:hint="default"/>
                <w:sz w:val="21"/>
                <w:szCs w:val="21"/>
              </w:rPr>
            </w:pPr>
            <w:r>
              <w:rPr>
                <w:rFonts w:ascii="Arial"/>
                <w:sz w:val="21"/>
              </w:rPr>
              <w:t>-3.05%</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21"/>
                <w:szCs w:val="21"/>
              </w:rPr>
            </w:pPr>
            <w:r>
              <w:rPr>
                <w:rFonts w:ascii="宋体" w:hAnsi="宋体" w:cs="宋体" w:eastAsia="宋体" w:hint="default"/>
                <w:sz w:val="21"/>
                <w:szCs w:val="21"/>
              </w:rPr>
              <w:t>支付投资款及限制性股</w:t>
            </w:r>
          </w:p>
        </w:tc>
      </w:tr>
    </w:tbl>
    <w:p>
      <w:pPr>
        <w:spacing w:after="0" w:line="240" w:lineRule="auto"/>
        <w:jc w:val="left"/>
        <w:rPr>
          <w:rFonts w:ascii="宋体" w:hAnsi="宋体" w:cs="宋体" w:eastAsia="宋体" w:hint="default"/>
          <w:sz w:val="21"/>
          <w:szCs w:val="21"/>
        </w:rPr>
        <w:sectPr>
          <w:type w:val="continuous"/>
          <w:pgSz w:w="11910" w:h="16840"/>
          <w:pgMar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18"/>
        <w:gridCol w:w="1732"/>
        <w:gridCol w:w="896"/>
        <w:gridCol w:w="1766"/>
        <w:gridCol w:w="851"/>
        <w:gridCol w:w="742"/>
        <w:gridCol w:w="2164"/>
      </w:tblGrid>
      <w:tr>
        <w:trPr>
          <w:trHeight w:val="362" w:hRule="exact"/>
        </w:trPr>
        <w:tc>
          <w:tcPr>
            <w:tcW w:w="1418" w:type="dxa"/>
            <w:tcBorders>
              <w:top w:val="single" w:sz="4" w:space="0" w:color="000000"/>
              <w:left w:val="single" w:sz="4" w:space="0" w:color="000000"/>
              <w:bottom w:val="single" w:sz="4" w:space="0" w:color="000000"/>
              <w:right w:val="single" w:sz="4" w:space="0" w:color="000000"/>
            </w:tcBorders>
          </w:tcPr>
          <w:p>
            <w:pPr/>
          </w:p>
        </w:tc>
        <w:tc>
          <w:tcPr>
            <w:tcW w:w="1732"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票解锁的减少</w:t>
            </w:r>
          </w:p>
        </w:tc>
      </w:tr>
    </w:tbl>
    <w:p>
      <w:pPr>
        <w:spacing w:line="240" w:lineRule="auto" w:before="4"/>
        <w:rPr>
          <w:rFonts w:ascii="宋体" w:hAnsi="宋体" w:cs="宋体" w:eastAsia="宋体" w:hint="default"/>
          <w:sz w:val="19"/>
          <w:szCs w:val="19"/>
        </w:rPr>
      </w:pPr>
    </w:p>
    <w:p>
      <w:pPr>
        <w:pStyle w:val="Heading4"/>
        <w:spacing w:line="240" w:lineRule="auto" w:before="34"/>
        <w:ind w:right="996"/>
        <w:jc w:val="left"/>
        <w:rPr>
          <w:b w:val="0"/>
          <w:bCs w:val="0"/>
        </w:rPr>
      </w:pPr>
      <w:bookmarkStart w:name="2、以公允价值计量的资产和负债" w:id="41"/>
      <w:bookmarkEnd w:id="41"/>
      <w:r>
        <w:rPr>
          <w:b w:val="0"/>
          <w:bCs w:val="0"/>
        </w:rPr>
      </w:r>
      <w:r>
        <w:rPr>
          <w:rFonts w:ascii="Arial" w:hAnsi="Arial" w:cs="Arial" w:eastAsia="Arial" w:hint="default"/>
        </w:rPr>
        <w:t>2</w:t>
      </w:r>
      <w:r>
        <w:rPr/>
        <w:t>、以公允价值计量的资产和负债</w:t>
      </w:r>
      <w:r>
        <w:rPr>
          <w:b w:val="0"/>
          <w:bCs w:val="0"/>
        </w:rPr>
      </w:r>
    </w:p>
    <w:p>
      <w:pPr>
        <w:spacing w:line="240" w:lineRule="auto" w:before="11"/>
        <w:rPr>
          <w:rFonts w:ascii="宋体" w:hAnsi="宋体" w:cs="宋体" w:eastAsia="宋体" w:hint="default"/>
          <w:b/>
          <w:bCs/>
          <w:sz w:val="22"/>
          <w:szCs w:val="22"/>
        </w:rPr>
      </w:pPr>
    </w:p>
    <w:p>
      <w:pPr>
        <w:spacing w:line="475" w:lineRule="auto" w:before="0"/>
        <w:ind w:left="112" w:right="7264"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w:t>
      </w:r>
      <w:bookmarkStart w:name="3、截至报告期末的资产权利受限情况" w:id="42"/>
      <w:bookmarkEnd w:id="42"/>
      <w:r>
        <w:rPr>
          <w:rFonts w:ascii="宋体" w:hAnsi="宋体" w:cs="宋体" w:eastAsia="宋体" w:hint="default"/>
          <w:sz w:val="24"/>
          <w:szCs w:val="24"/>
        </w:rPr>
      </w:r>
      <w:r>
        <w:rPr>
          <w:rFonts w:ascii="Arial" w:hAnsi="Arial" w:cs="Arial" w:eastAsia="Arial"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b/>
          <w:bCs/>
          <w:w w:val="99"/>
          <w:sz w:val="21"/>
          <w:szCs w:val="21"/>
        </w:rPr>
        <w:t> </w:t>
      </w:r>
      <w:r>
        <w:rPr>
          <w:rFonts w:ascii="宋体" w:hAnsi="宋体" w:cs="宋体" w:eastAsia="宋体" w:hint="default"/>
          <w:sz w:val="24"/>
          <w:szCs w:val="24"/>
        </w:rPr>
        <w:t>无。</w:t>
      </w:r>
    </w:p>
    <w:p>
      <w:pPr>
        <w:pStyle w:val="Heading2"/>
        <w:spacing w:line="240" w:lineRule="auto" w:before="62"/>
        <w:ind w:right="996"/>
        <w:jc w:val="left"/>
        <w:rPr>
          <w:b w:val="0"/>
          <w:bCs w:val="0"/>
        </w:rPr>
      </w:pPr>
      <w:bookmarkStart w:name="五、投资状况分析" w:id="43"/>
      <w:bookmarkEnd w:id="43"/>
      <w:r>
        <w:rPr>
          <w:b w:val="0"/>
          <w:bCs w:val="0"/>
        </w:rPr>
      </w:r>
      <w:r>
        <w:rPr/>
        <w:t>五、投资状况分析</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96"/>
        <w:jc w:val="left"/>
        <w:rPr>
          <w:b w:val="0"/>
          <w:bCs w:val="0"/>
        </w:rPr>
      </w:pPr>
      <w:bookmarkStart w:name="1、总体情况" w:id="44"/>
      <w:bookmarkEnd w:id="44"/>
      <w:r>
        <w:rPr>
          <w:b w:val="0"/>
          <w:bCs w:val="0"/>
        </w:rPr>
      </w:r>
      <w:r>
        <w:rPr>
          <w:rFonts w:ascii="Arial" w:hAnsi="Arial" w:cs="Arial" w:eastAsia="Arial" w:hint="default"/>
        </w:rPr>
        <w:t>1</w:t>
      </w:r>
      <w:r>
        <w:rPr/>
        <w:t>、总体情况</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996"/>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6"/>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644" w:right="0"/>
              <w:jc w:val="left"/>
              <w:rPr>
                <w:rFonts w:ascii="宋体" w:hAnsi="宋体" w:cs="宋体" w:eastAsia="宋体" w:hint="default"/>
                <w:sz w:val="21"/>
                <w:szCs w:val="21"/>
              </w:rPr>
            </w:pPr>
            <w:r>
              <w:rPr>
                <w:rFonts w:ascii="宋体" w:hAnsi="宋体" w:cs="宋体" w:eastAsia="宋体" w:hint="default"/>
                <w:sz w:val="21"/>
                <w:szCs w:val="21"/>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539" w:right="0"/>
              <w:jc w:val="left"/>
              <w:rPr>
                <w:rFonts w:ascii="宋体" w:hAnsi="宋体" w:cs="宋体" w:eastAsia="宋体" w:hint="default"/>
                <w:sz w:val="21"/>
                <w:szCs w:val="21"/>
              </w:rPr>
            </w:pPr>
            <w:r>
              <w:rPr>
                <w:rFonts w:ascii="宋体" w:hAnsi="宋体" w:cs="宋体" w:eastAsia="宋体" w:hint="default"/>
                <w:sz w:val="21"/>
                <w:szCs w:val="21"/>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22" w:right="0"/>
              <w:jc w:val="left"/>
              <w:rPr>
                <w:rFonts w:ascii="Arial" w:hAnsi="Arial" w:cs="Arial" w:eastAsia="Arial" w:hint="default"/>
                <w:sz w:val="21"/>
                <w:szCs w:val="21"/>
              </w:rPr>
            </w:pPr>
            <w:r>
              <w:rPr>
                <w:rFonts w:ascii="Arial"/>
                <w:sz w:val="21"/>
              </w:rPr>
              <w:t>63,100,000.00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533" w:right="0"/>
              <w:jc w:val="left"/>
              <w:rPr>
                <w:rFonts w:ascii="Arial" w:hAnsi="Arial" w:cs="Arial" w:eastAsia="Arial" w:hint="default"/>
                <w:sz w:val="21"/>
                <w:szCs w:val="21"/>
              </w:rPr>
            </w:pPr>
            <w:r>
              <w:rPr>
                <w:rFonts w:ascii="Arial"/>
                <w:sz w:val="21"/>
              </w:rPr>
              <w:t>1,528,750,000.00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7"/>
              <w:jc w:val="right"/>
              <w:rPr>
                <w:rFonts w:ascii="Arial" w:hAnsi="Arial" w:cs="Arial" w:eastAsia="Arial" w:hint="default"/>
                <w:sz w:val="21"/>
                <w:szCs w:val="21"/>
              </w:rPr>
            </w:pPr>
            <w:r>
              <w:rPr>
                <w:rFonts w:ascii="Arial"/>
                <w:w w:val="95"/>
                <w:sz w:val="21"/>
              </w:rPr>
              <w:t>-95.87%</w:t>
            </w:r>
            <w:r>
              <w:rPr>
                <w:rFonts w:ascii="Arial"/>
                <w:sz w:val="21"/>
              </w:rPr>
            </w:r>
          </w:p>
        </w:tc>
      </w:tr>
    </w:tbl>
    <w:p>
      <w:pPr>
        <w:spacing w:after="0" w:line="240" w:lineRule="auto"/>
        <w:jc w:val="right"/>
        <w:rPr>
          <w:rFonts w:ascii="Arial" w:hAnsi="Arial" w:cs="Arial" w:eastAsia="Arial" w:hint="default"/>
          <w:sz w:val="21"/>
          <w:szCs w:val="21"/>
        </w:rPr>
        <w:sectPr>
          <w:footerReference w:type="default" r:id="rId13"/>
          <w:pgSz w:w="11910" w:h="16840"/>
          <w:pgMar w:footer="978" w:header="746" w:top="1060" w:bottom="1160" w:left="1020" w:right="0"/>
          <w:pgNumType w:start="30"/>
        </w:sectPr>
      </w:pPr>
    </w:p>
    <w:p>
      <w:pPr>
        <w:spacing w:line="240" w:lineRule="auto" w:before="1"/>
        <w:rPr>
          <w:rFonts w:ascii="宋体" w:hAnsi="宋体" w:cs="宋体" w:eastAsia="宋体" w:hint="default"/>
          <w:sz w:val="24"/>
          <w:szCs w:val="24"/>
        </w:rPr>
      </w:pPr>
    </w:p>
    <w:p>
      <w:pPr>
        <w:pStyle w:val="Heading4"/>
        <w:spacing w:line="240" w:lineRule="auto"/>
        <w:ind w:left="120" w:right="0"/>
        <w:jc w:val="left"/>
        <w:rPr>
          <w:b w:val="0"/>
          <w:bCs w:val="0"/>
        </w:rPr>
      </w:pPr>
      <w:bookmarkStart w:name="2、报告期内获取的重大的股权投资情况" w:id="45"/>
      <w:bookmarkEnd w:id="45"/>
      <w:r>
        <w:rPr>
          <w:b w:val="0"/>
          <w:bCs w:val="0"/>
        </w:rPr>
      </w:r>
      <w:r>
        <w:rPr>
          <w:rFonts w:ascii="Arial" w:hAnsi="Arial" w:cs="Arial" w:eastAsia="Arial" w:hint="default"/>
          <w:w w:val="95"/>
        </w:rPr>
        <w:t>2</w:t>
      </w:r>
      <w:r>
        <w:rPr>
          <w:w w:val="95"/>
        </w:rPr>
        <w:t>、报告期内获取的重大的股权投资情况</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left="120"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before="16"/>
        <w:ind w:left="0" w:right="197" w:firstLine="0"/>
        <w:jc w:val="right"/>
        <w:rPr>
          <w:rFonts w:ascii="宋体" w:hAnsi="宋体" w:cs="宋体" w:eastAsia="宋体" w:hint="default"/>
          <w:sz w:val="18"/>
          <w:szCs w:val="18"/>
        </w:rPr>
      </w:pPr>
      <w:r>
        <w:rPr/>
        <w:br w:type="column"/>
      </w:r>
      <w:r>
        <w:rPr>
          <w:rFonts w:ascii="宋体" w:hAnsi="宋体" w:cs="宋体" w:eastAsia="宋体" w:hint="default"/>
          <w:sz w:val="18"/>
          <w:szCs w:val="18"/>
        </w:rPr>
        <w:t>北京华宇软件股份有限公司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3"/>
          <w:szCs w:val="23"/>
        </w:rPr>
      </w:pPr>
    </w:p>
    <w:p>
      <w:pPr>
        <w:pStyle w:val="BodyText"/>
        <w:spacing w:line="240" w:lineRule="auto" w:before="0"/>
        <w:ind w:left="0" w:right="199"/>
        <w:jc w:val="right"/>
      </w:pPr>
      <w:r>
        <w:rPr/>
        <w:pict>
          <v:shape style="position:absolute;margin-left:200.759003pt;margin-top:54.463676pt;width:34.2pt;height:50.9pt;mso-position-horizontal-relative:page;mso-position-vertical-relative:paragraph;z-index:-862912" type="#_x0000_t202" filled="false" stroked="false">
            <v:textbox inset="0,0,0,0">
              <w:txbxContent>
                <w:p>
                  <w:pPr>
                    <w:spacing w:before="52"/>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72pt;margin-top:-48.626324pt;width:697.9pt;height:.1pt;mso-position-horizontal-relative:page;mso-position-vertical-relative:paragraph;z-index:1312" coordorigin="1440,-973" coordsize="13958,2">
            <v:shape style="position:absolute;left:1440;top:-973;width:13958;height:2" coordorigin="1440,-973" coordsize="13958,0" path="m1440,-973l15398,-973e" filled="false" stroked="true" strokeweight=".72pt" strokecolor="#000000">
              <v:path arrowok="t"/>
            </v:shape>
            <w10:wrap type="none"/>
          </v:group>
        </w:pict>
      </w:r>
      <w:r>
        <w:rPr/>
        <w:pict>
          <v:group style="position:absolute;margin-left:206.850006pt;margin-top:54.463676pt;width:28.1pt;height:51.05pt;mso-position-horizontal-relative:page;mso-position-vertical-relative:paragraph;z-index:-862840" coordorigin="4137,1089" coordsize="562,1021">
            <v:shape style="position:absolute;left:4137;top:1089;width:562;height:1021" coordorigin="4137,1089" coordsize="562,1021" path="m4137,1089l4699,1089,4699,2110,4137,2110,4137,1089xe" filled="true" fillcolor="#ffffff" stroked="false">
              <v:path arrowok="t"/>
              <v:fill type="solid"/>
            </v:shape>
            <w10:wrap type="none"/>
          </v:group>
        </w:pict>
      </w:r>
      <w:r>
        <w:rPr>
          <w:w w:val="95"/>
        </w:rPr>
        <w:t>单位：元</w:t>
      </w:r>
      <w:r>
        <w:rPr/>
      </w:r>
    </w:p>
    <w:p>
      <w:pPr>
        <w:spacing w:after="0" w:line="240" w:lineRule="auto"/>
        <w:jc w:val="right"/>
        <w:sectPr>
          <w:headerReference w:type="default" r:id="rId14"/>
          <w:footerReference w:type="default" r:id="rId15"/>
          <w:pgSz w:w="16840" w:h="11910" w:orient="landscape"/>
          <w:pgMar w:header="0" w:footer="0" w:top="800" w:bottom="0" w:left="1320" w:right="1240"/>
          <w:cols w:num="2" w:equalWidth="0">
            <w:col w:w="3817" w:space="6271"/>
            <w:col w:w="4192"/>
          </w:cols>
        </w:sectPr>
      </w:pPr>
    </w:p>
    <w:p>
      <w:pPr>
        <w:spacing w:line="240" w:lineRule="auto" w:before="1"/>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993"/>
        <w:gridCol w:w="1701"/>
        <w:gridCol w:w="567"/>
        <w:gridCol w:w="1275"/>
        <w:gridCol w:w="993"/>
        <w:gridCol w:w="817"/>
        <w:gridCol w:w="1843"/>
        <w:gridCol w:w="709"/>
        <w:gridCol w:w="850"/>
        <w:gridCol w:w="709"/>
        <w:gridCol w:w="1276"/>
        <w:gridCol w:w="458"/>
        <w:gridCol w:w="992"/>
        <w:gridCol w:w="851"/>
      </w:tblGrid>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2" w:right="40" w:hanging="272"/>
              <w:jc w:val="left"/>
              <w:rPr>
                <w:rFonts w:ascii="宋体" w:hAnsi="宋体" w:cs="宋体" w:eastAsia="宋体" w:hint="default"/>
                <w:sz w:val="18"/>
                <w:szCs w:val="18"/>
              </w:rPr>
            </w:pPr>
            <w:r>
              <w:rPr>
                <w:rFonts w:ascii="宋体" w:hAnsi="宋体" w:cs="宋体" w:eastAsia="宋体" w:hint="default"/>
                <w:sz w:val="18"/>
                <w:szCs w:val="18"/>
              </w:rPr>
              <w:t>被投资公司 名称</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7" w:right="98"/>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投资金额</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资金来源</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合作方</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8" w:right="78"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产品类型</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0" w:right="77"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本期投资盈亏</w:t>
            </w:r>
          </w:p>
        </w:tc>
        <w:tc>
          <w:tcPr>
            <w:tcW w:w="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 w:right="42"/>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130"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披露索引</w:t>
            </w:r>
          </w:p>
          <w:p>
            <w:pPr>
              <w:pStyle w:val="TableParagraph"/>
              <w:spacing w:line="240" w:lineRule="auto" w:before="76"/>
              <w:ind w:left="60" w:right="0"/>
              <w:jc w:val="left"/>
              <w:rPr>
                <w:rFonts w:ascii="宋体" w:hAnsi="宋体" w:cs="宋体" w:eastAsia="宋体" w:hint="default"/>
                <w:sz w:val="18"/>
                <w:szCs w:val="18"/>
              </w:rPr>
            </w:pPr>
            <w:r>
              <w:rPr>
                <w:rFonts w:ascii="宋体" w:hAnsi="宋体" w:cs="宋体" w:eastAsia="宋体" w:hint="default"/>
                <w:sz w:val="18"/>
                <w:szCs w:val="18"/>
              </w:rPr>
              <w:t>（如有）</w:t>
            </w:r>
          </w:p>
        </w:tc>
      </w:tr>
      <w:tr>
        <w:trPr>
          <w:trHeight w:val="1026"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57"/>
              <w:jc w:val="both"/>
              <w:rPr>
                <w:rFonts w:ascii="宋体" w:hAnsi="宋体" w:cs="宋体" w:eastAsia="宋体" w:hint="default"/>
                <w:sz w:val="18"/>
                <w:szCs w:val="18"/>
              </w:rPr>
            </w:pPr>
            <w:r>
              <w:rPr>
                <w:rFonts w:ascii="宋体" w:hAnsi="宋体" w:cs="宋体" w:eastAsia="宋体" w:hint="default"/>
                <w:sz w:val="18"/>
                <w:szCs w:val="18"/>
              </w:rPr>
              <w:t>北京华宇九 品科技有限 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7"/>
              <w:jc w:val="left"/>
              <w:rPr>
                <w:rFonts w:ascii="宋体" w:hAnsi="宋体" w:cs="宋体" w:eastAsia="宋体" w:hint="default"/>
                <w:sz w:val="18"/>
                <w:szCs w:val="18"/>
              </w:rPr>
            </w:pPr>
            <w:r>
              <w:rPr>
                <w:rFonts w:ascii="宋体" w:hAnsi="宋体" w:cs="宋体" w:eastAsia="宋体" w:hint="default"/>
                <w:spacing w:val="-8"/>
                <w:sz w:val="18"/>
                <w:szCs w:val="18"/>
              </w:rPr>
              <w:t>技术开发；数据处理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企业咨询管理；市场 调查等</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72" w:right="0"/>
              <w:jc w:val="center"/>
              <w:rPr>
                <w:rFonts w:ascii="Arial" w:hAnsi="Arial" w:cs="Arial" w:eastAsia="Arial" w:hint="default"/>
                <w:sz w:val="18"/>
                <w:szCs w:val="18"/>
              </w:rPr>
            </w:pPr>
            <w:r>
              <w:rPr>
                <w:rFonts w:ascii="Arial"/>
                <w:sz w:val="18"/>
              </w:rPr>
              <w:t>5,100,000.00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Arial" w:hAnsi="Arial" w:cs="Arial" w:eastAsia="Arial" w:hint="default"/>
                <w:sz w:val="18"/>
                <w:szCs w:val="18"/>
              </w:rPr>
            </w:pPr>
            <w:r>
              <w:rPr>
                <w:rFonts w:ascii="Arial"/>
                <w:spacing w:val="-1"/>
                <w:sz w:val="18"/>
              </w:rPr>
              <w:t>51.00%</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42"/>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187"/>
              <w:jc w:val="left"/>
              <w:rPr>
                <w:rFonts w:ascii="宋体" w:hAnsi="宋体" w:cs="宋体" w:eastAsia="宋体" w:hint="default"/>
                <w:sz w:val="18"/>
                <w:szCs w:val="18"/>
              </w:rPr>
            </w:pPr>
            <w:r>
              <w:rPr>
                <w:rFonts w:ascii="宋体" w:hAnsi="宋体" w:cs="宋体" w:eastAsia="宋体" w:hint="default"/>
                <w:sz w:val="18"/>
                <w:szCs w:val="18"/>
              </w:rPr>
              <w:t>北京九品启航科技中 心（有限合伙）</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9"/>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72"/>
              <w:jc w:val="center"/>
              <w:rPr>
                <w:rFonts w:ascii="宋体" w:hAnsi="宋体" w:cs="宋体" w:eastAsia="宋体" w:hint="default"/>
                <w:sz w:val="18"/>
                <w:szCs w:val="18"/>
              </w:rPr>
            </w:pPr>
            <w:r>
              <w:rPr>
                <w:rFonts w:ascii="宋体" w:hAnsi="宋体" w:cs="宋体" w:eastAsia="宋体" w:hint="default"/>
                <w:sz w:val="18"/>
                <w:szCs w:val="18"/>
              </w:rPr>
              <w:t>股权投资</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宋体" w:hAnsi="宋体" w:cs="宋体" w:eastAsia="宋体" w:hint="default"/>
                <w:sz w:val="18"/>
                <w:szCs w:val="18"/>
              </w:rPr>
            </w:pPr>
            <w:r>
              <w:rPr>
                <w:rFonts w:ascii="宋体" w:hAnsi="宋体" w:cs="宋体" w:eastAsia="宋体" w:hint="default"/>
                <w:sz w:val="18"/>
                <w:szCs w:val="18"/>
              </w:rPr>
              <w:t>不适用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Arial" w:hAnsi="Arial" w:cs="Arial" w:eastAsia="Arial" w:hint="default"/>
                <w:sz w:val="18"/>
                <w:szCs w:val="18"/>
              </w:rPr>
            </w:pPr>
            <w:r>
              <w:rPr>
                <w:rFonts w:ascii="Arial"/>
                <w:spacing w:val="-1"/>
                <w:sz w:val="18"/>
              </w:rPr>
              <w:t>-90,484.09</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Arial" w:hAnsi="Arial" w:cs="Arial" w:eastAsia="Arial" w:hint="default"/>
                <w:sz w:val="18"/>
                <w:szCs w:val="18"/>
              </w:rPr>
            </w:pPr>
            <w:r>
              <w:rPr>
                <w:rFonts w:ascii="Arial" w:hAnsi="Arial" w:cs="Arial" w:eastAsia="Arial" w:hint="default"/>
                <w:sz w:val="18"/>
                <w:szCs w:val="18"/>
              </w:rPr>
              <w:t>2018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29</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362" w:lineRule="auto"/>
              <w:ind w:left="24" w:right="35"/>
              <w:jc w:val="left"/>
              <w:rPr>
                <w:rFonts w:ascii="Arial" w:hAnsi="Arial" w:cs="Arial" w:eastAsia="Arial" w:hint="default"/>
                <w:sz w:val="18"/>
                <w:szCs w:val="18"/>
              </w:rPr>
            </w:pPr>
            <w:r>
              <w:rPr>
                <w:rFonts w:ascii="Arial"/>
                <w:sz w:val="18"/>
              </w:rPr>
              <w:t>www.cnin</w:t>
            </w:r>
            <w:r>
              <w:rPr>
                <w:rFonts w:ascii="Arial"/>
                <w:w w:val="99"/>
                <w:sz w:val="18"/>
              </w:rPr>
              <w:t> </w:t>
            </w:r>
            <w:r>
              <w:rPr>
                <w:rFonts w:ascii="Arial"/>
                <w:sz w:val="18"/>
              </w:rPr>
              <w:t>fo.com.cn</w:t>
            </w:r>
          </w:p>
        </w:tc>
      </w:tr>
      <w:tr>
        <w:trPr>
          <w:trHeight w:val="1338"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华宇金信</w:t>
            </w:r>
          </w:p>
          <w:p>
            <w:pPr>
              <w:pStyle w:val="TableParagraph"/>
              <w:spacing w:line="316" w:lineRule="auto" w:before="76"/>
              <w:ind w:left="24" w:right="57"/>
              <w:jc w:val="left"/>
              <w:rPr>
                <w:rFonts w:ascii="宋体" w:hAnsi="宋体" w:cs="宋体" w:eastAsia="宋体" w:hint="default"/>
                <w:sz w:val="18"/>
                <w:szCs w:val="18"/>
              </w:rPr>
            </w:pPr>
            <w:r>
              <w:rPr>
                <w:rFonts w:ascii="宋体" w:hAnsi="宋体" w:cs="宋体" w:eastAsia="宋体" w:hint="default"/>
                <w:sz w:val="18"/>
                <w:szCs w:val="18"/>
              </w:rPr>
              <w:t>（北京）软 件有限公司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计算机软硬件、电子 产品技术开发、技术 转让、技术咨询、技 术服务</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69" w:right="0"/>
              <w:jc w:val="center"/>
              <w:rPr>
                <w:rFonts w:ascii="Arial" w:hAnsi="Arial" w:cs="Arial" w:eastAsia="Arial" w:hint="default"/>
                <w:sz w:val="18"/>
                <w:szCs w:val="18"/>
              </w:rPr>
            </w:pPr>
            <w:r>
              <w:rPr>
                <w:rFonts w:ascii="Arial"/>
                <w:sz w:val="18"/>
              </w:rPr>
              <w:t>27,000,000.00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Arial" w:hAnsi="Arial" w:cs="Arial" w:eastAsia="Arial" w:hint="default"/>
                <w:sz w:val="18"/>
                <w:szCs w:val="18"/>
              </w:rPr>
            </w:pPr>
            <w:r>
              <w:rPr>
                <w:rFonts w:ascii="Arial"/>
                <w:spacing w:val="-1"/>
                <w:sz w:val="18"/>
              </w:rPr>
              <w:t>100.00%</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2"/>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9"/>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股权投资</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z w:val="18"/>
                <w:szCs w:val="18"/>
              </w:rPr>
              <w:t>不适用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z w:val="18"/>
                <w:szCs w:val="18"/>
              </w:rPr>
              <w:t>不适用</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Arial" w:hAnsi="Arial" w:cs="Arial" w:eastAsia="Arial" w:hint="default"/>
                <w:sz w:val="18"/>
                <w:szCs w:val="18"/>
              </w:rPr>
            </w:pPr>
            <w:r>
              <w:rPr>
                <w:rFonts w:ascii="Arial" w:hAnsi="Arial" w:cs="Arial" w:eastAsia="Arial" w:hint="default"/>
                <w:sz w:val="18"/>
                <w:szCs w:val="18"/>
              </w:rPr>
              <w:t>2018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16</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62" w:lineRule="auto"/>
              <w:ind w:left="24" w:right="35"/>
              <w:jc w:val="left"/>
              <w:rPr>
                <w:rFonts w:ascii="Arial" w:hAnsi="Arial" w:cs="Arial" w:eastAsia="Arial" w:hint="default"/>
                <w:sz w:val="18"/>
                <w:szCs w:val="18"/>
              </w:rPr>
            </w:pPr>
            <w:r>
              <w:rPr>
                <w:rFonts w:ascii="Arial"/>
                <w:sz w:val="18"/>
              </w:rPr>
              <w:t>www.cnin</w:t>
            </w:r>
            <w:r>
              <w:rPr>
                <w:rFonts w:ascii="Arial"/>
                <w:w w:val="99"/>
                <w:sz w:val="18"/>
              </w:rPr>
              <w:t> </w:t>
            </w:r>
            <w:r>
              <w:rPr>
                <w:rFonts w:ascii="Arial"/>
                <w:sz w:val="18"/>
              </w:rPr>
              <w:t>fo.com.cn</w:t>
            </w:r>
          </w:p>
        </w:tc>
      </w:tr>
      <w:tr>
        <w:trPr>
          <w:trHeight w:val="357" w:hRule="exact"/>
        </w:trPr>
        <w:tc>
          <w:tcPr>
            <w:tcW w:w="993" w:type="dxa"/>
            <w:tcBorders>
              <w:top w:val="single" w:sz="4" w:space="0" w:color="000000"/>
              <w:left w:val="single" w:sz="4" w:space="0" w:color="000000"/>
              <w:bottom w:val="nil" w:sz="6" w:space="0" w:color="auto"/>
              <w:right w:val="single" w:sz="4" w:space="0" w:color="000000"/>
            </w:tcBorders>
          </w:tcPr>
          <w:p>
            <w:pPr/>
          </w:p>
        </w:tc>
        <w:tc>
          <w:tcPr>
            <w:tcW w:w="1701" w:type="dxa"/>
            <w:tcBorders>
              <w:top w:val="single" w:sz="4" w:space="0" w:color="000000"/>
              <w:left w:val="single" w:sz="4" w:space="0" w:color="000000"/>
              <w:bottom w:val="nil" w:sz="6" w:space="0" w:color="auto"/>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c>
          <w:tcPr>
            <w:tcW w:w="1275" w:type="dxa"/>
            <w:tcBorders>
              <w:top w:val="single" w:sz="4" w:space="0" w:color="000000"/>
              <w:left w:val="single" w:sz="4" w:space="0" w:color="000000"/>
              <w:bottom w:val="nil" w:sz="6" w:space="0" w:color="auto"/>
              <w:right w:val="single" w:sz="4" w:space="0" w:color="000000"/>
            </w:tcBorders>
          </w:tcPr>
          <w:p>
            <w:pPr/>
          </w:p>
        </w:tc>
        <w:tc>
          <w:tcPr>
            <w:tcW w:w="993" w:type="dxa"/>
            <w:tcBorders>
              <w:top w:val="single" w:sz="4" w:space="0" w:color="000000"/>
              <w:left w:val="single" w:sz="4" w:space="0" w:color="000000"/>
              <w:bottom w:val="nil" w:sz="6" w:space="0" w:color="auto"/>
              <w:right w:val="single" w:sz="4" w:space="0" w:color="000000"/>
            </w:tcBorders>
          </w:tcPr>
          <w:p>
            <w:pPr/>
          </w:p>
        </w:tc>
        <w:tc>
          <w:tcPr>
            <w:tcW w:w="817"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北京元典起航科技中</w:t>
            </w:r>
          </w:p>
        </w:tc>
        <w:tc>
          <w:tcPr>
            <w:tcW w:w="709"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458"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4" w:right="57"/>
              <w:jc w:val="both"/>
              <w:rPr>
                <w:rFonts w:ascii="宋体" w:hAnsi="宋体" w:cs="宋体" w:eastAsia="宋体" w:hint="default"/>
                <w:sz w:val="18"/>
                <w:szCs w:val="18"/>
              </w:rPr>
            </w:pPr>
            <w:r>
              <w:rPr>
                <w:rFonts w:ascii="宋体" w:hAnsi="宋体" w:cs="宋体" w:eastAsia="宋体" w:hint="default"/>
                <w:sz w:val="18"/>
                <w:szCs w:val="18"/>
              </w:rPr>
              <w:t>北京华宇元 典信息服务 有限公司</w:t>
            </w:r>
          </w:p>
        </w:tc>
        <w:tc>
          <w:tcPr>
            <w:tcW w:w="170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7"/>
              <w:jc w:val="both"/>
              <w:rPr>
                <w:rFonts w:ascii="宋体" w:hAnsi="宋体" w:cs="宋体" w:eastAsia="宋体" w:hint="default"/>
                <w:sz w:val="18"/>
                <w:szCs w:val="18"/>
              </w:rPr>
            </w:pPr>
            <w:r>
              <w:rPr>
                <w:rFonts w:ascii="宋体" w:hAnsi="宋体" w:cs="宋体" w:eastAsia="宋体" w:hint="default"/>
                <w:sz w:val="18"/>
                <w:szCs w:val="18"/>
              </w:rPr>
              <w:t>计算机软硬件、电子 产品技术开发、技术 转让、技术咨询、技 术服务</w:t>
            </w: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72" w:right="0"/>
              <w:jc w:val="center"/>
              <w:rPr>
                <w:rFonts w:ascii="Arial" w:hAnsi="Arial" w:cs="Arial" w:eastAsia="Arial" w:hint="default"/>
                <w:sz w:val="18"/>
                <w:szCs w:val="18"/>
              </w:rPr>
            </w:pPr>
            <w:r>
              <w:rPr>
                <w:rFonts w:ascii="Arial"/>
                <w:sz w:val="18"/>
              </w:rPr>
              <w:t>6,000,000.00</w:t>
            </w:r>
          </w:p>
        </w:tc>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9"/>
              <w:jc w:val="right"/>
              <w:rPr>
                <w:rFonts w:ascii="Arial" w:hAnsi="Arial" w:cs="Arial" w:eastAsia="Arial" w:hint="default"/>
                <w:sz w:val="18"/>
                <w:szCs w:val="18"/>
              </w:rPr>
            </w:pPr>
            <w:r>
              <w:rPr>
                <w:rFonts w:ascii="Arial"/>
                <w:spacing w:val="-1"/>
                <w:sz w:val="18"/>
              </w:rPr>
              <w:t>37.50%</w:t>
            </w:r>
          </w:p>
        </w:tc>
        <w:tc>
          <w:tcPr>
            <w:tcW w:w="8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42"/>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2"/>
              <w:jc w:val="left"/>
              <w:rPr>
                <w:rFonts w:ascii="宋体" w:hAnsi="宋体" w:cs="宋体" w:eastAsia="宋体" w:hint="default"/>
                <w:sz w:val="18"/>
                <w:szCs w:val="18"/>
              </w:rPr>
            </w:pPr>
            <w:r>
              <w:rPr>
                <w:rFonts w:ascii="宋体" w:hAnsi="宋体" w:cs="宋体" w:eastAsia="宋体" w:hint="default"/>
                <w:spacing w:val="-10"/>
                <w:sz w:val="18"/>
                <w:szCs w:val="18"/>
              </w:rPr>
              <w:t>心（有限合伙）、北京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元典创新科技中心（有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限合伙）、北京元典成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长科技中心（有限合</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9"/>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股权投资</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z w:val="18"/>
                <w:szCs w:val="18"/>
              </w:rPr>
              <w:t>不适用</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34" w:right="0"/>
              <w:jc w:val="left"/>
              <w:rPr>
                <w:rFonts w:ascii="Arial" w:hAnsi="Arial" w:cs="Arial" w:eastAsia="Arial" w:hint="default"/>
                <w:sz w:val="18"/>
                <w:szCs w:val="18"/>
              </w:rPr>
            </w:pPr>
            <w:r>
              <w:rPr>
                <w:rFonts w:ascii="Arial"/>
                <w:sz w:val="18"/>
              </w:rPr>
              <w:t>-1,251,483.02</w:t>
            </w:r>
          </w:p>
        </w:tc>
        <w:tc>
          <w:tcPr>
            <w:tcW w:w="4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Arial" w:hAnsi="Arial" w:cs="Arial" w:eastAsia="Arial" w:hint="default"/>
                <w:sz w:val="18"/>
                <w:szCs w:val="18"/>
              </w:rPr>
            </w:pPr>
            <w:r>
              <w:rPr>
                <w:rFonts w:ascii="Arial" w:hAnsi="Arial" w:cs="Arial" w:eastAsia="Arial"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28</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62" w:lineRule="auto" w:before="130"/>
              <w:ind w:left="24" w:right="35"/>
              <w:jc w:val="left"/>
              <w:rPr>
                <w:rFonts w:ascii="Arial" w:hAnsi="Arial" w:cs="Arial" w:eastAsia="Arial" w:hint="default"/>
                <w:sz w:val="18"/>
                <w:szCs w:val="18"/>
              </w:rPr>
            </w:pPr>
            <w:r>
              <w:rPr>
                <w:rFonts w:ascii="Arial"/>
                <w:sz w:val="18"/>
              </w:rPr>
              <w:t>www.cnin</w:t>
            </w:r>
            <w:r>
              <w:rPr>
                <w:rFonts w:ascii="Arial"/>
                <w:w w:val="99"/>
                <w:sz w:val="18"/>
              </w:rPr>
              <w:t> </w:t>
            </w:r>
            <w:r>
              <w:rPr>
                <w:rFonts w:ascii="Arial"/>
                <w:sz w:val="18"/>
              </w:rPr>
              <w:t>fo.com.cn</w:t>
            </w:r>
          </w:p>
        </w:tc>
      </w:tr>
      <w:tr>
        <w:trPr>
          <w:trHeight w:val="357" w:hRule="exact"/>
        </w:trPr>
        <w:tc>
          <w:tcPr>
            <w:tcW w:w="993" w:type="dxa"/>
            <w:tcBorders>
              <w:top w:val="nil" w:sz="6" w:space="0" w:color="auto"/>
              <w:left w:val="single" w:sz="4" w:space="0" w:color="000000"/>
              <w:bottom w:val="single" w:sz="4" w:space="0" w:color="000000"/>
              <w:right w:val="single" w:sz="4" w:space="0" w:color="000000"/>
            </w:tcBorders>
          </w:tcPr>
          <w:p>
            <w:pPr/>
          </w:p>
        </w:tc>
        <w:tc>
          <w:tcPr>
            <w:tcW w:w="1701" w:type="dxa"/>
            <w:tcBorders>
              <w:top w:val="nil" w:sz="6" w:space="0" w:color="auto"/>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993" w:type="dxa"/>
            <w:tcBorders>
              <w:top w:val="nil" w:sz="6" w:space="0" w:color="auto"/>
              <w:left w:val="single" w:sz="4" w:space="0" w:color="000000"/>
              <w:bottom w:val="single" w:sz="4" w:space="0" w:color="000000"/>
              <w:right w:val="single" w:sz="4" w:space="0" w:color="000000"/>
            </w:tcBorders>
          </w:tcPr>
          <w:p>
            <w:pPr/>
          </w:p>
        </w:tc>
        <w:tc>
          <w:tcPr>
            <w:tcW w:w="817"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伙）</w:t>
            </w:r>
          </w:p>
        </w:tc>
        <w:tc>
          <w:tcPr>
            <w:tcW w:w="709"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458"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993" w:type="dxa"/>
            <w:tcBorders>
              <w:top w:val="single" w:sz="4" w:space="0" w:color="000000"/>
              <w:left w:val="single" w:sz="4" w:space="0" w:color="000000"/>
              <w:bottom w:val="nil" w:sz="6" w:space="0" w:color="auto"/>
              <w:right w:val="single" w:sz="4" w:space="0" w:color="000000"/>
            </w:tcBorders>
          </w:tcPr>
          <w:p>
            <w:pPr/>
          </w:p>
        </w:tc>
        <w:tc>
          <w:tcPr>
            <w:tcW w:w="1701" w:type="dxa"/>
            <w:tcBorders>
              <w:top w:val="single" w:sz="4" w:space="0" w:color="000000"/>
              <w:left w:val="single" w:sz="4" w:space="0" w:color="000000"/>
              <w:bottom w:val="nil" w:sz="6" w:space="0" w:color="auto"/>
              <w:right w:val="single" w:sz="4" w:space="0" w:color="000000"/>
            </w:tcBorders>
          </w:tcPr>
          <w:p>
            <w:pPr/>
          </w:p>
        </w:tc>
        <w:tc>
          <w:tcPr>
            <w:tcW w:w="567" w:type="dxa"/>
            <w:tcBorders>
              <w:top w:val="single" w:sz="4" w:space="0" w:color="000000"/>
              <w:left w:val="single" w:sz="4" w:space="0" w:color="000000"/>
              <w:bottom w:val="nil" w:sz="6" w:space="0" w:color="auto"/>
              <w:right w:val="single" w:sz="4" w:space="0" w:color="000000"/>
            </w:tcBorders>
          </w:tcPr>
          <w:p>
            <w:pPr/>
          </w:p>
        </w:tc>
        <w:tc>
          <w:tcPr>
            <w:tcW w:w="1275" w:type="dxa"/>
            <w:tcBorders>
              <w:top w:val="single" w:sz="4" w:space="0" w:color="000000"/>
              <w:left w:val="single" w:sz="4" w:space="0" w:color="000000"/>
              <w:bottom w:val="nil" w:sz="6" w:space="0" w:color="auto"/>
              <w:right w:val="single" w:sz="4" w:space="0" w:color="000000"/>
            </w:tcBorders>
          </w:tcPr>
          <w:p>
            <w:pPr/>
          </w:p>
        </w:tc>
        <w:tc>
          <w:tcPr>
            <w:tcW w:w="993" w:type="dxa"/>
            <w:vMerge w:val="restart"/>
            <w:tcBorders>
              <w:top w:val="single" w:sz="4" w:space="0" w:color="000000"/>
              <w:left w:val="single" w:sz="4" w:space="0" w:color="000000"/>
              <w:right w:val="single" w:sz="4" w:space="0" w:color="000000"/>
            </w:tcBorders>
          </w:tcPr>
          <w:p>
            <w:pPr/>
          </w:p>
        </w:tc>
        <w:tc>
          <w:tcPr>
            <w:tcW w:w="817"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北京华宇科创投资有</w:t>
            </w:r>
          </w:p>
        </w:tc>
        <w:tc>
          <w:tcPr>
            <w:tcW w:w="709"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458"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广州华宇科</w:t>
            </w:r>
          </w:p>
        </w:tc>
        <w:tc>
          <w:tcPr>
            <w:tcW w:w="1701"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993" w:type="dxa"/>
            <w:vMerge/>
            <w:tcBorders>
              <w:left w:val="single" w:sz="4" w:space="0" w:color="000000"/>
              <w:right w:val="single" w:sz="4" w:space="0" w:color="000000"/>
            </w:tcBorders>
          </w:tcPr>
          <w:p>
            <w:pPr/>
          </w:p>
        </w:tc>
        <w:tc>
          <w:tcPr>
            <w:tcW w:w="81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限公司、广州市新兴产</w:t>
            </w:r>
          </w:p>
        </w:tc>
        <w:tc>
          <w:tcPr>
            <w:tcW w:w="709"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45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99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57"/>
              <w:jc w:val="left"/>
              <w:rPr>
                <w:rFonts w:ascii="宋体" w:hAnsi="宋体" w:cs="宋体" w:eastAsia="宋体" w:hint="default"/>
                <w:sz w:val="18"/>
                <w:szCs w:val="18"/>
              </w:rPr>
            </w:pPr>
            <w:r>
              <w:rPr>
                <w:rFonts w:ascii="宋体" w:hAnsi="宋体" w:cs="宋体" w:eastAsia="宋体" w:hint="default"/>
                <w:sz w:val="18"/>
                <w:szCs w:val="18"/>
              </w:rPr>
              <w:t>创股权投资 合伙企业</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w:t>
            </w:r>
          </w:p>
        </w:tc>
        <w:tc>
          <w:tcPr>
            <w:tcW w:w="170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7"/>
              <w:jc w:val="left"/>
              <w:rPr>
                <w:rFonts w:ascii="宋体" w:hAnsi="宋体" w:cs="宋体" w:eastAsia="宋体" w:hint="default"/>
                <w:sz w:val="18"/>
                <w:szCs w:val="18"/>
              </w:rPr>
            </w:pPr>
            <w:r>
              <w:rPr>
                <w:rFonts w:ascii="宋体" w:hAnsi="宋体" w:cs="宋体" w:eastAsia="宋体" w:hint="default"/>
                <w:spacing w:val="-8"/>
                <w:sz w:val="18"/>
                <w:szCs w:val="18"/>
              </w:rPr>
              <w:t>股权投资、创业投资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风险投资、企业自有 资金投资</w:t>
            </w: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12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9" w:right="0"/>
              <w:jc w:val="center"/>
              <w:rPr>
                <w:rFonts w:ascii="Arial" w:hAnsi="Arial" w:cs="Arial" w:eastAsia="Arial" w:hint="default"/>
                <w:sz w:val="18"/>
                <w:szCs w:val="18"/>
              </w:rPr>
            </w:pPr>
            <w:r>
              <w:rPr>
                <w:rFonts w:ascii="Arial"/>
                <w:sz w:val="18"/>
              </w:rPr>
              <w:t>25,000,000.00</w:t>
            </w:r>
          </w:p>
        </w:tc>
        <w:tc>
          <w:tcPr>
            <w:tcW w:w="993" w:type="dxa"/>
            <w:vMerge/>
            <w:tcBorders>
              <w:left w:val="single" w:sz="4" w:space="0" w:color="000000"/>
              <w:right w:val="single" w:sz="4" w:space="0" w:color="000000"/>
            </w:tcBorders>
          </w:tcPr>
          <w:p>
            <w:pPr/>
          </w:p>
        </w:tc>
        <w:tc>
          <w:tcPr>
            <w:tcW w:w="81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42"/>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2"/>
              <w:jc w:val="left"/>
              <w:rPr>
                <w:rFonts w:ascii="宋体" w:hAnsi="宋体" w:cs="宋体" w:eastAsia="宋体" w:hint="default"/>
                <w:sz w:val="18"/>
                <w:szCs w:val="18"/>
              </w:rPr>
            </w:pPr>
            <w:r>
              <w:rPr>
                <w:rFonts w:ascii="宋体" w:hAnsi="宋体" w:cs="宋体" w:eastAsia="宋体" w:hint="default"/>
                <w:sz w:val="18"/>
                <w:szCs w:val="18"/>
              </w:rPr>
              <w:t>业发展基金管理有限 </w:t>
            </w:r>
            <w:r>
              <w:rPr>
                <w:rFonts w:ascii="宋体" w:hAnsi="宋体" w:cs="宋体" w:eastAsia="宋体" w:hint="default"/>
                <w:spacing w:val="-2"/>
                <w:sz w:val="18"/>
                <w:szCs w:val="18"/>
              </w:rPr>
              <w:t>公司、广州开发区新兴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产业投资基金管理有</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9"/>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股权投资</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z w:val="18"/>
                <w:szCs w:val="18"/>
              </w:rPr>
              <w:t>不适用</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z w:val="18"/>
                <w:szCs w:val="18"/>
              </w:rPr>
              <w:t>不适用</w:t>
            </w:r>
          </w:p>
        </w:tc>
        <w:tc>
          <w:tcPr>
            <w:tcW w:w="45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Arial" w:hAnsi="Arial" w:cs="Arial" w:eastAsia="Arial" w:hint="default"/>
                <w:sz w:val="18"/>
                <w:szCs w:val="18"/>
              </w:rPr>
            </w:pPr>
            <w:r>
              <w:rPr>
                <w:rFonts w:ascii="Arial" w:hAnsi="Arial" w:cs="Arial" w:eastAsia="Arial" w:hint="default"/>
                <w:sz w:val="18"/>
                <w:szCs w:val="18"/>
              </w:rPr>
              <w:t>2018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07</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62" w:lineRule="auto"/>
              <w:ind w:left="24" w:right="35"/>
              <w:jc w:val="left"/>
              <w:rPr>
                <w:rFonts w:ascii="Arial" w:hAnsi="Arial" w:cs="Arial" w:eastAsia="Arial" w:hint="default"/>
                <w:sz w:val="18"/>
                <w:szCs w:val="18"/>
              </w:rPr>
            </w:pPr>
            <w:r>
              <w:rPr>
                <w:rFonts w:ascii="Arial"/>
                <w:sz w:val="18"/>
              </w:rPr>
              <w:t>www.cnin</w:t>
            </w:r>
            <w:r>
              <w:rPr>
                <w:rFonts w:ascii="Arial"/>
                <w:w w:val="99"/>
                <w:sz w:val="18"/>
              </w:rPr>
              <w:t> </w:t>
            </w:r>
            <w:r>
              <w:rPr>
                <w:rFonts w:ascii="Arial"/>
                <w:sz w:val="18"/>
              </w:rPr>
              <w:t>fo.com.cn</w:t>
            </w:r>
          </w:p>
        </w:tc>
      </w:tr>
      <w:tr>
        <w:trPr>
          <w:trHeight w:val="312" w:hRule="exact"/>
        </w:trPr>
        <w:tc>
          <w:tcPr>
            <w:tcW w:w="9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伙）</w:t>
            </w:r>
          </w:p>
        </w:tc>
        <w:tc>
          <w:tcPr>
            <w:tcW w:w="1701" w:type="dxa"/>
            <w:tcBorders>
              <w:top w:val="nil" w:sz="6" w:space="0" w:color="auto"/>
              <w:left w:val="single" w:sz="4" w:space="0" w:color="000000"/>
              <w:bottom w:val="nil" w:sz="6" w:space="0" w:color="auto"/>
              <w:right w:val="single" w:sz="4" w:space="0" w:color="000000"/>
            </w:tcBorders>
          </w:tcPr>
          <w:p>
            <w:pPr/>
          </w:p>
        </w:tc>
        <w:tc>
          <w:tcPr>
            <w:tcW w:w="567" w:type="dxa"/>
            <w:tcBorders>
              <w:top w:val="nil" w:sz="6" w:space="0" w:color="auto"/>
              <w:left w:val="single" w:sz="4" w:space="0" w:color="000000"/>
              <w:bottom w:val="nil" w:sz="6" w:space="0" w:color="auto"/>
              <w:right w:val="single" w:sz="4" w:space="0" w:color="000000"/>
            </w:tcBorders>
          </w:tcPr>
          <w:p>
            <w:pPr/>
          </w:p>
        </w:tc>
        <w:tc>
          <w:tcPr>
            <w:tcW w:w="1275" w:type="dxa"/>
            <w:tcBorders>
              <w:top w:val="nil" w:sz="6" w:space="0" w:color="auto"/>
              <w:left w:val="single" w:sz="4" w:space="0" w:color="000000"/>
              <w:bottom w:val="nil" w:sz="6" w:space="0" w:color="auto"/>
              <w:right w:val="single" w:sz="4" w:space="0" w:color="000000"/>
            </w:tcBorders>
          </w:tcPr>
          <w:p>
            <w:pPr/>
          </w:p>
        </w:tc>
        <w:tc>
          <w:tcPr>
            <w:tcW w:w="993" w:type="dxa"/>
            <w:vMerge/>
            <w:tcBorders>
              <w:left w:val="single" w:sz="4" w:space="0" w:color="000000"/>
              <w:right w:val="single" w:sz="4" w:space="0" w:color="000000"/>
            </w:tcBorders>
          </w:tcPr>
          <w:p>
            <w:pPr/>
          </w:p>
        </w:tc>
        <w:tc>
          <w:tcPr>
            <w:tcW w:w="81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限公司、北京曦和创新</w:t>
            </w:r>
          </w:p>
        </w:tc>
        <w:tc>
          <w:tcPr>
            <w:tcW w:w="709"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458"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993" w:type="dxa"/>
            <w:tcBorders>
              <w:top w:val="nil" w:sz="6" w:space="0" w:color="auto"/>
              <w:left w:val="single" w:sz="4" w:space="0" w:color="000000"/>
              <w:bottom w:val="single" w:sz="4" w:space="0" w:color="000000"/>
              <w:right w:val="single" w:sz="4" w:space="0" w:color="000000"/>
            </w:tcBorders>
          </w:tcPr>
          <w:p>
            <w:pPr/>
          </w:p>
        </w:tc>
        <w:tc>
          <w:tcPr>
            <w:tcW w:w="1701" w:type="dxa"/>
            <w:tcBorders>
              <w:top w:val="nil" w:sz="6" w:space="0" w:color="auto"/>
              <w:left w:val="single" w:sz="4" w:space="0" w:color="000000"/>
              <w:bottom w:val="single" w:sz="4" w:space="0" w:color="000000"/>
              <w:right w:val="single" w:sz="4" w:space="0" w:color="000000"/>
            </w:tcBorders>
          </w:tcPr>
          <w:p>
            <w:pPr/>
          </w:p>
        </w:tc>
        <w:tc>
          <w:tcPr>
            <w:tcW w:w="567"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817"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科技中心（有限合伙）</w:t>
            </w:r>
          </w:p>
        </w:tc>
        <w:tc>
          <w:tcPr>
            <w:tcW w:w="709"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458"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Arial" w:hAnsi="Arial" w:cs="Arial" w:eastAsia="Arial" w:hint="default"/>
                <w:sz w:val="18"/>
                <w:szCs w:val="18"/>
              </w:rPr>
            </w:pPr>
            <w:r>
              <w:rPr>
                <w:rFonts w:ascii="Arial"/>
                <w:sz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 w:right="0"/>
              <w:jc w:val="center"/>
              <w:rPr>
                <w:rFonts w:ascii="Arial" w:hAnsi="Arial" w:cs="Arial" w:eastAsia="Arial" w:hint="default"/>
                <w:sz w:val="18"/>
                <w:szCs w:val="18"/>
              </w:rPr>
            </w:pPr>
            <w:r>
              <w:rPr>
                <w:rFonts w:ascii="Arial"/>
                <w:sz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9" w:right="0"/>
              <w:jc w:val="center"/>
              <w:rPr>
                <w:rFonts w:ascii="Arial" w:hAnsi="Arial" w:cs="Arial" w:eastAsia="Arial" w:hint="default"/>
                <w:sz w:val="18"/>
                <w:szCs w:val="18"/>
              </w:rPr>
            </w:pPr>
            <w:r>
              <w:rPr>
                <w:rFonts w:ascii="Arial"/>
                <w:sz w:val="18"/>
              </w:rPr>
              <w:t>63,100,000.00</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Arial" w:hAnsi="Arial" w:cs="Arial" w:eastAsia="Arial" w:hint="default"/>
                <w:sz w:val="18"/>
                <w:szCs w:val="18"/>
              </w:rPr>
            </w:pPr>
            <w:r>
              <w:rPr>
                <w:rFonts w:ascii="Arial"/>
                <w:sz w:val="18"/>
              </w:rPr>
              <w:t>--</w:t>
            </w:r>
          </w:p>
        </w:tc>
        <w:tc>
          <w:tcPr>
            <w:tcW w:w="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Arial" w:hAnsi="Arial" w:cs="Arial" w:eastAsia="Arial" w:hint="default"/>
                <w:sz w:val="18"/>
                <w:szCs w:val="18"/>
              </w:rPr>
            </w:pPr>
            <w:r>
              <w:rPr>
                <w:rFonts w:ascii="Arial"/>
                <w:sz w:val="18"/>
              </w:rPr>
              <w:t>--</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Arial" w:hAnsi="Arial" w:cs="Arial" w:eastAsia="Arial" w:hint="default"/>
                <w:sz w:val="18"/>
                <w:szCs w:val="18"/>
              </w:rPr>
            </w:pPr>
            <w:r>
              <w:rPr>
                <w:rFonts w:ascii="Arial"/>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Arial" w:hAnsi="Arial" w:cs="Arial" w:eastAsia="Arial" w:hint="default"/>
                <w:sz w:val="18"/>
                <w:szCs w:val="18"/>
              </w:rPr>
            </w:pPr>
            <w:r>
              <w:rPr>
                <w:rFonts w:ascii="Arial"/>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 w:right="0"/>
              <w:jc w:val="center"/>
              <w:rPr>
                <w:rFonts w:ascii="Arial" w:hAnsi="Arial" w:cs="Arial" w:eastAsia="Arial" w:hint="default"/>
                <w:sz w:val="18"/>
                <w:szCs w:val="18"/>
              </w:rPr>
            </w:pPr>
            <w:r>
              <w:rPr>
                <w:rFonts w:ascii="Arial"/>
                <w:sz w:val="18"/>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48" w:right="0"/>
              <w:jc w:val="left"/>
              <w:rPr>
                <w:rFonts w:ascii="Arial" w:hAnsi="Arial" w:cs="Arial" w:eastAsia="Arial" w:hint="default"/>
                <w:sz w:val="18"/>
                <w:szCs w:val="18"/>
              </w:rPr>
            </w:pPr>
            <w:r>
              <w:rPr>
                <w:rFonts w:ascii="Arial"/>
                <w:sz w:val="18"/>
              </w:rPr>
              <w:t>-1,341,967.11</w:t>
            </w:r>
          </w:p>
        </w:tc>
        <w:tc>
          <w:tcPr>
            <w:tcW w:w="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66" w:right="0"/>
              <w:jc w:val="left"/>
              <w:rPr>
                <w:rFonts w:ascii="Arial" w:hAnsi="Arial" w:cs="Arial" w:eastAsia="Arial" w:hint="default"/>
                <w:sz w:val="18"/>
                <w:szCs w:val="18"/>
              </w:rPr>
            </w:pPr>
            <w:r>
              <w:rPr>
                <w:rFonts w:ascii="Arial"/>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3" w:right="0"/>
              <w:jc w:val="center"/>
              <w:rPr>
                <w:rFonts w:ascii="Arial" w:hAnsi="Arial" w:cs="Arial" w:eastAsia="Arial" w:hint="default"/>
                <w:sz w:val="18"/>
                <w:szCs w:val="18"/>
              </w:rPr>
            </w:pPr>
            <w:r>
              <w:rPr>
                <w:rFonts w:ascii="Arial"/>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Arial" w:hAnsi="Arial" w:cs="Arial" w:eastAsia="Arial" w:hint="default"/>
                <w:sz w:val="18"/>
                <w:szCs w:val="18"/>
              </w:rPr>
            </w:pPr>
            <w:r>
              <w:rPr>
                <w:rFonts w:ascii="Arial"/>
                <w:sz w:val="18"/>
              </w:rPr>
              <w:t>--</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before="76"/>
        <w:ind w:left="0" w:right="196" w:firstLine="0"/>
        <w:jc w:val="right"/>
        <w:rPr>
          <w:rFonts w:ascii="Times New Roman" w:hAnsi="Times New Roman" w:cs="Times New Roman" w:eastAsia="Times New Roman" w:hint="default"/>
          <w:sz w:val="18"/>
          <w:szCs w:val="18"/>
        </w:rPr>
      </w:pPr>
      <w:r>
        <w:rPr/>
        <w:pict>
          <v:shape style="position:absolute;margin-left:200.759003pt;margin-top:-156.49765pt;width:34.2pt;height:113.3pt;mso-position-horizontal-relative:page;mso-position-vertical-relative:paragraph;z-index:-8628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06.850006pt;margin-top:-156.49765pt;width:28.1pt;height:113.45pt;mso-position-horizontal-relative:page;mso-position-vertical-relative:paragraph;z-index:-862816" coordorigin="4137,-3130" coordsize="562,2269">
            <v:shape style="position:absolute;left:4137;top:-3130;width:562;height:2269" coordorigin="4137,-3130" coordsize="562,2269" path="m4137,-3130l4699,-3130,4699,-861,4137,-861,4137,-3130xe" filled="true" fillcolor="#ffffff" stroked="false">
              <v:path arrowok="t"/>
              <v:fill type="solid"/>
            </v:shape>
            <w10:wrap type="none"/>
          </v:group>
        </w:pict>
      </w:r>
      <w:r>
        <w:rPr>
          <w:rFonts w:ascii="Times New Roman"/>
          <w:sz w:val="18"/>
        </w:rPr>
        <w:t>31</w:t>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3"/>
          <w:szCs w:val="23"/>
        </w:rPr>
      </w:pPr>
    </w:p>
    <w:p>
      <w:pPr>
        <w:spacing w:line="371" w:lineRule="exact"/>
        <w:ind w:left="1046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6"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060" w:bottom="1160" w:left="1320" w:right="124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4"/>
        <w:ind w:right="996"/>
        <w:jc w:val="left"/>
        <w:rPr>
          <w:b w:val="0"/>
          <w:bCs w:val="0"/>
        </w:rPr>
      </w:pPr>
      <w:bookmarkStart w:name="3、报告期内正在进行的重大的非股权投资情况" w:id="46"/>
      <w:bookmarkEnd w:id="46"/>
      <w:r>
        <w:rPr>
          <w:b w:val="0"/>
          <w:bCs w:val="0"/>
        </w:rPr>
      </w:r>
      <w:r>
        <w:rPr>
          <w:rFonts w:ascii="Arial" w:hAnsi="Arial" w:cs="Arial" w:eastAsia="Arial" w:hint="default"/>
        </w:rPr>
        <w:t>3</w:t>
      </w:r>
      <w:r>
        <w:rPr/>
        <w:t>、报告期内正在进行的重大的非股权投资情况</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right="996"/>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5"/>
        <w:rPr>
          <w:rFonts w:ascii="宋体" w:hAnsi="宋体" w:cs="宋体" w:eastAsia="宋体" w:hint="default"/>
          <w:sz w:val="23"/>
          <w:szCs w:val="23"/>
        </w:rPr>
      </w:pPr>
    </w:p>
    <w:p>
      <w:pPr>
        <w:pStyle w:val="Heading4"/>
        <w:spacing w:line="240" w:lineRule="auto"/>
        <w:ind w:right="996"/>
        <w:jc w:val="left"/>
        <w:rPr>
          <w:b w:val="0"/>
          <w:bCs w:val="0"/>
        </w:rPr>
      </w:pPr>
      <w:bookmarkStart w:name="4、以公允价值计量的金融资产" w:id="47"/>
      <w:bookmarkEnd w:id="47"/>
      <w:r>
        <w:rPr>
          <w:b w:val="0"/>
          <w:bCs w:val="0"/>
        </w:rPr>
      </w:r>
      <w:r>
        <w:rPr>
          <w:rFonts w:ascii="Arial" w:hAnsi="Arial" w:cs="Arial" w:eastAsia="Arial" w:hint="default"/>
        </w:rPr>
        <w:t>4</w:t>
      </w:r>
      <w:r>
        <w:rPr/>
        <w:t>、以公允价值计量的金融资产</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right="996"/>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3"/>
        <w:rPr>
          <w:rFonts w:ascii="宋体" w:hAnsi="宋体" w:cs="宋体" w:eastAsia="宋体" w:hint="default"/>
          <w:sz w:val="23"/>
          <w:szCs w:val="23"/>
        </w:rPr>
      </w:pPr>
    </w:p>
    <w:p>
      <w:pPr>
        <w:pStyle w:val="Heading4"/>
        <w:spacing w:line="240" w:lineRule="auto"/>
        <w:ind w:right="996"/>
        <w:jc w:val="left"/>
        <w:rPr>
          <w:b w:val="0"/>
          <w:bCs w:val="0"/>
        </w:rPr>
      </w:pPr>
      <w:bookmarkStart w:name="5、募集资金使用情况" w:id="48"/>
      <w:bookmarkEnd w:id="48"/>
      <w:r>
        <w:rPr>
          <w:b w:val="0"/>
          <w:bCs w:val="0"/>
        </w:rPr>
      </w:r>
      <w:r>
        <w:rPr>
          <w:rFonts w:ascii="Arial" w:hAnsi="Arial" w:cs="Arial" w:eastAsia="Arial" w:hint="default"/>
        </w:rPr>
        <w:t>5</w:t>
      </w:r>
      <w:r>
        <w:rPr/>
        <w:t>、募集资金使用情况</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right="996"/>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3"/>
        <w:rPr>
          <w:rFonts w:ascii="宋体" w:hAnsi="宋体" w:cs="宋体" w:eastAsia="宋体" w:hint="default"/>
          <w:sz w:val="23"/>
          <w:szCs w:val="23"/>
        </w:rPr>
      </w:pPr>
    </w:p>
    <w:p>
      <w:pPr>
        <w:pStyle w:val="Heading4"/>
        <w:spacing w:line="240" w:lineRule="auto"/>
        <w:ind w:right="996"/>
        <w:jc w:val="left"/>
        <w:rPr>
          <w:b w:val="0"/>
          <w:bCs w:val="0"/>
        </w:rPr>
      </w:pPr>
      <w:bookmarkStart w:name="（1）募集资金总体使用情况" w:id="49"/>
      <w:bookmarkEnd w:id="49"/>
      <w:r>
        <w:rPr>
          <w:b w:val="0"/>
          <w:bCs w:val="0"/>
        </w:rPr>
      </w:r>
      <w:r>
        <w:rPr/>
        <w:t>（</w:t>
      </w:r>
      <w:r>
        <w:rPr>
          <w:rFonts w:ascii="Arial" w:hAnsi="Arial" w:cs="Arial" w:eastAsia="Arial" w:hint="default"/>
        </w:rPr>
        <w:t>1</w:t>
      </w:r>
      <w:r>
        <w:rPr/>
        <w:t>）募集资金总体使用情况</w:t>
      </w:r>
      <w:r>
        <w:rPr>
          <w:b w:val="0"/>
          <w:bCs w:val="0"/>
        </w:rPr>
      </w:r>
    </w:p>
    <w:p>
      <w:pPr>
        <w:spacing w:line="240" w:lineRule="auto" w:before="1"/>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headerReference w:type="default" r:id="rId17"/>
          <w:footerReference w:type="default" r:id="rId18"/>
          <w:pgSz w:w="11910" w:h="16840"/>
          <w:pgMar w:header="878" w:footer="0" w:top="1060" w:bottom="0" w:left="1020" w:right="0"/>
        </w:sectPr>
      </w:pPr>
    </w:p>
    <w:p>
      <w:pPr>
        <w:pStyle w:val="Heading3"/>
        <w:spacing w:line="240" w:lineRule="auto" w:before="26"/>
        <w:ind w:right="-18"/>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4"/>
          <w:szCs w:val="14"/>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1020" w:right="0"/>
          <w:cols w:num="2" w:equalWidth="0">
            <w:col w:w="1949" w:space="6789"/>
            <w:col w:w="2152"/>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09"/>
        <w:gridCol w:w="1276"/>
        <w:gridCol w:w="992"/>
        <w:gridCol w:w="709"/>
        <w:gridCol w:w="992"/>
        <w:gridCol w:w="992"/>
        <w:gridCol w:w="851"/>
        <w:gridCol w:w="850"/>
        <w:gridCol w:w="709"/>
        <w:gridCol w:w="851"/>
        <w:gridCol w:w="632"/>
      </w:tblGrid>
      <w:tr>
        <w:trPr>
          <w:trHeight w:val="1338" w:hRule="exact"/>
        </w:trPr>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57" w:right="79" w:hanging="180"/>
              <w:jc w:val="left"/>
              <w:rPr>
                <w:rFonts w:ascii="宋体" w:hAnsi="宋体" w:cs="宋体" w:eastAsia="宋体" w:hint="default"/>
                <w:sz w:val="18"/>
                <w:szCs w:val="18"/>
              </w:rPr>
            </w:pPr>
            <w:r>
              <w:rPr>
                <w:rFonts w:ascii="宋体" w:hAnsi="宋体" w:cs="宋体" w:eastAsia="宋体" w:hint="default"/>
                <w:sz w:val="18"/>
                <w:szCs w:val="18"/>
              </w:rPr>
              <w:t>募集年 份</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401" w:right="38" w:hanging="360"/>
              <w:jc w:val="left"/>
              <w:rPr>
                <w:rFonts w:ascii="宋体" w:hAnsi="宋体" w:cs="宋体" w:eastAsia="宋体" w:hint="default"/>
                <w:sz w:val="18"/>
                <w:szCs w:val="18"/>
              </w:rPr>
            </w:pPr>
            <w:r>
              <w:rPr>
                <w:rFonts w:ascii="宋体" w:hAnsi="宋体" w:cs="宋体" w:eastAsia="宋体" w:hint="default"/>
                <w:sz w:val="18"/>
                <w:szCs w:val="18"/>
              </w:rPr>
              <w:t>募集资金总 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8"/>
              <w:jc w:val="both"/>
              <w:rPr>
                <w:rFonts w:ascii="宋体" w:hAnsi="宋体" w:cs="宋体" w:eastAsia="宋体" w:hint="default"/>
                <w:sz w:val="18"/>
                <w:szCs w:val="18"/>
              </w:rPr>
            </w:pPr>
            <w:r>
              <w:rPr>
                <w:rFonts w:ascii="宋体" w:hAnsi="宋体" w:cs="宋体" w:eastAsia="宋体" w:hint="default"/>
                <w:sz w:val="18"/>
                <w:szCs w:val="18"/>
              </w:rPr>
              <w:t>本期已 使用募 集资金 总额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0" w:right="40"/>
              <w:jc w:val="center"/>
              <w:rPr>
                <w:rFonts w:ascii="宋体" w:hAnsi="宋体" w:cs="宋体" w:eastAsia="宋体" w:hint="default"/>
                <w:sz w:val="18"/>
                <w:szCs w:val="18"/>
              </w:rPr>
            </w:pPr>
            <w:r>
              <w:rPr>
                <w:rFonts w:ascii="宋体" w:hAnsi="宋体" w:cs="宋体" w:eastAsia="宋体" w:hint="default"/>
                <w:sz w:val="18"/>
                <w:szCs w:val="18"/>
              </w:rPr>
              <w:t>已累计使用 募集资金总 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 w:right="38"/>
              <w:jc w:val="both"/>
              <w:rPr>
                <w:rFonts w:ascii="宋体" w:hAnsi="宋体" w:cs="宋体" w:eastAsia="宋体" w:hint="default"/>
                <w:sz w:val="18"/>
                <w:szCs w:val="18"/>
              </w:rPr>
            </w:pPr>
            <w:r>
              <w:rPr>
                <w:rFonts w:ascii="宋体" w:hAnsi="宋体" w:cs="宋体" w:eastAsia="宋体" w:hint="default"/>
                <w:sz w:val="18"/>
                <w:szCs w:val="18"/>
              </w:rPr>
              <w:t>报告期内变 更用途的募 集资金总额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 w:right="59"/>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5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7"/>
              <w:jc w:val="center"/>
              <w:rPr>
                <w:rFonts w:ascii="宋体" w:hAnsi="宋体" w:cs="宋体" w:eastAsia="宋体" w:hint="default"/>
                <w:sz w:val="18"/>
                <w:szCs w:val="18"/>
              </w:rPr>
            </w:pPr>
            <w:r>
              <w:rPr>
                <w:rFonts w:ascii="宋体" w:hAnsi="宋体" w:cs="宋体" w:eastAsia="宋体" w:hint="default"/>
                <w:sz w:val="18"/>
                <w:szCs w:val="18"/>
              </w:rPr>
              <w:t>尚未使 用募集 资金总 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 w:right="59"/>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 w:right="39"/>
              <w:jc w:val="both"/>
              <w:rPr>
                <w:rFonts w:ascii="宋体" w:hAnsi="宋体" w:cs="宋体" w:eastAsia="宋体" w:hint="default"/>
                <w:sz w:val="18"/>
                <w:szCs w:val="18"/>
              </w:rPr>
            </w:pPr>
            <w:r>
              <w:rPr>
                <w:rFonts w:ascii="宋体" w:hAnsi="宋体" w:cs="宋体" w:eastAsia="宋体" w:hint="default"/>
                <w:sz w:val="18"/>
                <w:szCs w:val="18"/>
              </w:rPr>
              <w:t>闲置两 年以上 募集资 金金额</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pacing w:val="-3"/>
                <w:sz w:val="18"/>
                <w:szCs w:val="18"/>
              </w:rPr>
              <w:t>2011</w:t>
            </w:r>
            <w:r>
              <w:rPr>
                <w:rFonts w:ascii="Arial" w:hAnsi="Arial" w:cs="Arial" w:eastAsia="Arial" w:hint="default"/>
                <w:spacing w:val="-10"/>
                <w:sz w:val="18"/>
                <w:szCs w:val="18"/>
              </w:rPr>
              <w:t> </w:t>
            </w:r>
            <w:r>
              <w:rPr>
                <w:rFonts w:ascii="宋体" w:hAnsi="宋体" w:cs="宋体" w:eastAsia="宋体" w:hint="default"/>
                <w:sz w:val="18"/>
                <w:szCs w:val="18"/>
              </w:rPr>
              <w:t>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首次公开发行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51,481.18</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38" w:right="0"/>
              <w:jc w:val="center"/>
              <w:rPr>
                <w:rFonts w:ascii="Arial" w:hAnsi="Arial" w:cs="Arial" w:eastAsia="Arial" w:hint="default"/>
                <w:sz w:val="18"/>
                <w:szCs w:val="18"/>
              </w:rPr>
            </w:pPr>
            <w:r>
              <w:rPr>
                <w:rFonts w:ascii="Arial"/>
                <w:sz w:val="18"/>
              </w:rPr>
              <w:t>53,638.72</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48,000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Arial" w:hAnsi="Arial" w:cs="Arial" w:eastAsia="Arial" w:hint="default"/>
                <w:sz w:val="18"/>
                <w:szCs w:val="18"/>
              </w:rPr>
            </w:pPr>
            <w:r>
              <w:rPr>
                <w:rFonts w:ascii="Arial"/>
                <w:spacing w:val="-2"/>
                <w:sz w:val="18"/>
              </w:rPr>
              <w:t>251.11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8" w:right="0"/>
              <w:jc w:val="center"/>
              <w:rPr>
                <w:rFonts w:ascii="Arial" w:hAnsi="Arial" w:cs="Arial" w:eastAsia="Arial" w:hint="default"/>
                <w:sz w:val="18"/>
                <w:szCs w:val="18"/>
              </w:rPr>
            </w:pPr>
            <w:r>
              <w:rPr>
                <w:rFonts w:ascii="Arial"/>
                <w:sz w:val="18"/>
              </w:rPr>
              <w:t>48,022.83</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 w:right="0"/>
              <w:jc w:val="center"/>
              <w:rPr>
                <w:rFonts w:ascii="Arial" w:hAnsi="Arial" w:cs="Arial" w:eastAsia="Arial" w:hint="default"/>
                <w:sz w:val="18"/>
                <w:szCs w:val="18"/>
              </w:rPr>
            </w:pPr>
            <w:r>
              <w:rPr>
                <w:rFonts w:ascii="Arial"/>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99,481.18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Arial" w:hAnsi="Arial" w:cs="Arial" w:eastAsia="Arial" w:hint="default"/>
                <w:sz w:val="18"/>
                <w:szCs w:val="18"/>
              </w:rPr>
            </w:pPr>
            <w:r>
              <w:rPr>
                <w:rFonts w:ascii="Arial"/>
                <w:spacing w:val="-2"/>
                <w:sz w:val="18"/>
              </w:rPr>
              <w:t>251.11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7" w:right="0"/>
              <w:jc w:val="center"/>
              <w:rPr>
                <w:rFonts w:ascii="Arial" w:hAnsi="Arial" w:cs="Arial" w:eastAsia="Arial" w:hint="default"/>
                <w:sz w:val="18"/>
                <w:szCs w:val="18"/>
              </w:rPr>
            </w:pPr>
            <w:r>
              <w:rPr>
                <w:rFonts w:ascii="Arial"/>
                <w:sz w:val="18"/>
              </w:rPr>
              <w:t>101,661.55</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Arial" w:hAnsi="Arial" w:cs="Arial" w:eastAsia="Arial" w:hint="default"/>
                <w:sz w:val="18"/>
                <w:szCs w:val="18"/>
              </w:rPr>
            </w:pPr>
            <w:r>
              <w:rPr>
                <w:rFonts w:ascii="Arial"/>
                <w:sz w:val="18"/>
              </w:rPr>
              <w:t>--</w:t>
            </w:r>
          </w:p>
        </w:tc>
        <w:tc>
          <w:tcPr>
            <w:tcW w:w="6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5474" w:hRule="exact"/>
        </w:trPr>
        <w:tc>
          <w:tcPr>
            <w:tcW w:w="9563"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2" w:lineRule="auto" w:before="50"/>
              <w:ind w:left="22" w:right="22" w:firstLine="360"/>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Arial" w:hAnsi="Arial" w:cs="Arial" w:eastAsia="Arial" w:hint="default"/>
                <w:sz w:val="18"/>
                <w:szCs w:val="18"/>
              </w:rPr>
              <w:t>2018</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12</w:t>
            </w:r>
            <w:r>
              <w:rPr>
                <w:rFonts w:ascii="Arial" w:hAnsi="Arial" w:cs="Arial" w:eastAsia="Arial"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10"/>
                <w:sz w:val="18"/>
                <w:szCs w:val="18"/>
              </w:rPr>
              <w:t> </w:t>
            </w:r>
            <w:r>
              <w:rPr>
                <w:rFonts w:ascii="宋体" w:hAnsi="宋体" w:cs="宋体" w:eastAsia="宋体" w:hint="default"/>
                <w:sz w:val="18"/>
                <w:szCs w:val="18"/>
              </w:rPr>
              <w:t>日，公司共募集资金三次，其中两次尚在效益期内，募集资金总额为</w:t>
            </w:r>
            <w:r>
              <w:rPr>
                <w:rFonts w:ascii="宋体" w:hAnsi="宋体" w:cs="宋体" w:eastAsia="宋体" w:hint="default"/>
                <w:spacing w:val="-48"/>
                <w:sz w:val="18"/>
                <w:szCs w:val="18"/>
              </w:rPr>
              <w:t> </w:t>
            </w:r>
            <w:r>
              <w:rPr>
                <w:rFonts w:ascii="Arial" w:hAnsi="Arial" w:cs="Arial" w:eastAsia="Arial" w:hint="default"/>
                <w:sz w:val="18"/>
                <w:szCs w:val="18"/>
              </w:rPr>
              <w:t>99,481.18</w:t>
            </w:r>
            <w:r>
              <w:rPr>
                <w:rFonts w:ascii="Arial" w:hAnsi="Arial" w:cs="Arial" w:eastAsia="Arial" w:hint="default"/>
                <w:spacing w:val="-7"/>
                <w:sz w:val="18"/>
                <w:szCs w:val="18"/>
              </w:rPr>
              <w:t> </w:t>
            </w:r>
            <w:r>
              <w:rPr>
                <w:rFonts w:ascii="宋体" w:hAnsi="宋体" w:cs="宋体" w:eastAsia="宋体" w:hint="default"/>
                <w:sz w:val="18"/>
                <w:szCs w:val="18"/>
              </w:rPr>
              <w:t>万元，所产生 的利息（扣除银行手续费）</w:t>
            </w:r>
            <w:r>
              <w:rPr>
                <w:rFonts w:ascii="Arial" w:hAnsi="Arial" w:cs="Arial" w:eastAsia="Arial" w:hint="default"/>
                <w:sz w:val="18"/>
                <w:szCs w:val="18"/>
              </w:rPr>
              <w:t>2,180.37</w:t>
            </w:r>
            <w:r>
              <w:rPr>
                <w:rFonts w:ascii="Arial" w:hAnsi="Arial" w:cs="Arial" w:eastAsia="Arial" w:hint="default"/>
                <w:spacing w:val="-10"/>
                <w:sz w:val="18"/>
                <w:szCs w:val="18"/>
              </w:rPr>
              <w:t> </w:t>
            </w:r>
            <w:r>
              <w:rPr>
                <w:rFonts w:ascii="宋体" w:hAnsi="宋体" w:cs="宋体" w:eastAsia="宋体" w:hint="default"/>
                <w:sz w:val="18"/>
                <w:szCs w:val="18"/>
              </w:rPr>
              <w:t>万元，已累计投入</w:t>
            </w:r>
            <w:r>
              <w:rPr>
                <w:rFonts w:ascii="宋体" w:hAnsi="宋体" w:cs="宋体" w:eastAsia="宋体" w:hint="default"/>
                <w:spacing w:val="-50"/>
                <w:sz w:val="18"/>
                <w:szCs w:val="18"/>
              </w:rPr>
              <w:t> </w:t>
            </w:r>
            <w:r>
              <w:rPr>
                <w:rFonts w:ascii="Arial" w:hAnsi="Arial" w:cs="Arial" w:eastAsia="Arial" w:hint="default"/>
                <w:sz w:val="18"/>
                <w:szCs w:val="18"/>
              </w:rPr>
              <w:t>101,661.55</w:t>
            </w:r>
            <w:r>
              <w:rPr>
                <w:rFonts w:ascii="Arial" w:hAnsi="Arial" w:cs="Arial" w:eastAsia="Arial" w:hint="default"/>
                <w:spacing w:val="-10"/>
                <w:sz w:val="18"/>
                <w:szCs w:val="18"/>
              </w:rPr>
              <w:t> </w:t>
            </w:r>
            <w:r>
              <w:rPr>
                <w:rFonts w:ascii="宋体" w:hAnsi="宋体" w:cs="宋体" w:eastAsia="宋体" w:hint="default"/>
                <w:sz w:val="18"/>
                <w:szCs w:val="18"/>
              </w:rPr>
              <w:t>万元。</w:t>
            </w:r>
          </w:p>
          <w:p>
            <w:pPr>
              <w:pStyle w:val="TableParagraph"/>
              <w:spacing w:line="302" w:lineRule="auto" w:before="52"/>
              <w:ind w:left="22" w:right="22" w:firstLine="360"/>
              <w:jc w:val="both"/>
              <w:rPr>
                <w:rFonts w:ascii="Arial" w:hAnsi="Arial" w:cs="Arial" w:eastAsia="Arial" w:hint="default"/>
                <w:sz w:val="18"/>
                <w:szCs w:val="18"/>
              </w:rPr>
            </w:pPr>
            <w:r>
              <w:rPr>
                <w:rFonts w:ascii="Arial" w:hAnsi="Arial" w:cs="Arial" w:eastAsia="Arial" w:hint="default"/>
                <w:sz w:val="18"/>
                <w:szCs w:val="18"/>
              </w:rPr>
              <w:t>1</w:t>
            </w:r>
            <w:r>
              <w:rPr>
                <w:rFonts w:ascii="宋体" w:hAnsi="宋体" w:cs="宋体" w:eastAsia="宋体" w:hint="default"/>
                <w:sz w:val="18"/>
                <w:szCs w:val="18"/>
              </w:rPr>
              <w:t>、首次公开发行股份并在创业板上市的募集资金：经中国证券监督管理委员会证监许可</w:t>
            </w:r>
            <w:r>
              <w:rPr>
                <w:rFonts w:ascii="Arial" w:hAnsi="Arial" w:cs="Arial" w:eastAsia="Arial" w:hint="default"/>
                <w:sz w:val="18"/>
                <w:szCs w:val="18"/>
              </w:rPr>
              <w:t>[2011]1492</w:t>
            </w:r>
            <w:r>
              <w:rPr>
                <w:rFonts w:ascii="Arial" w:hAnsi="Arial" w:cs="Arial" w:eastAsia="Arial" w:hint="default"/>
                <w:spacing w:val="-18"/>
                <w:sz w:val="18"/>
                <w:szCs w:val="18"/>
              </w:rPr>
              <w:t> </w:t>
            </w:r>
            <w:r>
              <w:rPr>
                <w:rFonts w:ascii="宋体" w:hAnsi="宋体" w:cs="宋体" w:eastAsia="宋体" w:hint="default"/>
                <w:sz w:val="18"/>
                <w:szCs w:val="18"/>
              </w:rPr>
              <w:t>号文核准，公司 委托主承销商国信证劵股份有限公司（以下简称</w:t>
            </w:r>
            <w:r>
              <w:rPr>
                <w:rFonts w:ascii="Arial" w:hAnsi="Arial" w:cs="Arial" w:eastAsia="Arial" w:hint="default"/>
                <w:sz w:val="18"/>
                <w:szCs w:val="18"/>
              </w:rPr>
              <w:t>“</w:t>
            </w:r>
            <w:r>
              <w:rPr>
                <w:rFonts w:ascii="宋体" w:hAnsi="宋体" w:cs="宋体" w:eastAsia="宋体" w:hint="default"/>
                <w:sz w:val="18"/>
                <w:szCs w:val="18"/>
              </w:rPr>
              <w:t>国信证劵</w:t>
            </w:r>
            <w:r>
              <w:rPr>
                <w:rFonts w:ascii="Arial" w:hAnsi="Arial" w:cs="Arial" w:eastAsia="Arial" w:hint="default"/>
                <w:sz w:val="18"/>
                <w:szCs w:val="18"/>
              </w:rPr>
              <w:t>”</w:t>
            </w:r>
            <w:r>
              <w:rPr>
                <w:rFonts w:ascii="宋体" w:hAnsi="宋体" w:cs="宋体" w:eastAsia="宋体" w:hint="default"/>
                <w:sz w:val="18"/>
                <w:szCs w:val="18"/>
              </w:rPr>
              <w:t>）首次公开发行人民币普通股（</w:t>
            </w:r>
            <w:r>
              <w:rPr>
                <w:rFonts w:ascii="Arial" w:hAnsi="Arial" w:cs="Arial" w:eastAsia="Arial" w:hint="default"/>
                <w:sz w:val="18"/>
                <w:szCs w:val="18"/>
              </w:rPr>
              <w:t>A</w:t>
            </w:r>
            <w:r>
              <w:rPr>
                <w:rFonts w:ascii="Arial" w:hAnsi="Arial" w:cs="Arial" w:eastAsia="Arial" w:hint="default"/>
                <w:spacing w:val="-24"/>
                <w:sz w:val="18"/>
                <w:szCs w:val="18"/>
              </w:rPr>
              <w:t> </w:t>
            </w:r>
            <w:r>
              <w:rPr>
                <w:rFonts w:ascii="宋体" w:hAnsi="宋体" w:cs="宋体" w:eastAsia="宋体" w:hint="default"/>
                <w:sz w:val="18"/>
                <w:szCs w:val="18"/>
              </w:rPr>
              <w:t>股）</w:t>
            </w:r>
            <w:r>
              <w:rPr>
                <w:rFonts w:ascii="Arial" w:hAnsi="Arial" w:cs="Arial" w:eastAsia="Arial" w:hint="default"/>
                <w:sz w:val="18"/>
                <w:szCs w:val="18"/>
              </w:rPr>
              <w:t>1,850</w:t>
            </w:r>
            <w:r>
              <w:rPr>
                <w:rFonts w:ascii="Arial" w:hAnsi="Arial" w:cs="Arial" w:eastAsia="Arial" w:hint="default"/>
                <w:spacing w:val="-24"/>
                <w:sz w:val="18"/>
                <w:szCs w:val="18"/>
              </w:rPr>
              <w:t> </w:t>
            </w:r>
            <w:r>
              <w:rPr>
                <w:rFonts w:ascii="宋体" w:hAnsi="宋体" w:cs="宋体" w:eastAsia="宋体" w:hint="default"/>
                <w:sz w:val="18"/>
                <w:szCs w:val="18"/>
              </w:rPr>
              <w:t>万股（每股面值</w:t>
            </w:r>
            <w:r>
              <w:rPr>
                <w:rFonts w:ascii="宋体" w:hAnsi="宋体" w:cs="宋体" w:eastAsia="宋体" w:hint="default"/>
                <w:spacing w:val="-66"/>
                <w:sz w:val="18"/>
                <w:szCs w:val="18"/>
              </w:rPr>
              <w:t> </w:t>
            </w:r>
            <w:r>
              <w:rPr>
                <w:rFonts w:ascii="Arial" w:hAnsi="Arial" w:cs="Arial" w:eastAsia="Arial" w:hint="default"/>
                <w:sz w:val="18"/>
                <w:szCs w:val="18"/>
              </w:rPr>
              <w:t>1</w:t>
            </w:r>
            <w:r>
              <w:rPr>
                <w:rFonts w:ascii="Arial" w:hAnsi="Arial" w:cs="Arial" w:eastAsia="Arial" w:hint="default"/>
                <w:w w:val="99"/>
                <w:sz w:val="18"/>
                <w:szCs w:val="18"/>
              </w:rPr>
              <w:t> </w:t>
            </w:r>
            <w:r>
              <w:rPr>
                <w:rFonts w:ascii="宋体" w:hAnsi="宋体" w:cs="宋体" w:eastAsia="宋体" w:hint="default"/>
                <w:spacing w:val="-11"/>
                <w:sz w:val="18"/>
                <w:szCs w:val="18"/>
              </w:rPr>
              <w:t>元），每股发行价格为</w:t>
            </w:r>
            <w:r>
              <w:rPr>
                <w:rFonts w:ascii="宋体" w:hAnsi="宋体" w:cs="宋体" w:eastAsia="宋体" w:hint="default"/>
                <w:spacing w:val="-46"/>
                <w:sz w:val="18"/>
                <w:szCs w:val="18"/>
              </w:rPr>
              <w:t> </w:t>
            </w:r>
            <w:r>
              <w:rPr>
                <w:rFonts w:ascii="Arial" w:hAnsi="Arial" w:cs="Arial" w:eastAsia="Arial" w:hint="default"/>
                <w:spacing w:val="-1"/>
                <w:w w:val="99"/>
                <w:sz w:val="18"/>
                <w:szCs w:val="18"/>
              </w:rPr>
              <w:t>30.80</w:t>
            </w:r>
            <w:r>
              <w:rPr>
                <w:rFonts w:ascii="Arial" w:hAnsi="Arial" w:cs="Arial" w:eastAsia="Arial" w:hint="default"/>
                <w:spacing w:val="-2"/>
                <w:w w:val="99"/>
                <w:sz w:val="18"/>
                <w:szCs w:val="18"/>
              </w:rPr>
              <w:t> </w:t>
            </w:r>
            <w:r>
              <w:rPr>
                <w:rFonts w:ascii="宋体" w:hAnsi="宋体" w:cs="宋体" w:eastAsia="宋体" w:hint="default"/>
                <w:spacing w:val="-5"/>
                <w:sz w:val="18"/>
                <w:szCs w:val="18"/>
              </w:rPr>
              <w:t>元，截至</w:t>
            </w:r>
            <w:r>
              <w:rPr>
                <w:rFonts w:ascii="宋体" w:hAnsi="宋体" w:cs="宋体" w:eastAsia="宋体" w:hint="default"/>
                <w:spacing w:val="-44"/>
                <w:sz w:val="18"/>
                <w:szCs w:val="18"/>
              </w:rPr>
              <w:t> </w:t>
            </w:r>
            <w:r>
              <w:rPr>
                <w:rFonts w:ascii="Arial" w:hAnsi="Arial" w:cs="Arial" w:eastAsia="Arial" w:hint="default"/>
                <w:spacing w:val="-3"/>
                <w:w w:val="99"/>
                <w:sz w:val="18"/>
                <w:szCs w:val="18"/>
              </w:rPr>
              <w:t>2011</w:t>
            </w:r>
            <w:r>
              <w:rPr>
                <w:rFonts w:ascii="Arial" w:hAnsi="Arial" w:cs="Arial" w:eastAsia="Arial" w:hint="default"/>
                <w:spacing w:val="-8"/>
                <w:w w:val="99"/>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Arial" w:hAnsi="Arial" w:cs="Arial" w:eastAsia="Arial" w:hint="default"/>
                <w:w w:val="99"/>
                <w:sz w:val="18"/>
                <w:szCs w:val="18"/>
              </w:rPr>
              <w:t>10</w:t>
            </w:r>
            <w:r>
              <w:rPr>
                <w:rFonts w:ascii="Arial" w:hAnsi="Arial" w:cs="Arial" w:eastAsia="Arial" w:hint="default"/>
                <w:spacing w:val="-6"/>
                <w:w w:val="99"/>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Arial" w:hAnsi="Arial" w:cs="Arial" w:eastAsia="Arial" w:hint="default"/>
                <w:w w:val="99"/>
                <w:sz w:val="18"/>
                <w:szCs w:val="18"/>
              </w:rPr>
              <w:t>13</w:t>
            </w:r>
            <w:r>
              <w:rPr>
                <w:rFonts w:ascii="Arial" w:hAnsi="Arial" w:cs="Arial" w:eastAsia="Arial" w:hint="default"/>
                <w:spacing w:val="-6"/>
                <w:w w:val="99"/>
                <w:sz w:val="18"/>
                <w:szCs w:val="18"/>
              </w:rPr>
              <w:t> </w:t>
            </w:r>
            <w:r>
              <w:rPr>
                <w:rFonts w:ascii="宋体" w:hAnsi="宋体" w:cs="宋体" w:eastAsia="宋体" w:hint="default"/>
                <w:spacing w:val="-2"/>
                <w:sz w:val="18"/>
                <w:szCs w:val="18"/>
              </w:rPr>
              <w:t>日，本公司共募集资金</w:t>
            </w:r>
            <w:r>
              <w:rPr>
                <w:rFonts w:ascii="宋体" w:hAnsi="宋体" w:cs="宋体" w:eastAsia="宋体" w:hint="default"/>
                <w:spacing w:val="-44"/>
                <w:sz w:val="18"/>
                <w:szCs w:val="18"/>
              </w:rPr>
              <w:t> </w:t>
            </w:r>
            <w:r>
              <w:rPr>
                <w:rFonts w:ascii="Arial" w:hAnsi="Arial" w:cs="Arial" w:eastAsia="Arial" w:hint="default"/>
                <w:spacing w:val="-1"/>
                <w:w w:val="99"/>
                <w:sz w:val="18"/>
                <w:szCs w:val="18"/>
              </w:rPr>
              <w:t>52,880.00</w:t>
            </w:r>
            <w:r>
              <w:rPr>
                <w:rFonts w:ascii="Arial" w:hAnsi="Arial" w:cs="Arial" w:eastAsia="Arial" w:hint="default"/>
                <w:spacing w:val="-6"/>
                <w:w w:val="99"/>
                <w:sz w:val="18"/>
                <w:szCs w:val="18"/>
              </w:rPr>
              <w:t> </w:t>
            </w:r>
            <w:r>
              <w:rPr>
                <w:rFonts w:ascii="宋体" w:hAnsi="宋体" w:cs="宋体" w:eastAsia="宋体" w:hint="default"/>
                <w:spacing w:val="-2"/>
                <w:sz w:val="18"/>
                <w:szCs w:val="18"/>
              </w:rPr>
              <w:t>万元（已扣除券商费用</w:t>
            </w:r>
            <w:r>
              <w:rPr>
                <w:rFonts w:ascii="宋体" w:hAnsi="宋体" w:cs="宋体" w:eastAsia="宋体" w:hint="default"/>
                <w:spacing w:val="-44"/>
                <w:sz w:val="18"/>
                <w:szCs w:val="18"/>
              </w:rPr>
              <w:t> </w:t>
            </w:r>
            <w:r>
              <w:rPr>
                <w:rFonts w:ascii="Arial" w:hAnsi="Arial" w:cs="Arial" w:eastAsia="Arial" w:hint="default"/>
                <w:spacing w:val="-1"/>
                <w:w w:val="99"/>
                <w:sz w:val="18"/>
                <w:szCs w:val="18"/>
              </w:rPr>
              <w:t>4100.00</w:t>
            </w:r>
            <w:r>
              <w:rPr>
                <w:rFonts w:ascii="Arial" w:hAnsi="Arial" w:cs="Arial" w:eastAsia="Arial" w:hint="default"/>
                <w:spacing w:val="-1"/>
                <w:sz w:val="18"/>
                <w:szCs w:val="18"/>
              </w:rPr>
            </w:r>
          </w:p>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pacing w:val="-89"/>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扣除发行费用</w:t>
            </w:r>
            <w:r>
              <w:rPr>
                <w:rFonts w:ascii="宋体" w:hAnsi="宋体" w:cs="宋体" w:eastAsia="宋体" w:hint="default"/>
                <w:spacing w:val="-45"/>
                <w:sz w:val="18"/>
                <w:szCs w:val="18"/>
              </w:rPr>
              <w:t> </w:t>
            </w:r>
            <w:r>
              <w:rPr>
                <w:rFonts w:ascii="Arial" w:hAnsi="Arial" w:cs="Arial" w:eastAsia="Arial" w:hint="default"/>
                <w:w w:val="99"/>
                <w:sz w:val="18"/>
                <w:szCs w:val="18"/>
              </w:rPr>
              <w:t>1</w:t>
            </w:r>
            <w:r>
              <w:rPr>
                <w:rFonts w:ascii="Arial" w:hAnsi="Arial" w:cs="Arial" w:eastAsia="Arial" w:hint="default"/>
                <w:w w:val="99"/>
                <w:sz w:val="18"/>
                <w:szCs w:val="18"/>
              </w:rPr>
              <w:t>,</w:t>
            </w:r>
            <w:r>
              <w:rPr>
                <w:rFonts w:ascii="Arial" w:hAnsi="Arial" w:cs="Arial" w:eastAsia="Arial" w:hint="default"/>
                <w:spacing w:val="-2"/>
                <w:w w:val="99"/>
                <w:sz w:val="18"/>
                <w:szCs w:val="18"/>
              </w:rPr>
              <w:t>3</w:t>
            </w:r>
            <w:r>
              <w:rPr>
                <w:rFonts w:ascii="Arial" w:hAnsi="Arial" w:cs="Arial" w:eastAsia="Arial" w:hint="default"/>
                <w:w w:val="99"/>
                <w:sz w:val="18"/>
                <w:szCs w:val="18"/>
              </w:rPr>
              <w:t>98</w:t>
            </w:r>
            <w:r>
              <w:rPr>
                <w:rFonts w:ascii="Arial" w:hAnsi="Arial" w:cs="Arial" w:eastAsia="Arial" w:hint="default"/>
                <w:w w:val="99"/>
                <w:sz w:val="18"/>
                <w:szCs w:val="18"/>
              </w:rPr>
              <w:t>.</w:t>
            </w:r>
            <w:r>
              <w:rPr>
                <w:rFonts w:ascii="Arial" w:hAnsi="Arial" w:cs="Arial" w:eastAsia="Arial" w:hint="default"/>
                <w:spacing w:val="-2"/>
                <w:w w:val="99"/>
                <w:sz w:val="18"/>
                <w:szCs w:val="18"/>
              </w:rPr>
              <w:t>8</w:t>
            </w:r>
            <w:r>
              <w:rPr>
                <w:rFonts w:ascii="Arial" w:hAnsi="Arial" w:cs="Arial" w:eastAsia="Arial" w:hint="default"/>
                <w:w w:val="99"/>
                <w:sz w:val="18"/>
                <w:szCs w:val="18"/>
              </w:rPr>
              <w:t>2</w:t>
            </w:r>
            <w:r>
              <w:rPr>
                <w:rFonts w:ascii="Arial" w:hAnsi="Arial" w:cs="Arial" w:eastAsia="Arial" w:hint="default"/>
                <w:spacing w:val="-7"/>
                <w:sz w:val="18"/>
                <w:szCs w:val="18"/>
              </w:rPr>
              <w:t> </w:t>
            </w:r>
            <w:r>
              <w:rPr>
                <w:rFonts w:ascii="宋体" w:hAnsi="宋体" w:cs="宋体" w:eastAsia="宋体" w:hint="default"/>
                <w:sz w:val="18"/>
                <w:szCs w:val="18"/>
              </w:rPr>
              <w:t>万元后，募集资金净额为</w:t>
            </w:r>
            <w:r>
              <w:rPr>
                <w:rFonts w:ascii="宋体" w:hAnsi="宋体" w:cs="宋体" w:eastAsia="宋体" w:hint="default"/>
                <w:spacing w:val="-47"/>
                <w:sz w:val="18"/>
                <w:szCs w:val="18"/>
              </w:rPr>
              <w:t> </w:t>
            </w:r>
            <w:r>
              <w:rPr>
                <w:rFonts w:ascii="Arial" w:hAnsi="Arial" w:cs="Arial" w:eastAsia="Arial" w:hint="default"/>
                <w:w w:val="99"/>
                <w:sz w:val="18"/>
                <w:szCs w:val="18"/>
              </w:rPr>
              <w:t>51</w:t>
            </w:r>
            <w:r>
              <w:rPr>
                <w:rFonts w:ascii="Arial" w:hAnsi="Arial" w:cs="Arial" w:eastAsia="Arial" w:hint="default"/>
                <w:w w:val="99"/>
                <w:sz w:val="18"/>
                <w:szCs w:val="18"/>
              </w:rPr>
              <w:t>,</w:t>
            </w:r>
            <w:r>
              <w:rPr>
                <w:rFonts w:ascii="Arial" w:hAnsi="Arial" w:cs="Arial" w:eastAsia="Arial" w:hint="default"/>
                <w:spacing w:val="-2"/>
                <w:w w:val="99"/>
                <w:sz w:val="18"/>
                <w:szCs w:val="18"/>
              </w:rPr>
              <w:t>4</w:t>
            </w:r>
            <w:r>
              <w:rPr>
                <w:rFonts w:ascii="Arial" w:hAnsi="Arial" w:cs="Arial" w:eastAsia="Arial" w:hint="default"/>
                <w:w w:val="99"/>
                <w:sz w:val="18"/>
                <w:szCs w:val="18"/>
              </w:rPr>
              <w:t>81</w:t>
            </w:r>
            <w:r>
              <w:rPr>
                <w:rFonts w:ascii="Arial" w:hAnsi="Arial" w:cs="Arial" w:eastAsia="Arial" w:hint="default"/>
                <w:w w:val="99"/>
                <w:sz w:val="18"/>
                <w:szCs w:val="18"/>
              </w:rPr>
              <w:t>.</w:t>
            </w:r>
            <w:r>
              <w:rPr>
                <w:rFonts w:ascii="Arial" w:hAnsi="Arial" w:cs="Arial" w:eastAsia="Arial" w:hint="default"/>
                <w:spacing w:val="-2"/>
                <w:w w:val="99"/>
                <w:sz w:val="18"/>
                <w:szCs w:val="18"/>
              </w:rPr>
              <w:t>1</w:t>
            </w:r>
            <w:r>
              <w:rPr>
                <w:rFonts w:ascii="Arial" w:hAnsi="Arial" w:cs="Arial" w:eastAsia="Arial" w:hint="default"/>
                <w:w w:val="99"/>
                <w:sz w:val="18"/>
                <w:szCs w:val="18"/>
              </w:rPr>
              <w:t>8</w:t>
            </w:r>
            <w:r>
              <w:rPr>
                <w:rFonts w:ascii="Arial" w:hAnsi="Arial" w:cs="Arial" w:eastAsia="Arial" w:hint="default"/>
                <w:spacing w:val="-4"/>
                <w:sz w:val="18"/>
                <w:szCs w:val="18"/>
              </w:rPr>
              <w:t> </w:t>
            </w:r>
            <w:r>
              <w:rPr>
                <w:rFonts w:ascii="宋体" w:hAnsi="宋体" w:cs="宋体" w:eastAsia="宋体" w:hint="default"/>
                <w:sz w:val="18"/>
                <w:szCs w:val="18"/>
              </w:rPr>
              <w:t>万元</w:t>
            </w:r>
            <w:r>
              <w:rPr>
                <w:rFonts w:ascii="宋体" w:hAnsi="宋体" w:cs="宋体" w:eastAsia="宋体" w:hint="default"/>
                <w:spacing w:val="-3"/>
                <w:sz w:val="18"/>
                <w:szCs w:val="18"/>
              </w:rPr>
              <w:t>。</w:t>
            </w:r>
            <w:r>
              <w:rPr>
                <w:rFonts w:ascii="宋体" w:hAnsi="宋体" w:cs="宋体" w:eastAsia="宋体" w:hint="default"/>
                <w:sz w:val="18"/>
                <w:szCs w:val="18"/>
              </w:rPr>
              <w:t>该募集资金到位情况已经兴华会计师事务所有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限责任公司审验</w:t>
            </w:r>
            <w:r>
              <w:rPr>
                <w:rFonts w:ascii="宋体" w:hAnsi="宋体" w:cs="宋体" w:eastAsia="宋体" w:hint="default"/>
                <w:spacing w:val="-10"/>
                <w:sz w:val="18"/>
                <w:szCs w:val="18"/>
              </w:rPr>
              <w:t>，</w:t>
            </w:r>
            <w:r>
              <w:rPr>
                <w:rFonts w:ascii="宋体" w:hAnsi="宋体" w:cs="宋体" w:eastAsia="宋体" w:hint="default"/>
                <w:sz w:val="18"/>
                <w:szCs w:val="18"/>
              </w:rPr>
              <w:t>并于</w:t>
            </w:r>
            <w:r>
              <w:rPr>
                <w:rFonts w:ascii="宋体" w:hAnsi="宋体" w:cs="宋体" w:eastAsia="宋体" w:hint="default"/>
                <w:spacing w:val="-45"/>
                <w:sz w:val="18"/>
                <w:szCs w:val="18"/>
              </w:rPr>
              <w:t> </w:t>
            </w:r>
            <w:r>
              <w:rPr>
                <w:rFonts w:ascii="Arial" w:hAnsi="Arial" w:cs="Arial" w:eastAsia="Arial" w:hint="default"/>
                <w:w w:val="99"/>
                <w:sz w:val="18"/>
                <w:szCs w:val="18"/>
              </w:rPr>
              <w:t>20</w:t>
            </w:r>
            <w:r>
              <w:rPr>
                <w:rFonts w:ascii="Arial" w:hAnsi="Arial" w:cs="Arial" w:eastAsia="Arial" w:hint="default"/>
                <w:spacing w:val="-12"/>
                <w:w w:val="99"/>
                <w:sz w:val="18"/>
                <w:szCs w:val="18"/>
              </w:rPr>
              <w:t>1</w:t>
            </w:r>
            <w:r>
              <w:rPr>
                <w:rFonts w:ascii="Arial" w:hAnsi="Arial" w:cs="Arial" w:eastAsia="Arial" w:hint="default"/>
                <w:w w:val="99"/>
                <w:sz w:val="18"/>
                <w:szCs w:val="18"/>
              </w:rPr>
              <w:t>1</w:t>
            </w:r>
            <w:r>
              <w:rPr>
                <w:rFonts w:ascii="Arial" w:hAnsi="Arial" w:cs="Arial" w:eastAsia="Arial"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w w:val="99"/>
                <w:sz w:val="18"/>
                <w:szCs w:val="18"/>
              </w:rPr>
              <w:t>10</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w w:val="99"/>
                <w:sz w:val="18"/>
                <w:szCs w:val="18"/>
              </w:rPr>
              <w:t>31</w:t>
            </w:r>
            <w:r>
              <w:rPr>
                <w:rFonts w:ascii="Arial" w:hAnsi="Arial" w:cs="Arial" w:eastAsia="Arial" w:hint="default"/>
                <w:spacing w:val="-7"/>
                <w:sz w:val="18"/>
                <w:szCs w:val="18"/>
              </w:rPr>
              <w:t> </w:t>
            </w:r>
            <w:r>
              <w:rPr>
                <w:rFonts w:ascii="宋体" w:hAnsi="宋体" w:cs="宋体" w:eastAsia="宋体" w:hint="default"/>
                <w:sz w:val="18"/>
                <w:szCs w:val="18"/>
              </w:rPr>
              <w:t>日出具</w:t>
            </w:r>
            <w:r>
              <w:rPr>
                <w:rFonts w:ascii="宋体" w:hAnsi="宋体" w:cs="宋体" w:eastAsia="宋体" w:hint="default"/>
                <w:spacing w:val="-10"/>
                <w:sz w:val="18"/>
                <w:szCs w:val="18"/>
              </w:rPr>
              <w:t>了</w:t>
            </w:r>
            <w:r>
              <w:rPr>
                <w:rFonts w:ascii="宋体" w:hAnsi="宋体" w:cs="宋体" w:eastAsia="宋体" w:hint="default"/>
                <w:sz w:val="18"/>
                <w:szCs w:val="18"/>
              </w:rPr>
              <w:t>（</w:t>
            </w:r>
            <w:r>
              <w:rPr>
                <w:rFonts w:ascii="Arial" w:hAnsi="Arial" w:cs="Arial" w:eastAsia="Arial" w:hint="default"/>
                <w:w w:val="99"/>
                <w:sz w:val="18"/>
                <w:szCs w:val="18"/>
              </w:rPr>
              <w:t>20</w:t>
            </w:r>
            <w:r>
              <w:rPr>
                <w:rFonts w:ascii="Arial" w:hAnsi="Arial" w:cs="Arial" w:eastAsia="Arial" w:hint="default"/>
                <w:spacing w:val="-12"/>
                <w:w w:val="99"/>
                <w:sz w:val="18"/>
                <w:szCs w:val="18"/>
              </w:rPr>
              <w:t>1</w:t>
            </w:r>
            <w:r>
              <w:rPr>
                <w:rFonts w:ascii="Arial" w:hAnsi="Arial" w:cs="Arial" w:eastAsia="Arial" w:hint="default"/>
                <w:spacing w:val="-5"/>
                <w:w w:val="99"/>
                <w:sz w:val="18"/>
                <w:szCs w:val="18"/>
              </w:rPr>
              <w:t>1</w:t>
            </w:r>
            <w:r>
              <w:rPr>
                <w:rFonts w:ascii="宋体" w:hAnsi="宋体" w:cs="宋体" w:eastAsia="宋体" w:hint="default"/>
                <w:spacing w:val="-8"/>
                <w:sz w:val="18"/>
                <w:szCs w:val="18"/>
              </w:rPr>
              <w:t>）</w:t>
            </w:r>
            <w:r>
              <w:rPr>
                <w:rFonts w:ascii="宋体" w:hAnsi="宋体" w:cs="宋体" w:eastAsia="宋体" w:hint="default"/>
                <w:sz w:val="18"/>
                <w:szCs w:val="18"/>
              </w:rPr>
              <w:t>京会</w:t>
            </w:r>
            <w:r>
              <w:rPr>
                <w:rFonts w:ascii="宋体" w:hAnsi="宋体" w:cs="宋体" w:eastAsia="宋体" w:hint="default"/>
                <w:spacing w:val="-10"/>
                <w:sz w:val="18"/>
                <w:szCs w:val="18"/>
              </w:rPr>
              <w:t>兴</w:t>
            </w:r>
            <w:r>
              <w:rPr>
                <w:rFonts w:ascii="宋体" w:hAnsi="宋体" w:cs="宋体" w:eastAsia="宋体" w:hint="default"/>
                <w:sz w:val="18"/>
                <w:szCs w:val="18"/>
              </w:rPr>
              <w:t>（验</w:t>
            </w:r>
            <w:r>
              <w:rPr>
                <w:rFonts w:ascii="宋体" w:hAnsi="宋体" w:cs="宋体" w:eastAsia="宋体" w:hint="default"/>
                <w:spacing w:val="-10"/>
                <w:sz w:val="18"/>
                <w:szCs w:val="18"/>
              </w:rPr>
              <w:t>）</w:t>
            </w:r>
            <w:r>
              <w:rPr>
                <w:rFonts w:ascii="宋体" w:hAnsi="宋体" w:cs="宋体" w:eastAsia="宋体" w:hint="default"/>
                <w:sz w:val="18"/>
                <w:szCs w:val="18"/>
              </w:rPr>
              <w:t>字第</w:t>
            </w:r>
            <w:r>
              <w:rPr>
                <w:rFonts w:ascii="宋体" w:hAnsi="宋体" w:cs="宋体" w:eastAsia="宋体" w:hint="default"/>
                <w:spacing w:val="-45"/>
                <w:sz w:val="18"/>
                <w:szCs w:val="18"/>
              </w:rPr>
              <w:t> </w:t>
            </w:r>
            <w:r>
              <w:rPr>
                <w:rFonts w:ascii="Arial" w:hAnsi="Arial" w:cs="Arial" w:eastAsia="Arial" w:hint="default"/>
                <w:w w:val="99"/>
                <w:sz w:val="18"/>
                <w:szCs w:val="18"/>
              </w:rPr>
              <w:t>7</w:t>
            </w:r>
            <w:r>
              <w:rPr>
                <w:rFonts w:ascii="Arial" w:hAnsi="Arial" w:cs="Arial" w:eastAsia="Arial" w:hint="default"/>
                <w:w w:val="99"/>
                <w:sz w:val="18"/>
                <w:szCs w:val="18"/>
              </w:rPr>
              <w:t>-</w:t>
            </w:r>
            <w:r>
              <w:rPr>
                <w:rFonts w:ascii="Arial" w:hAnsi="Arial" w:cs="Arial" w:eastAsia="Arial" w:hint="default"/>
                <w:w w:val="99"/>
                <w:sz w:val="18"/>
                <w:szCs w:val="18"/>
              </w:rPr>
              <w:t>0</w:t>
            </w:r>
            <w:r>
              <w:rPr>
                <w:rFonts w:ascii="Arial" w:hAnsi="Arial" w:cs="Arial" w:eastAsia="Arial" w:hint="default"/>
                <w:spacing w:val="-2"/>
                <w:w w:val="99"/>
                <w:sz w:val="18"/>
                <w:szCs w:val="18"/>
              </w:rPr>
              <w:t>1</w:t>
            </w:r>
            <w:r>
              <w:rPr>
                <w:rFonts w:ascii="Arial" w:hAnsi="Arial" w:cs="Arial" w:eastAsia="Arial" w:hint="default"/>
                <w:w w:val="99"/>
                <w:sz w:val="18"/>
                <w:szCs w:val="18"/>
              </w:rPr>
              <w:t>7</w:t>
            </w:r>
            <w:r>
              <w:rPr>
                <w:rFonts w:ascii="Arial" w:hAnsi="Arial" w:cs="Arial" w:eastAsia="Arial" w:hint="default"/>
                <w:sz w:val="18"/>
                <w:szCs w:val="18"/>
              </w:rPr>
              <w:t> </w:t>
            </w:r>
            <w:r>
              <w:rPr>
                <w:rFonts w:ascii="Arial" w:hAnsi="Arial" w:cs="Arial" w:eastAsia="Arial" w:hint="default"/>
                <w:spacing w:val="-11"/>
                <w:sz w:val="18"/>
                <w:szCs w:val="18"/>
              </w:rPr>
              <w:t> </w:t>
            </w:r>
            <w:r>
              <w:rPr>
                <w:rFonts w:ascii="宋体" w:hAnsi="宋体" w:cs="宋体" w:eastAsia="宋体" w:hint="default"/>
                <w:spacing w:val="-10"/>
                <w:sz w:val="18"/>
                <w:szCs w:val="18"/>
              </w:rPr>
              <w:t>号</w:t>
            </w:r>
            <w:r>
              <w:rPr>
                <w:rFonts w:ascii="宋体" w:hAnsi="宋体" w:cs="宋体" w:eastAsia="宋体" w:hint="default"/>
                <w:sz w:val="18"/>
                <w:szCs w:val="18"/>
              </w:rPr>
              <w:t>《验资报告</w:t>
            </w:r>
            <w:r>
              <w:rPr>
                <w:rFonts w:ascii="宋体" w:hAnsi="宋体" w:cs="宋体" w:eastAsia="宋体" w:hint="default"/>
                <w:spacing w:val="-89"/>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Arial" w:hAnsi="Arial" w:cs="Arial" w:eastAsia="Arial" w:hint="default"/>
                <w:w w:val="99"/>
                <w:sz w:val="18"/>
                <w:szCs w:val="18"/>
              </w:rPr>
              <w:t>20</w:t>
            </w:r>
            <w:r>
              <w:rPr>
                <w:rFonts w:ascii="Arial" w:hAnsi="Arial" w:cs="Arial" w:eastAsia="Arial" w:hint="default"/>
                <w:spacing w:val="-2"/>
                <w:w w:val="99"/>
                <w:sz w:val="18"/>
                <w:szCs w:val="18"/>
              </w:rPr>
              <w:t>1</w:t>
            </w:r>
            <w:r>
              <w:rPr>
                <w:rFonts w:ascii="Arial" w:hAnsi="Arial" w:cs="Arial" w:eastAsia="Arial" w:hint="default"/>
                <w:w w:val="99"/>
                <w:sz w:val="18"/>
                <w:szCs w:val="18"/>
              </w:rPr>
              <w:t>6</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w w:val="99"/>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月</w:t>
            </w:r>
          </w:p>
          <w:p>
            <w:pPr>
              <w:pStyle w:val="TableParagraph"/>
              <w:spacing w:line="302" w:lineRule="auto" w:before="63"/>
              <w:ind w:left="22" w:right="41"/>
              <w:jc w:val="left"/>
              <w:rPr>
                <w:rFonts w:ascii="宋体" w:hAnsi="宋体" w:cs="宋体" w:eastAsia="宋体" w:hint="default"/>
                <w:sz w:val="18"/>
                <w:szCs w:val="18"/>
              </w:rPr>
            </w:pPr>
            <w:r>
              <w:rPr>
                <w:rFonts w:ascii="Arial" w:hAnsi="Arial" w:cs="Arial" w:eastAsia="Arial" w:hint="default"/>
                <w:sz w:val="18"/>
                <w:szCs w:val="18"/>
              </w:rPr>
              <w:t>31</w:t>
            </w:r>
            <w:r>
              <w:rPr>
                <w:rFonts w:ascii="Arial" w:hAnsi="Arial" w:cs="Arial" w:eastAsia="Arial" w:hint="default"/>
                <w:spacing w:val="-9"/>
                <w:sz w:val="18"/>
                <w:szCs w:val="18"/>
              </w:rPr>
              <w:t> </w:t>
            </w:r>
            <w:r>
              <w:rPr>
                <w:rFonts w:ascii="宋体" w:hAnsi="宋体" w:cs="宋体" w:eastAsia="宋体" w:hint="default"/>
                <w:sz w:val="18"/>
                <w:szCs w:val="18"/>
              </w:rPr>
              <w:t>日，该次募集资金累计投入金额为</w:t>
            </w:r>
            <w:r>
              <w:rPr>
                <w:rFonts w:ascii="宋体" w:hAnsi="宋体" w:cs="宋体" w:eastAsia="宋体" w:hint="default"/>
                <w:spacing w:val="-47"/>
                <w:sz w:val="18"/>
                <w:szCs w:val="18"/>
              </w:rPr>
              <w:t> </w:t>
            </w:r>
            <w:r>
              <w:rPr>
                <w:rFonts w:ascii="Arial" w:hAnsi="Arial" w:cs="Arial" w:eastAsia="Arial" w:hint="default"/>
                <w:sz w:val="18"/>
                <w:szCs w:val="18"/>
              </w:rPr>
              <w:t>53,638.72</w:t>
            </w:r>
            <w:r>
              <w:rPr>
                <w:rFonts w:ascii="Arial" w:hAnsi="Arial" w:cs="Arial" w:eastAsia="Arial" w:hint="default"/>
                <w:spacing w:val="-9"/>
                <w:sz w:val="18"/>
                <w:szCs w:val="18"/>
              </w:rPr>
              <w:t> </w:t>
            </w:r>
            <w:r>
              <w:rPr>
                <w:rFonts w:ascii="宋体" w:hAnsi="宋体" w:cs="宋体" w:eastAsia="宋体" w:hint="default"/>
                <w:sz w:val="18"/>
                <w:szCs w:val="18"/>
              </w:rPr>
              <w:t>万元，超出募集资金的</w:t>
            </w:r>
            <w:r>
              <w:rPr>
                <w:rFonts w:ascii="宋体" w:hAnsi="宋体" w:cs="宋体" w:eastAsia="宋体" w:hint="default"/>
                <w:spacing w:val="-47"/>
                <w:sz w:val="18"/>
                <w:szCs w:val="18"/>
              </w:rPr>
              <w:t> </w:t>
            </w:r>
            <w:r>
              <w:rPr>
                <w:rFonts w:ascii="Arial" w:hAnsi="Arial" w:cs="Arial" w:eastAsia="Arial" w:hint="default"/>
                <w:sz w:val="18"/>
                <w:szCs w:val="18"/>
              </w:rPr>
              <w:t>2,157.54</w:t>
            </w:r>
            <w:r>
              <w:rPr>
                <w:rFonts w:ascii="Arial" w:hAnsi="Arial" w:cs="Arial" w:eastAsia="Arial" w:hint="default"/>
                <w:spacing w:val="-9"/>
                <w:sz w:val="18"/>
                <w:szCs w:val="18"/>
              </w:rPr>
              <w:t> </w:t>
            </w:r>
            <w:r>
              <w:rPr>
                <w:rFonts w:ascii="宋体" w:hAnsi="宋体" w:cs="宋体" w:eastAsia="宋体" w:hint="default"/>
                <w:sz w:val="18"/>
                <w:szCs w:val="18"/>
              </w:rPr>
              <w:t>万元为募集资金所产生的利息（扣除银 </w:t>
            </w:r>
            <w:r>
              <w:rPr>
                <w:rFonts w:ascii="宋体" w:hAnsi="宋体" w:cs="宋体" w:eastAsia="宋体" w:hint="default"/>
                <w:spacing w:val="-5"/>
                <w:sz w:val="18"/>
                <w:szCs w:val="18"/>
              </w:rPr>
              <w:t>行手续费），该次募集资金已全部使用完毕。</w:t>
            </w:r>
          </w:p>
          <w:p>
            <w:pPr>
              <w:pStyle w:val="TableParagraph"/>
              <w:spacing w:line="302" w:lineRule="auto" w:before="70"/>
              <w:ind w:left="22" w:right="22" w:firstLine="360"/>
              <w:jc w:val="both"/>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、经中国证券监督管理委员会《关于核准北京华宇软件股份有限公司向任刚等发行股份购买资产并募集配套资金的 </w:t>
            </w:r>
            <w:r>
              <w:rPr>
                <w:rFonts w:ascii="宋体" w:hAnsi="宋体" w:cs="宋体" w:eastAsia="宋体" w:hint="default"/>
                <w:spacing w:val="-8"/>
                <w:w w:val="99"/>
                <w:sz w:val="18"/>
                <w:szCs w:val="18"/>
              </w:rPr>
              <w:t>批复》（证监许可〔</w:t>
            </w:r>
            <w:r>
              <w:rPr>
                <w:rFonts w:ascii="Arial" w:hAnsi="Arial" w:cs="Arial" w:eastAsia="Arial" w:hint="default"/>
                <w:spacing w:val="-8"/>
                <w:w w:val="99"/>
                <w:sz w:val="18"/>
                <w:szCs w:val="18"/>
              </w:rPr>
              <w:t>2017</w:t>
            </w:r>
            <w:r>
              <w:rPr>
                <w:rFonts w:ascii="宋体" w:hAnsi="宋体" w:cs="宋体" w:eastAsia="宋体" w:hint="default"/>
                <w:spacing w:val="-8"/>
                <w:w w:val="99"/>
                <w:sz w:val="18"/>
                <w:szCs w:val="18"/>
              </w:rPr>
              <w:t>〕</w:t>
            </w:r>
            <w:r>
              <w:rPr>
                <w:rFonts w:ascii="Arial" w:hAnsi="Arial" w:cs="Arial" w:eastAsia="Arial" w:hint="default"/>
                <w:spacing w:val="-8"/>
                <w:w w:val="99"/>
                <w:sz w:val="18"/>
                <w:szCs w:val="18"/>
              </w:rPr>
              <w:t>1395</w:t>
            </w:r>
            <w:r>
              <w:rPr>
                <w:rFonts w:ascii="Arial" w:hAnsi="Arial" w:cs="Arial" w:eastAsia="Arial" w:hint="default"/>
                <w:w w:val="99"/>
                <w:sz w:val="18"/>
                <w:szCs w:val="18"/>
              </w:rPr>
              <w:t> </w:t>
            </w:r>
            <w:r>
              <w:rPr>
                <w:rFonts w:ascii="宋体" w:hAnsi="宋体" w:cs="宋体" w:eastAsia="宋体" w:hint="default"/>
                <w:spacing w:val="-1"/>
                <w:sz w:val="18"/>
                <w:szCs w:val="18"/>
              </w:rPr>
              <w:t>号）文件核准，并经深圳证券交易所同意，公司非公开发行新股募集本次发行股份购买资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产的配套资金，确认募集资金不超过</w:t>
            </w:r>
            <w:r>
              <w:rPr>
                <w:rFonts w:ascii="宋体" w:hAnsi="宋体" w:cs="宋体" w:eastAsia="宋体" w:hint="default"/>
                <w:spacing w:val="-47"/>
                <w:sz w:val="18"/>
                <w:szCs w:val="18"/>
              </w:rPr>
              <w:t> </w:t>
            </w:r>
            <w:r>
              <w:rPr>
                <w:rFonts w:ascii="Arial" w:hAnsi="Arial" w:cs="Arial" w:eastAsia="Arial" w:hint="default"/>
                <w:sz w:val="18"/>
                <w:szCs w:val="18"/>
              </w:rPr>
              <w:t>49,000.00</w:t>
            </w:r>
            <w:r>
              <w:rPr>
                <w:rFonts w:ascii="Arial" w:hAnsi="Arial" w:cs="Arial" w:eastAsia="Arial" w:hint="default"/>
                <w:spacing w:val="-9"/>
                <w:sz w:val="18"/>
                <w:szCs w:val="18"/>
              </w:rPr>
              <w:t> </w:t>
            </w:r>
            <w:r>
              <w:rPr>
                <w:rFonts w:ascii="宋体" w:hAnsi="宋体" w:cs="宋体" w:eastAsia="宋体" w:hint="default"/>
                <w:sz w:val="18"/>
                <w:szCs w:val="18"/>
              </w:rPr>
              <w:t>万元，公司于</w:t>
            </w:r>
            <w:r>
              <w:rPr>
                <w:rFonts w:ascii="宋体" w:hAnsi="宋体" w:cs="宋体" w:eastAsia="宋体" w:hint="default"/>
                <w:spacing w:val="-47"/>
                <w:sz w:val="18"/>
                <w:szCs w:val="18"/>
              </w:rPr>
              <w:t> </w:t>
            </w: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Arial" w:hAnsi="Arial" w:cs="Arial" w:eastAsia="Arial" w:hint="default"/>
                <w:sz w:val="18"/>
                <w:szCs w:val="18"/>
              </w:rPr>
              <w:t>9</w:t>
            </w:r>
            <w:r>
              <w:rPr>
                <w:rFonts w:ascii="Arial" w:hAnsi="Arial" w:cs="Arial" w:eastAsia="Arial" w:hint="default"/>
                <w:spacing w:val="-6"/>
                <w:sz w:val="18"/>
                <w:szCs w:val="18"/>
              </w:rPr>
              <w:t> </w:t>
            </w:r>
            <w:r>
              <w:rPr>
                <w:rFonts w:ascii="宋体" w:hAnsi="宋体" w:cs="宋体" w:eastAsia="宋体" w:hint="default"/>
                <w:sz w:val="18"/>
                <w:szCs w:val="18"/>
              </w:rPr>
              <w:t>月委托主承销商华泰联合证券有限责任公司（以</w:t>
            </w:r>
          </w:p>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下简称</w:t>
            </w:r>
            <w:r>
              <w:rPr>
                <w:rFonts w:ascii="Arial" w:hAnsi="Arial" w:cs="Arial" w:eastAsia="Arial" w:hint="default"/>
                <w:sz w:val="18"/>
                <w:szCs w:val="18"/>
              </w:rPr>
              <w:t>''</w:t>
            </w:r>
            <w:r>
              <w:rPr>
                <w:rFonts w:ascii="宋体" w:hAnsi="宋体" w:cs="宋体" w:eastAsia="宋体" w:hint="default"/>
                <w:sz w:val="18"/>
                <w:szCs w:val="18"/>
              </w:rPr>
              <w:t>华泰联合证券</w:t>
            </w:r>
            <w:r>
              <w:rPr>
                <w:rFonts w:ascii="Arial" w:hAnsi="Arial" w:cs="Arial" w:eastAsia="Arial" w:hint="default"/>
                <w:sz w:val="18"/>
                <w:szCs w:val="18"/>
              </w:rPr>
              <w:t>''</w:t>
            </w:r>
            <w:r>
              <w:rPr>
                <w:rFonts w:ascii="宋体" w:hAnsi="宋体" w:cs="宋体" w:eastAsia="宋体" w:hint="default"/>
                <w:sz w:val="18"/>
                <w:szCs w:val="18"/>
              </w:rPr>
              <w:t>）非公开发行数量</w:t>
            </w:r>
            <w:r>
              <w:rPr>
                <w:rFonts w:ascii="宋体" w:hAnsi="宋体" w:cs="宋体" w:eastAsia="宋体" w:hint="default"/>
                <w:spacing w:val="-50"/>
                <w:sz w:val="18"/>
                <w:szCs w:val="18"/>
              </w:rPr>
              <w:t> </w:t>
            </w:r>
            <w:r>
              <w:rPr>
                <w:rFonts w:ascii="Arial" w:hAnsi="Arial" w:cs="Arial" w:eastAsia="Arial" w:hint="default"/>
                <w:sz w:val="18"/>
                <w:szCs w:val="18"/>
              </w:rPr>
              <w:t>3,109.00</w:t>
            </w:r>
            <w:r>
              <w:rPr>
                <w:rFonts w:ascii="Arial" w:hAnsi="Arial" w:cs="Arial" w:eastAsia="Arial" w:hint="default"/>
                <w:spacing w:val="-9"/>
                <w:sz w:val="18"/>
                <w:szCs w:val="18"/>
              </w:rPr>
              <w:t> </w:t>
            </w:r>
            <w:r>
              <w:rPr>
                <w:rFonts w:ascii="宋体" w:hAnsi="宋体" w:cs="宋体" w:eastAsia="宋体" w:hint="default"/>
                <w:sz w:val="18"/>
                <w:szCs w:val="18"/>
              </w:rPr>
              <w:t>万股股份，每股面值</w:t>
            </w:r>
            <w:r>
              <w:rPr>
                <w:rFonts w:ascii="宋体" w:hAnsi="宋体" w:cs="宋体" w:eastAsia="宋体" w:hint="default"/>
                <w:spacing w:val="-50"/>
                <w:sz w:val="18"/>
                <w:szCs w:val="18"/>
              </w:rPr>
              <w:t> </w:t>
            </w:r>
            <w:r>
              <w:rPr>
                <w:rFonts w:ascii="Arial" w:hAnsi="Arial" w:cs="Arial" w:eastAsia="Arial" w:hint="default"/>
                <w:sz w:val="18"/>
                <w:szCs w:val="18"/>
              </w:rPr>
              <w:t>1.00</w:t>
            </w:r>
            <w:r>
              <w:rPr>
                <w:rFonts w:ascii="Arial" w:hAnsi="Arial" w:cs="Arial" w:eastAsia="Arial" w:hint="default"/>
                <w:spacing w:val="-12"/>
                <w:sz w:val="18"/>
                <w:szCs w:val="18"/>
              </w:rPr>
              <w:t> </w:t>
            </w:r>
            <w:r>
              <w:rPr>
                <w:rFonts w:ascii="宋体" w:hAnsi="宋体" w:cs="宋体" w:eastAsia="宋体" w:hint="default"/>
                <w:sz w:val="18"/>
                <w:szCs w:val="18"/>
              </w:rPr>
              <w:t>元，发行价格</w:t>
            </w:r>
            <w:r>
              <w:rPr>
                <w:rFonts w:ascii="宋体" w:hAnsi="宋体" w:cs="宋体" w:eastAsia="宋体" w:hint="default"/>
                <w:spacing w:val="-50"/>
                <w:sz w:val="18"/>
                <w:szCs w:val="18"/>
              </w:rPr>
              <w:t> </w:t>
            </w:r>
            <w:r>
              <w:rPr>
                <w:rFonts w:ascii="Arial" w:hAnsi="Arial" w:cs="Arial" w:eastAsia="Arial" w:hint="default"/>
                <w:sz w:val="18"/>
                <w:szCs w:val="18"/>
              </w:rPr>
              <w:t>15.76</w:t>
            </w:r>
            <w:r>
              <w:rPr>
                <w:rFonts w:ascii="Arial" w:hAnsi="Arial" w:cs="Arial" w:eastAsia="Arial" w:hint="default"/>
                <w:spacing w:val="-12"/>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股，扣除财务顾问费</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及承销费用</w:t>
            </w:r>
            <w:r>
              <w:rPr>
                <w:rFonts w:ascii="宋体" w:hAnsi="宋体" w:cs="宋体" w:eastAsia="宋体" w:hint="default"/>
                <w:spacing w:val="-47"/>
                <w:sz w:val="18"/>
                <w:szCs w:val="18"/>
              </w:rPr>
              <w:t> </w:t>
            </w:r>
            <w:r>
              <w:rPr>
                <w:rFonts w:ascii="Arial" w:hAnsi="Arial" w:cs="Arial" w:eastAsia="Arial" w:hint="default"/>
                <w:sz w:val="18"/>
                <w:szCs w:val="18"/>
              </w:rPr>
              <w:t>1,000.00</w:t>
            </w:r>
            <w:r>
              <w:rPr>
                <w:rFonts w:ascii="Arial" w:hAnsi="Arial" w:cs="Arial" w:eastAsia="Arial" w:hint="default"/>
                <w:spacing w:val="-11"/>
                <w:sz w:val="18"/>
                <w:szCs w:val="18"/>
              </w:rPr>
              <w:t> </w:t>
            </w:r>
            <w:r>
              <w:rPr>
                <w:rFonts w:ascii="宋体" w:hAnsi="宋体" w:cs="宋体" w:eastAsia="宋体" w:hint="default"/>
                <w:sz w:val="18"/>
                <w:szCs w:val="18"/>
              </w:rPr>
              <w:t>万元后，实际收到募集资金净额为人民币</w:t>
            </w:r>
            <w:r>
              <w:rPr>
                <w:rFonts w:ascii="宋体" w:hAnsi="宋体" w:cs="宋体" w:eastAsia="宋体" w:hint="default"/>
                <w:spacing w:val="-47"/>
                <w:sz w:val="18"/>
                <w:szCs w:val="18"/>
              </w:rPr>
              <w:t> </w:t>
            </w:r>
            <w:r>
              <w:rPr>
                <w:rFonts w:ascii="Arial" w:hAnsi="Arial" w:cs="Arial" w:eastAsia="Arial" w:hint="default"/>
                <w:sz w:val="18"/>
                <w:szCs w:val="18"/>
              </w:rPr>
              <w:t>48,000.00</w:t>
            </w:r>
            <w:r>
              <w:rPr>
                <w:rFonts w:ascii="Arial" w:hAnsi="Arial" w:cs="Arial" w:eastAsia="Arial" w:hint="default"/>
                <w:spacing w:val="-6"/>
                <w:sz w:val="18"/>
                <w:szCs w:val="18"/>
              </w:rPr>
              <w:t> </w:t>
            </w:r>
            <w:r>
              <w:rPr>
                <w:rFonts w:ascii="宋体" w:hAnsi="宋体" w:cs="宋体" w:eastAsia="宋体" w:hint="default"/>
                <w:sz w:val="18"/>
                <w:szCs w:val="18"/>
              </w:rPr>
              <w:t>万元，该笔资金已由本公司主承销商华泰联合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证券于</w:t>
            </w:r>
            <w:r>
              <w:rPr>
                <w:rFonts w:ascii="宋体" w:hAnsi="宋体" w:cs="宋体" w:eastAsia="宋体" w:hint="default"/>
                <w:spacing w:val="-46"/>
                <w:sz w:val="18"/>
                <w:szCs w:val="18"/>
              </w:rPr>
              <w:t> </w:t>
            </w:r>
            <w:r>
              <w:rPr>
                <w:rFonts w:ascii="Arial" w:hAnsi="Arial" w:cs="Arial" w:eastAsia="Arial" w:hint="default"/>
                <w:sz w:val="18"/>
                <w:szCs w:val="18"/>
              </w:rPr>
              <w:t>2017</w:t>
            </w:r>
            <w:r>
              <w:rPr>
                <w:rFonts w:ascii="Arial" w:hAnsi="Arial" w:cs="Arial" w:eastAsia="Arial"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18</w:t>
            </w:r>
            <w:r>
              <w:rPr>
                <w:rFonts w:ascii="Arial" w:hAnsi="Arial" w:cs="Arial" w:eastAsia="Arial" w:hint="default"/>
                <w:spacing w:val="-8"/>
                <w:sz w:val="18"/>
                <w:szCs w:val="18"/>
              </w:rPr>
              <w:t> </w:t>
            </w:r>
            <w:r>
              <w:rPr>
                <w:rFonts w:ascii="宋体" w:hAnsi="宋体" w:cs="宋体" w:eastAsia="宋体" w:hint="default"/>
                <w:sz w:val="18"/>
                <w:szCs w:val="18"/>
              </w:rPr>
              <w:t>日划转至公司指定的本次募集资金专户。上述募集资金净额已经中审华会计师事务所（特殊普通</w:t>
            </w:r>
          </w:p>
          <w:p>
            <w:pPr>
              <w:pStyle w:val="TableParagraph"/>
              <w:spacing w:line="240" w:lineRule="auto" w:before="63"/>
              <w:ind w:left="22" w:right="0"/>
              <w:jc w:val="left"/>
              <w:rPr>
                <w:rFonts w:ascii="Arial" w:hAnsi="Arial" w:cs="Arial" w:eastAsia="Arial" w:hint="default"/>
                <w:sz w:val="18"/>
                <w:szCs w:val="18"/>
              </w:rPr>
            </w:pPr>
            <w:r>
              <w:rPr>
                <w:rFonts w:ascii="宋体" w:hAnsi="宋体" w:cs="宋体" w:eastAsia="宋体" w:hint="default"/>
                <w:sz w:val="18"/>
                <w:szCs w:val="18"/>
              </w:rPr>
              <w:t>合伙）</w:t>
            </w:r>
            <w:r>
              <w:rPr>
                <w:rFonts w:ascii="Arial" w:hAnsi="Arial" w:cs="Arial" w:eastAsia="Arial" w:hint="default"/>
                <w:sz w:val="18"/>
                <w:szCs w:val="18"/>
              </w:rPr>
              <w:t>CAC</w:t>
            </w:r>
            <w:r>
              <w:rPr>
                <w:rFonts w:ascii="Arial" w:hAnsi="Arial" w:cs="Arial" w:eastAsia="Arial" w:hint="default"/>
                <w:spacing w:val="37"/>
                <w:sz w:val="18"/>
                <w:szCs w:val="18"/>
              </w:rPr>
              <w:t> </w:t>
            </w:r>
            <w:r>
              <w:rPr>
                <w:rFonts w:ascii="宋体" w:hAnsi="宋体" w:cs="宋体" w:eastAsia="宋体" w:hint="default"/>
                <w:sz w:val="18"/>
                <w:szCs w:val="18"/>
              </w:rPr>
              <w:t>验字</w:t>
            </w:r>
            <w:r>
              <w:rPr>
                <w:rFonts w:ascii="Arial" w:hAnsi="Arial" w:cs="Arial" w:eastAsia="Arial" w:hint="default"/>
                <w:sz w:val="18"/>
                <w:szCs w:val="18"/>
              </w:rPr>
              <w:t>[2017]0051</w:t>
            </w:r>
            <w:r>
              <w:rPr>
                <w:rFonts w:ascii="Arial" w:hAnsi="Arial" w:cs="Arial" w:eastAsia="Arial" w:hint="default"/>
                <w:spacing w:val="-8"/>
                <w:sz w:val="18"/>
                <w:szCs w:val="18"/>
              </w:rPr>
              <w:t> </w:t>
            </w:r>
            <w:r>
              <w:rPr>
                <w:rFonts w:ascii="宋体" w:hAnsi="宋体" w:cs="宋体" w:eastAsia="宋体" w:hint="default"/>
                <w:sz w:val="18"/>
                <w:szCs w:val="18"/>
              </w:rPr>
              <w:t>号《验资报告》验证。截止</w:t>
            </w:r>
            <w:r>
              <w:rPr>
                <w:rFonts w:ascii="宋体" w:hAnsi="宋体" w:cs="宋体" w:eastAsia="宋体" w:hint="default"/>
                <w:spacing w:val="-48"/>
                <w:sz w:val="18"/>
                <w:szCs w:val="18"/>
              </w:rPr>
              <w:t> </w:t>
            </w: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日，该次募集资金累计投入金额为</w:t>
            </w:r>
            <w:r>
              <w:rPr>
                <w:rFonts w:ascii="宋体" w:hAnsi="宋体" w:cs="宋体" w:eastAsia="宋体" w:hint="default"/>
                <w:spacing w:val="-47"/>
                <w:sz w:val="18"/>
                <w:szCs w:val="18"/>
              </w:rPr>
              <w:t> </w:t>
            </w:r>
            <w:r>
              <w:rPr>
                <w:rFonts w:ascii="Arial" w:hAnsi="Arial" w:cs="Arial" w:eastAsia="Arial" w:hint="default"/>
                <w:sz w:val="18"/>
                <w:szCs w:val="18"/>
              </w:rPr>
              <w:t>48,022.83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万元，超出募集资金的</w:t>
            </w:r>
            <w:r>
              <w:rPr>
                <w:rFonts w:ascii="宋体" w:hAnsi="宋体" w:cs="宋体" w:eastAsia="宋体" w:hint="default"/>
                <w:spacing w:val="-45"/>
                <w:sz w:val="18"/>
                <w:szCs w:val="18"/>
              </w:rPr>
              <w:t> </w:t>
            </w:r>
            <w:r>
              <w:rPr>
                <w:rFonts w:ascii="Arial" w:hAnsi="Arial" w:cs="Arial" w:eastAsia="Arial" w:hint="default"/>
                <w:w w:val="99"/>
                <w:sz w:val="18"/>
                <w:szCs w:val="18"/>
              </w:rPr>
              <w:t>22</w:t>
            </w:r>
            <w:r>
              <w:rPr>
                <w:rFonts w:ascii="Arial" w:hAnsi="Arial" w:cs="Arial" w:eastAsia="Arial" w:hint="default"/>
                <w:w w:val="99"/>
                <w:sz w:val="18"/>
                <w:szCs w:val="18"/>
              </w:rPr>
              <w:t>.</w:t>
            </w:r>
            <w:r>
              <w:rPr>
                <w:rFonts w:ascii="Arial" w:hAnsi="Arial" w:cs="Arial" w:eastAsia="Arial" w:hint="default"/>
                <w:spacing w:val="-2"/>
                <w:w w:val="99"/>
                <w:sz w:val="18"/>
                <w:szCs w:val="18"/>
              </w:rPr>
              <w:t>8</w:t>
            </w:r>
            <w:r>
              <w:rPr>
                <w:rFonts w:ascii="Arial" w:hAnsi="Arial" w:cs="Arial" w:eastAsia="Arial" w:hint="default"/>
                <w:w w:val="99"/>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万元为募集资金所产生的利息（扣除银行手续费</w:t>
            </w:r>
            <w:r>
              <w:rPr>
                <w:rFonts w:ascii="宋体" w:hAnsi="宋体" w:cs="宋体" w:eastAsia="宋体" w:hint="default"/>
                <w:spacing w:val="-89"/>
                <w:sz w:val="18"/>
                <w:szCs w:val="18"/>
              </w:rPr>
              <w:t>）</w:t>
            </w:r>
            <w:r>
              <w:rPr>
                <w:rFonts w:ascii="宋体" w:hAnsi="宋体" w:cs="宋体" w:eastAsia="宋体" w:hint="default"/>
                <w:sz w:val="18"/>
                <w:szCs w:val="18"/>
              </w:rPr>
              <w:t>，该次募集资已全部使用完毕。</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before="0"/>
        <w:ind w:left="0" w:right="1131" w:firstLine="0"/>
        <w:jc w:val="right"/>
        <w:rPr>
          <w:rFonts w:ascii="Times New Roman" w:hAnsi="Times New Roman" w:cs="Times New Roman" w:eastAsia="Times New Roman" w:hint="default"/>
          <w:sz w:val="18"/>
          <w:szCs w:val="18"/>
        </w:rPr>
      </w:pPr>
      <w:r>
        <w:rPr/>
        <w:pict>
          <v:shape style="position:absolute;margin-left:535.621033pt;margin-top:24.853573pt;width:59.492154pt;height:26.794177pt;mso-position-horizontal-relative:page;mso-position-vertical-relative:paragraph;z-index:1384" type="#_x0000_t75" stroked="false">
            <v:imagedata r:id="rId16" o:title=""/>
          </v:shape>
        </w:pict>
      </w:r>
      <w:r>
        <w:rPr>
          <w:rFonts w:ascii="Times New Roman"/>
          <w:sz w:val="18"/>
        </w:rPr>
        <w:t>32</w:t>
      </w:r>
    </w:p>
    <w:p>
      <w:pPr>
        <w:spacing w:after="0"/>
        <w:jc w:val="right"/>
        <w:rPr>
          <w:rFonts w:ascii="Times New Roman" w:hAnsi="Times New Roman" w:cs="Times New Roman" w:eastAsia="Times New Roman" w:hint="default"/>
          <w:sz w:val="18"/>
          <w:szCs w:val="18"/>
        </w:rPr>
        <w:sectPr>
          <w:type w:val="continuous"/>
          <w:pgSz w:w="11910" w:h="16840"/>
          <w:pgMar w:top="1060" w:bottom="1160" w:left="1020" w:right="0"/>
        </w:sectPr>
      </w:pPr>
    </w:p>
    <w:p>
      <w:pPr>
        <w:spacing w:line="240" w:lineRule="auto" w:before="1"/>
        <w:rPr>
          <w:rFonts w:ascii="Times New Roman" w:hAnsi="Times New Roman" w:cs="Times New Roman" w:eastAsia="Times New Roman" w:hint="default"/>
          <w:sz w:val="3"/>
          <w:szCs w:val="3"/>
        </w:rPr>
      </w:pPr>
    </w:p>
    <w:p>
      <w:pPr>
        <w:spacing w:line="20" w:lineRule="exact"/>
        <w:ind w:left="11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8.65pt;height:.75pt;mso-position-horizontal-relative:char;mso-position-vertical-relative:line" coordorigin="0,0" coordsize="13973,15">
            <v:group style="position:absolute;left:7;top:7;width:13958;height:2" coordorigin="7,7" coordsize="13958,2">
              <v:shape style="position:absolute;left:7;top:7;width:13958;height:2" coordorigin="7,7" coordsize="13958,0" path="m7,7l13965,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4"/>
        <w:spacing w:line="240" w:lineRule="auto"/>
        <w:ind w:left="120" w:right="0"/>
        <w:jc w:val="left"/>
        <w:rPr>
          <w:b w:val="0"/>
          <w:bCs w:val="0"/>
        </w:rPr>
      </w:pPr>
      <w:bookmarkStart w:name="（2）募集资金承诺项目情况" w:id="50"/>
      <w:bookmarkEnd w:id="50"/>
      <w:r>
        <w:rPr>
          <w:b w:val="0"/>
          <w:bCs w:val="0"/>
        </w:rPr>
      </w:r>
      <w:r>
        <w:rPr/>
        <w:t>（</w:t>
      </w:r>
      <w:r>
        <w:rPr>
          <w:rFonts w:ascii="Arial" w:hAnsi="Arial" w:cs="Arial" w:eastAsia="Arial" w:hint="default"/>
        </w:rPr>
        <w:t>2</w:t>
      </w:r>
      <w:r>
        <w:rPr/>
        <w:t>）募集资金承诺项目情况</w:t>
      </w:r>
      <w:r>
        <w:rPr>
          <w:b w:val="0"/>
          <w:bCs w:val="0"/>
        </w:rPr>
      </w:r>
    </w:p>
    <w:p>
      <w:pPr>
        <w:spacing w:line="240" w:lineRule="auto" w:before="2"/>
        <w:rPr>
          <w:rFonts w:ascii="宋体" w:hAnsi="宋体" w:cs="宋体" w:eastAsia="宋体" w:hint="default"/>
          <w:b/>
          <w:bCs/>
          <w:sz w:val="23"/>
          <w:szCs w:val="23"/>
        </w:rPr>
      </w:pPr>
    </w:p>
    <w:p>
      <w:pPr>
        <w:spacing w:before="44"/>
        <w:ind w:left="120" w:right="0" w:firstLine="0"/>
        <w:jc w:val="left"/>
        <w:rPr>
          <w:rFonts w:ascii="宋体" w:hAnsi="宋体" w:cs="宋体" w:eastAsia="宋体" w:hint="default"/>
          <w:sz w:val="18"/>
          <w:szCs w:val="18"/>
        </w:rPr>
      </w:pPr>
      <w:r>
        <w:rPr>
          <w:rFonts w:ascii="Arial" w:hAnsi="Arial" w:cs="Arial" w:eastAsia="Arial" w:hint="default"/>
          <w:sz w:val="18"/>
          <w:szCs w:val="18"/>
        </w:rPr>
        <w:t>√  </w:t>
      </w:r>
      <w:r>
        <w:rPr>
          <w:rFonts w:ascii="宋体" w:hAnsi="宋体" w:cs="宋体" w:eastAsia="宋体" w:hint="default"/>
          <w:sz w:val="18"/>
          <w:szCs w:val="18"/>
        </w:rPr>
        <w:t>适用 </w:t>
      </w:r>
      <w:r>
        <w:rPr>
          <w:rFonts w:ascii="Arial" w:hAnsi="Arial" w:cs="Arial" w:eastAsia="Arial" w:hint="default"/>
          <w:sz w:val="18"/>
          <w:szCs w:val="18"/>
        </w:rPr>
        <w:t>□</w:t>
      </w:r>
      <w:r>
        <w:rPr>
          <w:rFonts w:ascii="Arial" w:hAnsi="Arial" w:cs="Arial" w:eastAsia="Arial" w:hint="default"/>
          <w:spacing w:val="28"/>
          <w:sz w:val="18"/>
          <w:szCs w:val="18"/>
        </w:rPr>
        <w:t> </w:t>
      </w:r>
      <w:r>
        <w:rPr>
          <w:rFonts w:ascii="宋体" w:hAnsi="宋体" w:cs="宋体" w:eastAsia="宋体" w:hint="default"/>
          <w:sz w:val="18"/>
          <w:szCs w:val="18"/>
        </w:rPr>
        <w:t>不适用</w:t>
      </w:r>
    </w:p>
    <w:p>
      <w:pPr>
        <w:spacing w:before="102"/>
        <w:ind w:left="0" w:right="117"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3119"/>
        <w:gridCol w:w="850"/>
        <w:gridCol w:w="960"/>
        <w:gridCol w:w="992"/>
        <w:gridCol w:w="600"/>
        <w:gridCol w:w="992"/>
        <w:gridCol w:w="992"/>
        <w:gridCol w:w="1560"/>
        <w:gridCol w:w="992"/>
        <w:gridCol w:w="992"/>
        <w:gridCol w:w="851"/>
        <w:gridCol w:w="992"/>
      </w:tblGrid>
      <w:tr>
        <w:trPr>
          <w:trHeight w:val="1026"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84" w:right="0"/>
              <w:jc w:val="left"/>
              <w:rPr>
                <w:rFonts w:ascii="宋体" w:hAnsi="宋体" w:cs="宋体" w:eastAsia="宋体" w:hint="default"/>
                <w:sz w:val="18"/>
                <w:szCs w:val="18"/>
              </w:rPr>
            </w:pPr>
            <w:r>
              <w:rPr>
                <w:rFonts w:ascii="宋体" w:hAnsi="宋体" w:cs="宋体" w:eastAsia="宋体" w:hint="default"/>
                <w:sz w:val="18"/>
                <w:szCs w:val="18"/>
              </w:rPr>
              <w:t>承诺投资项目和超募资金投向</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9" w:right="28" w:firstLine="31"/>
              <w:jc w:val="both"/>
              <w:rPr>
                <w:rFonts w:ascii="Arial" w:hAnsi="Arial" w:cs="Arial" w:eastAsia="Arial" w:hint="default"/>
                <w:sz w:val="18"/>
                <w:szCs w:val="18"/>
              </w:rPr>
            </w:pPr>
            <w:r>
              <w:rPr>
                <w:rFonts w:ascii="宋体" w:hAnsi="宋体" w:cs="宋体" w:eastAsia="宋体" w:hint="default"/>
                <w:sz w:val="18"/>
                <w:szCs w:val="18"/>
              </w:rPr>
              <w:t>是否已变 更项目</w:t>
            </w:r>
            <w:r>
              <w:rPr>
                <w:rFonts w:ascii="Arial" w:hAnsi="Arial" w:cs="Arial" w:eastAsia="Arial" w:hint="default"/>
                <w:sz w:val="18"/>
                <w:szCs w:val="18"/>
              </w:rPr>
              <w:t>(</w:t>
            </w:r>
            <w:r>
              <w:rPr>
                <w:rFonts w:ascii="宋体" w:hAnsi="宋体" w:cs="宋体" w:eastAsia="宋体" w:hint="default"/>
                <w:sz w:val="18"/>
                <w:szCs w:val="18"/>
              </w:rPr>
              <w:t>含 部分变更</w:t>
            </w:r>
            <w:r>
              <w:rPr>
                <w:rFonts w:ascii="Arial" w:hAnsi="Arial" w:cs="Arial" w:eastAsia="Arial" w:hint="default"/>
                <w:sz w:val="18"/>
                <w:szCs w:val="18"/>
              </w:rPr>
              <w:t>)</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2" w:right="39" w:hanging="161"/>
              <w:jc w:val="left"/>
              <w:rPr>
                <w:rFonts w:ascii="Arial" w:hAnsi="Arial" w:cs="Arial" w:eastAsia="Arial" w:hint="default"/>
                <w:sz w:val="18"/>
                <w:szCs w:val="18"/>
              </w:rPr>
            </w:pPr>
            <w:r>
              <w:rPr>
                <w:rFonts w:ascii="宋体" w:hAnsi="宋体" w:cs="宋体" w:eastAsia="宋体" w:hint="default"/>
                <w:sz w:val="18"/>
                <w:szCs w:val="18"/>
              </w:rPr>
              <w:t>调整后投资 总额</w:t>
            </w:r>
            <w:r>
              <w:rPr>
                <w:rFonts w:ascii="Arial" w:hAnsi="Arial" w:cs="Arial" w:eastAsia="Arial" w:hint="default"/>
                <w:sz w:val="18"/>
                <w:szCs w:val="18"/>
              </w:rPr>
              <w:t>(1)</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 w:right="22"/>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51"/>
              <w:ind w:left="40" w:right="39"/>
              <w:jc w:val="center"/>
              <w:rPr>
                <w:rFonts w:ascii="Arial" w:hAnsi="Arial" w:cs="Arial" w:eastAsia="Arial" w:hint="default"/>
                <w:sz w:val="18"/>
                <w:szCs w:val="18"/>
              </w:rPr>
            </w:pPr>
            <w:r>
              <w:rPr>
                <w:rFonts w:ascii="宋体" w:hAnsi="宋体" w:cs="宋体" w:eastAsia="宋体" w:hint="default"/>
                <w:sz w:val="18"/>
                <w:szCs w:val="18"/>
              </w:rPr>
              <w:t>截至期末累 计投入金额 </w:t>
            </w:r>
            <w:r>
              <w:rPr>
                <w:rFonts w:ascii="Arial" w:hAnsi="Arial" w:cs="Arial" w:eastAsia="Arial" w:hint="default"/>
                <w:sz w:val="18"/>
                <w:szCs w:val="18"/>
              </w:rPr>
              <w:t>(2)</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2" w:right="38"/>
              <w:jc w:val="center"/>
              <w:rPr>
                <w:rFonts w:ascii="Arial" w:hAnsi="Arial" w:cs="Arial" w:eastAsia="Arial" w:hint="default"/>
                <w:sz w:val="18"/>
                <w:szCs w:val="18"/>
              </w:rPr>
            </w:pPr>
            <w:r>
              <w:rPr>
                <w:rFonts w:ascii="宋体" w:hAnsi="宋体" w:cs="宋体" w:eastAsia="宋体" w:hint="default"/>
                <w:sz w:val="18"/>
                <w:szCs w:val="18"/>
              </w:rPr>
              <w:t>截至期末投 资进度</w:t>
            </w:r>
            <w:r>
              <w:rPr>
                <w:rFonts w:ascii="Arial" w:hAnsi="Arial" w:cs="Arial" w:eastAsia="Arial" w:hint="default"/>
                <w:sz w:val="18"/>
                <w:szCs w:val="18"/>
              </w:rPr>
              <w:t>(3)</w:t>
            </w:r>
          </w:p>
          <w:p>
            <w:pPr>
              <w:pStyle w:val="TableParagraph"/>
              <w:spacing w:line="248" w:lineRule="exact"/>
              <w:ind w:left="4" w:right="0"/>
              <w:jc w:val="center"/>
              <w:rPr>
                <w:rFonts w:ascii="Arial" w:hAnsi="Arial" w:cs="Arial" w:eastAsia="Arial" w:hint="default"/>
                <w:sz w:val="18"/>
                <w:szCs w:val="18"/>
              </w:rPr>
            </w:pPr>
            <w:r>
              <w:rPr>
                <w:rFonts w:ascii="宋体" w:hAnsi="宋体" w:cs="宋体" w:eastAsia="宋体" w:hint="default"/>
                <w:sz w:val="18"/>
                <w:szCs w:val="18"/>
              </w:rPr>
              <w:t>＝</w:t>
            </w:r>
            <w:r>
              <w:rPr>
                <w:rFonts w:ascii="Arial" w:hAnsi="Arial" w:cs="Arial" w:eastAsia="Arial" w:hint="default"/>
                <w:sz w:val="18"/>
                <w:szCs w:val="18"/>
              </w:rPr>
              <w:t>(2)/(1)</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24" w:right="52" w:hanging="269"/>
              <w:jc w:val="left"/>
              <w:rPr>
                <w:rFonts w:ascii="宋体" w:hAnsi="宋体" w:cs="宋体" w:eastAsia="宋体" w:hint="default"/>
                <w:sz w:val="18"/>
                <w:szCs w:val="18"/>
              </w:rPr>
            </w:pPr>
            <w:r>
              <w:rPr>
                <w:rFonts w:ascii="宋体" w:hAnsi="宋体" w:cs="宋体" w:eastAsia="宋体" w:hint="default"/>
                <w:sz w:val="18"/>
                <w:szCs w:val="18"/>
              </w:rPr>
              <w:t>项目达到预定可使 用状态日期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30" w:right="3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 w:right="39"/>
              <w:jc w:val="center"/>
              <w:rPr>
                <w:rFonts w:ascii="宋体" w:hAnsi="宋体" w:cs="宋体" w:eastAsia="宋体" w:hint="default"/>
                <w:sz w:val="18"/>
                <w:szCs w:val="18"/>
              </w:rPr>
            </w:pPr>
            <w:r>
              <w:rPr>
                <w:rFonts w:ascii="宋体" w:hAnsi="宋体" w:cs="宋体" w:eastAsia="宋体" w:hint="default"/>
                <w:sz w:val="18"/>
                <w:szCs w:val="18"/>
              </w:rPr>
              <w:t>截止报告期 末累计实现 的效益</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8" w:right="60"/>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 w:right="39"/>
              <w:jc w:val="center"/>
              <w:rPr>
                <w:rFonts w:ascii="宋体" w:hAnsi="宋体" w:cs="宋体" w:eastAsia="宋体" w:hint="default"/>
                <w:sz w:val="18"/>
                <w:szCs w:val="18"/>
              </w:rPr>
            </w:pPr>
            <w:r>
              <w:rPr>
                <w:rFonts w:ascii="宋体" w:hAnsi="宋体" w:cs="宋体" w:eastAsia="宋体" w:hint="default"/>
                <w:sz w:val="18"/>
                <w:szCs w:val="18"/>
              </w:rPr>
              <w:t>项目可行性 是否发生重 大变化</w:t>
            </w:r>
          </w:p>
        </w:tc>
      </w:tr>
      <w:tr>
        <w:trPr>
          <w:trHeight w:val="402" w:hRule="exact"/>
        </w:trPr>
        <w:tc>
          <w:tcPr>
            <w:tcW w:w="1389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数字法院智能管理系统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4" w:right="0"/>
              <w:jc w:val="center"/>
              <w:rPr>
                <w:rFonts w:ascii="Arial" w:hAnsi="Arial" w:cs="Arial" w:eastAsia="Arial" w:hint="default"/>
                <w:sz w:val="18"/>
                <w:szCs w:val="18"/>
              </w:rPr>
            </w:pPr>
            <w:r>
              <w:rPr>
                <w:rFonts w:ascii="Arial"/>
                <w:sz w:val="18"/>
              </w:rPr>
              <w:t>5,982.04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5,230.44</w:t>
            </w:r>
          </w:p>
        </w:tc>
        <w:tc>
          <w:tcPr>
            <w:tcW w:w="60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5,230.38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Arial" w:hAnsi="Arial" w:cs="Arial" w:eastAsia="Arial" w:hint="default"/>
                <w:sz w:val="18"/>
                <w:szCs w:val="18"/>
              </w:rPr>
              <w:t>06</w:t>
            </w:r>
            <w:r>
              <w:rPr>
                <w:rFonts w:ascii="Arial" w:hAnsi="Arial" w:cs="Arial" w:eastAsia="Arial"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w:hAnsi="Arial" w:cs="Arial" w:eastAsia="Arial" w:hint="default"/>
                <w:sz w:val="18"/>
                <w:szCs w:val="18"/>
              </w:rPr>
              <w:t>30</w:t>
            </w:r>
            <w:r>
              <w:rPr>
                <w:rFonts w:ascii="Arial" w:hAnsi="Arial" w:cs="Arial" w:eastAsia="Arial" w:hint="default"/>
                <w:spacing w:val="-20"/>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2,782.96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2"/>
                <w:sz w:val="18"/>
              </w:rPr>
              <w:t>11,647.83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电子检务管理系统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4" w:right="0"/>
              <w:jc w:val="center"/>
              <w:rPr>
                <w:rFonts w:ascii="Arial" w:hAnsi="Arial" w:cs="Arial" w:eastAsia="Arial" w:hint="default"/>
                <w:sz w:val="18"/>
                <w:szCs w:val="18"/>
              </w:rPr>
            </w:pPr>
            <w:r>
              <w:rPr>
                <w:rFonts w:ascii="Arial"/>
                <w:sz w:val="18"/>
              </w:rPr>
              <w:t>5,583.54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3,488.10</w:t>
            </w:r>
          </w:p>
        </w:tc>
        <w:tc>
          <w:tcPr>
            <w:tcW w:w="60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3,488.08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Arial" w:hAnsi="Arial" w:cs="Arial" w:eastAsia="Arial" w:hint="default"/>
                <w:sz w:val="18"/>
                <w:szCs w:val="18"/>
              </w:rPr>
              <w:t>06</w:t>
            </w:r>
            <w:r>
              <w:rPr>
                <w:rFonts w:ascii="Arial" w:hAnsi="Arial" w:cs="Arial" w:eastAsia="Arial"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w:hAnsi="Arial" w:cs="Arial" w:eastAsia="Arial" w:hint="default"/>
                <w:sz w:val="18"/>
                <w:szCs w:val="18"/>
              </w:rPr>
              <w:t>30</w:t>
            </w:r>
            <w:r>
              <w:rPr>
                <w:rFonts w:ascii="Arial" w:hAnsi="Arial" w:cs="Arial" w:eastAsia="Arial" w:hint="default"/>
                <w:spacing w:val="-20"/>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146.24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2,722.18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商业智能分析应用平台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2" w:right="0"/>
              <w:jc w:val="center"/>
              <w:rPr>
                <w:rFonts w:ascii="Arial" w:hAnsi="Arial" w:cs="Arial" w:eastAsia="Arial" w:hint="default"/>
                <w:sz w:val="18"/>
                <w:szCs w:val="18"/>
              </w:rPr>
            </w:pPr>
            <w:r>
              <w:rPr>
                <w:rFonts w:ascii="Arial"/>
                <w:sz w:val="18"/>
              </w:rPr>
              <w:t>2,485.70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1,329.65</w:t>
            </w:r>
          </w:p>
        </w:tc>
        <w:tc>
          <w:tcPr>
            <w:tcW w:w="60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1,329.63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Arial" w:hAnsi="Arial" w:cs="Arial" w:eastAsia="Arial" w:hint="default"/>
                <w:sz w:val="18"/>
                <w:szCs w:val="18"/>
              </w:rPr>
              <w:t>08</w:t>
            </w:r>
            <w:r>
              <w:rPr>
                <w:rFonts w:ascii="Arial" w:hAnsi="Arial" w:cs="Arial" w:eastAsia="Arial"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w:hAnsi="Arial" w:cs="Arial" w:eastAsia="Arial" w:hint="default"/>
                <w:sz w:val="18"/>
                <w:szCs w:val="18"/>
              </w:rPr>
              <w:t>31</w:t>
            </w:r>
            <w:r>
              <w:rPr>
                <w:rFonts w:ascii="Arial" w:hAnsi="Arial" w:cs="Arial" w:eastAsia="Arial" w:hint="default"/>
                <w:spacing w:val="-20"/>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928.45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4,429.54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华宇政务应用支撑和研发平台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4" w:right="0"/>
              <w:jc w:val="center"/>
              <w:rPr>
                <w:rFonts w:ascii="Arial" w:hAnsi="Arial" w:cs="Arial" w:eastAsia="Arial" w:hint="default"/>
                <w:sz w:val="18"/>
                <w:szCs w:val="18"/>
              </w:rPr>
            </w:pPr>
            <w:r>
              <w:rPr>
                <w:rFonts w:ascii="Arial"/>
                <w:sz w:val="18"/>
              </w:rPr>
              <w:t>1,973.52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1,001.14</w:t>
            </w:r>
          </w:p>
        </w:tc>
        <w:tc>
          <w:tcPr>
            <w:tcW w:w="60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1,001.08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Arial" w:hAnsi="Arial" w:cs="Arial" w:eastAsia="Arial" w:hint="default"/>
                <w:sz w:val="18"/>
                <w:szCs w:val="18"/>
              </w:rPr>
              <w:t>08</w:t>
            </w:r>
            <w:r>
              <w:rPr>
                <w:rFonts w:ascii="Arial" w:hAnsi="Arial" w:cs="Arial" w:eastAsia="Arial"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w:hAnsi="Arial" w:cs="Arial" w:eastAsia="Arial" w:hint="default"/>
                <w:sz w:val="18"/>
                <w:szCs w:val="18"/>
              </w:rPr>
              <w:t>31</w:t>
            </w:r>
            <w:r>
              <w:rPr>
                <w:rFonts w:ascii="Arial" w:hAnsi="Arial" w:cs="Arial" w:eastAsia="Arial" w:hint="default"/>
                <w:spacing w:val="-20"/>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872.27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2,741.44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信息应用运维管理与服务系统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4" w:right="0"/>
              <w:jc w:val="center"/>
              <w:rPr>
                <w:rFonts w:ascii="Arial" w:hAnsi="Arial" w:cs="Arial" w:eastAsia="Arial" w:hint="default"/>
                <w:sz w:val="18"/>
                <w:szCs w:val="18"/>
              </w:rPr>
            </w:pPr>
            <w:r>
              <w:rPr>
                <w:rFonts w:ascii="Arial"/>
                <w:sz w:val="18"/>
              </w:rPr>
              <w:t>3,452.72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3,450.78</w:t>
            </w:r>
          </w:p>
        </w:tc>
        <w:tc>
          <w:tcPr>
            <w:tcW w:w="60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3,450.78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Arial" w:hAnsi="Arial" w:cs="Arial" w:eastAsia="Arial" w:hint="default"/>
                <w:sz w:val="18"/>
                <w:szCs w:val="18"/>
              </w:rPr>
              <w:t>12</w:t>
            </w:r>
            <w:r>
              <w:rPr>
                <w:rFonts w:ascii="Arial" w:hAnsi="Arial" w:cs="Arial" w:eastAsia="Arial"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w:hAnsi="Arial" w:cs="Arial" w:eastAsia="Arial" w:hint="default"/>
                <w:sz w:val="18"/>
                <w:szCs w:val="18"/>
              </w:rPr>
              <w:t>31</w:t>
            </w:r>
            <w:r>
              <w:rPr>
                <w:rFonts w:ascii="Arial" w:hAnsi="Arial" w:cs="Arial" w:eastAsia="Arial" w:hint="default"/>
                <w:spacing w:val="-20"/>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397.01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3,954.42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0"/>
              <w:ind w:left="24" w:right="88"/>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购买联奕科技</w:t>
            </w:r>
            <w:r>
              <w:rPr>
                <w:rFonts w:ascii="宋体" w:hAnsi="宋体" w:cs="宋体" w:eastAsia="宋体" w:hint="default"/>
                <w:spacing w:val="-49"/>
                <w:sz w:val="18"/>
                <w:szCs w:val="18"/>
              </w:rPr>
              <w:t> </w:t>
            </w:r>
            <w:r>
              <w:rPr>
                <w:rFonts w:ascii="Arial" w:hAnsi="Arial" w:cs="Arial" w:eastAsia="Arial" w:hint="default"/>
                <w:sz w:val="18"/>
                <w:szCs w:val="18"/>
              </w:rPr>
              <w:t>100%</w:t>
            </w:r>
            <w:r>
              <w:rPr>
                <w:rFonts w:ascii="宋体" w:hAnsi="宋体" w:cs="宋体" w:eastAsia="宋体" w:hint="default"/>
                <w:sz w:val="18"/>
                <w:szCs w:val="18"/>
              </w:rPr>
              <w:t>股权现金对价并 募集配套资金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6" w:right="0"/>
              <w:jc w:val="center"/>
              <w:rPr>
                <w:rFonts w:ascii="Arial" w:hAnsi="Arial" w:cs="Arial" w:eastAsia="Arial" w:hint="default"/>
                <w:sz w:val="18"/>
                <w:szCs w:val="18"/>
              </w:rPr>
            </w:pPr>
            <w:r>
              <w:rPr>
                <w:rFonts w:ascii="Arial"/>
                <w:sz w:val="18"/>
              </w:rPr>
              <w:t>48,000.00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47,771.72</w:t>
            </w:r>
          </w:p>
        </w:tc>
        <w:tc>
          <w:tcPr>
            <w:tcW w:w="60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47,771.72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Arial" w:hAnsi="Arial" w:cs="Arial" w:eastAsia="Arial" w:hint="default"/>
                <w:sz w:val="18"/>
                <w:szCs w:val="18"/>
              </w:rPr>
              <w:t>08</w:t>
            </w:r>
            <w:r>
              <w:rPr>
                <w:rFonts w:ascii="Arial" w:hAnsi="Arial" w:cs="Arial" w:eastAsia="Arial"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w:hAnsi="Arial" w:cs="Arial" w:eastAsia="Arial" w:hint="default"/>
                <w:sz w:val="18"/>
                <w:szCs w:val="18"/>
              </w:rPr>
              <w:t>31</w:t>
            </w:r>
            <w:r>
              <w:rPr>
                <w:rFonts w:ascii="Arial" w:hAnsi="Arial" w:cs="Arial" w:eastAsia="Arial" w:hint="default"/>
                <w:spacing w:val="-20"/>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2"/>
                <w:sz w:val="18"/>
              </w:rPr>
              <w:t>11,072.94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18,719.40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4" w:right="54"/>
              <w:jc w:val="left"/>
              <w:rPr>
                <w:rFonts w:ascii="宋体" w:hAnsi="宋体" w:cs="宋体" w:eastAsia="宋体" w:hint="default"/>
                <w:sz w:val="18"/>
                <w:szCs w:val="18"/>
              </w:rPr>
            </w:pPr>
            <w:r>
              <w:rPr>
                <w:rFonts w:ascii="Arial" w:hAnsi="Arial" w:cs="Arial" w:eastAsia="Arial" w:hint="default"/>
                <w:sz w:val="18"/>
                <w:szCs w:val="18"/>
              </w:rPr>
              <w:t>7.</w:t>
            </w:r>
            <w:r>
              <w:rPr>
                <w:rFonts w:ascii="宋体" w:hAnsi="宋体" w:cs="宋体" w:eastAsia="宋体" w:hint="default"/>
                <w:sz w:val="18"/>
                <w:szCs w:val="18"/>
              </w:rPr>
              <w:t>购买联奕科技募集配套资金补充流动 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228.28</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 w:right="0"/>
              <w:jc w:val="left"/>
              <w:rPr>
                <w:rFonts w:ascii="Arial" w:hAnsi="Arial" w:cs="Arial" w:eastAsia="Arial" w:hint="default"/>
                <w:sz w:val="18"/>
                <w:szCs w:val="18"/>
              </w:rPr>
            </w:pPr>
            <w:r>
              <w:rPr>
                <w:rFonts w:ascii="Arial"/>
                <w:sz w:val="18"/>
              </w:rPr>
              <w:t>251.11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Arial" w:hAnsi="Arial" w:cs="Arial" w:eastAsia="Arial" w:hint="default"/>
                <w:sz w:val="18"/>
                <w:szCs w:val="18"/>
              </w:rPr>
            </w:pPr>
            <w:r>
              <w:rPr>
                <w:rFonts w:ascii="Arial"/>
                <w:spacing w:val="-2"/>
                <w:sz w:val="18"/>
              </w:rPr>
              <w:t>251.11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361" w:right="0"/>
              <w:jc w:val="left"/>
              <w:rPr>
                <w:rFonts w:ascii="Arial" w:hAnsi="Arial" w:cs="Arial" w:eastAsia="Arial" w:hint="default"/>
                <w:sz w:val="18"/>
                <w:szCs w:val="18"/>
              </w:rPr>
            </w:pPr>
            <w:r>
              <w:rPr>
                <w:rFonts w:ascii="Arial"/>
                <w:sz w:val="18"/>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6" w:right="0"/>
              <w:jc w:val="center"/>
              <w:rPr>
                <w:rFonts w:ascii="Arial" w:hAnsi="Arial" w:cs="Arial" w:eastAsia="Arial" w:hint="default"/>
                <w:sz w:val="18"/>
                <w:szCs w:val="18"/>
              </w:rPr>
            </w:pPr>
            <w:r>
              <w:rPr>
                <w:rFonts w:ascii="Arial"/>
                <w:sz w:val="18"/>
              </w:rPr>
              <w:t>67,477.52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5"/>
              <w:jc w:val="right"/>
              <w:rPr>
                <w:rFonts w:ascii="Arial" w:hAnsi="Arial" w:cs="Arial" w:eastAsia="Arial" w:hint="default"/>
                <w:sz w:val="18"/>
                <w:szCs w:val="18"/>
              </w:rPr>
            </w:pPr>
            <w:r>
              <w:rPr>
                <w:rFonts w:ascii="Arial"/>
                <w:spacing w:val="-2"/>
                <w:sz w:val="18"/>
              </w:rPr>
              <w:t>62,500.11</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0" w:right="0"/>
              <w:jc w:val="left"/>
              <w:rPr>
                <w:rFonts w:ascii="Arial" w:hAnsi="Arial" w:cs="Arial" w:eastAsia="Arial" w:hint="default"/>
                <w:sz w:val="18"/>
                <w:szCs w:val="18"/>
              </w:rPr>
            </w:pPr>
            <w:r>
              <w:rPr>
                <w:rFonts w:ascii="Arial"/>
                <w:sz w:val="18"/>
              </w:rPr>
              <w:t>251.11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Arial" w:hAnsi="Arial" w:cs="Arial" w:eastAsia="Arial" w:hint="default"/>
                <w:sz w:val="18"/>
                <w:szCs w:val="18"/>
              </w:rPr>
            </w:pPr>
            <w:r>
              <w:rPr>
                <w:rFonts w:ascii="Arial"/>
                <w:spacing w:val="-1"/>
                <w:sz w:val="18"/>
              </w:rPr>
              <w:t>62,522.78</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Arial" w:hAnsi="Arial" w:cs="Arial" w:eastAsia="Arial" w:hint="default"/>
                <w:sz w:val="18"/>
                <w:szCs w:val="18"/>
              </w:rPr>
            </w:pPr>
            <w:r>
              <w:rPr>
                <w:rFonts w:ascii="Arial"/>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 w:right="0"/>
              <w:jc w:val="center"/>
              <w:rPr>
                <w:rFonts w:ascii="Arial" w:hAnsi="Arial" w:cs="Arial" w:eastAsia="Arial" w:hint="default"/>
                <w:sz w:val="18"/>
                <w:szCs w:val="18"/>
              </w:rPr>
            </w:pPr>
            <w:r>
              <w:rPr>
                <w:rFonts w:ascii="Arial"/>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16,199.87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Arial" w:hAnsi="Arial" w:cs="Arial" w:eastAsia="Arial" w:hint="default"/>
                <w:sz w:val="18"/>
                <w:szCs w:val="18"/>
              </w:rPr>
            </w:pPr>
            <w:r>
              <w:rPr>
                <w:rFonts w:ascii="Arial"/>
                <w:spacing w:val="-1"/>
                <w:sz w:val="18"/>
              </w:rPr>
              <w:t>44,214.81</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 w:right="0"/>
              <w:jc w:val="center"/>
              <w:rPr>
                <w:rFonts w:ascii="Arial" w:hAnsi="Arial" w:cs="Arial" w:eastAsia="Arial" w:hint="default"/>
                <w:sz w:val="18"/>
                <w:szCs w:val="18"/>
              </w:rPr>
            </w:pPr>
            <w:r>
              <w:rPr>
                <w:rFonts w:ascii="Arial"/>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 w:right="0"/>
              <w:jc w:val="center"/>
              <w:rPr>
                <w:rFonts w:ascii="Arial" w:hAnsi="Arial" w:cs="Arial" w:eastAsia="Arial" w:hint="default"/>
                <w:sz w:val="18"/>
                <w:szCs w:val="18"/>
              </w:rPr>
            </w:pPr>
            <w:r>
              <w:rPr>
                <w:rFonts w:ascii="Arial"/>
                <w:sz w:val="18"/>
              </w:rPr>
              <w:t>--</w:t>
            </w:r>
          </w:p>
        </w:tc>
      </w:tr>
      <w:tr>
        <w:trPr>
          <w:trHeight w:val="402" w:hRule="exact"/>
        </w:trPr>
        <w:tc>
          <w:tcPr>
            <w:tcW w:w="1389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收购华宇金信（北京）软件有限公司</w:t>
            </w:r>
          </w:p>
          <w:p>
            <w:pPr>
              <w:pStyle w:val="TableParagraph"/>
              <w:spacing w:line="240" w:lineRule="auto" w:before="63"/>
              <w:ind w:left="24" w:right="0"/>
              <w:jc w:val="left"/>
              <w:rPr>
                <w:rFonts w:ascii="宋体" w:hAnsi="宋体" w:cs="宋体" w:eastAsia="宋体" w:hint="default"/>
                <w:sz w:val="18"/>
                <w:szCs w:val="18"/>
              </w:rPr>
            </w:pPr>
            <w:r>
              <w:rPr>
                <w:rFonts w:ascii="Arial" w:hAnsi="Arial" w:cs="Arial" w:eastAsia="Arial" w:hint="default"/>
                <w:sz w:val="18"/>
                <w:szCs w:val="18"/>
              </w:rPr>
              <w:t>51%</w:t>
            </w:r>
            <w:r>
              <w:rPr>
                <w:rFonts w:ascii="宋体" w:hAnsi="宋体" w:cs="宋体" w:eastAsia="宋体" w:hint="default"/>
                <w:sz w:val="18"/>
                <w:szCs w:val="18"/>
              </w:rPr>
              <w:t>股权</w:t>
            </w:r>
          </w:p>
        </w:tc>
        <w:tc>
          <w:tcPr>
            <w:tcW w:w="85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04" w:right="0"/>
              <w:jc w:val="center"/>
              <w:rPr>
                <w:rFonts w:ascii="Arial" w:hAnsi="Arial" w:cs="Arial" w:eastAsia="Arial" w:hint="default"/>
                <w:sz w:val="18"/>
                <w:szCs w:val="18"/>
              </w:rPr>
            </w:pPr>
            <w:r>
              <w:rPr>
                <w:rFonts w:ascii="Arial"/>
                <w:sz w:val="18"/>
              </w:rPr>
              <w:t>1,173.00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1,173.00</w:t>
            </w:r>
          </w:p>
        </w:tc>
        <w:tc>
          <w:tcPr>
            <w:tcW w:w="60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1"/>
                <w:sz w:val="18"/>
              </w:rPr>
              <w:t>1,173.00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Arial" w:hAnsi="Arial" w:cs="Arial" w:eastAsia="Arial" w:hint="default"/>
                <w:sz w:val="18"/>
                <w:szCs w:val="18"/>
              </w:rPr>
              <w:t>04</w:t>
            </w:r>
            <w:r>
              <w:rPr>
                <w:rFonts w:ascii="Arial" w:hAnsi="Arial" w:cs="Arial" w:eastAsia="Arial"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w:hAnsi="Arial" w:cs="Arial" w:eastAsia="Arial" w:hint="default"/>
                <w:sz w:val="18"/>
                <w:szCs w:val="18"/>
              </w:rPr>
              <w:t>25</w:t>
            </w:r>
            <w:r>
              <w:rPr>
                <w:rFonts w:ascii="Arial" w:hAnsi="Arial" w:cs="Arial" w:eastAsia="Arial" w:hint="default"/>
                <w:spacing w:val="-20"/>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Arial" w:hAnsi="Arial" w:cs="Arial" w:eastAsia="Arial" w:hint="default"/>
                <w:sz w:val="18"/>
                <w:szCs w:val="18"/>
              </w:rPr>
            </w:pPr>
            <w:r>
              <w:rPr>
                <w:rFonts w:ascii="Arial" w:hAnsi="Arial" w:cs="Arial" w:eastAsia="Arial" w:hint="default"/>
                <w:spacing w:val="-5"/>
                <w:sz w:val="18"/>
                <w:szCs w:val="18"/>
              </w:rPr>
              <w:t>2.</w:t>
            </w:r>
            <w:r>
              <w:rPr>
                <w:rFonts w:ascii="宋体" w:hAnsi="宋体" w:cs="宋体" w:eastAsia="宋体" w:hint="default"/>
                <w:spacing w:val="-5"/>
                <w:sz w:val="18"/>
                <w:szCs w:val="18"/>
              </w:rPr>
              <w:t>建设实施</w:t>
            </w:r>
            <w:r>
              <w:rPr>
                <w:rFonts w:ascii="Arial" w:hAnsi="Arial" w:cs="Arial" w:eastAsia="Arial" w:hint="default"/>
                <w:spacing w:val="-5"/>
                <w:sz w:val="18"/>
                <w:szCs w:val="18"/>
              </w:rPr>
              <w:t>“</w:t>
            </w:r>
            <w:r>
              <w:rPr>
                <w:rFonts w:ascii="宋体" w:hAnsi="宋体" w:cs="宋体" w:eastAsia="宋体" w:hint="default"/>
                <w:spacing w:val="-5"/>
                <w:sz w:val="18"/>
                <w:szCs w:val="18"/>
              </w:rPr>
              <w:t>华宇（大连）研发基地项目</w:t>
            </w:r>
            <w:r>
              <w:rPr>
                <w:rFonts w:ascii="Arial" w:hAnsi="Arial" w:cs="Arial" w:eastAsia="Arial" w:hint="default"/>
                <w:spacing w:val="-5"/>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6" w:right="0"/>
              <w:jc w:val="center"/>
              <w:rPr>
                <w:rFonts w:ascii="Arial" w:hAnsi="Arial" w:cs="Arial" w:eastAsia="Arial" w:hint="default"/>
                <w:sz w:val="18"/>
                <w:szCs w:val="18"/>
              </w:rPr>
            </w:pPr>
            <w:r>
              <w:rPr>
                <w:rFonts w:ascii="Arial"/>
                <w:sz w:val="18"/>
              </w:rPr>
              <w:t>10,000.00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10,000.00</w:t>
            </w:r>
          </w:p>
        </w:tc>
        <w:tc>
          <w:tcPr>
            <w:tcW w:w="60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10,153.42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Arial" w:hAnsi="Arial" w:cs="Arial" w:eastAsia="Arial" w:hint="default"/>
                <w:sz w:val="18"/>
                <w:szCs w:val="18"/>
              </w:rPr>
              <w:t>05</w:t>
            </w:r>
            <w:r>
              <w:rPr>
                <w:rFonts w:ascii="Arial" w:hAnsi="Arial" w:cs="Arial" w:eastAsia="Arial"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w:hAnsi="Arial" w:cs="Arial" w:eastAsia="Arial" w:hint="default"/>
                <w:sz w:val="18"/>
                <w:szCs w:val="18"/>
              </w:rPr>
              <w:t>19</w:t>
            </w:r>
            <w:r>
              <w:rPr>
                <w:rFonts w:ascii="Arial" w:hAnsi="Arial" w:cs="Arial" w:eastAsia="Arial" w:hint="default"/>
                <w:spacing w:val="-20"/>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0"/>
              <w:ind w:left="24" w:right="54"/>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参股深圳市捷视飞通科技股份有限公 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04" w:right="0"/>
              <w:jc w:val="center"/>
              <w:rPr>
                <w:rFonts w:ascii="Arial" w:hAnsi="Arial" w:cs="Arial" w:eastAsia="Arial" w:hint="default"/>
                <w:sz w:val="18"/>
                <w:szCs w:val="18"/>
              </w:rPr>
            </w:pPr>
            <w:r>
              <w:rPr>
                <w:rFonts w:ascii="Arial"/>
                <w:sz w:val="18"/>
              </w:rPr>
              <w:t>3,000.00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3,000.00</w:t>
            </w:r>
          </w:p>
        </w:tc>
        <w:tc>
          <w:tcPr>
            <w:tcW w:w="60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1"/>
                <w:sz w:val="18"/>
              </w:rPr>
              <w:t>3,000.00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Arial" w:hAnsi="Arial" w:cs="Arial" w:eastAsia="Arial" w:hint="default"/>
                <w:sz w:val="18"/>
                <w:szCs w:val="18"/>
              </w:rPr>
              <w:t>10</w:t>
            </w:r>
            <w:r>
              <w:rPr>
                <w:rFonts w:ascii="Arial" w:hAnsi="Arial" w:cs="Arial" w:eastAsia="Arial"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w:hAnsi="Arial" w:cs="Arial" w:eastAsia="Arial" w:hint="default"/>
                <w:sz w:val="18"/>
                <w:szCs w:val="18"/>
              </w:rPr>
              <w:t>13</w:t>
            </w:r>
            <w:r>
              <w:rPr>
                <w:rFonts w:ascii="Arial" w:hAnsi="Arial" w:cs="Arial" w:eastAsia="Arial" w:hint="default"/>
                <w:spacing w:val="-20"/>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收购上海浦东华宇信息技术有限公司</w:t>
            </w:r>
          </w:p>
          <w:p>
            <w:pPr>
              <w:pStyle w:val="TableParagraph"/>
              <w:spacing w:line="240" w:lineRule="auto" w:before="63"/>
              <w:ind w:left="24" w:right="0"/>
              <w:jc w:val="left"/>
              <w:rPr>
                <w:rFonts w:ascii="宋体" w:hAnsi="宋体" w:cs="宋体" w:eastAsia="宋体" w:hint="default"/>
                <w:sz w:val="18"/>
                <w:szCs w:val="18"/>
              </w:rPr>
            </w:pPr>
            <w:r>
              <w:rPr>
                <w:rFonts w:ascii="Arial" w:hAnsi="Arial" w:cs="Arial" w:eastAsia="Arial" w:hint="default"/>
                <w:sz w:val="18"/>
                <w:szCs w:val="18"/>
              </w:rPr>
              <w:t>90.185%</w:t>
            </w:r>
            <w:r>
              <w:rPr>
                <w:rFonts w:ascii="宋体" w:hAnsi="宋体" w:cs="宋体" w:eastAsia="宋体" w:hint="default"/>
                <w:sz w:val="18"/>
                <w:szCs w:val="18"/>
              </w:rPr>
              <w:t>股权</w:t>
            </w:r>
          </w:p>
        </w:tc>
        <w:tc>
          <w:tcPr>
            <w:tcW w:w="85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4" w:right="0"/>
              <w:jc w:val="center"/>
              <w:rPr>
                <w:rFonts w:ascii="Arial" w:hAnsi="Arial" w:cs="Arial" w:eastAsia="Arial" w:hint="default"/>
                <w:sz w:val="18"/>
                <w:szCs w:val="18"/>
              </w:rPr>
            </w:pPr>
            <w:r>
              <w:rPr>
                <w:rFonts w:ascii="Arial"/>
                <w:sz w:val="18"/>
              </w:rPr>
              <w:t>5,500.00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5,500.00</w:t>
            </w:r>
          </w:p>
        </w:tc>
        <w:tc>
          <w:tcPr>
            <w:tcW w:w="60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1"/>
                <w:sz w:val="18"/>
              </w:rPr>
              <w:t>5,500.00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Arial" w:hAnsi="Arial" w:cs="Arial" w:eastAsia="Arial" w:hint="default"/>
                <w:sz w:val="18"/>
                <w:szCs w:val="18"/>
              </w:rPr>
              <w:t>01</w:t>
            </w:r>
            <w:r>
              <w:rPr>
                <w:rFonts w:ascii="Arial" w:hAnsi="Arial" w:cs="Arial" w:eastAsia="Arial"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Arial" w:hAnsi="Arial" w:cs="Arial" w:eastAsia="Arial" w:hint="default"/>
                <w:sz w:val="18"/>
                <w:szCs w:val="18"/>
              </w:rPr>
              <w:t>21</w:t>
            </w:r>
            <w:r>
              <w:rPr>
                <w:rFonts w:ascii="Arial" w:hAnsi="Arial" w:cs="Arial" w:eastAsia="Arial" w:hint="default"/>
                <w:spacing w:val="-20"/>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headerReference w:type="default" r:id="rId19"/>
          <w:footerReference w:type="default" r:id="rId20"/>
          <w:pgSz w:w="16840" w:h="11910" w:orient="landscape"/>
          <w:pgMar w:header="868" w:footer="978" w:top="1060" w:bottom="1220" w:left="1320" w:right="1320"/>
          <w:pgNumType w:start="33"/>
        </w:sectPr>
      </w:pPr>
    </w:p>
    <w:p>
      <w:pPr>
        <w:spacing w:line="240" w:lineRule="auto" w:before="1"/>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3119"/>
        <w:gridCol w:w="850"/>
        <w:gridCol w:w="960"/>
        <w:gridCol w:w="992"/>
        <w:gridCol w:w="600"/>
        <w:gridCol w:w="992"/>
        <w:gridCol w:w="992"/>
        <w:gridCol w:w="1560"/>
        <w:gridCol w:w="992"/>
        <w:gridCol w:w="992"/>
        <w:gridCol w:w="851"/>
        <w:gridCol w:w="992"/>
      </w:tblGrid>
      <w:tr>
        <w:trPr>
          <w:trHeight w:val="417" w:hRule="exact"/>
        </w:trPr>
        <w:tc>
          <w:tcPr>
            <w:tcW w:w="3119" w:type="dxa"/>
            <w:tcBorders>
              <w:top w:val="single" w:sz="16"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850" w:type="dxa"/>
            <w:tcBorders>
              <w:top w:val="single" w:sz="16"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Arial" w:hAnsi="Arial" w:cs="Arial" w:eastAsia="Arial" w:hint="default"/>
                <w:sz w:val="18"/>
                <w:szCs w:val="18"/>
              </w:rPr>
            </w:pPr>
            <w:r>
              <w:rPr>
                <w:rFonts w:ascii="Arial"/>
                <w:sz w:val="18"/>
              </w:rPr>
              <w:t>--</w:t>
            </w:r>
          </w:p>
        </w:tc>
        <w:tc>
          <w:tcPr>
            <w:tcW w:w="960"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3,000.00</w:t>
            </w:r>
          </w:p>
        </w:tc>
        <w:tc>
          <w:tcPr>
            <w:tcW w:w="992"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3,000.00</w:t>
            </w:r>
          </w:p>
        </w:tc>
        <w:tc>
          <w:tcPr>
            <w:tcW w:w="600" w:type="dxa"/>
            <w:tcBorders>
              <w:top w:val="single" w:sz="16" w:space="0" w:color="000000"/>
              <w:left w:val="single" w:sz="4" w:space="0" w:color="000000"/>
              <w:bottom w:val="single" w:sz="4" w:space="0" w:color="000000"/>
              <w:right w:val="single" w:sz="4" w:space="0" w:color="000000"/>
            </w:tcBorders>
          </w:tcPr>
          <w:p>
            <w:pPr/>
          </w:p>
        </w:tc>
        <w:tc>
          <w:tcPr>
            <w:tcW w:w="992"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3,000.00</w:t>
            </w:r>
          </w:p>
        </w:tc>
        <w:tc>
          <w:tcPr>
            <w:tcW w:w="992"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100.00%</w:t>
            </w:r>
          </w:p>
        </w:tc>
        <w:tc>
          <w:tcPr>
            <w:tcW w:w="1560" w:type="dxa"/>
            <w:tcBorders>
              <w:top w:val="single" w:sz="16"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Arial" w:hAnsi="Arial" w:cs="Arial" w:eastAsia="Arial" w:hint="default"/>
                <w:sz w:val="18"/>
                <w:szCs w:val="18"/>
              </w:rPr>
            </w:pPr>
            <w:r>
              <w:rPr>
                <w:rFonts w:ascii="Arial"/>
                <w:sz w:val="18"/>
              </w:rPr>
              <w:t>--</w:t>
            </w:r>
          </w:p>
        </w:tc>
        <w:tc>
          <w:tcPr>
            <w:tcW w:w="992" w:type="dxa"/>
            <w:tcBorders>
              <w:top w:val="single" w:sz="16"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Arial" w:hAnsi="Arial" w:cs="Arial" w:eastAsia="Arial" w:hint="default"/>
                <w:sz w:val="18"/>
                <w:szCs w:val="18"/>
              </w:rPr>
            </w:pPr>
            <w:r>
              <w:rPr>
                <w:rFonts w:ascii="Arial"/>
                <w:sz w:val="18"/>
              </w:rPr>
              <w:t>--</w:t>
            </w:r>
          </w:p>
        </w:tc>
        <w:tc>
          <w:tcPr>
            <w:tcW w:w="992" w:type="dxa"/>
            <w:tcBorders>
              <w:top w:val="single" w:sz="16"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Arial" w:hAnsi="Arial" w:cs="Arial" w:eastAsia="Arial" w:hint="default"/>
                <w:sz w:val="18"/>
                <w:szCs w:val="18"/>
              </w:rPr>
            </w:pPr>
            <w:r>
              <w:rPr>
                <w:rFonts w:ascii="Arial"/>
                <w:sz w:val="18"/>
              </w:rPr>
              <w:t>--</w:t>
            </w:r>
          </w:p>
        </w:tc>
        <w:tc>
          <w:tcPr>
            <w:tcW w:w="851" w:type="dxa"/>
            <w:tcBorders>
              <w:top w:val="single" w:sz="16"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Arial" w:hAnsi="Arial" w:cs="Arial" w:eastAsia="Arial" w:hint="default"/>
                <w:sz w:val="18"/>
                <w:szCs w:val="18"/>
              </w:rPr>
            </w:pPr>
            <w:r>
              <w:rPr>
                <w:rFonts w:ascii="Arial"/>
                <w:sz w:val="18"/>
              </w:rPr>
              <w:t>--</w:t>
            </w:r>
          </w:p>
        </w:tc>
        <w:tc>
          <w:tcPr>
            <w:tcW w:w="992" w:type="dxa"/>
            <w:tcBorders>
              <w:top w:val="single" w:sz="16"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Arial" w:hAnsi="Arial" w:cs="Arial" w:eastAsia="Arial" w:hint="default"/>
                <w:sz w:val="18"/>
                <w:szCs w:val="18"/>
              </w:rPr>
            </w:pPr>
            <w:r>
              <w:rPr>
                <w:rFonts w:ascii="Arial"/>
                <w:sz w:val="18"/>
              </w:rPr>
              <w:t>--</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Arial" w:hAnsi="Arial" w:cs="Arial" w:eastAsia="Arial" w:hint="default"/>
                <w:sz w:val="18"/>
                <w:szCs w:val="18"/>
              </w:rPr>
            </w:pPr>
            <w:r>
              <w:rPr>
                <w:rFonts w:ascii="Arial"/>
                <w:sz w:val="18"/>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16,312.35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16,312.35</w:t>
            </w:r>
          </w:p>
        </w:tc>
        <w:tc>
          <w:tcPr>
            <w:tcW w:w="60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16,312.35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100.00%</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Arial" w:hAnsi="Arial" w:cs="Arial" w:eastAsia="Arial" w:hint="default"/>
                <w:sz w:val="18"/>
                <w:szCs w:val="18"/>
              </w:rPr>
            </w:pPr>
            <w:r>
              <w:rPr>
                <w:rFonts w:ascii="Arial"/>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Arial" w:hAnsi="Arial" w:cs="Arial" w:eastAsia="Arial" w:hint="default"/>
                <w:sz w:val="18"/>
                <w:szCs w:val="18"/>
              </w:rPr>
            </w:pPr>
            <w:r>
              <w:rPr>
                <w:rFonts w:ascii="Arial"/>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Arial" w:hAnsi="Arial" w:cs="Arial" w:eastAsia="Arial" w:hint="default"/>
                <w:sz w:val="18"/>
                <w:szCs w:val="18"/>
              </w:rPr>
            </w:pPr>
            <w:r>
              <w:rPr>
                <w:rFonts w:ascii="Arial"/>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Arial" w:hAnsi="Arial" w:cs="Arial" w:eastAsia="Arial" w:hint="default"/>
                <w:sz w:val="18"/>
                <w:szCs w:val="18"/>
              </w:rPr>
            </w:pPr>
            <w:r>
              <w:rPr>
                <w:rFonts w:ascii="Arial"/>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Arial" w:hAnsi="Arial" w:cs="Arial" w:eastAsia="Arial" w:hint="default"/>
                <w:sz w:val="18"/>
                <w:szCs w:val="18"/>
              </w:rPr>
            </w:pPr>
            <w:r>
              <w:rPr>
                <w:rFonts w:ascii="Arial"/>
                <w:sz w:val="18"/>
              </w:rPr>
              <w:t>--</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Arial" w:hAnsi="Arial" w:cs="Arial" w:eastAsia="Arial" w:hint="default"/>
                <w:sz w:val="18"/>
                <w:szCs w:val="18"/>
              </w:rPr>
            </w:pPr>
            <w:r>
              <w:rPr>
                <w:rFonts w:ascii="Arial"/>
                <w:sz w:val="18"/>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38,985.35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38,985.35</w:t>
            </w:r>
          </w:p>
        </w:tc>
        <w:tc>
          <w:tcPr>
            <w:tcW w:w="60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39,138.77</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Arial" w:hAnsi="Arial" w:cs="Arial" w:eastAsia="Arial" w:hint="default"/>
                <w:sz w:val="18"/>
                <w:szCs w:val="18"/>
              </w:rPr>
            </w:pPr>
            <w:r>
              <w:rPr>
                <w:rFonts w:ascii="Arial"/>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Arial" w:hAnsi="Arial" w:cs="Arial" w:eastAsia="Arial" w:hint="default"/>
                <w:sz w:val="18"/>
                <w:szCs w:val="18"/>
              </w:rPr>
            </w:pPr>
            <w:r>
              <w:rPr>
                <w:rFonts w:ascii="Arial"/>
                <w:sz w:val="18"/>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Arial" w:hAnsi="Arial" w:cs="Arial" w:eastAsia="Arial" w:hint="default"/>
                <w:sz w:val="18"/>
                <w:szCs w:val="18"/>
              </w:rPr>
            </w:pPr>
            <w:r>
              <w:rPr>
                <w:rFonts w:ascii="Arial"/>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Arial" w:hAnsi="Arial" w:cs="Arial" w:eastAsia="Arial" w:hint="default"/>
                <w:sz w:val="18"/>
                <w:szCs w:val="18"/>
              </w:rPr>
            </w:pPr>
            <w:r>
              <w:rPr>
                <w:rFonts w:ascii="Arial"/>
                <w:sz w:val="18"/>
              </w:rPr>
              <w:t>--</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Arial" w:hAnsi="Arial" w:cs="Arial" w:eastAsia="Arial" w:hint="default"/>
                <w:sz w:val="18"/>
                <w:szCs w:val="18"/>
              </w:rPr>
            </w:pPr>
            <w:r>
              <w:rPr>
                <w:rFonts w:ascii="Arial"/>
                <w:sz w:val="18"/>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106,462.87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101,485.46</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 w:right="0"/>
              <w:jc w:val="left"/>
              <w:rPr>
                <w:rFonts w:ascii="Arial" w:hAnsi="Arial" w:cs="Arial" w:eastAsia="Arial" w:hint="default"/>
                <w:sz w:val="18"/>
                <w:szCs w:val="18"/>
              </w:rPr>
            </w:pPr>
            <w:r>
              <w:rPr>
                <w:rFonts w:ascii="Arial"/>
                <w:sz w:val="18"/>
              </w:rPr>
              <w:t>251.11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101,661.55</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Arial" w:hAnsi="Arial" w:cs="Arial" w:eastAsia="Arial" w:hint="default"/>
                <w:sz w:val="18"/>
                <w:szCs w:val="18"/>
              </w:rPr>
            </w:pPr>
            <w:r>
              <w:rPr>
                <w:rFonts w:ascii="Arial"/>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Arial" w:hAnsi="Arial" w:cs="Arial" w:eastAsia="Arial" w:hint="default"/>
                <w:sz w:val="18"/>
                <w:szCs w:val="18"/>
              </w:rPr>
            </w:pPr>
            <w:r>
              <w:rPr>
                <w:rFonts w:ascii="Arial"/>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6" w:right="0"/>
              <w:jc w:val="center"/>
              <w:rPr>
                <w:rFonts w:ascii="Arial" w:hAnsi="Arial" w:cs="Arial" w:eastAsia="Arial" w:hint="default"/>
                <w:sz w:val="18"/>
                <w:szCs w:val="18"/>
              </w:rPr>
            </w:pPr>
            <w:r>
              <w:rPr>
                <w:rFonts w:ascii="Arial"/>
                <w:sz w:val="18"/>
              </w:rPr>
              <w:t>16,199.87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8" w:right="0"/>
              <w:jc w:val="left"/>
              <w:rPr>
                <w:rFonts w:ascii="Arial" w:hAnsi="Arial" w:cs="Arial" w:eastAsia="Arial" w:hint="default"/>
                <w:sz w:val="18"/>
                <w:szCs w:val="18"/>
              </w:rPr>
            </w:pPr>
            <w:r>
              <w:rPr>
                <w:rFonts w:ascii="Arial"/>
                <w:sz w:val="18"/>
              </w:rPr>
              <w:t>44,214.81</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Arial" w:hAnsi="Arial" w:cs="Arial" w:eastAsia="Arial" w:hint="default"/>
                <w:sz w:val="18"/>
                <w:szCs w:val="18"/>
              </w:rPr>
            </w:pPr>
            <w:r>
              <w:rPr>
                <w:rFonts w:ascii="Arial"/>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Arial" w:hAnsi="Arial" w:cs="Arial" w:eastAsia="Arial" w:hint="default"/>
                <w:sz w:val="18"/>
                <w:szCs w:val="18"/>
              </w:rPr>
            </w:pPr>
            <w:r>
              <w:rPr>
                <w:rFonts w:ascii="Arial"/>
                <w:sz w:val="18"/>
              </w:rPr>
              <w:t>--</w:t>
            </w:r>
          </w:p>
        </w:tc>
      </w:tr>
      <w:tr>
        <w:trPr>
          <w:trHeight w:val="2978"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9"/>
              <w:ind w:left="24" w:right="23"/>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未达到计划进度或预计收益的情况和原 因（分具体项目）</w:t>
            </w:r>
          </w:p>
        </w:tc>
        <w:tc>
          <w:tcPr>
            <w:tcW w:w="1077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Arial" w:hAnsi="Arial" w:cs="Arial" w:eastAsia="Arial" w:hint="default"/>
                <w:w w:val="99"/>
                <w:sz w:val="18"/>
                <w:szCs w:val="18"/>
              </w:rPr>
              <w:t>20</w:t>
            </w:r>
            <w:r>
              <w:rPr>
                <w:rFonts w:ascii="Arial" w:hAnsi="Arial" w:cs="Arial" w:eastAsia="Arial" w:hint="default"/>
                <w:spacing w:val="-12"/>
                <w:w w:val="99"/>
                <w:sz w:val="18"/>
                <w:szCs w:val="18"/>
              </w:rPr>
              <w:t>1</w:t>
            </w:r>
            <w:r>
              <w:rPr>
                <w:rFonts w:ascii="Arial" w:hAnsi="Arial" w:cs="Arial" w:eastAsia="Arial" w:hint="default"/>
                <w:w w:val="99"/>
                <w:sz w:val="18"/>
                <w:szCs w:val="18"/>
              </w:rPr>
              <w:t>1</w:t>
            </w:r>
            <w:r>
              <w:rPr>
                <w:rFonts w:ascii="Arial" w:hAnsi="Arial" w:cs="Arial" w:eastAsia="Arial"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w w:val="99"/>
                <w:sz w:val="18"/>
                <w:szCs w:val="18"/>
              </w:rPr>
              <w:t>10</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w w:val="99"/>
                <w:sz w:val="18"/>
                <w:szCs w:val="18"/>
              </w:rPr>
              <w:t>26</w:t>
            </w:r>
            <w:r>
              <w:rPr>
                <w:rFonts w:ascii="Arial" w:hAnsi="Arial" w:cs="Arial" w:eastAsia="Arial" w:hint="default"/>
                <w:spacing w:val="-7"/>
                <w:sz w:val="18"/>
                <w:szCs w:val="18"/>
              </w:rPr>
              <w:t> </w:t>
            </w:r>
            <w:r>
              <w:rPr>
                <w:rFonts w:ascii="宋体" w:hAnsi="宋体" w:cs="宋体" w:eastAsia="宋体" w:hint="default"/>
                <w:sz w:val="18"/>
                <w:szCs w:val="18"/>
              </w:rPr>
              <w:t>日在深圳证券交易所创业板挂牌上市</w:t>
            </w:r>
            <w:r>
              <w:rPr>
                <w:rFonts w:ascii="宋体" w:hAnsi="宋体" w:cs="宋体" w:eastAsia="宋体" w:hint="default"/>
                <w:spacing w:val="-80"/>
                <w:sz w:val="18"/>
                <w:szCs w:val="18"/>
              </w:rPr>
              <w:t>，</w:t>
            </w:r>
            <w:r>
              <w:rPr>
                <w:rFonts w:ascii="宋体" w:hAnsi="宋体" w:cs="宋体" w:eastAsia="宋体" w:hint="default"/>
                <w:sz w:val="18"/>
                <w:szCs w:val="18"/>
              </w:rPr>
              <w:t>在此之前公司尚未取得募集资金</w:t>
            </w:r>
            <w:r>
              <w:rPr>
                <w:rFonts w:ascii="宋体" w:hAnsi="宋体" w:cs="宋体" w:eastAsia="宋体" w:hint="default"/>
                <w:spacing w:val="-80"/>
                <w:sz w:val="18"/>
                <w:szCs w:val="18"/>
              </w:rPr>
              <w:t>，</w:t>
            </w:r>
            <w:r>
              <w:rPr>
                <w:rFonts w:ascii="宋体" w:hAnsi="宋体" w:cs="宋体" w:eastAsia="宋体" w:hint="default"/>
                <w:sz w:val="18"/>
                <w:szCs w:val="18"/>
              </w:rPr>
              <w:t>由于存在资金缺口</w:t>
            </w:r>
            <w:r>
              <w:rPr>
                <w:rFonts w:ascii="宋体" w:hAnsi="宋体" w:cs="宋体" w:eastAsia="宋体" w:hint="default"/>
                <w:spacing w:val="-80"/>
                <w:sz w:val="18"/>
                <w:szCs w:val="18"/>
              </w:rPr>
              <w:t>，</w:t>
            </w:r>
            <w:r>
              <w:rPr>
                <w:rFonts w:ascii="宋体" w:hAnsi="宋体" w:cs="宋体" w:eastAsia="宋体" w:hint="default"/>
                <w:sz w:val="18"/>
                <w:szCs w:val="18"/>
              </w:rPr>
              <w:t>公司在</w:t>
            </w:r>
            <w:r>
              <w:rPr>
                <w:rFonts w:ascii="宋体" w:hAnsi="宋体" w:cs="宋体" w:eastAsia="宋体" w:hint="default"/>
                <w:spacing w:val="-45"/>
                <w:sz w:val="18"/>
                <w:szCs w:val="18"/>
              </w:rPr>
              <w:t> </w:t>
            </w:r>
            <w:r>
              <w:rPr>
                <w:rFonts w:ascii="Arial" w:hAnsi="Arial" w:cs="Arial" w:eastAsia="Arial" w:hint="default"/>
                <w:w w:val="99"/>
                <w:sz w:val="18"/>
                <w:szCs w:val="18"/>
              </w:rPr>
              <w:t>2009</w:t>
            </w:r>
            <w:r>
              <w:rPr>
                <w:rFonts w:ascii="Arial" w:hAnsi="Arial" w:cs="Arial" w:eastAsia="Arial" w:hint="default"/>
                <w:sz w:val="18"/>
                <w:szCs w:val="18"/>
              </w:rPr>
              <w:t> </w:t>
            </w:r>
            <w:r>
              <w:rPr>
                <w:rFonts w:ascii="Arial" w:hAnsi="Arial" w:cs="Arial" w:eastAsia="Arial" w:hint="default"/>
                <w:spacing w:val="-11"/>
                <w:sz w:val="18"/>
                <w:szCs w:val="18"/>
              </w:rPr>
              <w:t> </w:t>
            </w:r>
            <w:r>
              <w:rPr>
                <w:rFonts w:ascii="宋体" w:hAnsi="宋体" w:cs="宋体" w:eastAsia="宋体" w:hint="default"/>
                <w:sz w:val="18"/>
                <w:szCs w:val="18"/>
              </w:rPr>
              <w:t>年</w:t>
            </w:r>
          </w:p>
          <w:p>
            <w:pPr>
              <w:pStyle w:val="TableParagraph"/>
              <w:spacing w:line="309" w:lineRule="auto" w:before="63"/>
              <w:ind w:left="22" w:right="20"/>
              <w:jc w:val="both"/>
              <w:rPr>
                <w:rFonts w:ascii="宋体" w:hAnsi="宋体" w:cs="宋体" w:eastAsia="宋体" w:hint="default"/>
                <w:sz w:val="18"/>
                <w:szCs w:val="18"/>
              </w:rPr>
            </w:pPr>
            <w:r>
              <w:rPr>
                <w:rFonts w:ascii="宋体" w:hAnsi="宋体" w:cs="宋体" w:eastAsia="宋体" w:hint="default"/>
                <w:sz w:val="18"/>
                <w:szCs w:val="18"/>
              </w:rPr>
              <w:t>或</w:t>
            </w:r>
            <w:r>
              <w:rPr>
                <w:rFonts w:ascii="宋体" w:hAnsi="宋体" w:cs="宋体" w:eastAsia="宋体" w:hint="default"/>
                <w:spacing w:val="-60"/>
                <w:sz w:val="18"/>
                <w:szCs w:val="18"/>
              </w:rPr>
              <w:t> </w:t>
            </w:r>
            <w:r>
              <w:rPr>
                <w:rFonts w:ascii="Arial" w:hAnsi="Arial" w:cs="Arial" w:eastAsia="Arial" w:hint="default"/>
                <w:sz w:val="18"/>
                <w:szCs w:val="18"/>
              </w:rPr>
              <w:t>2010</w:t>
            </w:r>
            <w:r>
              <w:rPr>
                <w:rFonts w:ascii="Arial" w:hAnsi="Arial" w:cs="Arial" w:eastAsia="Arial" w:hint="default"/>
                <w:spacing w:val="-22"/>
                <w:sz w:val="18"/>
                <w:szCs w:val="18"/>
              </w:rPr>
              <w:t> </w:t>
            </w:r>
            <w:r>
              <w:rPr>
                <w:rFonts w:ascii="宋体" w:hAnsi="宋体" w:cs="宋体" w:eastAsia="宋体" w:hint="default"/>
                <w:sz w:val="18"/>
                <w:szCs w:val="18"/>
              </w:rPr>
              <w:t>年起仅以自筹资金的方式对五个募集资金投资项目进行了小规模投入，也取得了部分阶段性成果，但总体来说并未按照募集资金 </w:t>
            </w:r>
            <w:r>
              <w:rPr>
                <w:rFonts w:ascii="宋体" w:hAnsi="宋体" w:cs="宋体" w:eastAsia="宋体" w:hint="default"/>
                <w:spacing w:val="-2"/>
                <w:sz w:val="18"/>
                <w:szCs w:val="18"/>
              </w:rPr>
              <w:t>投资项目原定计划进行实施。近两年业界基于云计算、物联网等技术的应用逐渐成熟，将成为未来一段时期内行业信息化建设的重点和亮</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点，结合公司主营行业信息化建设的要求和特点，增加对这些技术的应用将带来更大的经济效益和社会效益。</w:t>
            </w:r>
          </w:p>
          <w:p>
            <w:pPr>
              <w:pStyle w:val="TableParagraph"/>
              <w:spacing w:line="316" w:lineRule="auto" w:before="65"/>
              <w:ind w:left="22" w:right="20" w:firstLine="360"/>
              <w:jc w:val="both"/>
              <w:rPr>
                <w:rFonts w:ascii="宋体" w:hAnsi="宋体" w:cs="宋体" w:eastAsia="宋体" w:hint="default"/>
                <w:sz w:val="18"/>
                <w:szCs w:val="18"/>
              </w:rPr>
            </w:pPr>
            <w:r>
              <w:rPr>
                <w:rFonts w:ascii="宋体" w:hAnsi="宋体" w:cs="宋体" w:eastAsia="宋体" w:hint="default"/>
                <w:spacing w:val="-2"/>
                <w:sz w:val="18"/>
                <w:szCs w:val="18"/>
              </w:rPr>
              <w:t>因此，华宇软件在对市场情况进行充分分析后，对五个募集资金投资项目的研发计划做了相应的调整，使募集资金投资项目更具市场</w:t>
            </w:r>
            <w:r>
              <w:rPr>
                <w:rFonts w:ascii="宋体" w:hAnsi="宋体" w:cs="宋体" w:eastAsia="宋体" w:hint="default"/>
                <w:sz w:val="18"/>
                <w:szCs w:val="18"/>
              </w:rPr>
              <w:t> 性和领先性，符合公司长期发展的需要。截止目前，公司五个募集资金投资项目均已按计划结项。</w:t>
            </w:r>
          </w:p>
          <w:p>
            <w:pPr>
              <w:pStyle w:val="TableParagraph"/>
              <w:spacing w:line="309" w:lineRule="auto" w:before="57"/>
              <w:ind w:left="22" w:right="20" w:firstLine="36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4"/>
                <w:sz w:val="18"/>
                <w:szCs w:val="18"/>
              </w:rPr>
              <w:t> </w:t>
            </w:r>
            <w:r>
              <w:rPr>
                <w:rFonts w:ascii="Arial" w:hAnsi="Arial" w:cs="Arial" w:eastAsia="Arial" w:hint="default"/>
                <w:sz w:val="18"/>
                <w:szCs w:val="18"/>
              </w:rPr>
              <w:t>2014</w:t>
            </w:r>
            <w:r>
              <w:rPr>
                <w:rFonts w:ascii="Arial" w:hAnsi="Arial" w:cs="Arial" w:eastAsia="Arial" w:hint="default"/>
                <w:spacing w:val="-18"/>
                <w:sz w:val="18"/>
                <w:szCs w:val="18"/>
              </w:rPr>
              <w:t> </w:t>
            </w:r>
            <w:r>
              <w:rPr>
                <w:rFonts w:ascii="宋体" w:hAnsi="宋体" w:cs="宋体" w:eastAsia="宋体" w:hint="default"/>
                <w:sz w:val="18"/>
                <w:szCs w:val="18"/>
              </w:rPr>
              <w:t>年参股投资捷视飞通，投资金额</w:t>
            </w:r>
            <w:r>
              <w:rPr>
                <w:rFonts w:ascii="宋体" w:hAnsi="宋体" w:cs="宋体" w:eastAsia="宋体" w:hint="default"/>
                <w:spacing w:val="-54"/>
                <w:sz w:val="18"/>
                <w:szCs w:val="18"/>
              </w:rPr>
              <w:t> </w:t>
            </w:r>
            <w:r>
              <w:rPr>
                <w:rFonts w:ascii="Arial" w:hAnsi="Arial" w:cs="Arial" w:eastAsia="Arial" w:hint="default"/>
                <w:sz w:val="18"/>
                <w:szCs w:val="18"/>
              </w:rPr>
              <w:t>3,000</w:t>
            </w:r>
            <w:r>
              <w:rPr>
                <w:rFonts w:ascii="Arial" w:hAnsi="Arial" w:cs="Arial" w:eastAsia="Arial" w:hint="default"/>
                <w:spacing w:val="-14"/>
                <w:sz w:val="18"/>
                <w:szCs w:val="18"/>
              </w:rPr>
              <w:t> </w:t>
            </w:r>
            <w:r>
              <w:rPr>
                <w:rFonts w:ascii="宋体" w:hAnsi="宋体" w:cs="宋体" w:eastAsia="宋体" w:hint="default"/>
                <w:sz w:val="18"/>
                <w:szCs w:val="18"/>
              </w:rPr>
              <w:t>万元。基于长期发展需要，捷视飞通近几年持续加大了研发、销售方面的投入，导 </w:t>
            </w:r>
            <w:r>
              <w:rPr>
                <w:rFonts w:ascii="宋体" w:hAnsi="宋体" w:cs="宋体" w:eastAsia="宋体" w:hint="default"/>
                <w:spacing w:val="-2"/>
                <w:sz w:val="18"/>
                <w:szCs w:val="18"/>
              </w:rPr>
              <w:t>致短期业绩表现不及预期，未能实现公司的业绩承诺。但这些投入为捷视飞通的长期发展奠定了基础，使其品牌影响力、产品竞争力都得</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到提高。公司该笔投资最新公允价值为</w:t>
            </w:r>
            <w:r>
              <w:rPr>
                <w:rFonts w:ascii="宋体" w:hAnsi="宋体" w:cs="宋体" w:eastAsia="宋体" w:hint="default"/>
                <w:spacing w:val="-47"/>
                <w:sz w:val="18"/>
                <w:szCs w:val="18"/>
              </w:rPr>
              <w:t> </w:t>
            </w:r>
            <w:r>
              <w:rPr>
                <w:rFonts w:ascii="Arial" w:hAnsi="Arial" w:cs="Arial" w:eastAsia="Arial" w:hint="default"/>
                <w:sz w:val="18"/>
                <w:szCs w:val="18"/>
              </w:rPr>
              <w:t>7,200</w:t>
            </w:r>
            <w:r>
              <w:rPr>
                <w:rFonts w:ascii="Arial" w:hAnsi="Arial" w:cs="Arial" w:eastAsia="Arial" w:hint="default"/>
                <w:spacing w:val="-9"/>
                <w:sz w:val="18"/>
                <w:szCs w:val="18"/>
              </w:rPr>
              <w:t> </w:t>
            </w:r>
            <w:r>
              <w:rPr>
                <w:rFonts w:ascii="宋体" w:hAnsi="宋体" w:cs="宋体" w:eastAsia="宋体" w:hint="default"/>
                <w:sz w:val="18"/>
                <w:szCs w:val="18"/>
              </w:rPr>
              <w:t>万元。</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项目可行性发生重大变化的情况说明</w:t>
            </w:r>
          </w:p>
        </w:tc>
        <w:tc>
          <w:tcPr>
            <w:tcW w:w="1077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超募资金的金额、用途及使用进展情况</w:t>
            </w:r>
          </w:p>
        </w:tc>
        <w:tc>
          <w:tcPr>
            <w:tcW w:w="1077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992" w:hRule="exact"/>
        </w:trPr>
        <w:tc>
          <w:tcPr>
            <w:tcW w:w="3119" w:type="dxa"/>
            <w:vMerge/>
            <w:tcBorders>
              <w:left w:val="single" w:sz="4" w:space="0" w:color="000000"/>
              <w:bottom w:val="single" w:sz="4" w:space="0" w:color="000000"/>
              <w:right w:val="single" w:sz="4" w:space="0" w:color="000000"/>
            </w:tcBorders>
            <w:shd w:val="clear" w:color="auto" w:fill="D2D2D2"/>
          </w:tcPr>
          <w:p>
            <w:pPr/>
          </w:p>
        </w:tc>
        <w:tc>
          <w:tcPr>
            <w:tcW w:w="10773"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58" w:firstLine="360"/>
              <w:jc w:val="left"/>
              <w:rPr>
                <w:rFonts w:ascii="宋体" w:hAnsi="宋体" w:cs="宋体" w:eastAsia="宋体" w:hint="default"/>
                <w:sz w:val="18"/>
                <w:szCs w:val="18"/>
              </w:rPr>
            </w:pPr>
            <w:r>
              <w:rPr>
                <w:rFonts w:ascii="宋体" w:hAnsi="宋体" w:cs="宋体" w:eastAsia="宋体" w:hint="default"/>
                <w:sz w:val="18"/>
                <w:szCs w:val="18"/>
              </w:rPr>
              <w:t>根据本公司《招股说明书》披露的情况，公司首次公开发行并上市募集资金拟投向</w:t>
            </w:r>
            <w:r>
              <w:rPr>
                <w:rFonts w:ascii="Arial" w:hAnsi="Arial" w:cs="Arial" w:eastAsia="Arial" w:hint="default"/>
                <w:sz w:val="18"/>
                <w:szCs w:val="18"/>
              </w:rPr>
              <w:t>“</w:t>
            </w:r>
            <w:r>
              <w:rPr>
                <w:rFonts w:ascii="宋体" w:hAnsi="宋体" w:cs="宋体" w:eastAsia="宋体" w:hint="default"/>
                <w:sz w:val="18"/>
                <w:szCs w:val="18"/>
              </w:rPr>
              <w:t>数字法院智能管理系统</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电子检务管理系统</w:t>
            </w:r>
            <w:r>
              <w:rPr>
                <w:rFonts w:ascii="Arial" w:hAnsi="Arial" w:cs="Arial" w:eastAsia="Arial" w:hint="default"/>
                <w:sz w:val="18"/>
                <w:szCs w:val="18"/>
              </w:rPr>
              <w:t>”</w:t>
            </w:r>
            <w:r>
              <w:rPr>
                <w:rFonts w:ascii="宋体" w:hAnsi="宋体" w:cs="宋体" w:eastAsia="宋体" w:hint="default"/>
                <w:sz w:val="18"/>
                <w:szCs w:val="18"/>
              </w:rPr>
              <w:t>等 五个项目，投资总额为</w:t>
            </w:r>
            <w:r>
              <w:rPr>
                <w:rFonts w:ascii="宋体" w:hAnsi="宋体" w:cs="宋体" w:eastAsia="宋体" w:hint="default"/>
                <w:spacing w:val="-47"/>
                <w:sz w:val="18"/>
                <w:szCs w:val="18"/>
              </w:rPr>
              <w:t> </w:t>
            </w:r>
            <w:r>
              <w:rPr>
                <w:rFonts w:ascii="Arial" w:hAnsi="Arial" w:cs="Arial" w:eastAsia="Arial" w:hint="default"/>
                <w:sz w:val="18"/>
                <w:szCs w:val="18"/>
              </w:rPr>
              <w:t>19,477.52</w:t>
            </w:r>
            <w:r>
              <w:rPr>
                <w:rFonts w:ascii="Arial" w:hAnsi="Arial" w:cs="Arial" w:eastAsia="Arial" w:hint="default"/>
                <w:spacing w:val="-9"/>
                <w:sz w:val="18"/>
                <w:szCs w:val="18"/>
              </w:rPr>
              <w:t> </w:t>
            </w:r>
            <w:r>
              <w:rPr>
                <w:rFonts w:ascii="宋体" w:hAnsi="宋体" w:cs="宋体" w:eastAsia="宋体" w:hint="default"/>
                <w:sz w:val="18"/>
                <w:szCs w:val="18"/>
              </w:rPr>
              <w:t>万元，本公司实际募集资金净额为</w:t>
            </w:r>
            <w:r>
              <w:rPr>
                <w:rFonts w:ascii="宋体" w:hAnsi="宋体" w:cs="宋体" w:eastAsia="宋体" w:hint="default"/>
                <w:spacing w:val="-47"/>
                <w:sz w:val="18"/>
                <w:szCs w:val="18"/>
              </w:rPr>
              <w:t> </w:t>
            </w:r>
            <w:r>
              <w:rPr>
                <w:rFonts w:ascii="Arial" w:hAnsi="Arial" w:cs="Arial" w:eastAsia="Arial" w:hint="default"/>
                <w:sz w:val="18"/>
                <w:szCs w:val="18"/>
              </w:rPr>
              <w:t>51,481.18</w:t>
            </w:r>
            <w:r>
              <w:rPr>
                <w:rFonts w:ascii="Arial" w:hAnsi="Arial" w:cs="Arial" w:eastAsia="Arial" w:hint="default"/>
                <w:spacing w:val="-9"/>
                <w:sz w:val="18"/>
                <w:szCs w:val="18"/>
              </w:rPr>
              <w:t> </w:t>
            </w:r>
            <w:r>
              <w:rPr>
                <w:rFonts w:ascii="宋体" w:hAnsi="宋体" w:cs="宋体" w:eastAsia="宋体" w:hint="default"/>
                <w:sz w:val="18"/>
                <w:szCs w:val="18"/>
              </w:rPr>
              <w:t>万元，超募资金为</w:t>
            </w:r>
            <w:r>
              <w:rPr>
                <w:rFonts w:ascii="宋体" w:hAnsi="宋体" w:cs="宋体" w:eastAsia="宋体" w:hint="default"/>
                <w:spacing w:val="-47"/>
                <w:sz w:val="18"/>
                <w:szCs w:val="18"/>
              </w:rPr>
              <w:t> </w:t>
            </w:r>
            <w:r>
              <w:rPr>
                <w:rFonts w:ascii="Arial" w:hAnsi="Arial" w:cs="Arial" w:eastAsia="Arial" w:hint="default"/>
                <w:sz w:val="18"/>
                <w:szCs w:val="18"/>
              </w:rPr>
              <w:t>32,003.66</w:t>
            </w:r>
            <w:r>
              <w:rPr>
                <w:rFonts w:ascii="Arial" w:hAnsi="Arial" w:cs="Arial" w:eastAsia="Arial" w:hint="default"/>
                <w:spacing w:val="-6"/>
                <w:sz w:val="18"/>
                <w:szCs w:val="18"/>
              </w:rPr>
              <w:t> </w:t>
            </w:r>
            <w:r>
              <w:rPr>
                <w:rFonts w:ascii="宋体" w:hAnsi="宋体" w:cs="宋体" w:eastAsia="宋体" w:hint="default"/>
                <w:sz w:val="18"/>
                <w:szCs w:val="18"/>
              </w:rPr>
              <w:t>万元。截至</w:t>
            </w:r>
            <w:r>
              <w:rPr>
                <w:rFonts w:ascii="宋体" w:hAnsi="宋体" w:cs="宋体" w:eastAsia="宋体" w:hint="default"/>
                <w:spacing w:val="-49"/>
                <w:sz w:val="18"/>
                <w:szCs w:val="18"/>
              </w:rPr>
              <w:t> </w:t>
            </w:r>
            <w:r>
              <w:rPr>
                <w:rFonts w:ascii="Arial" w:hAnsi="Arial" w:cs="Arial" w:eastAsia="Arial" w:hint="default"/>
                <w:sz w:val="18"/>
                <w:szCs w:val="18"/>
              </w:rPr>
              <w:t>2016</w:t>
            </w:r>
            <w:r>
              <w:rPr>
                <w:rFonts w:ascii="Arial" w:hAnsi="Arial" w:cs="Arial" w:eastAsia="Arial"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p>
          <w:p>
            <w:pPr>
              <w:pStyle w:val="TableParagraph"/>
              <w:spacing w:line="240" w:lineRule="auto" w:before="11"/>
              <w:ind w:left="22" w:right="0"/>
              <w:jc w:val="left"/>
              <w:rPr>
                <w:rFonts w:ascii="宋体" w:hAnsi="宋体" w:cs="宋体" w:eastAsia="宋体" w:hint="default"/>
                <w:sz w:val="18"/>
                <w:szCs w:val="18"/>
              </w:rPr>
            </w:pP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日，公司超募资金使用情况如下：</w:t>
            </w:r>
          </w:p>
          <w:p>
            <w:pPr>
              <w:pStyle w:val="TableParagraph"/>
              <w:spacing w:line="240" w:lineRule="auto" w:before="102"/>
              <w:ind w:left="382" w:right="-2"/>
              <w:jc w:val="left"/>
              <w:rPr>
                <w:rFonts w:ascii="宋体" w:hAnsi="宋体" w:cs="宋体" w:eastAsia="宋体" w:hint="default"/>
                <w:sz w:val="18"/>
                <w:szCs w:val="18"/>
              </w:rPr>
            </w:pPr>
            <w:r>
              <w:rPr>
                <w:rFonts w:ascii="Arial" w:hAnsi="Arial" w:cs="Arial" w:eastAsia="Arial" w:hint="default"/>
                <w:w w:val="99"/>
                <w:sz w:val="18"/>
                <w:szCs w:val="18"/>
              </w:rPr>
              <w:t>1</w:t>
            </w:r>
            <w:r>
              <w:rPr>
                <w:rFonts w:ascii="宋体" w:hAnsi="宋体" w:cs="宋体" w:eastAsia="宋体" w:hint="default"/>
                <w:sz w:val="18"/>
                <w:szCs w:val="18"/>
              </w:rPr>
              <w:t>、</w:t>
            </w:r>
            <w:r>
              <w:rPr>
                <w:rFonts w:ascii="Arial" w:hAnsi="Arial" w:cs="Arial" w:eastAsia="Arial" w:hint="default"/>
                <w:w w:val="99"/>
                <w:sz w:val="18"/>
                <w:szCs w:val="18"/>
              </w:rPr>
              <w:t>20</w:t>
            </w:r>
            <w:r>
              <w:rPr>
                <w:rFonts w:ascii="Arial" w:hAnsi="Arial" w:cs="Arial" w:eastAsia="Arial" w:hint="default"/>
                <w:spacing w:val="-12"/>
                <w:w w:val="99"/>
                <w:sz w:val="18"/>
                <w:szCs w:val="18"/>
              </w:rPr>
              <w:t>1</w:t>
            </w:r>
            <w:r>
              <w:rPr>
                <w:rFonts w:ascii="Arial" w:hAnsi="Arial" w:cs="Arial" w:eastAsia="Arial" w:hint="default"/>
                <w:w w:val="99"/>
                <w:sz w:val="18"/>
                <w:szCs w:val="18"/>
              </w:rPr>
              <w:t>1</w:t>
            </w:r>
            <w:r>
              <w:rPr>
                <w:rFonts w:ascii="Arial" w:hAnsi="Arial" w:cs="Arial" w:eastAsia="Arial"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w w:val="99"/>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w w:val="99"/>
                <w:sz w:val="18"/>
                <w:szCs w:val="18"/>
              </w:rPr>
              <w:t>13</w:t>
            </w:r>
            <w:r>
              <w:rPr>
                <w:rFonts w:ascii="Arial" w:hAnsi="Arial" w:cs="Arial" w:eastAsia="Arial" w:hint="default"/>
                <w:spacing w:val="-4"/>
                <w:sz w:val="18"/>
                <w:szCs w:val="18"/>
              </w:rPr>
              <w:t> </w:t>
            </w:r>
            <w:r>
              <w:rPr>
                <w:rFonts w:ascii="宋体" w:hAnsi="宋体" w:cs="宋体" w:eastAsia="宋体" w:hint="default"/>
                <w:sz w:val="18"/>
                <w:szCs w:val="18"/>
              </w:rPr>
              <w:t>日，公司第四届董事会第十次会议审议通过了《使用部分超募资金偿还银行贷款和永久补充流动资金的议案</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同意使用超募资金</w:t>
            </w:r>
            <w:r>
              <w:rPr>
                <w:rFonts w:ascii="宋体" w:hAnsi="宋体" w:cs="宋体" w:eastAsia="宋体" w:hint="default"/>
                <w:spacing w:val="-47"/>
                <w:sz w:val="18"/>
                <w:szCs w:val="18"/>
              </w:rPr>
              <w:t> </w:t>
            </w:r>
            <w:r>
              <w:rPr>
                <w:rFonts w:ascii="Arial" w:hAnsi="Arial" w:cs="Arial" w:eastAsia="Arial" w:hint="default"/>
                <w:sz w:val="18"/>
                <w:szCs w:val="18"/>
              </w:rPr>
              <w:t>3,000</w:t>
            </w:r>
            <w:r>
              <w:rPr>
                <w:rFonts w:ascii="Arial" w:hAnsi="Arial" w:cs="Arial" w:eastAsia="Arial" w:hint="default"/>
                <w:spacing w:val="-9"/>
                <w:sz w:val="18"/>
                <w:szCs w:val="18"/>
              </w:rPr>
              <w:t> </w:t>
            </w:r>
            <w:r>
              <w:rPr>
                <w:rFonts w:ascii="宋体" w:hAnsi="宋体" w:cs="宋体" w:eastAsia="宋体" w:hint="default"/>
                <w:sz w:val="18"/>
                <w:szCs w:val="18"/>
              </w:rPr>
              <w:t>万元偿还银行贷款及</w:t>
            </w:r>
            <w:r>
              <w:rPr>
                <w:rFonts w:ascii="宋体" w:hAnsi="宋体" w:cs="宋体" w:eastAsia="宋体" w:hint="default"/>
                <w:spacing w:val="-47"/>
                <w:sz w:val="18"/>
                <w:szCs w:val="18"/>
              </w:rPr>
              <w:t> </w:t>
            </w:r>
            <w:r>
              <w:rPr>
                <w:rFonts w:ascii="Arial" w:hAnsi="Arial" w:cs="Arial" w:eastAsia="Arial" w:hint="default"/>
                <w:sz w:val="18"/>
                <w:szCs w:val="18"/>
              </w:rPr>
              <w:t>3,400</w:t>
            </w:r>
            <w:r>
              <w:rPr>
                <w:rFonts w:ascii="Arial" w:hAnsi="Arial" w:cs="Arial" w:eastAsia="Arial" w:hint="default"/>
                <w:spacing w:val="-9"/>
                <w:sz w:val="18"/>
                <w:szCs w:val="18"/>
              </w:rPr>
              <w:t> </w:t>
            </w:r>
            <w:r>
              <w:rPr>
                <w:rFonts w:ascii="宋体" w:hAnsi="宋体" w:cs="宋体" w:eastAsia="宋体" w:hint="default"/>
                <w:sz w:val="18"/>
                <w:szCs w:val="18"/>
              </w:rPr>
              <w:t>万元用于永久补充流动资金。</w:t>
            </w:r>
          </w:p>
          <w:p>
            <w:pPr>
              <w:pStyle w:val="TableParagraph"/>
              <w:spacing w:line="302" w:lineRule="auto" w:before="104"/>
              <w:ind w:left="22" w:right="20" w:firstLine="360"/>
              <w:jc w:val="left"/>
              <w:rPr>
                <w:rFonts w:ascii="宋体" w:hAnsi="宋体" w:cs="宋体" w:eastAsia="宋体" w:hint="default"/>
                <w:sz w:val="18"/>
                <w:szCs w:val="18"/>
              </w:rPr>
            </w:pPr>
            <w:r>
              <w:rPr>
                <w:rFonts w:ascii="Arial" w:hAnsi="Arial" w:cs="Arial" w:eastAsia="Arial" w:hint="default"/>
                <w:spacing w:val="-3"/>
                <w:sz w:val="18"/>
                <w:szCs w:val="18"/>
              </w:rPr>
              <w:t>2</w:t>
            </w:r>
            <w:r>
              <w:rPr>
                <w:rFonts w:ascii="宋体" w:hAnsi="宋体" w:cs="宋体" w:eastAsia="宋体" w:hint="default"/>
                <w:spacing w:val="-3"/>
                <w:sz w:val="18"/>
                <w:szCs w:val="18"/>
              </w:rPr>
              <w:t>、</w:t>
            </w:r>
            <w:r>
              <w:rPr>
                <w:rFonts w:ascii="Arial" w:hAnsi="Arial" w:cs="Arial" w:eastAsia="Arial" w:hint="default"/>
                <w:spacing w:val="-3"/>
                <w:sz w:val="18"/>
                <w:szCs w:val="18"/>
              </w:rPr>
              <w:t>2012</w:t>
            </w:r>
            <w:r>
              <w:rPr>
                <w:rFonts w:ascii="Arial" w:hAnsi="Arial" w:cs="Arial" w:eastAsia="Arial"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4</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w:hAnsi="Arial" w:cs="Arial" w:eastAsia="Arial" w:hint="default"/>
                <w:sz w:val="18"/>
                <w:szCs w:val="18"/>
              </w:rPr>
              <w:t>25</w:t>
            </w:r>
            <w:r>
              <w:rPr>
                <w:rFonts w:ascii="Arial" w:hAnsi="Arial" w:cs="Arial" w:eastAsia="Arial" w:hint="default"/>
                <w:spacing w:val="-17"/>
                <w:sz w:val="18"/>
                <w:szCs w:val="18"/>
              </w:rPr>
              <w:t> </w:t>
            </w:r>
            <w:r>
              <w:rPr>
                <w:rFonts w:ascii="宋体" w:hAnsi="宋体" w:cs="宋体" w:eastAsia="宋体" w:hint="default"/>
                <w:sz w:val="18"/>
                <w:szCs w:val="18"/>
              </w:rPr>
              <w:t>日，公司第四届董事会第十三次会议审议通过了《使用超募资金收购航宇金信（北京）软件有限公司</w:t>
            </w:r>
            <w:r>
              <w:rPr>
                <w:rFonts w:ascii="宋体" w:hAnsi="宋体" w:cs="宋体" w:eastAsia="宋体" w:hint="default"/>
                <w:spacing w:val="-55"/>
                <w:sz w:val="18"/>
                <w:szCs w:val="18"/>
              </w:rPr>
              <w:t> </w:t>
            </w:r>
            <w:r>
              <w:rPr>
                <w:rFonts w:ascii="Arial" w:hAnsi="Arial" w:cs="Arial" w:eastAsia="Arial" w:hint="default"/>
                <w:sz w:val="18"/>
                <w:szCs w:val="18"/>
              </w:rPr>
              <w:t>51%</w:t>
            </w:r>
            <w:r>
              <w:rPr>
                <w:rFonts w:ascii="宋体" w:hAnsi="宋体" w:cs="宋体" w:eastAsia="宋体" w:hint="default"/>
                <w:sz w:val="18"/>
                <w:szCs w:val="18"/>
              </w:rPr>
              <w:t>股权的 </w:t>
            </w:r>
            <w:r>
              <w:rPr>
                <w:rFonts w:ascii="宋体" w:hAnsi="宋体" w:cs="宋体" w:eastAsia="宋体" w:hint="default"/>
                <w:spacing w:val="-8"/>
                <w:sz w:val="18"/>
                <w:szCs w:val="18"/>
              </w:rPr>
              <w:t>议案》，同意使用超募资金</w:t>
            </w:r>
            <w:r>
              <w:rPr>
                <w:rFonts w:ascii="宋体" w:hAnsi="宋体" w:cs="宋体" w:eastAsia="宋体" w:hint="default"/>
                <w:spacing w:val="-43"/>
                <w:sz w:val="18"/>
                <w:szCs w:val="18"/>
              </w:rPr>
              <w:t> </w:t>
            </w:r>
            <w:r>
              <w:rPr>
                <w:rFonts w:ascii="Arial" w:hAnsi="Arial" w:cs="Arial" w:eastAsia="Arial" w:hint="default"/>
                <w:spacing w:val="-1"/>
                <w:w w:val="99"/>
                <w:sz w:val="18"/>
                <w:szCs w:val="18"/>
              </w:rPr>
              <w:t>1,173</w:t>
            </w:r>
            <w:r>
              <w:rPr>
                <w:rFonts w:ascii="Arial" w:hAnsi="Arial" w:cs="Arial" w:eastAsia="Arial" w:hint="default"/>
                <w:spacing w:val="1"/>
                <w:w w:val="99"/>
                <w:sz w:val="18"/>
                <w:szCs w:val="18"/>
              </w:rPr>
              <w:t> </w:t>
            </w:r>
            <w:r>
              <w:rPr>
                <w:rFonts w:ascii="宋体" w:hAnsi="宋体" w:cs="宋体" w:eastAsia="宋体" w:hint="default"/>
                <w:sz w:val="18"/>
                <w:szCs w:val="18"/>
              </w:rPr>
              <w:t>万元向陈京念先生收购航宇金信</w:t>
            </w:r>
            <w:r>
              <w:rPr>
                <w:rFonts w:ascii="Arial" w:hAnsi="Arial" w:cs="Arial" w:eastAsia="Arial" w:hint="default"/>
                <w:sz w:val="18"/>
                <w:szCs w:val="18"/>
              </w:rPr>
              <w:t>(</w:t>
            </w:r>
            <w:r>
              <w:rPr>
                <w:rFonts w:ascii="宋体" w:hAnsi="宋体" w:cs="宋体" w:eastAsia="宋体" w:hint="default"/>
                <w:sz w:val="18"/>
                <w:szCs w:val="18"/>
              </w:rPr>
              <w:t>北京</w:t>
            </w:r>
            <w:r>
              <w:rPr>
                <w:rFonts w:ascii="Arial" w:hAnsi="Arial" w:cs="Arial" w:eastAsia="Arial" w:hint="default"/>
                <w:sz w:val="18"/>
                <w:szCs w:val="18"/>
              </w:rPr>
              <w:t>)</w:t>
            </w:r>
            <w:r>
              <w:rPr>
                <w:rFonts w:ascii="宋体" w:hAnsi="宋体" w:cs="宋体" w:eastAsia="宋体" w:hint="default"/>
                <w:sz w:val="18"/>
                <w:szCs w:val="18"/>
              </w:rPr>
              <w:t>软件有限公司</w:t>
            </w:r>
            <w:r>
              <w:rPr>
                <w:rFonts w:ascii="宋体" w:hAnsi="宋体" w:cs="宋体" w:eastAsia="宋体" w:hint="default"/>
                <w:spacing w:val="-43"/>
                <w:sz w:val="18"/>
                <w:szCs w:val="18"/>
              </w:rPr>
              <w:t> </w:t>
            </w:r>
            <w:r>
              <w:rPr>
                <w:rFonts w:ascii="Arial" w:hAnsi="Arial" w:cs="Arial" w:eastAsia="Arial" w:hint="default"/>
                <w:spacing w:val="-1"/>
                <w:w w:val="99"/>
                <w:sz w:val="18"/>
                <w:szCs w:val="18"/>
              </w:rPr>
              <w:t>51%</w:t>
            </w:r>
            <w:r>
              <w:rPr>
                <w:rFonts w:ascii="宋体" w:hAnsi="宋体" w:cs="宋体" w:eastAsia="宋体" w:hint="default"/>
                <w:spacing w:val="-1"/>
                <w:w w:val="99"/>
                <w:sz w:val="18"/>
                <w:szCs w:val="18"/>
              </w:rPr>
              <w:t>的股权。</w:t>
            </w:r>
          </w:p>
          <w:p>
            <w:pPr>
              <w:pStyle w:val="TableParagraph"/>
              <w:spacing w:line="240" w:lineRule="auto" w:before="52"/>
              <w:ind w:left="382" w:right="0"/>
              <w:jc w:val="left"/>
              <w:rPr>
                <w:rFonts w:ascii="Arial" w:hAnsi="Arial" w:cs="Arial" w:eastAsia="Arial" w:hint="default"/>
                <w:sz w:val="18"/>
                <w:szCs w:val="18"/>
              </w:rPr>
            </w:pPr>
            <w:r>
              <w:rPr>
                <w:rFonts w:ascii="Arial" w:hAnsi="Arial" w:cs="Arial" w:eastAsia="Arial" w:hint="default"/>
                <w:sz w:val="18"/>
                <w:szCs w:val="18"/>
              </w:rPr>
              <w:t>3</w:t>
            </w:r>
            <w:r>
              <w:rPr>
                <w:rFonts w:ascii="宋体" w:hAnsi="宋体" w:cs="宋体" w:eastAsia="宋体" w:hint="default"/>
                <w:sz w:val="18"/>
                <w:szCs w:val="18"/>
              </w:rPr>
              <w:t>、</w:t>
            </w:r>
            <w:r>
              <w:rPr>
                <w:rFonts w:ascii="Arial" w:hAnsi="Arial" w:cs="Arial" w:eastAsia="Arial" w:hint="default"/>
                <w:sz w:val="18"/>
                <w:szCs w:val="18"/>
              </w:rPr>
              <w:t>2012</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26</w:t>
            </w:r>
            <w:r>
              <w:rPr>
                <w:rFonts w:ascii="Arial" w:hAnsi="Arial" w:cs="Arial" w:eastAsia="Arial" w:hint="default"/>
                <w:spacing w:val="-8"/>
                <w:sz w:val="18"/>
                <w:szCs w:val="18"/>
              </w:rPr>
              <w:t> </w:t>
            </w:r>
            <w:r>
              <w:rPr>
                <w:rFonts w:ascii="宋体" w:hAnsi="宋体" w:cs="宋体" w:eastAsia="宋体" w:hint="default"/>
                <w:sz w:val="18"/>
                <w:szCs w:val="18"/>
              </w:rPr>
              <w:t>日，公司第四届董事会第二十二次会议审议通过了《关于使用超募资金建设实施</w:t>
            </w:r>
            <w:r>
              <w:rPr>
                <w:rFonts w:ascii="Arial" w:hAnsi="Arial" w:cs="Arial" w:eastAsia="Arial" w:hint="default"/>
                <w:sz w:val="18"/>
                <w:szCs w:val="18"/>
              </w:rPr>
              <w:t>“</w:t>
            </w:r>
            <w:r>
              <w:rPr>
                <w:rFonts w:ascii="宋体" w:hAnsi="宋体" w:cs="宋体" w:eastAsia="宋体" w:hint="default"/>
                <w:sz w:val="18"/>
                <w:szCs w:val="18"/>
              </w:rPr>
              <w:t>华宇（大连）研发基地项目</w:t>
            </w:r>
            <w:r>
              <w:rPr>
                <w:rFonts w:ascii="Arial" w:hAnsi="Arial" w:cs="Arial" w:eastAsia="Arial"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的议案</w:t>
            </w:r>
            <w:r>
              <w:rPr>
                <w:rFonts w:ascii="宋体" w:hAnsi="宋体" w:cs="宋体" w:eastAsia="宋体" w:hint="default"/>
                <w:spacing w:val="-89"/>
                <w:sz w:val="18"/>
                <w:szCs w:val="18"/>
              </w:rPr>
              <w:t>》</w:t>
            </w:r>
            <w:r>
              <w:rPr>
                <w:rFonts w:ascii="宋体" w:hAnsi="宋体" w:cs="宋体" w:eastAsia="宋体" w:hint="default"/>
                <w:sz w:val="18"/>
                <w:szCs w:val="18"/>
              </w:rPr>
              <w:t>，同意使用超募资金</w:t>
            </w:r>
            <w:r>
              <w:rPr>
                <w:rFonts w:ascii="宋体" w:hAnsi="宋体" w:cs="宋体" w:eastAsia="宋体" w:hint="default"/>
                <w:spacing w:val="-47"/>
                <w:sz w:val="18"/>
                <w:szCs w:val="18"/>
              </w:rPr>
              <w:t> </w:t>
            </w:r>
            <w:r>
              <w:rPr>
                <w:rFonts w:ascii="Arial" w:hAnsi="Arial" w:cs="Arial" w:eastAsia="Arial" w:hint="default"/>
                <w:w w:val="99"/>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亿元建设实施</w:t>
            </w:r>
            <w:r>
              <w:rPr>
                <w:rFonts w:ascii="Arial" w:hAnsi="Arial" w:cs="Arial" w:eastAsia="Arial" w:hint="default"/>
                <w:sz w:val="18"/>
                <w:szCs w:val="18"/>
              </w:rPr>
              <w:t>“</w:t>
            </w:r>
            <w:r>
              <w:rPr>
                <w:rFonts w:ascii="宋体" w:hAnsi="宋体" w:cs="宋体" w:eastAsia="宋体" w:hint="default"/>
                <w:sz w:val="18"/>
                <w:szCs w:val="18"/>
              </w:rPr>
              <w:t>华宇（大连）研发基地项目</w:t>
            </w:r>
            <w:r>
              <w:rPr>
                <w:rFonts w:ascii="Arial" w:hAnsi="Arial" w:cs="Arial" w:eastAsia="Arial" w:hint="default"/>
                <w:spacing w:val="-3"/>
                <w:sz w:val="18"/>
                <w:szCs w:val="18"/>
              </w:rPr>
              <w:t>”</w:t>
            </w:r>
            <w:r>
              <w:rPr>
                <w:rFonts w:ascii="宋体" w:hAnsi="宋体" w:cs="宋体" w:eastAsia="宋体" w:hint="default"/>
                <w:sz w:val="18"/>
                <w:szCs w:val="18"/>
              </w:rPr>
              <w:t>。超募资金</w:t>
            </w:r>
            <w:r>
              <w:rPr>
                <w:rFonts w:ascii="宋体" w:hAnsi="宋体" w:cs="宋体" w:eastAsia="宋体" w:hint="default"/>
                <w:spacing w:val="-45"/>
                <w:sz w:val="18"/>
                <w:szCs w:val="18"/>
              </w:rPr>
              <w:t> </w:t>
            </w:r>
            <w:r>
              <w:rPr>
                <w:rFonts w:ascii="Arial" w:hAnsi="Arial" w:cs="Arial" w:eastAsia="Arial" w:hint="default"/>
                <w:w w:val="99"/>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亿元将分两次以增资方式注入华宇（大连）信息</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服务有限公司，截至目前，首次注资</w:t>
            </w:r>
            <w:r>
              <w:rPr>
                <w:rFonts w:ascii="宋体" w:hAnsi="宋体" w:cs="宋体" w:eastAsia="宋体" w:hint="default"/>
                <w:spacing w:val="-47"/>
                <w:sz w:val="18"/>
                <w:szCs w:val="18"/>
              </w:rPr>
              <w:t> </w:t>
            </w:r>
            <w:r>
              <w:rPr>
                <w:rFonts w:ascii="Arial" w:hAnsi="Arial" w:cs="Arial" w:eastAsia="Arial" w:hint="default"/>
                <w:sz w:val="18"/>
                <w:szCs w:val="18"/>
              </w:rPr>
              <w:t>6,000</w:t>
            </w:r>
            <w:r>
              <w:rPr>
                <w:rFonts w:ascii="Arial" w:hAnsi="Arial" w:cs="Arial" w:eastAsia="Arial" w:hint="default"/>
                <w:spacing w:val="-9"/>
                <w:sz w:val="18"/>
                <w:szCs w:val="18"/>
              </w:rPr>
              <w:t> </w:t>
            </w:r>
            <w:r>
              <w:rPr>
                <w:rFonts w:ascii="宋体" w:hAnsi="宋体" w:cs="宋体" w:eastAsia="宋体" w:hint="default"/>
                <w:sz w:val="18"/>
                <w:szCs w:val="18"/>
              </w:rPr>
              <w:t>万元及第二次注资</w:t>
            </w:r>
            <w:r>
              <w:rPr>
                <w:rFonts w:ascii="宋体" w:hAnsi="宋体" w:cs="宋体" w:eastAsia="宋体" w:hint="default"/>
                <w:spacing w:val="-47"/>
                <w:sz w:val="18"/>
                <w:szCs w:val="18"/>
              </w:rPr>
              <w:t> </w:t>
            </w:r>
            <w:r>
              <w:rPr>
                <w:rFonts w:ascii="Arial" w:hAnsi="Arial" w:cs="Arial" w:eastAsia="Arial" w:hint="default"/>
                <w:sz w:val="18"/>
                <w:szCs w:val="18"/>
              </w:rPr>
              <w:t>4,000</w:t>
            </w:r>
            <w:r>
              <w:rPr>
                <w:rFonts w:ascii="Arial" w:hAnsi="Arial" w:cs="Arial" w:eastAsia="Arial" w:hint="default"/>
                <w:spacing w:val="-9"/>
                <w:sz w:val="18"/>
                <w:szCs w:val="18"/>
              </w:rPr>
              <w:t> </w:t>
            </w:r>
            <w:r>
              <w:rPr>
                <w:rFonts w:ascii="宋体" w:hAnsi="宋体" w:cs="宋体" w:eastAsia="宋体" w:hint="default"/>
                <w:sz w:val="18"/>
                <w:szCs w:val="18"/>
              </w:rPr>
              <w:t>万元均已完成，大连华宇注册资金增至</w:t>
            </w:r>
            <w:r>
              <w:rPr>
                <w:rFonts w:ascii="宋体" w:hAnsi="宋体" w:cs="宋体" w:eastAsia="宋体" w:hint="default"/>
                <w:spacing w:val="-47"/>
                <w:sz w:val="18"/>
                <w:szCs w:val="18"/>
              </w:rPr>
              <w:t> </w:t>
            </w:r>
            <w:r>
              <w:rPr>
                <w:rFonts w:ascii="Arial" w:hAnsi="Arial" w:cs="Arial" w:eastAsia="Arial" w:hint="default"/>
                <w:sz w:val="18"/>
                <w:szCs w:val="18"/>
              </w:rPr>
              <w:t>12,000</w:t>
            </w:r>
            <w:r>
              <w:rPr>
                <w:rFonts w:ascii="Arial" w:hAnsi="Arial" w:cs="Arial" w:eastAsia="Arial" w:hint="default"/>
                <w:spacing w:val="-9"/>
                <w:sz w:val="18"/>
                <w:szCs w:val="18"/>
              </w:rPr>
              <w:t> </w:t>
            </w:r>
            <w:r>
              <w:rPr>
                <w:rFonts w:ascii="宋体" w:hAnsi="宋体" w:cs="宋体" w:eastAsia="宋体" w:hint="default"/>
                <w:sz w:val="18"/>
                <w:szCs w:val="18"/>
              </w:rPr>
              <w:t>万元。</w:t>
            </w:r>
          </w:p>
          <w:p>
            <w:pPr>
              <w:pStyle w:val="TableParagraph"/>
              <w:spacing w:line="240" w:lineRule="auto" w:before="102"/>
              <w:ind w:left="382" w:right="0"/>
              <w:jc w:val="left"/>
              <w:rPr>
                <w:rFonts w:ascii="宋体" w:hAnsi="宋体" w:cs="宋体" w:eastAsia="宋体" w:hint="default"/>
                <w:sz w:val="18"/>
                <w:szCs w:val="18"/>
              </w:rPr>
            </w:pPr>
            <w:r>
              <w:rPr>
                <w:rFonts w:ascii="Arial" w:hAnsi="Arial" w:cs="Arial" w:eastAsia="Arial" w:hint="default"/>
                <w:w w:val="99"/>
                <w:sz w:val="18"/>
                <w:szCs w:val="18"/>
              </w:rPr>
              <w:t>4</w:t>
            </w:r>
            <w:r>
              <w:rPr>
                <w:rFonts w:ascii="宋体" w:hAnsi="宋体" w:cs="宋体" w:eastAsia="宋体" w:hint="default"/>
                <w:sz w:val="18"/>
                <w:szCs w:val="18"/>
              </w:rPr>
              <w:t>、</w:t>
            </w:r>
            <w:r>
              <w:rPr>
                <w:rFonts w:ascii="Arial" w:hAnsi="Arial" w:cs="Arial" w:eastAsia="Arial" w:hint="default"/>
                <w:w w:val="99"/>
                <w:sz w:val="18"/>
                <w:szCs w:val="18"/>
              </w:rPr>
              <w:t>2013</w:t>
            </w:r>
            <w:r>
              <w:rPr>
                <w:rFonts w:ascii="Arial" w:hAnsi="Arial" w:cs="Arial" w:eastAsia="Arial"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w w:val="99"/>
                <w:sz w:val="18"/>
                <w:szCs w:val="18"/>
              </w:rPr>
              <w:t>4</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w w:val="99"/>
                <w:sz w:val="18"/>
                <w:szCs w:val="18"/>
              </w:rPr>
              <w:t>22</w:t>
            </w:r>
            <w:r>
              <w:rPr>
                <w:rFonts w:ascii="Arial" w:hAnsi="Arial" w:cs="Arial" w:eastAsia="Arial" w:hint="default"/>
                <w:spacing w:val="-7"/>
                <w:sz w:val="18"/>
                <w:szCs w:val="18"/>
              </w:rPr>
              <w:t> </w:t>
            </w:r>
            <w:r>
              <w:rPr>
                <w:rFonts w:ascii="宋体" w:hAnsi="宋体" w:cs="宋体" w:eastAsia="宋体" w:hint="default"/>
                <w:sz w:val="18"/>
                <w:szCs w:val="18"/>
              </w:rPr>
              <w:t>日，公司第四届董事会第二十六次会议审议通过了《使用部分超募资金永久补充流动资金的议案</w:t>
            </w:r>
            <w:r>
              <w:rPr>
                <w:rFonts w:ascii="宋体" w:hAnsi="宋体" w:cs="宋体" w:eastAsia="宋体" w:hint="default"/>
                <w:spacing w:val="-89"/>
                <w:sz w:val="18"/>
                <w:szCs w:val="18"/>
              </w:rPr>
              <w:t>》</w:t>
            </w:r>
            <w:r>
              <w:rPr>
                <w:rFonts w:ascii="宋体" w:hAnsi="宋体" w:cs="宋体" w:eastAsia="宋体" w:hint="default"/>
                <w:sz w:val="18"/>
                <w:szCs w:val="18"/>
              </w:rPr>
              <w:t>，同意使用超</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募资金</w:t>
            </w:r>
            <w:r>
              <w:rPr>
                <w:rFonts w:ascii="宋体" w:hAnsi="宋体" w:cs="宋体" w:eastAsia="宋体" w:hint="default"/>
                <w:spacing w:val="-47"/>
                <w:sz w:val="18"/>
                <w:szCs w:val="18"/>
              </w:rPr>
              <w:t> </w:t>
            </w:r>
            <w:r>
              <w:rPr>
                <w:rFonts w:ascii="Arial" w:hAnsi="Arial" w:cs="Arial" w:eastAsia="Arial" w:hint="default"/>
                <w:sz w:val="18"/>
                <w:szCs w:val="18"/>
              </w:rPr>
              <w:t>6,400</w:t>
            </w:r>
            <w:r>
              <w:rPr>
                <w:rFonts w:ascii="Arial" w:hAnsi="Arial" w:cs="Arial" w:eastAsia="Arial" w:hint="default"/>
                <w:spacing w:val="-9"/>
                <w:sz w:val="18"/>
                <w:szCs w:val="18"/>
              </w:rPr>
              <w:t> </w:t>
            </w:r>
            <w:r>
              <w:rPr>
                <w:rFonts w:ascii="宋体" w:hAnsi="宋体" w:cs="宋体" w:eastAsia="宋体" w:hint="default"/>
                <w:sz w:val="18"/>
                <w:szCs w:val="18"/>
              </w:rPr>
              <w:t>万元用于永久补充流动资金。</w:t>
            </w:r>
          </w:p>
        </w:tc>
      </w:tr>
    </w:tbl>
    <w:p>
      <w:pPr>
        <w:spacing w:after="0" w:line="240" w:lineRule="auto"/>
        <w:jc w:val="left"/>
        <w:rPr>
          <w:rFonts w:ascii="宋体" w:hAnsi="宋体" w:cs="宋体" w:eastAsia="宋体" w:hint="default"/>
          <w:sz w:val="18"/>
          <w:szCs w:val="18"/>
        </w:rPr>
        <w:sectPr>
          <w:pgSz w:w="16840" w:h="11910" w:orient="landscape"/>
          <w:pgMar w:header="868" w:footer="978" w:top="1060" w:bottom="1160" w:left="1320" w:right="1320"/>
        </w:sectPr>
      </w:pPr>
    </w:p>
    <w:p>
      <w:pPr>
        <w:spacing w:line="240" w:lineRule="auto" w:before="1"/>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3119"/>
        <w:gridCol w:w="10773"/>
      </w:tblGrid>
      <w:tr>
        <w:trPr>
          <w:trHeight w:val="336" w:hRule="exact"/>
        </w:trPr>
        <w:tc>
          <w:tcPr>
            <w:tcW w:w="3119" w:type="dxa"/>
            <w:vMerge w:val="restart"/>
            <w:tcBorders>
              <w:top w:val="single" w:sz="16" w:space="0" w:color="000000"/>
              <w:left w:val="single" w:sz="4" w:space="0" w:color="000000"/>
              <w:right w:val="single" w:sz="4" w:space="0" w:color="000000"/>
            </w:tcBorders>
            <w:shd w:val="clear" w:color="auto" w:fill="D2D2D2"/>
          </w:tcPr>
          <w:p>
            <w:pPr/>
          </w:p>
        </w:tc>
        <w:tc>
          <w:tcPr>
            <w:tcW w:w="10773"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10"/>
              <w:ind w:right="82"/>
              <w:jc w:val="right"/>
              <w:rPr>
                <w:rFonts w:ascii="宋体" w:hAnsi="宋体" w:cs="宋体" w:eastAsia="宋体" w:hint="default"/>
                <w:sz w:val="18"/>
                <w:szCs w:val="18"/>
              </w:rPr>
            </w:pPr>
            <w:r>
              <w:rPr>
                <w:rFonts w:ascii="Arial" w:hAnsi="Arial" w:cs="Arial" w:eastAsia="Arial" w:hint="default"/>
                <w:w w:val="99"/>
                <w:sz w:val="18"/>
                <w:szCs w:val="18"/>
              </w:rPr>
              <w:t>5</w:t>
            </w:r>
            <w:r>
              <w:rPr>
                <w:rFonts w:ascii="宋体" w:hAnsi="宋体" w:cs="宋体" w:eastAsia="宋体" w:hint="default"/>
                <w:sz w:val="18"/>
                <w:szCs w:val="18"/>
              </w:rPr>
              <w:t>、</w:t>
            </w:r>
            <w:r>
              <w:rPr>
                <w:rFonts w:ascii="Arial" w:hAnsi="Arial" w:cs="Arial" w:eastAsia="Arial" w:hint="default"/>
                <w:w w:val="99"/>
                <w:sz w:val="18"/>
                <w:szCs w:val="18"/>
              </w:rPr>
              <w:t>2013</w:t>
            </w:r>
            <w:r>
              <w:rPr>
                <w:rFonts w:ascii="Arial" w:hAnsi="Arial" w:cs="Arial" w:eastAsia="Arial"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w w:val="99"/>
                <w:sz w:val="18"/>
                <w:szCs w:val="18"/>
              </w:rPr>
              <w:t>7</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w w:val="99"/>
                <w:sz w:val="18"/>
                <w:szCs w:val="18"/>
              </w:rPr>
              <w:t>15</w:t>
            </w:r>
            <w:r>
              <w:rPr>
                <w:rFonts w:ascii="Arial" w:hAnsi="Arial" w:cs="Arial" w:eastAsia="Arial" w:hint="default"/>
                <w:spacing w:val="-7"/>
                <w:sz w:val="18"/>
                <w:szCs w:val="18"/>
              </w:rPr>
              <w:t> </w:t>
            </w:r>
            <w:r>
              <w:rPr>
                <w:rFonts w:ascii="宋体" w:hAnsi="宋体" w:cs="宋体" w:eastAsia="宋体" w:hint="default"/>
                <w:sz w:val="18"/>
                <w:szCs w:val="18"/>
              </w:rPr>
              <w:t>日，公司第四届董事会第二十八次会议审议通过了《使用部分超募资金暂时补充流动资金的议案</w:t>
            </w:r>
            <w:r>
              <w:rPr>
                <w:rFonts w:ascii="宋体" w:hAnsi="宋体" w:cs="宋体" w:eastAsia="宋体" w:hint="default"/>
                <w:spacing w:val="-89"/>
                <w:sz w:val="18"/>
                <w:szCs w:val="18"/>
              </w:rPr>
              <w:t>》</w:t>
            </w:r>
            <w:r>
              <w:rPr>
                <w:rFonts w:ascii="宋体" w:hAnsi="宋体" w:cs="宋体" w:eastAsia="宋体" w:hint="default"/>
                <w:sz w:val="18"/>
                <w:szCs w:val="18"/>
              </w:rPr>
              <w:t>，同意使用超</w:t>
            </w:r>
          </w:p>
        </w:tc>
      </w:tr>
      <w:tr>
        <w:trPr>
          <w:trHeight w:val="312" w:hRule="exact"/>
        </w:trPr>
        <w:tc>
          <w:tcPr>
            <w:tcW w:w="3119" w:type="dxa"/>
            <w:vMerge/>
            <w:tcBorders>
              <w:left w:val="single" w:sz="4" w:space="0" w:color="000000"/>
              <w:right w:val="single" w:sz="4" w:space="0" w:color="000000"/>
            </w:tcBorders>
            <w:shd w:val="clear" w:color="auto" w:fill="D2D2D2"/>
          </w:tcPr>
          <w:p>
            <w:pPr/>
          </w:p>
        </w:tc>
        <w:tc>
          <w:tcPr>
            <w:tcW w:w="1077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募资金</w:t>
            </w:r>
            <w:r>
              <w:rPr>
                <w:rFonts w:ascii="宋体" w:hAnsi="宋体" w:cs="宋体" w:eastAsia="宋体" w:hint="default"/>
                <w:spacing w:val="-49"/>
                <w:sz w:val="18"/>
                <w:szCs w:val="18"/>
              </w:rPr>
              <w:t> </w:t>
            </w:r>
            <w:r>
              <w:rPr>
                <w:rFonts w:ascii="Arial" w:hAnsi="Arial" w:cs="Arial" w:eastAsia="Arial" w:hint="default"/>
                <w:sz w:val="18"/>
                <w:szCs w:val="18"/>
              </w:rPr>
              <w:t>5,000</w:t>
            </w:r>
            <w:r>
              <w:rPr>
                <w:rFonts w:ascii="Arial" w:hAnsi="Arial" w:cs="Arial" w:eastAsia="Arial" w:hint="default"/>
                <w:spacing w:val="-11"/>
                <w:sz w:val="18"/>
                <w:szCs w:val="18"/>
              </w:rPr>
              <w:t> </w:t>
            </w:r>
            <w:r>
              <w:rPr>
                <w:rFonts w:ascii="宋体" w:hAnsi="宋体" w:cs="宋体" w:eastAsia="宋体" w:hint="default"/>
                <w:sz w:val="18"/>
                <w:szCs w:val="18"/>
              </w:rPr>
              <w:t>万元用于暂时补充流动资金。</w:t>
            </w:r>
            <w:r>
              <w:rPr>
                <w:rFonts w:ascii="Arial" w:hAnsi="Arial" w:cs="Arial" w:eastAsia="Arial" w:hint="default"/>
                <w:sz w:val="18"/>
                <w:szCs w:val="18"/>
              </w:rPr>
              <w:t>2013</w:t>
            </w:r>
            <w:r>
              <w:rPr>
                <w:rFonts w:ascii="Arial" w:hAnsi="Arial" w:cs="Arial" w:eastAsia="Arial"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Arial" w:hAnsi="Arial" w:cs="Arial" w:eastAsia="Arial" w:hint="default"/>
                <w:sz w:val="18"/>
                <w:szCs w:val="18"/>
              </w:rPr>
              <w:t>25</w:t>
            </w:r>
            <w:r>
              <w:rPr>
                <w:rFonts w:ascii="Arial" w:hAnsi="Arial" w:cs="Arial" w:eastAsia="Arial" w:hint="default"/>
                <w:spacing w:val="-11"/>
                <w:sz w:val="18"/>
                <w:szCs w:val="18"/>
              </w:rPr>
              <w:t> </w:t>
            </w:r>
            <w:r>
              <w:rPr>
                <w:rFonts w:ascii="宋体" w:hAnsi="宋体" w:cs="宋体" w:eastAsia="宋体" w:hint="default"/>
                <w:sz w:val="18"/>
                <w:szCs w:val="18"/>
              </w:rPr>
              <w:t>日，公司已将人民币</w:t>
            </w:r>
            <w:r>
              <w:rPr>
                <w:rFonts w:ascii="宋体" w:hAnsi="宋体" w:cs="宋体" w:eastAsia="宋体" w:hint="default"/>
                <w:spacing w:val="-49"/>
                <w:sz w:val="18"/>
                <w:szCs w:val="18"/>
              </w:rPr>
              <w:t> </w:t>
            </w:r>
            <w:r>
              <w:rPr>
                <w:rFonts w:ascii="Arial" w:hAnsi="Arial" w:cs="Arial" w:eastAsia="Arial" w:hint="default"/>
                <w:sz w:val="18"/>
                <w:szCs w:val="18"/>
              </w:rPr>
              <w:t>5,000</w:t>
            </w:r>
            <w:r>
              <w:rPr>
                <w:rFonts w:ascii="Arial" w:hAnsi="Arial" w:cs="Arial" w:eastAsia="Arial" w:hint="default"/>
                <w:spacing w:val="-11"/>
                <w:sz w:val="18"/>
                <w:szCs w:val="18"/>
              </w:rPr>
              <w:t> </w:t>
            </w:r>
            <w:r>
              <w:rPr>
                <w:rFonts w:ascii="宋体" w:hAnsi="宋体" w:cs="宋体" w:eastAsia="宋体" w:hint="default"/>
                <w:sz w:val="18"/>
                <w:szCs w:val="18"/>
              </w:rPr>
              <w:t>万元归还至原超募资金存放账户。同时，公司将</w:t>
            </w:r>
          </w:p>
        </w:tc>
      </w:tr>
      <w:tr>
        <w:trPr>
          <w:trHeight w:val="332" w:hRule="exact"/>
        </w:trPr>
        <w:tc>
          <w:tcPr>
            <w:tcW w:w="3119" w:type="dxa"/>
            <w:vMerge/>
            <w:tcBorders>
              <w:left w:val="single" w:sz="4" w:space="0" w:color="000000"/>
              <w:right w:val="single" w:sz="4" w:space="0" w:color="000000"/>
            </w:tcBorders>
            <w:shd w:val="clear" w:color="auto" w:fill="D2D2D2"/>
          </w:tcPr>
          <w:p>
            <w:pPr/>
          </w:p>
        </w:tc>
        <w:tc>
          <w:tcPr>
            <w:tcW w:w="1077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上述募集资金归还情况通知了保荐机构及保荐代表人。至此，公司使用超募资金</w:t>
            </w:r>
            <w:r>
              <w:rPr>
                <w:rFonts w:ascii="宋体" w:hAnsi="宋体" w:cs="宋体" w:eastAsia="宋体" w:hint="default"/>
                <w:spacing w:val="-47"/>
                <w:sz w:val="18"/>
                <w:szCs w:val="18"/>
              </w:rPr>
              <w:t> </w:t>
            </w:r>
            <w:r>
              <w:rPr>
                <w:rFonts w:ascii="Arial" w:hAnsi="Arial" w:cs="Arial" w:eastAsia="Arial" w:hint="default"/>
                <w:sz w:val="18"/>
                <w:szCs w:val="18"/>
              </w:rPr>
              <w:t>5,000</w:t>
            </w:r>
            <w:r>
              <w:rPr>
                <w:rFonts w:ascii="Arial" w:hAnsi="Arial" w:cs="Arial" w:eastAsia="Arial" w:hint="default"/>
                <w:spacing w:val="-9"/>
                <w:sz w:val="18"/>
                <w:szCs w:val="18"/>
              </w:rPr>
              <w:t> </w:t>
            </w:r>
            <w:r>
              <w:rPr>
                <w:rFonts w:ascii="宋体" w:hAnsi="宋体" w:cs="宋体" w:eastAsia="宋体" w:hint="default"/>
                <w:sz w:val="18"/>
                <w:szCs w:val="18"/>
              </w:rPr>
              <w:t>万元暂时补充流动资金已一次性归还完毕。</w:t>
            </w:r>
          </w:p>
        </w:tc>
      </w:tr>
      <w:tr>
        <w:trPr>
          <w:trHeight w:val="332" w:hRule="exact"/>
        </w:trPr>
        <w:tc>
          <w:tcPr>
            <w:tcW w:w="3119" w:type="dxa"/>
            <w:vMerge/>
            <w:tcBorders>
              <w:left w:val="single" w:sz="4" w:space="0" w:color="000000"/>
              <w:right w:val="single" w:sz="4" w:space="0" w:color="000000"/>
            </w:tcBorders>
            <w:shd w:val="clear" w:color="auto" w:fill="D2D2D2"/>
          </w:tcPr>
          <w:p>
            <w:pPr/>
          </w:p>
        </w:tc>
        <w:tc>
          <w:tcPr>
            <w:tcW w:w="10773"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20"/>
              <w:jc w:val="right"/>
              <w:rPr>
                <w:rFonts w:ascii="宋体" w:hAnsi="宋体" w:cs="宋体" w:eastAsia="宋体" w:hint="default"/>
                <w:sz w:val="18"/>
                <w:szCs w:val="18"/>
              </w:rPr>
            </w:pPr>
            <w:r>
              <w:rPr>
                <w:rFonts w:ascii="Arial" w:hAnsi="Arial" w:cs="Arial" w:eastAsia="Arial" w:hint="default"/>
                <w:w w:val="99"/>
                <w:sz w:val="18"/>
                <w:szCs w:val="18"/>
              </w:rPr>
              <w:t>6</w:t>
            </w:r>
            <w:r>
              <w:rPr>
                <w:rFonts w:ascii="宋体" w:hAnsi="宋体" w:cs="宋体" w:eastAsia="宋体" w:hint="default"/>
                <w:spacing w:val="-5"/>
                <w:sz w:val="18"/>
                <w:szCs w:val="18"/>
              </w:rPr>
              <w:t>、</w:t>
            </w:r>
            <w:r>
              <w:rPr>
                <w:rFonts w:ascii="Arial" w:hAnsi="Arial" w:cs="Arial" w:eastAsia="Arial" w:hint="default"/>
                <w:w w:val="99"/>
                <w:sz w:val="18"/>
                <w:szCs w:val="18"/>
              </w:rPr>
              <w:t>20</w:t>
            </w:r>
            <w:r>
              <w:rPr>
                <w:rFonts w:ascii="Arial" w:hAnsi="Arial" w:cs="Arial" w:eastAsia="Arial" w:hint="default"/>
                <w:spacing w:val="-2"/>
                <w:w w:val="99"/>
                <w:sz w:val="18"/>
                <w:szCs w:val="18"/>
              </w:rPr>
              <w:t>1</w:t>
            </w:r>
            <w:r>
              <w:rPr>
                <w:rFonts w:ascii="Arial" w:hAnsi="Arial" w:cs="Arial" w:eastAsia="Arial" w:hint="default"/>
                <w:w w:val="99"/>
                <w:sz w:val="18"/>
                <w:szCs w:val="18"/>
              </w:rPr>
              <w:t>4</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w w:val="99"/>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w w:val="99"/>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日</w:t>
            </w:r>
            <w:r>
              <w:rPr>
                <w:rFonts w:ascii="宋体" w:hAnsi="宋体" w:cs="宋体" w:eastAsia="宋体" w:hint="default"/>
                <w:spacing w:val="-5"/>
                <w:sz w:val="18"/>
                <w:szCs w:val="18"/>
              </w:rPr>
              <w:t>，</w:t>
            </w:r>
            <w:r>
              <w:rPr>
                <w:rFonts w:ascii="宋体" w:hAnsi="宋体" w:cs="宋体" w:eastAsia="宋体" w:hint="default"/>
                <w:sz w:val="18"/>
                <w:szCs w:val="18"/>
              </w:rPr>
              <w:t>公司第五届董事会第六次会议审议通过</w:t>
            </w:r>
            <w:r>
              <w:rPr>
                <w:rFonts w:ascii="宋体" w:hAnsi="宋体" w:cs="宋体" w:eastAsia="宋体" w:hint="default"/>
                <w:spacing w:val="-5"/>
                <w:sz w:val="18"/>
                <w:szCs w:val="18"/>
              </w:rPr>
              <w:t>了</w:t>
            </w:r>
            <w:r>
              <w:rPr>
                <w:rFonts w:ascii="宋体" w:hAnsi="宋体" w:cs="宋体" w:eastAsia="宋体" w:hint="default"/>
                <w:sz w:val="18"/>
                <w:szCs w:val="18"/>
              </w:rPr>
              <w:t>《使用部分超募资金暂时补充流动资金的议案</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同意使用超募资金</w:t>
            </w:r>
          </w:p>
        </w:tc>
      </w:tr>
      <w:tr>
        <w:trPr>
          <w:trHeight w:val="312" w:hRule="exact"/>
        </w:trPr>
        <w:tc>
          <w:tcPr>
            <w:tcW w:w="3119" w:type="dxa"/>
            <w:vMerge/>
            <w:tcBorders>
              <w:left w:val="single" w:sz="4" w:space="0" w:color="000000"/>
              <w:right w:val="single" w:sz="4" w:space="0" w:color="000000"/>
            </w:tcBorders>
            <w:shd w:val="clear" w:color="auto" w:fill="D2D2D2"/>
          </w:tcPr>
          <w:p>
            <w:pPr/>
          </w:p>
        </w:tc>
        <w:tc>
          <w:tcPr>
            <w:tcW w:w="1077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Arial" w:hAnsi="Arial" w:cs="Arial" w:eastAsia="Arial" w:hint="default"/>
                <w:sz w:val="18"/>
                <w:szCs w:val="18"/>
              </w:rPr>
              <w:t>5,000</w:t>
            </w:r>
            <w:r>
              <w:rPr>
                <w:rFonts w:ascii="Arial" w:hAnsi="Arial" w:cs="Arial" w:eastAsia="Arial" w:hint="default"/>
                <w:spacing w:val="-8"/>
                <w:sz w:val="18"/>
                <w:szCs w:val="18"/>
              </w:rPr>
              <w:t> </w:t>
            </w:r>
            <w:r>
              <w:rPr>
                <w:rFonts w:ascii="宋体" w:hAnsi="宋体" w:cs="宋体" w:eastAsia="宋体" w:hint="default"/>
                <w:sz w:val="18"/>
                <w:szCs w:val="18"/>
              </w:rPr>
              <w:t>万元用于暂时补充流动资金。</w:t>
            </w: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日，公司已将人民币</w:t>
            </w:r>
            <w:r>
              <w:rPr>
                <w:rFonts w:ascii="宋体" w:hAnsi="宋体" w:cs="宋体" w:eastAsia="宋体" w:hint="default"/>
                <w:spacing w:val="-48"/>
                <w:sz w:val="18"/>
                <w:szCs w:val="18"/>
              </w:rPr>
              <w:t> </w:t>
            </w:r>
            <w:r>
              <w:rPr>
                <w:rFonts w:ascii="Arial" w:hAnsi="Arial" w:cs="Arial" w:eastAsia="Arial" w:hint="default"/>
                <w:sz w:val="18"/>
                <w:szCs w:val="18"/>
              </w:rPr>
              <w:t>5,000</w:t>
            </w:r>
            <w:r>
              <w:rPr>
                <w:rFonts w:ascii="Arial" w:hAnsi="Arial" w:cs="Arial" w:eastAsia="Arial" w:hint="default"/>
                <w:spacing w:val="-5"/>
                <w:sz w:val="18"/>
                <w:szCs w:val="18"/>
              </w:rPr>
              <w:t> </w:t>
            </w:r>
            <w:r>
              <w:rPr>
                <w:rFonts w:ascii="宋体" w:hAnsi="宋体" w:cs="宋体" w:eastAsia="宋体" w:hint="default"/>
                <w:sz w:val="18"/>
                <w:szCs w:val="18"/>
              </w:rPr>
              <w:t>万元归还至原超募资金存放账户。同时，公司将上述募集</w:t>
            </w:r>
          </w:p>
        </w:tc>
      </w:tr>
      <w:tr>
        <w:trPr>
          <w:trHeight w:val="332" w:hRule="exact"/>
        </w:trPr>
        <w:tc>
          <w:tcPr>
            <w:tcW w:w="3119" w:type="dxa"/>
            <w:vMerge/>
            <w:tcBorders>
              <w:left w:val="single" w:sz="4" w:space="0" w:color="000000"/>
              <w:right w:val="single" w:sz="4" w:space="0" w:color="000000"/>
            </w:tcBorders>
            <w:shd w:val="clear" w:color="auto" w:fill="D2D2D2"/>
          </w:tcPr>
          <w:p>
            <w:pPr/>
          </w:p>
        </w:tc>
        <w:tc>
          <w:tcPr>
            <w:tcW w:w="1077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资金归还情况通知了保荐机构及保荐代表人。至此，公司使用超募资金</w:t>
            </w:r>
            <w:r>
              <w:rPr>
                <w:rFonts w:ascii="宋体" w:hAnsi="宋体" w:cs="宋体" w:eastAsia="宋体" w:hint="default"/>
                <w:spacing w:val="-47"/>
                <w:sz w:val="18"/>
                <w:szCs w:val="18"/>
              </w:rPr>
              <w:t> </w:t>
            </w:r>
            <w:r>
              <w:rPr>
                <w:rFonts w:ascii="Arial" w:hAnsi="Arial" w:cs="Arial" w:eastAsia="Arial" w:hint="default"/>
                <w:sz w:val="18"/>
                <w:szCs w:val="18"/>
              </w:rPr>
              <w:t>5,000</w:t>
            </w:r>
            <w:r>
              <w:rPr>
                <w:rFonts w:ascii="Arial" w:hAnsi="Arial" w:cs="Arial" w:eastAsia="Arial" w:hint="default"/>
                <w:spacing w:val="-9"/>
                <w:sz w:val="18"/>
                <w:szCs w:val="18"/>
              </w:rPr>
              <w:t> </w:t>
            </w:r>
            <w:r>
              <w:rPr>
                <w:rFonts w:ascii="宋体" w:hAnsi="宋体" w:cs="宋体" w:eastAsia="宋体" w:hint="default"/>
                <w:sz w:val="18"/>
                <w:szCs w:val="18"/>
              </w:rPr>
              <w:t>万元暂时补充流动资金已一次性归还完毕。</w:t>
            </w:r>
          </w:p>
        </w:tc>
      </w:tr>
      <w:tr>
        <w:trPr>
          <w:trHeight w:val="332" w:hRule="exact"/>
        </w:trPr>
        <w:tc>
          <w:tcPr>
            <w:tcW w:w="3119" w:type="dxa"/>
            <w:vMerge/>
            <w:tcBorders>
              <w:left w:val="single" w:sz="4" w:space="0" w:color="000000"/>
              <w:right w:val="single" w:sz="4" w:space="0" w:color="000000"/>
            </w:tcBorders>
            <w:shd w:val="clear" w:color="auto" w:fill="D2D2D2"/>
          </w:tcPr>
          <w:p>
            <w:pPr/>
          </w:p>
        </w:tc>
        <w:tc>
          <w:tcPr>
            <w:tcW w:w="10773"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21"/>
              <w:jc w:val="right"/>
              <w:rPr>
                <w:rFonts w:ascii="Arial" w:hAnsi="Arial" w:cs="Arial" w:eastAsia="Arial" w:hint="default"/>
                <w:sz w:val="18"/>
                <w:szCs w:val="18"/>
              </w:rPr>
            </w:pPr>
            <w:r>
              <w:rPr>
                <w:rFonts w:ascii="Arial" w:hAnsi="Arial" w:cs="Arial" w:eastAsia="Arial" w:hint="default"/>
                <w:w w:val="99"/>
                <w:sz w:val="18"/>
                <w:szCs w:val="18"/>
              </w:rPr>
              <w:t>7</w:t>
            </w:r>
            <w:r>
              <w:rPr>
                <w:rFonts w:ascii="宋体" w:hAnsi="宋体" w:cs="宋体" w:eastAsia="宋体" w:hint="default"/>
                <w:spacing w:val="-20"/>
                <w:sz w:val="18"/>
                <w:szCs w:val="18"/>
              </w:rPr>
              <w:t>、</w:t>
            </w:r>
            <w:r>
              <w:rPr>
                <w:rFonts w:ascii="Arial" w:hAnsi="Arial" w:cs="Arial" w:eastAsia="Arial" w:hint="default"/>
                <w:w w:val="99"/>
                <w:sz w:val="18"/>
                <w:szCs w:val="18"/>
              </w:rPr>
              <w:t>2014</w:t>
            </w:r>
            <w:r>
              <w:rPr>
                <w:rFonts w:ascii="Arial" w:hAnsi="Arial" w:cs="Arial" w:eastAsia="Arial"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w w:val="99"/>
                <w:sz w:val="18"/>
                <w:szCs w:val="18"/>
              </w:rPr>
              <w:t>6</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w w:val="99"/>
                <w:sz w:val="18"/>
                <w:szCs w:val="18"/>
              </w:rPr>
              <w:t>13</w:t>
            </w:r>
            <w:r>
              <w:rPr>
                <w:rFonts w:ascii="Arial" w:hAnsi="Arial" w:cs="Arial" w:eastAsia="Arial" w:hint="default"/>
                <w:spacing w:val="-7"/>
                <w:sz w:val="18"/>
                <w:szCs w:val="18"/>
              </w:rPr>
              <w:t> </w:t>
            </w:r>
            <w:r>
              <w:rPr>
                <w:rFonts w:ascii="宋体" w:hAnsi="宋体" w:cs="宋体" w:eastAsia="宋体" w:hint="default"/>
                <w:sz w:val="18"/>
                <w:szCs w:val="18"/>
              </w:rPr>
              <w:t>日</w:t>
            </w:r>
            <w:r>
              <w:rPr>
                <w:rFonts w:ascii="宋体" w:hAnsi="宋体" w:cs="宋体" w:eastAsia="宋体" w:hint="default"/>
                <w:spacing w:val="-20"/>
                <w:sz w:val="18"/>
                <w:szCs w:val="18"/>
              </w:rPr>
              <w:t>，</w:t>
            </w:r>
            <w:r>
              <w:rPr>
                <w:rFonts w:ascii="宋体" w:hAnsi="宋体" w:cs="宋体" w:eastAsia="宋体" w:hint="default"/>
                <w:sz w:val="18"/>
                <w:szCs w:val="18"/>
              </w:rPr>
              <w:t>公司第五届董事会第九次会议审议通过</w:t>
            </w:r>
            <w:r>
              <w:rPr>
                <w:rFonts w:ascii="宋体" w:hAnsi="宋体" w:cs="宋体" w:eastAsia="宋体" w:hint="default"/>
                <w:spacing w:val="-20"/>
                <w:sz w:val="18"/>
                <w:szCs w:val="18"/>
              </w:rPr>
              <w:t>了</w:t>
            </w:r>
            <w:r>
              <w:rPr>
                <w:rFonts w:ascii="宋体" w:hAnsi="宋体" w:cs="宋体" w:eastAsia="宋体" w:hint="default"/>
                <w:sz w:val="18"/>
                <w:szCs w:val="18"/>
              </w:rPr>
              <w:t>《使用部分超募资金永久补充流动资金</w:t>
            </w:r>
            <w:r>
              <w:rPr>
                <w:rFonts w:ascii="宋体" w:hAnsi="宋体" w:cs="宋体" w:eastAsia="宋体" w:hint="default"/>
                <w:spacing w:val="-89"/>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同意使用超募资金</w:t>
            </w:r>
            <w:r>
              <w:rPr>
                <w:rFonts w:ascii="宋体" w:hAnsi="宋体" w:cs="宋体" w:eastAsia="宋体" w:hint="default"/>
                <w:spacing w:val="-45"/>
                <w:sz w:val="18"/>
                <w:szCs w:val="18"/>
              </w:rPr>
              <w:t> </w:t>
            </w:r>
            <w:r>
              <w:rPr>
                <w:rFonts w:ascii="Arial" w:hAnsi="Arial" w:cs="Arial" w:eastAsia="Arial" w:hint="default"/>
                <w:w w:val="99"/>
                <w:sz w:val="18"/>
                <w:szCs w:val="18"/>
              </w:rPr>
              <w:t>3</w:t>
            </w:r>
            <w:r>
              <w:rPr>
                <w:rFonts w:ascii="Arial" w:hAnsi="Arial" w:cs="Arial" w:eastAsia="Arial" w:hint="default"/>
                <w:w w:val="99"/>
                <w:sz w:val="18"/>
                <w:szCs w:val="18"/>
              </w:rPr>
              <w:t>,</w:t>
            </w:r>
            <w:r>
              <w:rPr>
                <w:rFonts w:ascii="Arial" w:hAnsi="Arial" w:cs="Arial" w:eastAsia="Arial" w:hint="default"/>
                <w:w w:val="99"/>
                <w:sz w:val="18"/>
                <w:szCs w:val="18"/>
              </w:rPr>
              <w:t>0</w:t>
            </w:r>
            <w:r>
              <w:rPr>
                <w:rFonts w:ascii="Arial" w:hAnsi="Arial" w:cs="Arial" w:eastAsia="Arial" w:hint="default"/>
                <w:spacing w:val="-2"/>
                <w:w w:val="99"/>
                <w:sz w:val="18"/>
                <w:szCs w:val="18"/>
              </w:rPr>
              <w:t>0</w:t>
            </w:r>
            <w:r>
              <w:rPr>
                <w:rFonts w:ascii="Arial" w:hAnsi="Arial" w:cs="Arial" w:eastAsia="Arial" w:hint="default"/>
                <w:w w:val="99"/>
                <w:sz w:val="18"/>
                <w:szCs w:val="18"/>
              </w:rPr>
              <w:t>0</w:t>
            </w:r>
            <w:r>
              <w:rPr>
                <w:rFonts w:ascii="Arial" w:hAnsi="Arial" w:cs="Arial" w:eastAsia="Arial" w:hint="default"/>
                <w:sz w:val="18"/>
                <w:szCs w:val="18"/>
              </w:rPr>
            </w:r>
          </w:p>
        </w:tc>
      </w:tr>
      <w:tr>
        <w:trPr>
          <w:trHeight w:val="327" w:hRule="exact"/>
        </w:trPr>
        <w:tc>
          <w:tcPr>
            <w:tcW w:w="3119" w:type="dxa"/>
            <w:vMerge/>
            <w:tcBorders>
              <w:left w:val="single" w:sz="4" w:space="0" w:color="000000"/>
              <w:right w:val="single" w:sz="4" w:space="0" w:color="000000"/>
            </w:tcBorders>
            <w:shd w:val="clear" w:color="auto" w:fill="D2D2D2"/>
          </w:tcPr>
          <w:p>
            <w:pPr/>
          </w:p>
        </w:tc>
        <w:tc>
          <w:tcPr>
            <w:tcW w:w="1077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万元用于永久补充流动资金。</w:t>
            </w:r>
          </w:p>
        </w:tc>
      </w:tr>
      <w:tr>
        <w:trPr>
          <w:trHeight w:val="336" w:hRule="exact"/>
        </w:trPr>
        <w:tc>
          <w:tcPr>
            <w:tcW w:w="3119" w:type="dxa"/>
            <w:vMerge/>
            <w:tcBorders>
              <w:left w:val="single" w:sz="4" w:space="0" w:color="000000"/>
              <w:right w:val="single" w:sz="4" w:space="0" w:color="000000"/>
            </w:tcBorders>
            <w:shd w:val="clear" w:color="auto" w:fill="D2D2D2"/>
          </w:tcPr>
          <w:p>
            <w:pPr/>
          </w:p>
        </w:tc>
        <w:tc>
          <w:tcPr>
            <w:tcW w:w="10773"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82"/>
              <w:jc w:val="right"/>
              <w:rPr>
                <w:rFonts w:ascii="宋体" w:hAnsi="宋体" w:cs="宋体" w:eastAsia="宋体" w:hint="default"/>
                <w:sz w:val="18"/>
                <w:szCs w:val="18"/>
              </w:rPr>
            </w:pPr>
            <w:r>
              <w:rPr>
                <w:rFonts w:ascii="Arial" w:hAnsi="Arial" w:cs="Arial" w:eastAsia="Arial" w:hint="default"/>
                <w:w w:val="99"/>
                <w:sz w:val="18"/>
                <w:szCs w:val="18"/>
              </w:rPr>
              <w:t>8</w:t>
            </w:r>
            <w:r>
              <w:rPr>
                <w:rFonts w:ascii="宋体" w:hAnsi="宋体" w:cs="宋体" w:eastAsia="宋体" w:hint="default"/>
                <w:sz w:val="18"/>
                <w:szCs w:val="18"/>
              </w:rPr>
              <w:t>、</w:t>
            </w:r>
            <w:r>
              <w:rPr>
                <w:rFonts w:ascii="Arial" w:hAnsi="Arial" w:cs="Arial" w:eastAsia="Arial" w:hint="default"/>
                <w:w w:val="99"/>
                <w:sz w:val="18"/>
                <w:szCs w:val="18"/>
              </w:rPr>
              <w:t>2014</w:t>
            </w:r>
            <w:r>
              <w:rPr>
                <w:rFonts w:ascii="Arial" w:hAnsi="Arial" w:cs="Arial" w:eastAsia="Arial"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w w:val="99"/>
                <w:sz w:val="18"/>
                <w:szCs w:val="18"/>
              </w:rPr>
              <w:t>9</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w w:val="99"/>
                <w:sz w:val="18"/>
                <w:szCs w:val="18"/>
              </w:rPr>
              <w:t>10</w:t>
            </w:r>
            <w:r>
              <w:rPr>
                <w:rFonts w:ascii="Arial" w:hAnsi="Arial" w:cs="Arial" w:eastAsia="Arial" w:hint="default"/>
                <w:spacing w:val="-7"/>
                <w:sz w:val="18"/>
                <w:szCs w:val="18"/>
              </w:rPr>
              <w:t> </w:t>
            </w:r>
            <w:r>
              <w:rPr>
                <w:rFonts w:ascii="宋体" w:hAnsi="宋体" w:cs="宋体" w:eastAsia="宋体" w:hint="default"/>
                <w:sz w:val="18"/>
                <w:szCs w:val="18"/>
              </w:rPr>
              <w:t>日，公司第五届董事会第十三次会议审议通过了《关于部分募投项目结项并将结余资金转超募资金的议案</w:t>
            </w:r>
            <w:r>
              <w:rPr>
                <w:rFonts w:ascii="宋体" w:hAnsi="宋体" w:cs="宋体" w:eastAsia="宋体" w:hint="default"/>
                <w:spacing w:val="-89"/>
                <w:sz w:val="18"/>
                <w:szCs w:val="18"/>
              </w:rPr>
              <w:t>》</w:t>
            </w:r>
            <w:r>
              <w:rPr>
                <w:rFonts w:ascii="宋体" w:hAnsi="宋体" w:cs="宋体" w:eastAsia="宋体" w:hint="default"/>
                <w:sz w:val="18"/>
                <w:szCs w:val="18"/>
              </w:rPr>
              <w:t>，同</w:t>
            </w:r>
          </w:p>
        </w:tc>
      </w:tr>
      <w:tr>
        <w:trPr>
          <w:trHeight w:val="312" w:hRule="exact"/>
        </w:trPr>
        <w:tc>
          <w:tcPr>
            <w:tcW w:w="3119" w:type="dxa"/>
            <w:vMerge/>
            <w:tcBorders>
              <w:left w:val="single" w:sz="4" w:space="0" w:color="000000"/>
              <w:right w:val="single" w:sz="4" w:space="0" w:color="000000"/>
            </w:tcBorders>
            <w:shd w:val="clear" w:color="auto" w:fill="D2D2D2"/>
          </w:tcPr>
          <w:p>
            <w:pPr/>
          </w:p>
        </w:tc>
        <w:tc>
          <w:tcPr>
            <w:tcW w:w="1077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意将公司募投项目</w:t>
            </w:r>
            <w:r>
              <w:rPr>
                <w:rFonts w:ascii="Arial" w:hAnsi="Arial" w:cs="Arial" w:eastAsia="Arial" w:hint="default"/>
                <w:sz w:val="18"/>
                <w:szCs w:val="18"/>
              </w:rPr>
              <w:t>“</w:t>
            </w:r>
            <w:r>
              <w:rPr>
                <w:rFonts w:ascii="宋体" w:hAnsi="宋体" w:cs="宋体" w:eastAsia="宋体" w:hint="default"/>
                <w:sz w:val="18"/>
                <w:szCs w:val="18"/>
              </w:rPr>
              <w:t>商业智能分析应用平台</w:t>
            </w:r>
            <w:r>
              <w:rPr>
                <w:rFonts w:ascii="Arial" w:hAnsi="Arial" w:cs="Arial" w:eastAsia="Arial" w:hint="default"/>
                <w:sz w:val="18"/>
                <w:szCs w:val="18"/>
              </w:rPr>
              <w:t>”</w:t>
            </w:r>
            <w:r>
              <w:rPr>
                <w:rFonts w:ascii="宋体" w:hAnsi="宋体" w:cs="宋体" w:eastAsia="宋体" w:hint="default"/>
                <w:sz w:val="18"/>
                <w:szCs w:val="18"/>
              </w:rPr>
              <w:t>和</w:t>
            </w:r>
            <w:r>
              <w:rPr>
                <w:rFonts w:ascii="Arial" w:hAnsi="Arial" w:cs="Arial" w:eastAsia="Arial" w:hint="default"/>
                <w:sz w:val="18"/>
                <w:szCs w:val="18"/>
              </w:rPr>
              <w:t>“</w:t>
            </w:r>
            <w:r>
              <w:rPr>
                <w:rFonts w:ascii="宋体" w:hAnsi="宋体" w:cs="宋体" w:eastAsia="宋体" w:hint="default"/>
                <w:sz w:val="18"/>
                <w:szCs w:val="18"/>
              </w:rPr>
              <w:t>华宇政务应用支撑和研发平台</w:t>
            </w:r>
            <w:r>
              <w:rPr>
                <w:rFonts w:ascii="Arial" w:hAnsi="Arial" w:cs="Arial" w:eastAsia="Arial" w:hint="default"/>
                <w:sz w:val="18"/>
                <w:szCs w:val="18"/>
              </w:rPr>
              <w:t>”</w:t>
            </w:r>
            <w:r>
              <w:rPr>
                <w:rFonts w:ascii="宋体" w:hAnsi="宋体" w:cs="宋体" w:eastAsia="宋体" w:hint="default"/>
                <w:sz w:val="18"/>
                <w:szCs w:val="18"/>
              </w:rPr>
              <w:t>的结余募集资金</w:t>
            </w:r>
            <w:r>
              <w:rPr>
                <w:rFonts w:ascii="宋体" w:hAnsi="宋体" w:cs="宋体" w:eastAsia="宋体" w:hint="default"/>
                <w:spacing w:val="-42"/>
                <w:sz w:val="18"/>
                <w:szCs w:val="18"/>
              </w:rPr>
              <w:t> </w:t>
            </w:r>
            <w:r>
              <w:rPr>
                <w:rFonts w:ascii="Arial" w:hAnsi="Arial" w:cs="Arial" w:eastAsia="Arial" w:hint="default"/>
                <w:sz w:val="18"/>
                <w:szCs w:val="18"/>
              </w:rPr>
              <w:t>2,300.32</w:t>
            </w:r>
            <w:r>
              <w:rPr>
                <w:rFonts w:ascii="Arial" w:hAnsi="Arial" w:cs="Arial" w:eastAsia="Arial" w:hint="default"/>
                <w:spacing w:val="-4"/>
                <w:sz w:val="18"/>
                <w:szCs w:val="18"/>
              </w:rPr>
              <w:t> </w:t>
            </w:r>
            <w:r>
              <w:rPr>
                <w:rFonts w:ascii="宋体" w:hAnsi="宋体" w:cs="宋体" w:eastAsia="宋体" w:hint="default"/>
                <w:spacing w:val="-3"/>
                <w:sz w:val="18"/>
                <w:szCs w:val="18"/>
              </w:rPr>
              <w:t>万元（含利息收入）转为超募资金</w:t>
            </w:r>
          </w:p>
        </w:tc>
      </w:tr>
      <w:tr>
        <w:trPr>
          <w:trHeight w:val="328" w:hRule="exact"/>
        </w:trPr>
        <w:tc>
          <w:tcPr>
            <w:tcW w:w="3119" w:type="dxa"/>
            <w:vMerge/>
            <w:tcBorders>
              <w:left w:val="single" w:sz="4" w:space="0" w:color="000000"/>
              <w:right w:val="single" w:sz="4" w:space="0" w:color="000000"/>
            </w:tcBorders>
            <w:shd w:val="clear" w:color="auto" w:fill="D2D2D2"/>
          </w:tcPr>
          <w:p>
            <w:pPr/>
          </w:p>
        </w:tc>
        <w:tc>
          <w:tcPr>
            <w:tcW w:w="1077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管理。</w:t>
            </w:r>
          </w:p>
        </w:tc>
      </w:tr>
      <w:tr>
        <w:trPr>
          <w:trHeight w:val="337" w:hRule="exact"/>
        </w:trPr>
        <w:tc>
          <w:tcPr>
            <w:tcW w:w="3119" w:type="dxa"/>
            <w:vMerge/>
            <w:tcBorders>
              <w:left w:val="single" w:sz="4" w:space="0" w:color="000000"/>
              <w:right w:val="single" w:sz="4" w:space="0" w:color="000000"/>
            </w:tcBorders>
            <w:shd w:val="clear" w:color="auto" w:fill="D2D2D2"/>
          </w:tcPr>
          <w:p>
            <w:pPr/>
          </w:p>
        </w:tc>
        <w:tc>
          <w:tcPr>
            <w:tcW w:w="10773"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82"/>
              <w:jc w:val="right"/>
              <w:rPr>
                <w:rFonts w:ascii="宋体" w:hAnsi="宋体" w:cs="宋体" w:eastAsia="宋体" w:hint="default"/>
                <w:sz w:val="18"/>
                <w:szCs w:val="18"/>
              </w:rPr>
            </w:pPr>
            <w:r>
              <w:rPr>
                <w:rFonts w:ascii="Arial" w:hAnsi="Arial" w:cs="Arial" w:eastAsia="Arial" w:hint="default"/>
                <w:w w:val="99"/>
                <w:sz w:val="18"/>
                <w:szCs w:val="18"/>
              </w:rPr>
              <w:t>9</w:t>
            </w:r>
            <w:r>
              <w:rPr>
                <w:rFonts w:ascii="宋体" w:hAnsi="宋体" w:cs="宋体" w:eastAsia="宋体" w:hint="default"/>
                <w:sz w:val="18"/>
                <w:szCs w:val="18"/>
              </w:rPr>
              <w:t>、</w:t>
            </w:r>
            <w:r>
              <w:rPr>
                <w:rFonts w:ascii="Arial" w:hAnsi="Arial" w:cs="Arial" w:eastAsia="Arial" w:hint="default"/>
                <w:w w:val="99"/>
                <w:sz w:val="18"/>
                <w:szCs w:val="18"/>
              </w:rPr>
              <w:t>2014</w:t>
            </w:r>
            <w:r>
              <w:rPr>
                <w:rFonts w:ascii="Arial" w:hAnsi="Arial" w:cs="Arial" w:eastAsia="Arial"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w w:val="99"/>
                <w:sz w:val="18"/>
                <w:szCs w:val="18"/>
              </w:rPr>
              <w:t>9</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w w:val="99"/>
                <w:sz w:val="18"/>
                <w:szCs w:val="18"/>
              </w:rPr>
              <w:t>15</w:t>
            </w:r>
            <w:r>
              <w:rPr>
                <w:rFonts w:ascii="Arial" w:hAnsi="Arial" w:cs="Arial" w:eastAsia="Arial" w:hint="default"/>
                <w:spacing w:val="-7"/>
                <w:sz w:val="18"/>
                <w:szCs w:val="18"/>
              </w:rPr>
              <w:t> </w:t>
            </w:r>
            <w:r>
              <w:rPr>
                <w:rFonts w:ascii="宋体" w:hAnsi="宋体" w:cs="宋体" w:eastAsia="宋体" w:hint="default"/>
                <w:sz w:val="18"/>
                <w:szCs w:val="18"/>
              </w:rPr>
              <w:t>日，公司第五届董事会第十四次会议通过《关于使用超募资金参股深圳市捷视飞通科技有限公司的议案</w:t>
            </w:r>
            <w:r>
              <w:rPr>
                <w:rFonts w:ascii="宋体" w:hAnsi="宋体" w:cs="宋体" w:eastAsia="宋体" w:hint="default"/>
                <w:spacing w:val="-89"/>
                <w:sz w:val="18"/>
                <w:szCs w:val="18"/>
              </w:rPr>
              <w:t>》</w:t>
            </w:r>
            <w:r>
              <w:rPr>
                <w:rFonts w:ascii="宋体" w:hAnsi="宋体" w:cs="宋体" w:eastAsia="宋体" w:hint="default"/>
                <w:sz w:val="18"/>
                <w:szCs w:val="18"/>
              </w:rPr>
              <w:t>，同意</w:t>
            </w:r>
          </w:p>
        </w:tc>
      </w:tr>
      <w:tr>
        <w:trPr>
          <w:trHeight w:val="332" w:hRule="exact"/>
        </w:trPr>
        <w:tc>
          <w:tcPr>
            <w:tcW w:w="3119" w:type="dxa"/>
            <w:vMerge/>
            <w:tcBorders>
              <w:left w:val="single" w:sz="4" w:space="0" w:color="000000"/>
              <w:right w:val="single" w:sz="4" w:space="0" w:color="000000"/>
            </w:tcBorders>
            <w:shd w:val="clear" w:color="auto" w:fill="D2D2D2"/>
          </w:tcPr>
          <w:p>
            <w:pPr/>
          </w:p>
        </w:tc>
        <w:tc>
          <w:tcPr>
            <w:tcW w:w="1077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使用超募资金</w:t>
            </w:r>
            <w:r>
              <w:rPr>
                <w:rFonts w:ascii="宋体" w:hAnsi="宋体" w:cs="宋体" w:eastAsia="宋体" w:hint="default"/>
                <w:spacing w:val="-47"/>
                <w:sz w:val="18"/>
                <w:szCs w:val="18"/>
              </w:rPr>
              <w:t> </w:t>
            </w:r>
            <w:r>
              <w:rPr>
                <w:rFonts w:ascii="Arial" w:hAnsi="Arial" w:cs="Arial" w:eastAsia="Arial" w:hint="default"/>
                <w:sz w:val="18"/>
                <w:szCs w:val="18"/>
              </w:rPr>
              <w:t>3,000</w:t>
            </w:r>
            <w:r>
              <w:rPr>
                <w:rFonts w:ascii="Arial" w:hAnsi="Arial" w:cs="Arial" w:eastAsia="Arial" w:hint="default"/>
                <w:spacing w:val="-9"/>
                <w:sz w:val="18"/>
                <w:szCs w:val="18"/>
              </w:rPr>
              <w:t> </w:t>
            </w:r>
            <w:r>
              <w:rPr>
                <w:rFonts w:ascii="宋体" w:hAnsi="宋体" w:cs="宋体" w:eastAsia="宋体" w:hint="default"/>
                <w:sz w:val="18"/>
                <w:szCs w:val="18"/>
              </w:rPr>
              <w:t>万元以增资的形式投资深圳市捷视飞通科技有限公司。</w:t>
            </w:r>
          </w:p>
        </w:tc>
      </w:tr>
      <w:tr>
        <w:trPr>
          <w:trHeight w:val="332" w:hRule="exact"/>
        </w:trPr>
        <w:tc>
          <w:tcPr>
            <w:tcW w:w="3119" w:type="dxa"/>
            <w:vMerge/>
            <w:tcBorders>
              <w:left w:val="single" w:sz="4" w:space="0" w:color="000000"/>
              <w:right w:val="single" w:sz="4" w:space="0" w:color="000000"/>
            </w:tcBorders>
            <w:shd w:val="clear" w:color="auto" w:fill="D2D2D2"/>
          </w:tcPr>
          <w:p>
            <w:pPr/>
          </w:p>
        </w:tc>
        <w:tc>
          <w:tcPr>
            <w:tcW w:w="10773"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73"/>
              <w:jc w:val="right"/>
              <w:rPr>
                <w:rFonts w:ascii="宋体" w:hAnsi="宋体" w:cs="宋体" w:eastAsia="宋体" w:hint="default"/>
                <w:sz w:val="18"/>
                <w:szCs w:val="18"/>
              </w:rPr>
            </w:pPr>
            <w:r>
              <w:rPr>
                <w:rFonts w:ascii="Arial" w:hAnsi="Arial" w:cs="Arial" w:eastAsia="Arial" w:hint="default"/>
                <w:sz w:val="18"/>
                <w:szCs w:val="18"/>
              </w:rPr>
              <w:t>10</w:t>
            </w:r>
            <w:r>
              <w:rPr>
                <w:rFonts w:ascii="宋体" w:hAnsi="宋体" w:cs="宋体" w:eastAsia="宋体" w:hint="default"/>
                <w:sz w:val="18"/>
                <w:szCs w:val="18"/>
              </w:rPr>
              <w:t>、</w:t>
            </w: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日，公司第五届董事会第十四次会议决议审议通过《关于使用部分超募资金支付公司发行股份及支付现金购买</w:t>
            </w:r>
          </w:p>
        </w:tc>
      </w:tr>
      <w:tr>
        <w:trPr>
          <w:trHeight w:val="312" w:hRule="exact"/>
        </w:trPr>
        <w:tc>
          <w:tcPr>
            <w:tcW w:w="3119" w:type="dxa"/>
            <w:vMerge/>
            <w:tcBorders>
              <w:left w:val="single" w:sz="4" w:space="0" w:color="000000"/>
              <w:right w:val="single" w:sz="4" w:space="0" w:color="000000"/>
            </w:tcBorders>
            <w:shd w:val="clear" w:color="auto" w:fill="D2D2D2"/>
          </w:tcPr>
          <w:p>
            <w:pPr/>
          </w:p>
        </w:tc>
        <w:tc>
          <w:tcPr>
            <w:tcW w:w="1077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Arial" w:hAnsi="Arial" w:cs="Arial" w:eastAsia="Arial" w:hint="default"/>
                <w:sz w:val="18"/>
                <w:szCs w:val="18"/>
              </w:rPr>
            </w:pPr>
            <w:r>
              <w:rPr>
                <w:rFonts w:ascii="宋体" w:hAnsi="宋体" w:cs="宋体" w:eastAsia="宋体" w:hint="default"/>
                <w:sz w:val="18"/>
                <w:szCs w:val="18"/>
              </w:rPr>
              <w:t>资产现金对价的议案</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同意以发行股份及支付现金的方式购买马</w:t>
            </w:r>
            <w:r>
              <w:rPr>
                <w:rFonts w:ascii="宋体" w:hAnsi="宋体" w:cs="宋体" w:eastAsia="宋体" w:hint="default"/>
                <w:spacing w:val="-1"/>
                <w:sz w:val="18"/>
                <w:szCs w:val="18"/>
              </w:rPr>
              <w:t>勤</w:t>
            </w:r>
            <w:r>
              <w:rPr>
                <w:rFonts w:ascii="宋体" w:hAnsi="宋体" w:cs="宋体" w:eastAsia="宋体" w:hint="default"/>
                <w:sz w:val="18"/>
                <w:szCs w:val="18"/>
              </w:rPr>
              <w:t>等</w:t>
            </w:r>
            <w:r>
              <w:rPr>
                <w:rFonts w:ascii="宋体" w:hAnsi="宋体" w:cs="宋体" w:eastAsia="宋体" w:hint="default"/>
                <w:spacing w:val="-57"/>
                <w:sz w:val="18"/>
                <w:szCs w:val="18"/>
              </w:rPr>
              <w:t> </w:t>
            </w:r>
            <w:r>
              <w:rPr>
                <w:rFonts w:ascii="Arial" w:hAnsi="Arial" w:cs="Arial" w:eastAsia="Arial" w:hint="default"/>
                <w:spacing w:val="-14"/>
                <w:w w:val="99"/>
                <w:sz w:val="18"/>
                <w:szCs w:val="18"/>
              </w:rPr>
              <w:t>1</w:t>
            </w:r>
            <w:r>
              <w:rPr>
                <w:rFonts w:ascii="Arial" w:hAnsi="Arial" w:cs="Arial" w:eastAsia="Arial" w:hint="default"/>
                <w:w w:val="99"/>
                <w:sz w:val="18"/>
                <w:szCs w:val="18"/>
              </w:rPr>
              <w:t>1</w:t>
            </w:r>
            <w:r>
              <w:rPr>
                <w:rFonts w:ascii="Arial" w:hAnsi="Arial" w:cs="Arial" w:eastAsia="Arial" w:hint="default"/>
                <w:spacing w:val="-16"/>
                <w:sz w:val="18"/>
                <w:szCs w:val="18"/>
              </w:rPr>
              <w:t> </w:t>
            </w:r>
            <w:r>
              <w:rPr>
                <w:rFonts w:ascii="宋体" w:hAnsi="宋体" w:cs="宋体" w:eastAsia="宋体" w:hint="default"/>
                <w:sz w:val="18"/>
                <w:szCs w:val="18"/>
              </w:rPr>
              <w:t>名交易对方合计持有的上海浦东中软科技发展有限公司</w:t>
            </w:r>
            <w:r>
              <w:rPr>
                <w:rFonts w:ascii="宋体" w:hAnsi="宋体" w:cs="宋体" w:eastAsia="宋体" w:hint="default"/>
                <w:spacing w:val="-59"/>
                <w:sz w:val="18"/>
                <w:szCs w:val="18"/>
              </w:rPr>
              <w:t> </w:t>
            </w:r>
            <w:r>
              <w:rPr>
                <w:rFonts w:ascii="Arial" w:hAnsi="Arial" w:cs="Arial" w:eastAsia="Arial" w:hint="default"/>
                <w:w w:val="99"/>
                <w:sz w:val="18"/>
                <w:szCs w:val="18"/>
              </w:rPr>
              <w:t>90</w:t>
            </w:r>
            <w:r>
              <w:rPr>
                <w:rFonts w:ascii="Arial" w:hAnsi="Arial" w:cs="Arial" w:eastAsia="Arial" w:hint="default"/>
                <w:w w:val="99"/>
                <w:sz w:val="18"/>
                <w:szCs w:val="18"/>
              </w:rPr>
              <w:t>.</w:t>
            </w:r>
            <w:r>
              <w:rPr>
                <w:rFonts w:ascii="Arial" w:hAnsi="Arial" w:cs="Arial" w:eastAsia="Arial" w:hint="default"/>
                <w:spacing w:val="-2"/>
                <w:w w:val="99"/>
                <w:sz w:val="18"/>
                <w:szCs w:val="18"/>
              </w:rPr>
              <w:t>1</w:t>
            </w:r>
            <w:r>
              <w:rPr>
                <w:rFonts w:ascii="Arial" w:hAnsi="Arial" w:cs="Arial" w:eastAsia="Arial" w:hint="default"/>
                <w:w w:val="99"/>
                <w:sz w:val="18"/>
                <w:szCs w:val="18"/>
              </w:rPr>
              <w:t>85</w:t>
            </w:r>
            <w:r>
              <w:rPr>
                <w:rFonts w:ascii="Arial" w:hAnsi="Arial" w:cs="Arial" w:eastAsia="Arial" w:hint="default"/>
                <w:w w:val="99"/>
                <w:sz w:val="18"/>
                <w:szCs w:val="18"/>
              </w:rPr>
              <w:t>%</w:t>
            </w:r>
            <w:r>
              <w:rPr>
                <w:rFonts w:ascii="Arial" w:hAnsi="Arial" w:cs="Arial" w:eastAsia="Arial" w:hint="default"/>
                <w:sz w:val="18"/>
                <w:szCs w:val="18"/>
              </w:rPr>
            </w:r>
          </w:p>
        </w:tc>
      </w:tr>
      <w:tr>
        <w:trPr>
          <w:trHeight w:val="331" w:hRule="exact"/>
        </w:trPr>
        <w:tc>
          <w:tcPr>
            <w:tcW w:w="3119" w:type="dxa"/>
            <w:vMerge/>
            <w:tcBorders>
              <w:left w:val="single" w:sz="4" w:space="0" w:color="000000"/>
              <w:right w:val="single" w:sz="4" w:space="0" w:color="000000"/>
            </w:tcBorders>
            <w:shd w:val="clear" w:color="auto" w:fill="D2D2D2"/>
          </w:tcPr>
          <w:p>
            <w:pPr/>
          </w:p>
        </w:tc>
        <w:tc>
          <w:tcPr>
            <w:tcW w:w="1077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股权，交易总额为</w:t>
            </w:r>
            <w:r>
              <w:rPr>
                <w:rFonts w:ascii="宋体" w:hAnsi="宋体" w:cs="宋体" w:eastAsia="宋体" w:hint="default"/>
                <w:spacing w:val="-47"/>
                <w:sz w:val="18"/>
                <w:szCs w:val="18"/>
              </w:rPr>
              <w:t> </w:t>
            </w:r>
            <w:r>
              <w:rPr>
                <w:rFonts w:ascii="Arial" w:hAnsi="Arial" w:cs="Arial" w:eastAsia="Arial" w:hint="default"/>
                <w:sz w:val="18"/>
                <w:szCs w:val="18"/>
              </w:rPr>
              <w:t>13,527.75</w:t>
            </w:r>
            <w:r>
              <w:rPr>
                <w:rFonts w:ascii="Arial" w:hAnsi="Arial" w:cs="Arial" w:eastAsia="Arial" w:hint="default"/>
                <w:spacing w:val="-9"/>
                <w:sz w:val="18"/>
                <w:szCs w:val="18"/>
              </w:rPr>
              <w:t> </w:t>
            </w:r>
            <w:r>
              <w:rPr>
                <w:rFonts w:ascii="宋体" w:hAnsi="宋体" w:cs="宋体" w:eastAsia="宋体" w:hint="default"/>
                <w:sz w:val="18"/>
                <w:szCs w:val="18"/>
              </w:rPr>
              <w:t>万元，其中使用超募资金</w:t>
            </w:r>
            <w:r>
              <w:rPr>
                <w:rFonts w:ascii="宋体" w:hAnsi="宋体" w:cs="宋体" w:eastAsia="宋体" w:hint="default"/>
                <w:spacing w:val="-47"/>
                <w:sz w:val="18"/>
                <w:szCs w:val="18"/>
              </w:rPr>
              <w:t> </w:t>
            </w:r>
            <w:r>
              <w:rPr>
                <w:rFonts w:ascii="Arial" w:hAnsi="Arial" w:cs="Arial" w:eastAsia="Arial" w:hint="default"/>
                <w:sz w:val="18"/>
                <w:szCs w:val="18"/>
              </w:rPr>
              <w:t>5,500</w:t>
            </w:r>
            <w:r>
              <w:rPr>
                <w:rFonts w:ascii="Arial" w:hAnsi="Arial" w:cs="Arial" w:eastAsia="Arial" w:hint="default"/>
                <w:spacing w:val="-9"/>
                <w:sz w:val="18"/>
                <w:szCs w:val="18"/>
              </w:rPr>
              <w:t> </w:t>
            </w:r>
            <w:r>
              <w:rPr>
                <w:rFonts w:ascii="宋体" w:hAnsi="宋体" w:cs="宋体" w:eastAsia="宋体" w:hint="default"/>
                <w:sz w:val="18"/>
                <w:szCs w:val="18"/>
              </w:rPr>
              <w:t>万元支付本次交易的部分现金对价，不足部分由公司以自有资金支付。</w:t>
            </w:r>
          </w:p>
        </w:tc>
      </w:tr>
      <w:tr>
        <w:trPr>
          <w:trHeight w:val="331" w:hRule="exact"/>
        </w:trPr>
        <w:tc>
          <w:tcPr>
            <w:tcW w:w="3119" w:type="dxa"/>
            <w:vMerge/>
            <w:tcBorders>
              <w:left w:val="single" w:sz="4" w:space="0" w:color="000000"/>
              <w:right w:val="single" w:sz="4" w:space="0" w:color="000000"/>
            </w:tcBorders>
            <w:shd w:val="clear" w:color="auto" w:fill="D2D2D2"/>
          </w:tcPr>
          <w:p>
            <w:pPr/>
          </w:p>
        </w:tc>
        <w:tc>
          <w:tcPr>
            <w:tcW w:w="10773"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46"/>
              <w:jc w:val="right"/>
              <w:rPr>
                <w:rFonts w:ascii="宋体" w:hAnsi="宋体" w:cs="宋体" w:eastAsia="宋体" w:hint="default"/>
                <w:sz w:val="18"/>
                <w:szCs w:val="18"/>
              </w:rPr>
            </w:pPr>
            <w:r>
              <w:rPr>
                <w:rFonts w:ascii="Arial" w:hAnsi="Arial" w:cs="Arial" w:eastAsia="Arial" w:hint="default"/>
                <w:spacing w:val="-3"/>
                <w:sz w:val="18"/>
                <w:szCs w:val="18"/>
              </w:rPr>
              <w:t>11</w:t>
            </w:r>
            <w:r>
              <w:rPr>
                <w:rFonts w:ascii="宋体" w:hAnsi="宋体" w:cs="宋体" w:eastAsia="宋体" w:hint="default"/>
                <w:spacing w:val="-3"/>
                <w:sz w:val="18"/>
                <w:szCs w:val="18"/>
              </w:rPr>
              <w:t>、</w:t>
            </w:r>
            <w:r>
              <w:rPr>
                <w:rFonts w:ascii="Arial" w:hAnsi="Arial" w:cs="Arial" w:eastAsia="Arial" w:hint="default"/>
                <w:spacing w:val="-3"/>
                <w:sz w:val="18"/>
                <w:szCs w:val="18"/>
              </w:rPr>
              <w:t>2016</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25</w:t>
            </w:r>
            <w:r>
              <w:rPr>
                <w:rFonts w:ascii="Arial" w:hAnsi="Arial" w:cs="Arial" w:eastAsia="Arial" w:hint="default"/>
                <w:spacing w:val="-4"/>
                <w:sz w:val="18"/>
                <w:szCs w:val="18"/>
              </w:rPr>
              <w:t> </w:t>
            </w:r>
            <w:r>
              <w:rPr>
                <w:rFonts w:ascii="宋体" w:hAnsi="宋体" w:cs="宋体" w:eastAsia="宋体" w:hint="default"/>
                <w:sz w:val="18"/>
                <w:szCs w:val="18"/>
              </w:rPr>
              <w:t>日，公司第五届董事会第二十五次会议决议审议通过了《使用</w:t>
            </w:r>
            <w:r>
              <w:rPr>
                <w:rFonts w:ascii="宋体" w:hAnsi="宋体" w:cs="宋体" w:eastAsia="宋体" w:hint="default"/>
                <w:spacing w:val="-47"/>
                <w:sz w:val="18"/>
                <w:szCs w:val="18"/>
              </w:rPr>
              <w:t> </w:t>
            </w:r>
            <w:r>
              <w:rPr>
                <w:rFonts w:ascii="Arial" w:hAnsi="Arial" w:cs="Arial" w:eastAsia="Arial" w:hint="default"/>
                <w:sz w:val="18"/>
                <w:szCs w:val="18"/>
              </w:rPr>
              <w:t>IPO</w:t>
            </w:r>
            <w:r>
              <w:rPr>
                <w:rFonts w:ascii="Arial" w:hAnsi="Arial" w:cs="Arial" w:eastAsia="Arial" w:hint="default"/>
                <w:spacing w:val="-6"/>
                <w:sz w:val="18"/>
                <w:szCs w:val="18"/>
              </w:rPr>
              <w:t> </w:t>
            </w:r>
            <w:r>
              <w:rPr>
                <w:rFonts w:ascii="宋体" w:hAnsi="宋体" w:cs="宋体" w:eastAsia="宋体" w:hint="default"/>
                <w:sz w:val="18"/>
                <w:szCs w:val="18"/>
              </w:rPr>
              <w:t>超募资金项目节余资金永久补充流动资金的</w:t>
            </w:r>
          </w:p>
        </w:tc>
      </w:tr>
      <w:tr>
        <w:trPr>
          <w:trHeight w:val="328" w:hRule="exact"/>
        </w:trPr>
        <w:tc>
          <w:tcPr>
            <w:tcW w:w="3119" w:type="dxa"/>
            <w:vMerge/>
            <w:tcBorders>
              <w:left w:val="single" w:sz="4" w:space="0" w:color="000000"/>
              <w:right w:val="single" w:sz="4" w:space="0" w:color="000000"/>
            </w:tcBorders>
            <w:shd w:val="clear" w:color="auto" w:fill="D2D2D2"/>
          </w:tcPr>
          <w:p>
            <w:pPr/>
          </w:p>
        </w:tc>
        <w:tc>
          <w:tcPr>
            <w:tcW w:w="1077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议案</w:t>
            </w:r>
            <w:r>
              <w:rPr>
                <w:rFonts w:ascii="宋体" w:hAnsi="宋体" w:cs="宋体" w:eastAsia="宋体" w:hint="default"/>
                <w:spacing w:val="-89"/>
                <w:sz w:val="18"/>
                <w:szCs w:val="18"/>
              </w:rPr>
              <w:t>》</w:t>
            </w:r>
            <w:r>
              <w:rPr>
                <w:rFonts w:ascii="宋体" w:hAnsi="宋体" w:cs="宋体" w:eastAsia="宋体" w:hint="default"/>
                <w:sz w:val="18"/>
                <w:szCs w:val="18"/>
              </w:rPr>
              <w:t>，同意使用超募资金项目节余资金永久补充流动资金。</w:t>
            </w:r>
          </w:p>
        </w:tc>
      </w:tr>
      <w:tr>
        <w:trPr>
          <w:trHeight w:val="377" w:hRule="exact"/>
        </w:trPr>
        <w:tc>
          <w:tcPr>
            <w:tcW w:w="3119" w:type="dxa"/>
            <w:vMerge/>
            <w:tcBorders>
              <w:left w:val="single" w:sz="4" w:space="0" w:color="000000"/>
              <w:bottom w:val="single" w:sz="4" w:space="0" w:color="000000"/>
              <w:right w:val="single" w:sz="4" w:space="0" w:color="000000"/>
            </w:tcBorders>
            <w:shd w:val="clear" w:color="auto" w:fill="D2D2D2"/>
          </w:tcPr>
          <w:p>
            <w:pPr/>
          </w:p>
        </w:tc>
        <w:tc>
          <w:tcPr>
            <w:tcW w:w="1077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left="382" w:right="0"/>
              <w:jc w:val="left"/>
              <w:rPr>
                <w:rFonts w:ascii="宋体" w:hAnsi="宋体" w:cs="宋体" w:eastAsia="宋体" w:hint="default"/>
                <w:sz w:val="18"/>
                <w:szCs w:val="18"/>
              </w:rPr>
            </w:pPr>
            <w:r>
              <w:rPr>
                <w:rFonts w:ascii="宋体" w:hAnsi="宋体" w:cs="宋体" w:eastAsia="宋体" w:hint="default"/>
                <w:sz w:val="18"/>
                <w:szCs w:val="18"/>
              </w:rPr>
              <w:t>截止目前，以上计划已经实施完毕。</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募集资金投资项目实施地点变更情况</w:t>
            </w:r>
          </w:p>
        </w:tc>
        <w:tc>
          <w:tcPr>
            <w:tcW w:w="10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1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募集资金投资项目实施方式调整情况</w:t>
            </w:r>
          </w:p>
        </w:tc>
        <w:tc>
          <w:tcPr>
            <w:tcW w:w="10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3119" w:type="dxa"/>
            <w:vMerge/>
            <w:tcBorders>
              <w:left w:val="single" w:sz="4" w:space="0" w:color="000000"/>
              <w:right w:val="single" w:sz="4" w:space="0" w:color="000000"/>
            </w:tcBorders>
            <w:shd w:val="clear" w:color="auto" w:fill="D2D2D2"/>
          </w:tcPr>
          <w:p>
            <w:pPr/>
          </w:p>
        </w:tc>
        <w:tc>
          <w:tcPr>
            <w:tcW w:w="10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757" w:hRule="exact"/>
        </w:trPr>
        <w:tc>
          <w:tcPr>
            <w:tcW w:w="3119" w:type="dxa"/>
            <w:vMerge/>
            <w:tcBorders>
              <w:left w:val="single" w:sz="4" w:space="0" w:color="000000"/>
              <w:bottom w:val="single" w:sz="4" w:space="0" w:color="000000"/>
              <w:right w:val="single" w:sz="4" w:space="0" w:color="000000"/>
            </w:tcBorders>
            <w:shd w:val="clear" w:color="auto" w:fill="D2D2D2"/>
          </w:tcPr>
          <w:p>
            <w:pPr/>
          </w:p>
        </w:tc>
        <w:tc>
          <w:tcPr>
            <w:tcW w:w="10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82"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Arial" w:hAnsi="Arial" w:cs="Arial" w:eastAsia="Arial" w:hint="default"/>
                <w:sz w:val="18"/>
                <w:szCs w:val="18"/>
              </w:rPr>
              <w:t>2012</w:t>
            </w:r>
            <w:r>
              <w:rPr>
                <w:rFonts w:ascii="Arial" w:hAnsi="Arial" w:cs="Arial" w:eastAsia="Arial" w:hint="default"/>
                <w:spacing w:val="-10"/>
                <w:sz w:val="18"/>
                <w:szCs w:val="18"/>
              </w:rPr>
              <w:t> </w:t>
            </w:r>
            <w:r>
              <w:rPr>
                <w:rFonts w:ascii="宋体" w:hAnsi="宋体" w:cs="宋体" w:eastAsia="宋体" w:hint="default"/>
                <w:sz w:val="18"/>
                <w:szCs w:val="18"/>
              </w:rPr>
              <w:t>年第一次临时股东大会审议通过，</w:t>
            </w:r>
            <w:r>
              <w:rPr>
                <w:rFonts w:ascii="Arial" w:hAnsi="Arial" w:cs="Arial" w:eastAsia="Arial" w:hint="default"/>
                <w:sz w:val="18"/>
                <w:szCs w:val="18"/>
              </w:rPr>
              <w:t>“</w:t>
            </w:r>
            <w:r>
              <w:rPr>
                <w:rFonts w:ascii="宋体" w:hAnsi="宋体" w:cs="宋体" w:eastAsia="宋体" w:hint="default"/>
                <w:sz w:val="18"/>
                <w:szCs w:val="18"/>
              </w:rPr>
              <w:t>信息应用运维管理与服务系统</w:t>
            </w:r>
            <w:r>
              <w:rPr>
                <w:rFonts w:ascii="Arial" w:hAnsi="Arial" w:cs="Arial" w:eastAsia="Arial" w:hint="default"/>
                <w:sz w:val="18"/>
                <w:szCs w:val="18"/>
              </w:rPr>
              <w:t>”</w:t>
            </w:r>
            <w:r>
              <w:rPr>
                <w:rFonts w:ascii="宋体" w:hAnsi="宋体" w:cs="宋体" w:eastAsia="宋体" w:hint="default"/>
                <w:sz w:val="18"/>
                <w:szCs w:val="18"/>
              </w:rPr>
              <w:t>项目变更由公司全资子公司华宇信息实施。该项目拟</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使用募集资金投资额为</w:t>
            </w:r>
            <w:r>
              <w:rPr>
                <w:rFonts w:ascii="宋体" w:hAnsi="宋体" w:cs="宋体" w:eastAsia="宋体" w:hint="default"/>
                <w:spacing w:val="-47"/>
                <w:sz w:val="18"/>
                <w:szCs w:val="18"/>
              </w:rPr>
              <w:t> </w:t>
            </w:r>
            <w:r>
              <w:rPr>
                <w:rFonts w:ascii="Arial" w:hAnsi="Arial" w:cs="Arial" w:eastAsia="Arial" w:hint="default"/>
                <w:sz w:val="18"/>
                <w:szCs w:val="18"/>
              </w:rPr>
              <w:t>3,452.72</w:t>
            </w:r>
            <w:r>
              <w:rPr>
                <w:rFonts w:ascii="Arial" w:hAnsi="Arial" w:cs="Arial" w:eastAsia="Arial" w:hint="default"/>
                <w:spacing w:val="-11"/>
                <w:sz w:val="18"/>
                <w:szCs w:val="18"/>
              </w:rPr>
              <w:t> </w:t>
            </w:r>
            <w:r>
              <w:rPr>
                <w:rFonts w:ascii="宋体" w:hAnsi="宋体" w:cs="宋体" w:eastAsia="宋体" w:hint="default"/>
                <w:sz w:val="18"/>
                <w:szCs w:val="18"/>
              </w:rPr>
              <w:t>万元，由公司以增资的方式注入华宇信息并全部用于该项目的建设。</w:t>
            </w:r>
          </w:p>
        </w:tc>
      </w:tr>
      <w:tr>
        <w:trPr>
          <w:trHeight w:val="402" w:hRule="exact"/>
        </w:trPr>
        <w:tc>
          <w:tcPr>
            <w:tcW w:w="31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募集资金投资项目先期投入及置换情况</w:t>
            </w:r>
          </w:p>
        </w:tc>
        <w:tc>
          <w:tcPr>
            <w:tcW w:w="10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72" w:hRule="exact"/>
        </w:trPr>
        <w:tc>
          <w:tcPr>
            <w:tcW w:w="3119" w:type="dxa"/>
            <w:vMerge/>
            <w:tcBorders>
              <w:left w:val="single" w:sz="4" w:space="0" w:color="000000"/>
              <w:bottom w:val="single" w:sz="4" w:space="0" w:color="000000"/>
              <w:right w:val="single" w:sz="4" w:space="0" w:color="000000"/>
            </w:tcBorders>
            <w:shd w:val="clear" w:color="auto" w:fill="D2D2D2"/>
          </w:tcPr>
          <w:p>
            <w:pPr/>
          </w:p>
        </w:tc>
        <w:tc>
          <w:tcPr>
            <w:tcW w:w="10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为加快项目建设以满足公司发展需要，在募集资金到位前公司先行以自筹资金支付数字法院智能管理系统项目款项</w:t>
            </w:r>
            <w:r>
              <w:rPr>
                <w:rFonts w:ascii="宋体" w:hAnsi="宋体" w:cs="宋体" w:eastAsia="宋体" w:hint="default"/>
                <w:spacing w:val="-47"/>
                <w:sz w:val="18"/>
                <w:szCs w:val="18"/>
              </w:rPr>
              <w:t> </w:t>
            </w:r>
            <w:r>
              <w:rPr>
                <w:rFonts w:ascii="Arial" w:hAnsi="Arial" w:cs="Arial" w:eastAsia="Arial" w:hint="default"/>
                <w:sz w:val="18"/>
                <w:szCs w:val="18"/>
              </w:rPr>
              <w:t>2647.99</w:t>
            </w:r>
            <w:r>
              <w:rPr>
                <w:rFonts w:ascii="Arial" w:hAnsi="Arial" w:cs="Arial" w:eastAsia="Arial" w:hint="default"/>
                <w:spacing w:val="-9"/>
                <w:sz w:val="18"/>
                <w:szCs w:val="18"/>
              </w:rPr>
              <w:t> </w:t>
            </w:r>
            <w:r>
              <w:rPr>
                <w:rFonts w:ascii="宋体" w:hAnsi="宋体" w:cs="宋体" w:eastAsia="宋体" w:hint="default"/>
                <w:sz w:val="18"/>
                <w:szCs w:val="18"/>
              </w:rPr>
              <w:t>万元、</w:t>
            </w:r>
          </w:p>
          <w:p>
            <w:pPr>
              <w:pStyle w:val="TableParagraph"/>
              <w:spacing w:line="240" w:lineRule="auto" w:before="63"/>
              <w:ind w:left="22" w:right="0"/>
              <w:jc w:val="left"/>
              <w:rPr>
                <w:rFonts w:ascii="Arial" w:hAnsi="Arial" w:cs="Arial" w:eastAsia="Arial" w:hint="default"/>
                <w:sz w:val="18"/>
                <w:szCs w:val="18"/>
              </w:rPr>
            </w:pPr>
            <w:r>
              <w:rPr>
                <w:rFonts w:ascii="宋体" w:hAnsi="宋体" w:cs="宋体" w:eastAsia="宋体" w:hint="default"/>
                <w:sz w:val="18"/>
                <w:szCs w:val="18"/>
              </w:rPr>
              <w:t>电子检务管理系统项目款项</w:t>
            </w:r>
            <w:r>
              <w:rPr>
                <w:rFonts w:ascii="宋体" w:hAnsi="宋体" w:cs="宋体" w:eastAsia="宋体" w:hint="default"/>
                <w:spacing w:val="-41"/>
                <w:sz w:val="18"/>
                <w:szCs w:val="18"/>
              </w:rPr>
              <w:t> </w:t>
            </w:r>
            <w:r>
              <w:rPr>
                <w:rFonts w:ascii="Arial" w:hAnsi="Arial" w:cs="Arial" w:eastAsia="Arial" w:hint="default"/>
                <w:sz w:val="18"/>
                <w:szCs w:val="18"/>
              </w:rPr>
              <w:t>2320.67</w:t>
            </w:r>
            <w:r>
              <w:rPr>
                <w:rFonts w:ascii="Arial" w:hAnsi="Arial" w:cs="Arial" w:eastAsia="Arial" w:hint="default"/>
                <w:spacing w:val="-3"/>
                <w:sz w:val="18"/>
                <w:szCs w:val="18"/>
              </w:rPr>
              <w:t> </w:t>
            </w:r>
            <w:r>
              <w:rPr>
                <w:rFonts w:ascii="宋体" w:hAnsi="宋体" w:cs="宋体" w:eastAsia="宋体" w:hint="default"/>
                <w:spacing w:val="-3"/>
                <w:sz w:val="18"/>
                <w:szCs w:val="18"/>
              </w:rPr>
              <w:t>万元、商业智能分析应用平台项目款项</w:t>
            </w:r>
            <w:r>
              <w:rPr>
                <w:rFonts w:ascii="宋体" w:hAnsi="宋体" w:cs="宋体" w:eastAsia="宋体" w:hint="default"/>
                <w:spacing w:val="-41"/>
                <w:sz w:val="18"/>
                <w:szCs w:val="18"/>
              </w:rPr>
              <w:t> </w:t>
            </w:r>
            <w:r>
              <w:rPr>
                <w:rFonts w:ascii="Arial" w:hAnsi="Arial" w:cs="Arial" w:eastAsia="Arial" w:hint="default"/>
                <w:sz w:val="18"/>
                <w:szCs w:val="18"/>
              </w:rPr>
              <w:t>154.71</w:t>
            </w:r>
            <w:r>
              <w:rPr>
                <w:rFonts w:ascii="Arial" w:hAnsi="Arial" w:cs="Arial" w:eastAsia="Arial" w:hint="default"/>
                <w:spacing w:val="-3"/>
                <w:sz w:val="18"/>
                <w:szCs w:val="18"/>
              </w:rPr>
              <w:t> </w:t>
            </w:r>
            <w:r>
              <w:rPr>
                <w:rFonts w:ascii="宋体" w:hAnsi="宋体" w:cs="宋体" w:eastAsia="宋体" w:hint="default"/>
                <w:spacing w:val="-3"/>
                <w:sz w:val="18"/>
                <w:szCs w:val="18"/>
              </w:rPr>
              <w:t>万元、华宇政务应用支撑和研发平台项目款项</w:t>
            </w:r>
            <w:r>
              <w:rPr>
                <w:rFonts w:ascii="宋体" w:hAnsi="宋体" w:cs="宋体" w:eastAsia="宋体" w:hint="default"/>
                <w:spacing w:val="-41"/>
                <w:sz w:val="18"/>
                <w:szCs w:val="18"/>
              </w:rPr>
              <w:t> </w:t>
            </w:r>
            <w:r>
              <w:rPr>
                <w:rFonts w:ascii="Arial" w:hAnsi="Arial" w:cs="Arial" w:eastAsia="Arial" w:hint="default"/>
                <w:sz w:val="18"/>
                <w:szCs w:val="18"/>
              </w:rPr>
              <w:t>157.97</w:t>
            </w:r>
          </w:p>
        </w:tc>
      </w:tr>
    </w:tbl>
    <w:p>
      <w:pPr>
        <w:spacing w:after="0" w:line="240" w:lineRule="auto"/>
        <w:jc w:val="left"/>
        <w:rPr>
          <w:rFonts w:ascii="Arial" w:hAnsi="Arial" w:cs="Arial" w:eastAsia="Arial" w:hint="default"/>
          <w:sz w:val="18"/>
          <w:szCs w:val="18"/>
        </w:rPr>
        <w:sectPr>
          <w:pgSz w:w="16840" w:h="11910" w:orient="landscape"/>
          <w:pgMar w:header="868" w:footer="978" w:top="1060" w:bottom="1160" w:left="1320" w:right="1320"/>
        </w:sectPr>
      </w:pPr>
    </w:p>
    <w:p>
      <w:pPr>
        <w:spacing w:before="85"/>
        <w:ind w:left="0" w:right="202" w:firstLine="0"/>
        <w:jc w:val="right"/>
        <w:rPr>
          <w:rFonts w:ascii="宋体" w:hAnsi="宋体" w:cs="宋体" w:eastAsia="宋体" w:hint="default"/>
          <w:sz w:val="18"/>
          <w:szCs w:val="18"/>
        </w:rPr>
      </w:pPr>
      <w:r>
        <w:rPr/>
        <w:pict>
          <v:shape style="position:absolute;margin-left:71.760002pt;margin-top:1.752722pt;width:695.35pt;height:343.3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19"/>
                    <w:gridCol w:w="10773"/>
                  </w:tblGrid>
                  <w:tr>
                    <w:trPr>
                      <w:trHeight w:val="689" w:hRule="exact"/>
                    </w:trPr>
                    <w:tc>
                      <w:tcPr>
                        <w:tcW w:w="3119" w:type="dxa"/>
                        <w:tcBorders>
                          <w:top w:val="single" w:sz="16" w:space="0" w:color="000000"/>
                          <w:left w:val="single" w:sz="4" w:space="0" w:color="000000"/>
                          <w:bottom w:val="single" w:sz="4" w:space="0" w:color="000000"/>
                          <w:right w:val="single" w:sz="4" w:space="0" w:color="000000"/>
                        </w:tcBorders>
                        <w:shd w:val="clear" w:color="auto" w:fill="D2D2D2"/>
                      </w:tcPr>
                      <w:p>
                        <w:pPr/>
                      </w:p>
                    </w:tc>
                    <w:tc>
                      <w:tcPr>
                        <w:tcW w:w="10773"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pacing w:val="-65"/>
                            <w:sz w:val="18"/>
                            <w:szCs w:val="18"/>
                          </w:rPr>
                          <w:t>。</w:t>
                        </w:r>
                        <w:r>
                          <w:rPr>
                            <w:rFonts w:ascii="Arial" w:hAnsi="Arial" w:cs="Arial" w:eastAsia="Arial" w:hint="default"/>
                            <w:w w:val="99"/>
                            <w:sz w:val="18"/>
                            <w:szCs w:val="18"/>
                          </w:rPr>
                          <w:t>20</w:t>
                        </w:r>
                        <w:r>
                          <w:rPr>
                            <w:rFonts w:ascii="Arial" w:hAnsi="Arial" w:cs="Arial" w:eastAsia="Arial" w:hint="default"/>
                            <w:spacing w:val="-12"/>
                            <w:w w:val="99"/>
                            <w:sz w:val="18"/>
                            <w:szCs w:val="18"/>
                          </w:rPr>
                          <w:t>1</w:t>
                        </w:r>
                        <w:r>
                          <w:rPr>
                            <w:rFonts w:ascii="Arial" w:hAnsi="Arial" w:cs="Arial" w:eastAsia="Arial" w:hint="default"/>
                            <w:w w:val="99"/>
                            <w:sz w:val="18"/>
                            <w:szCs w:val="18"/>
                          </w:rPr>
                          <w:t>1</w:t>
                        </w:r>
                        <w:r>
                          <w:rPr>
                            <w:rFonts w:ascii="Arial" w:hAnsi="Arial" w:cs="Arial" w:eastAsia="Arial"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w w:val="99"/>
                            <w:sz w:val="18"/>
                            <w:szCs w:val="18"/>
                          </w:rPr>
                          <w:t>12</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w w:val="99"/>
                            <w:sz w:val="18"/>
                            <w:szCs w:val="18"/>
                          </w:rPr>
                          <w:t>13</w:t>
                        </w:r>
                        <w:r>
                          <w:rPr>
                            <w:rFonts w:ascii="Arial" w:hAnsi="Arial" w:cs="Arial" w:eastAsia="Arial" w:hint="default"/>
                            <w:spacing w:val="-7"/>
                            <w:sz w:val="18"/>
                            <w:szCs w:val="18"/>
                          </w:rPr>
                          <w:t> </w:t>
                        </w:r>
                        <w:r>
                          <w:rPr>
                            <w:rFonts w:ascii="宋体" w:hAnsi="宋体" w:cs="宋体" w:eastAsia="宋体" w:hint="default"/>
                            <w:sz w:val="18"/>
                            <w:szCs w:val="18"/>
                          </w:rPr>
                          <w:t>日</w:t>
                        </w:r>
                        <w:r>
                          <w:rPr>
                            <w:rFonts w:ascii="宋体" w:hAnsi="宋体" w:cs="宋体" w:eastAsia="宋体" w:hint="default"/>
                            <w:spacing w:val="-65"/>
                            <w:sz w:val="18"/>
                            <w:szCs w:val="18"/>
                          </w:rPr>
                          <w:t>，</w:t>
                        </w:r>
                        <w:r>
                          <w:rPr>
                            <w:rFonts w:ascii="宋体" w:hAnsi="宋体" w:cs="宋体" w:eastAsia="宋体" w:hint="default"/>
                            <w:sz w:val="18"/>
                            <w:szCs w:val="18"/>
                          </w:rPr>
                          <w:t>公司第四届董事会第十次会议审核通过</w:t>
                        </w:r>
                        <w:r>
                          <w:rPr>
                            <w:rFonts w:ascii="宋体" w:hAnsi="宋体" w:cs="宋体" w:eastAsia="宋体" w:hint="default"/>
                            <w:spacing w:val="-65"/>
                            <w:sz w:val="18"/>
                            <w:szCs w:val="18"/>
                          </w:rPr>
                          <w:t>了</w:t>
                        </w:r>
                        <w:r>
                          <w:rPr>
                            <w:rFonts w:ascii="宋体" w:hAnsi="宋体" w:cs="宋体" w:eastAsia="宋体" w:hint="default"/>
                            <w:sz w:val="18"/>
                            <w:szCs w:val="18"/>
                          </w:rPr>
                          <w:t>《关于用募集资金置换预先已投入募集资金项目的自筹资金的议案</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同意公司用募集资金</w:t>
                        </w:r>
                        <w:r>
                          <w:rPr>
                            <w:rFonts w:ascii="宋体" w:hAnsi="宋体" w:cs="宋体" w:eastAsia="宋体" w:hint="default"/>
                            <w:spacing w:val="-47"/>
                            <w:sz w:val="18"/>
                            <w:szCs w:val="18"/>
                          </w:rPr>
                          <w:t> </w:t>
                        </w:r>
                        <w:r>
                          <w:rPr>
                            <w:rFonts w:ascii="Arial" w:hAnsi="Arial" w:cs="Arial" w:eastAsia="Arial" w:hint="default"/>
                            <w:sz w:val="18"/>
                            <w:szCs w:val="18"/>
                          </w:rPr>
                          <w:t>5281.34</w:t>
                        </w:r>
                        <w:r>
                          <w:rPr>
                            <w:rFonts w:ascii="Arial" w:hAnsi="Arial" w:cs="Arial" w:eastAsia="Arial" w:hint="default"/>
                            <w:spacing w:val="-9"/>
                            <w:sz w:val="18"/>
                            <w:szCs w:val="18"/>
                          </w:rPr>
                          <w:t> </w:t>
                        </w:r>
                        <w:r>
                          <w:rPr>
                            <w:rFonts w:ascii="宋体" w:hAnsi="宋体" w:cs="宋体" w:eastAsia="宋体" w:hint="default"/>
                            <w:sz w:val="18"/>
                            <w:szCs w:val="18"/>
                          </w:rPr>
                          <w:t>万元置换预先已投入募集资金投资项目的自筹资金。目前，相关资金已完成置换。</w:t>
                        </w:r>
                      </w:p>
                    </w:tc>
                  </w:tr>
                  <w:tr>
                    <w:trPr>
                      <w:trHeight w:val="449"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用闲置募集资金暂时补充流动资金情况</w:t>
                        </w:r>
                      </w:p>
                    </w:tc>
                    <w:tc>
                      <w:tcPr>
                        <w:tcW w:w="10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1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61" w:hRule="exact"/>
                    </w:trPr>
                    <w:tc>
                      <w:tcPr>
                        <w:tcW w:w="3119" w:type="dxa"/>
                        <w:tcBorders>
                          <w:top w:val="nil" w:sz="6" w:space="0" w:color="auto"/>
                          <w:left w:val="single" w:sz="4" w:space="0" w:color="000000"/>
                          <w:bottom w:val="nil" w:sz="6" w:space="0" w:color="auto"/>
                          <w:right w:val="single" w:sz="4" w:space="0" w:color="000000"/>
                        </w:tcBorders>
                        <w:shd w:val="clear" w:color="auto" w:fill="D2D2D2"/>
                      </w:tcPr>
                      <w:p>
                        <w:pPr/>
                      </w:p>
                    </w:tc>
                    <w:tc>
                      <w:tcPr>
                        <w:tcW w:w="1077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hAnsi="宋体" w:cs="宋体" w:eastAsia="宋体" w:hint="default"/>
                            <w:spacing w:val="-2"/>
                            <w:sz w:val="18"/>
                            <w:szCs w:val="18"/>
                          </w:rPr>
                          <w:t>公司募投项目</w:t>
                        </w:r>
                        <w:r>
                          <w:rPr>
                            <w:rFonts w:ascii="Arial" w:hAnsi="Arial" w:cs="Arial" w:eastAsia="Arial" w:hint="default"/>
                            <w:spacing w:val="-2"/>
                            <w:sz w:val="18"/>
                            <w:szCs w:val="18"/>
                          </w:rPr>
                          <w:t>“</w:t>
                        </w:r>
                        <w:r>
                          <w:rPr>
                            <w:rFonts w:ascii="宋体" w:hAnsi="宋体" w:cs="宋体" w:eastAsia="宋体" w:hint="default"/>
                            <w:spacing w:val="-2"/>
                            <w:sz w:val="18"/>
                            <w:szCs w:val="18"/>
                          </w:rPr>
                          <w:t>数字法院智能管理系统</w:t>
                        </w:r>
                        <w:r>
                          <w:rPr>
                            <w:rFonts w:ascii="Arial" w:hAnsi="Arial" w:cs="Arial" w:eastAsia="Arial" w:hint="default"/>
                            <w:spacing w:val="-2"/>
                            <w:sz w:val="18"/>
                            <w:szCs w:val="18"/>
                          </w:rPr>
                          <w:t>”</w:t>
                        </w:r>
                        <w:r>
                          <w:rPr>
                            <w:rFonts w:ascii="宋体" w:hAnsi="宋体" w:cs="宋体" w:eastAsia="宋体" w:hint="default"/>
                            <w:spacing w:val="-2"/>
                            <w:sz w:val="18"/>
                            <w:szCs w:val="18"/>
                          </w:rPr>
                          <w:t>、</w:t>
                        </w:r>
                        <w:r>
                          <w:rPr>
                            <w:rFonts w:ascii="Arial" w:hAnsi="Arial" w:cs="Arial" w:eastAsia="Arial" w:hint="default"/>
                            <w:spacing w:val="-2"/>
                            <w:sz w:val="18"/>
                            <w:szCs w:val="18"/>
                          </w:rPr>
                          <w:t>“</w:t>
                        </w:r>
                        <w:r>
                          <w:rPr>
                            <w:rFonts w:ascii="宋体" w:hAnsi="宋体" w:cs="宋体" w:eastAsia="宋体" w:hint="default"/>
                            <w:spacing w:val="-2"/>
                            <w:sz w:val="18"/>
                            <w:szCs w:val="18"/>
                          </w:rPr>
                          <w:t>电子检务管理系统</w:t>
                        </w:r>
                        <w:r>
                          <w:rPr>
                            <w:rFonts w:ascii="Arial" w:hAnsi="Arial" w:cs="Arial" w:eastAsia="Arial" w:hint="default"/>
                            <w:spacing w:val="-2"/>
                            <w:sz w:val="18"/>
                            <w:szCs w:val="18"/>
                          </w:rPr>
                          <w:t>”</w:t>
                        </w:r>
                        <w:r>
                          <w:rPr>
                            <w:rFonts w:ascii="宋体" w:hAnsi="宋体" w:cs="宋体" w:eastAsia="宋体" w:hint="default"/>
                            <w:spacing w:val="-2"/>
                            <w:sz w:val="18"/>
                            <w:szCs w:val="18"/>
                          </w:rPr>
                          <w:t>、</w:t>
                        </w:r>
                        <w:r>
                          <w:rPr>
                            <w:rFonts w:ascii="Arial" w:hAnsi="Arial" w:cs="Arial" w:eastAsia="Arial" w:hint="default"/>
                            <w:spacing w:val="-2"/>
                            <w:sz w:val="18"/>
                            <w:szCs w:val="18"/>
                          </w:rPr>
                          <w:t>“</w:t>
                        </w:r>
                        <w:r>
                          <w:rPr>
                            <w:rFonts w:ascii="宋体" w:hAnsi="宋体" w:cs="宋体" w:eastAsia="宋体" w:hint="default"/>
                            <w:spacing w:val="-2"/>
                            <w:sz w:val="18"/>
                            <w:szCs w:val="18"/>
                          </w:rPr>
                          <w:t>信息应用运维管理与服务系统</w:t>
                        </w:r>
                        <w:r>
                          <w:rPr>
                            <w:rFonts w:ascii="Arial" w:hAnsi="Arial" w:cs="Arial" w:eastAsia="Arial" w:hint="default"/>
                            <w:spacing w:val="-2"/>
                            <w:sz w:val="18"/>
                            <w:szCs w:val="18"/>
                          </w:rPr>
                          <w:t>”</w:t>
                        </w:r>
                        <w:r>
                          <w:rPr>
                            <w:rFonts w:ascii="宋体" w:hAnsi="宋体" w:cs="宋体" w:eastAsia="宋体" w:hint="default"/>
                            <w:spacing w:val="-2"/>
                            <w:sz w:val="18"/>
                            <w:szCs w:val="18"/>
                          </w:rPr>
                          <w:t>、</w:t>
                        </w:r>
                        <w:r>
                          <w:rPr>
                            <w:rFonts w:ascii="Arial" w:hAnsi="Arial" w:cs="Arial" w:eastAsia="Arial" w:hint="default"/>
                            <w:spacing w:val="-2"/>
                            <w:sz w:val="18"/>
                            <w:szCs w:val="18"/>
                          </w:rPr>
                          <w:t>“</w:t>
                        </w:r>
                        <w:r>
                          <w:rPr>
                            <w:rFonts w:ascii="宋体" w:hAnsi="宋体" w:cs="宋体" w:eastAsia="宋体" w:hint="default"/>
                            <w:spacing w:val="-2"/>
                            <w:sz w:val="18"/>
                            <w:szCs w:val="18"/>
                          </w:rPr>
                          <w:t>商业智能分析应用平台</w:t>
                        </w:r>
                        <w:r>
                          <w:rPr>
                            <w:rFonts w:ascii="Arial" w:hAnsi="Arial" w:cs="Arial" w:eastAsia="Arial" w:hint="default"/>
                            <w:spacing w:val="-2"/>
                            <w:sz w:val="18"/>
                            <w:szCs w:val="18"/>
                          </w:rPr>
                          <w:t>”</w:t>
                        </w:r>
                        <w:r>
                          <w:rPr>
                            <w:rFonts w:ascii="宋体" w:hAnsi="宋体" w:cs="宋体" w:eastAsia="宋体" w:hint="default"/>
                            <w:spacing w:val="-2"/>
                            <w:sz w:val="18"/>
                            <w:szCs w:val="18"/>
                          </w:rPr>
                          <w:t>、</w:t>
                        </w:r>
                        <w:r>
                          <w:rPr>
                            <w:rFonts w:ascii="Arial" w:hAnsi="Arial" w:cs="Arial" w:eastAsia="Arial" w:hint="default"/>
                            <w:spacing w:val="-2"/>
                            <w:sz w:val="18"/>
                            <w:szCs w:val="18"/>
                          </w:rPr>
                          <w:t>“</w:t>
                        </w:r>
                        <w:r>
                          <w:rPr>
                            <w:rFonts w:ascii="宋体" w:hAnsi="宋体" w:cs="宋体" w:eastAsia="宋体" w:hint="default"/>
                            <w:spacing w:val="-2"/>
                            <w:sz w:val="18"/>
                            <w:szCs w:val="18"/>
                          </w:rPr>
                          <w:t>华宇政务</w:t>
                        </w:r>
                      </w:p>
                    </w:tc>
                  </w:tr>
                  <w:tr>
                    <w:trPr>
                      <w:trHeight w:val="312" w:hRule="exact"/>
                    </w:trPr>
                    <w:tc>
                      <w:tcPr>
                        <w:tcW w:w="3119" w:type="dxa"/>
                        <w:tcBorders>
                          <w:top w:val="nil" w:sz="6" w:space="0" w:color="auto"/>
                          <w:left w:val="single" w:sz="4" w:space="0" w:color="000000"/>
                          <w:bottom w:val="nil" w:sz="6" w:space="0" w:color="auto"/>
                          <w:right w:val="single" w:sz="4" w:space="0" w:color="000000"/>
                        </w:tcBorders>
                        <w:shd w:val="clear" w:color="auto" w:fill="D2D2D2"/>
                      </w:tcPr>
                      <w:p>
                        <w:pPr/>
                      </w:p>
                    </w:tc>
                    <w:tc>
                      <w:tcPr>
                        <w:tcW w:w="1077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应用支撑和研发平台</w:t>
                        </w:r>
                        <w:r>
                          <w:rPr>
                            <w:rFonts w:ascii="Arial" w:hAnsi="Arial" w:cs="Arial" w:eastAsia="Arial" w:hint="default"/>
                            <w:sz w:val="18"/>
                            <w:szCs w:val="18"/>
                          </w:rPr>
                          <w:t>”</w:t>
                        </w:r>
                        <w:r>
                          <w:rPr>
                            <w:rFonts w:ascii="宋体" w:hAnsi="宋体" w:cs="宋体" w:eastAsia="宋体" w:hint="default"/>
                            <w:sz w:val="18"/>
                            <w:szCs w:val="18"/>
                          </w:rPr>
                          <w:t>已按照计划时间结项，共使用募集资金</w:t>
                        </w:r>
                        <w:r>
                          <w:rPr>
                            <w:rFonts w:ascii="宋体" w:hAnsi="宋体" w:cs="宋体" w:eastAsia="宋体" w:hint="default"/>
                            <w:spacing w:val="-45"/>
                            <w:sz w:val="18"/>
                            <w:szCs w:val="18"/>
                          </w:rPr>
                          <w:t> </w:t>
                        </w:r>
                        <w:r>
                          <w:rPr>
                            <w:rFonts w:ascii="Arial" w:hAnsi="Arial" w:cs="Arial" w:eastAsia="Arial" w:hint="default"/>
                            <w:w w:val="99"/>
                            <w:sz w:val="18"/>
                            <w:szCs w:val="18"/>
                          </w:rPr>
                          <w:t>14</w:t>
                        </w:r>
                        <w:r>
                          <w:rPr>
                            <w:rFonts w:ascii="Arial" w:hAnsi="Arial" w:cs="Arial" w:eastAsia="Arial" w:hint="default"/>
                            <w:spacing w:val="-2"/>
                            <w:w w:val="99"/>
                            <w:sz w:val="18"/>
                            <w:szCs w:val="18"/>
                          </w:rPr>
                          <w:t>,</w:t>
                        </w:r>
                        <w:r>
                          <w:rPr>
                            <w:rFonts w:ascii="Arial" w:hAnsi="Arial" w:cs="Arial" w:eastAsia="Arial" w:hint="default"/>
                            <w:w w:val="99"/>
                            <w:sz w:val="18"/>
                            <w:szCs w:val="18"/>
                          </w:rPr>
                          <w:t>49</w:t>
                        </w:r>
                        <w:r>
                          <w:rPr>
                            <w:rFonts w:ascii="Arial" w:hAnsi="Arial" w:cs="Arial" w:eastAsia="Arial" w:hint="default"/>
                            <w:spacing w:val="-2"/>
                            <w:w w:val="99"/>
                            <w:sz w:val="18"/>
                            <w:szCs w:val="18"/>
                          </w:rPr>
                          <w:t>9</w:t>
                        </w:r>
                        <w:r>
                          <w:rPr>
                            <w:rFonts w:ascii="Arial" w:hAnsi="Arial" w:cs="Arial" w:eastAsia="Arial" w:hint="default"/>
                            <w:w w:val="99"/>
                            <w:sz w:val="18"/>
                            <w:szCs w:val="18"/>
                          </w:rPr>
                          <w:t>.</w:t>
                        </w:r>
                        <w:r>
                          <w:rPr>
                            <w:rFonts w:ascii="Arial" w:hAnsi="Arial" w:cs="Arial" w:eastAsia="Arial" w:hint="default"/>
                            <w:w w:val="99"/>
                            <w:sz w:val="18"/>
                            <w:szCs w:val="18"/>
                          </w:rPr>
                          <w:t>95</w:t>
                        </w:r>
                        <w:r>
                          <w:rPr>
                            <w:rFonts w:ascii="Arial" w:hAnsi="Arial" w:cs="Arial" w:eastAsia="Arial" w:hint="default"/>
                            <w:spacing w:val="-7"/>
                            <w:sz w:val="18"/>
                            <w:szCs w:val="18"/>
                          </w:rPr>
                          <w:t> </w:t>
                        </w:r>
                        <w:r>
                          <w:rPr>
                            <w:rFonts w:ascii="宋体" w:hAnsi="宋体" w:cs="宋体" w:eastAsia="宋体" w:hint="default"/>
                            <w:sz w:val="18"/>
                            <w:szCs w:val="18"/>
                          </w:rPr>
                          <w:t>万元，募集资金专户结余资金</w:t>
                        </w:r>
                        <w:r>
                          <w:rPr>
                            <w:rFonts w:ascii="宋体" w:hAnsi="宋体" w:cs="宋体" w:eastAsia="宋体" w:hint="default"/>
                            <w:spacing w:val="-45"/>
                            <w:sz w:val="18"/>
                            <w:szCs w:val="18"/>
                          </w:rPr>
                          <w:t> </w:t>
                        </w:r>
                        <w:r>
                          <w:rPr>
                            <w:rFonts w:ascii="Arial" w:hAnsi="Arial" w:cs="Arial" w:eastAsia="Arial" w:hint="default"/>
                            <w:w w:val="99"/>
                            <w:sz w:val="18"/>
                            <w:szCs w:val="18"/>
                          </w:rPr>
                          <w:t>5</w:t>
                        </w:r>
                        <w:r>
                          <w:rPr>
                            <w:rFonts w:ascii="Arial" w:hAnsi="Arial" w:cs="Arial" w:eastAsia="Arial" w:hint="default"/>
                            <w:w w:val="99"/>
                            <w:sz w:val="18"/>
                            <w:szCs w:val="18"/>
                          </w:rPr>
                          <w:t>,</w:t>
                        </w:r>
                        <w:r>
                          <w:rPr>
                            <w:rFonts w:ascii="Arial" w:hAnsi="Arial" w:cs="Arial" w:eastAsia="Arial" w:hint="default"/>
                            <w:w w:val="99"/>
                            <w:sz w:val="18"/>
                            <w:szCs w:val="18"/>
                          </w:rPr>
                          <w:t>6</w:t>
                        </w:r>
                        <w:r>
                          <w:rPr>
                            <w:rFonts w:ascii="Arial" w:hAnsi="Arial" w:cs="Arial" w:eastAsia="Arial" w:hint="default"/>
                            <w:spacing w:val="-2"/>
                            <w:w w:val="99"/>
                            <w:sz w:val="18"/>
                            <w:szCs w:val="18"/>
                          </w:rPr>
                          <w:t>5</w:t>
                        </w:r>
                        <w:r>
                          <w:rPr>
                            <w:rFonts w:ascii="Arial" w:hAnsi="Arial" w:cs="Arial" w:eastAsia="Arial" w:hint="default"/>
                            <w:w w:val="99"/>
                            <w:sz w:val="18"/>
                            <w:szCs w:val="18"/>
                          </w:rPr>
                          <w:t>0</w:t>
                        </w:r>
                        <w:r>
                          <w:rPr>
                            <w:rFonts w:ascii="Arial" w:hAnsi="Arial" w:cs="Arial" w:eastAsia="Arial" w:hint="default"/>
                            <w:w w:val="99"/>
                            <w:sz w:val="18"/>
                            <w:szCs w:val="18"/>
                          </w:rPr>
                          <w:t>.</w:t>
                        </w:r>
                        <w:r>
                          <w:rPr>
                            <w:rFonts w:ascii="Arial" w:hAnsi="Arial" w:cs="Arial" w:eastAsia="Arial" w:hint="default"/>
                            <w:w w:val="99"/>
                            <w:sz w:val="18"/>
                            <w:szCs w:val="18"/>
                          </w:rPr>
                          <w:t>97</w:t>
                        </w:r>
                        <w:r>
                          <w:rPr>
                            <w:rFonts w:ascii="Arial" w:hAnsi="Arial" w:cs="Arial" w:eastAsia="Arial" w:hint="default"/>
                            <w:spacing w:val="-7"/>
                            <w:sz w:val="18"/>
                            <w:szCs w:val="18"/>
                          </w:rPr>
                          <w:t> </w:t>
                        </w:r>
                        <w:r>
                          <w:rPr>
                            <w:rFonts w:ascii="宋体" w:hAnsi="宋体" w:cs="宋体" w:eastAsia="宋体" w:hint="default"/>
                            <w:sz w:val="18"/>
                            <w:szCs w:val="18"/>
                          </w:rPr>
                          <w:t>万元（含利息</w:t>
                        </w:r>
                        <w:r>
                          <w:rPr>
                            <w:rFonts w:ascii="宋体" w:hAnsi="宋体" w:cs="宋体" w:eastAsia="宋体" w:hint="default"/>
                            <w:spacing w:val="-92"/>
                            <w:sz w:val="18"/>
                            <w:szCs w:val="18"/>
                          </w:rPr>
                          <w:t>）</w:t>
                        </w:r>
                        <w:r>
                          <w:rPr>
                            <w:rFonts w:ascii="宋体" w:hAnsi="宋体" w:cs="宋体" w:eastAsia="宋体" w:hint="default"/>
                            <w:sz w:val="18"/>
                            <w:szCs w:val="18"/>
                          </w:rPr>
                          <w:t>。上述项</w:t>
                        </w:r>
                      </w:p>
                    </w:tc>
                  </w:tr>
                  <w:tr>
                    <w:trPr>
                      <w:trHeight w:val="312" w:hRule="exact"/>
                    </w:trPr>
                    <w:tc>
                      <w:tcPr>
                        <w:tcW w:w="3119" w:type="dxa"/>
                        <w:tcBorders>
                          <w:top w:val="nil" w:sz="6" w:space="0" w:color="auto"/>
                          <w:left w:val="single" w:sz="4" w:space="0" w:color="000000"/>
                          <w:bottom w:val="nil" w:sz="6" w:space="0" w:color="auto"/>
                          <w:right w:val="single" w:sz="4" w:space="0" w:color="000000"/>
                        </w:tcBorders>
                        <w:shd w:val="clear" w:color="auto" w:fill="D2D2D2"/>
                      </w:tcPr>
                      <w:p>
                        <w:pPr/>
                      </w:p>
                    </w:tc>
                    <w:tc>
                      <w:tcPr>
                        <w:tcW w:w="1077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目产生结余资金，主要是设备投入、备用金较原计划减少导致。募投项目环境设备投入中，超过</w:t>
                        </w:r>
                        <w:r>
                          <w:rPr>
                            <w:rFonts w:ascii="宋体" w:hAnsi="宋体" w:cs="宋体" w:eastAsia="宋体" w:hint="default"/>
                            <w:spacing w:val="-48"/>
                            <w:sz w:val="18"/>
                            <w:szCs w:val="18"/>
                          </w:rPr>
                          <w:t> </w:t>
                        </w:r>
                        <w:r>
                          <w:rPr>
                            <w:rFonts w:ascii="Arial" w:hAnsi="Arial" w:cs="Arial" w:eastAsia="Arial" w:hint="default"/>
                            <w:sz w:val="18"/>
                            <w:szCs w:val="18"/>
                          </w:rPr>
                          <w:t>70%</w:t>
                        </w:r>
                        <w:r>
                          <w:rPr>
                            <w:rFonts w:ascii="宋体" w:hAnsi="宋体" w:cs="宋体" w:eastAsia="宋体" w:hint="default"/>
                            <w:sz w:val="18"/>
                            <w:szCs w:val="18"/>
                          </w:rPr>
                          <w:t>的投入为研发支撑环境和交付测试</w:t>
                        </w:r>
                      </w:p>
                    </w:tc>
                  </w:tr>
                  <w:tr>
                    <w:trPr>
                      <w:trHeight w:val="308" w:hRule="exact"/>
                    </w:trPr>
                    <w:tc>
                      <w:tcPr>
                        <w:tcW w:w="3119" w:type="dxa"/>
                        <w:tcBorders>
                          <w:top w:val="nil" w:sz="6" w:space="0" w:color="auto"/>
                          <w:left w:val="single" w:sz="4" w:space="0" w:color="000000"/>
                          <w:bottom w:val="nil" w:sz="6" w:space="0" w:color="auto"/>
                          <w:right w:val="single" w:sz="4" w:space="0" w:color="000000"/>
                        </w:tcBorders>
                        <w:shd w:val="clear" w:color="auto" w:fill="D2D2D2"/>
                      </w:tcPr>
                      <w:p>
                        <w:pPr/>
                      </w:p>
                    </w:tc>
                    <w:tc>
                      <w:tcPr>
                        <w:tcW w:w="1077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2"/>
                            <w:sz w:val="18"/>
                            <w:szCs w:val="18"/>
                          </w:rPr>
                          <w:t>环境。公司采用云计算、虚拟化等技术手段节省设备投资；国产设备厂商给予了应用开发商更多支持，减少了设备环境的投入；上述募投</w:t>
                        </w:r>
                      </w:p>
                    </w:tc>
                  </w:tr>
                  <w:tr>
                    <w:trPr>
                      <w:trHeight w:val="304" w:hRule="exact"/>
                    </w:trPr>
                    <w:tc>
                      <w:tcPr>
                        <w:tcW w:w="3119" w:type="dxa"/>
                        <w:tcBorders>
                          <w:top w:val="nil" w:sz="6" w:space="0" w:color="auto"/>
                          <w:left w:val="single" w:sz="4" w:space="0" w:color="000000"/>
                          <w:bottom w:val="nil" w:sz="6" w:space="0" w:color="auto"/>
                          <w:right w:val="single" w:sz="4" w:space="0" w:color="000000"/>
                        </w:tcBorders>
                        <w:shd w:val="clear" w:color="auto" w:fill="D2D2D2"/>
                      </w:tcPr>
                      <w:p>
                        <w:pPr/>
                      </w:p>
                    </w:tc>
                    <w:tc>
                      <w:tcPr>
                        <w:tcW w:w="1077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项目在执行过程中没有出现意外、特殊情况，原预算中的预留备用金未予动用。</w:t>
                        </w: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7</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29</w:t>
                        </w:r>
                        <w:r>
                          <w:rPr>
                            <w:rFonts w:ascii="Arial" w:hAnsi="Arial" w:cs="Arial" w:eastAsia="Arial" w:hint="default"/>
                            <w:spacing w:val="-8"/>
                            <w:sz w:val="18"/>
                            <w:szCs w:val="18"/>
                          </w:rPr>
                          <w:t> </w:t>
                        </w:r>
                        <w:r>
                          <w:rPr>
                            <w:rFonts w:ascii="宋体" w:hAnsi="宋体" w:cs="宋体" w:eastAsia="宋体" w:hint="default"/>
                            <w:sz w:val="18"/>
                            <w:szCs w:val="18"/>
                          </w:rPr>
                          <w:t>日，公司第五届董事会第十一次会议审</w:t>
                        </w:r>
                      </w:p>
                    </w:tc>
                  </w:tr>
                  <w:tr>
                    <w:trPr>
                      <w:trHeight w:val="312" w:hRule="exact"/>
                    </w:trPr>
                    <w:tc>
                      <w:tcPr>
                        <w:tcW w:w="31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0" w:lineRule="exact"/>
                          <w:ind w:left="24" w:right="0"/>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项目实施出现募集资金结余的金额及原</w:t>
                        </w:r>
                      </w:p>
                    </w:tc>
                    <w:tc>
                      <w:tcPr>
                        <w:tcW w:w="10773"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left="22" w:right="0"/>
                          <w:jc w:val="left"/>
                          <w:rPr>
                            <w:rFonts w:ascii="Arial" w:hAnsi="Arial" w:cs="Arial" w:eastAsia="Arial" w:hint="default"/>
                            <w:sz w:val="18"/>
                            <w:szCs w:val="18"/>
                          </w:rPr>
                        </w:pPr>
                        <w:r>
                          <w:rPr>
                            <w:rFonts w:ascii="宋体" w:hAnsi="宋体" w:cs="宋体" w:eastAsia="宋体" w:hint="default"/>
                            <w:sz w:val="18"/>
                            <w:szCs w:val="18"/>
                          </w:rPr>
                          <w:t>议通过</w:t>
                        </w:r>
                        <w:r>
                          <w:rPr>
                            <w:rFonts w:ascii="宋体" w:hAnsi="宋体" w:cs="宋体" w:eastAsia="宋体" w:hint="default"/>
                            <w:spacing w:val="-10"/>
                            <w:sz w:val="18"/>
                            <w:szCs w:val="18"/>
                          </w:rPr>
                          <w:t>了</w:t>
                        </w:r>
                        <w:r>
                          <w:rPr>
                            <w:rFonts w:ascii="宋体" w:hAnsi="宋体" w:cs="宋体" w:eastAsia="宋体" w:hint="default"/>
                            <w:spacing w:val="-3"/>
                            <w:sz w:val="18"/>
                            <w:szCs w:val="18"/>
                          </w:rPr>
                          <w:t>《</w:t>
                        </w:r>
                        <w:r>
                          <w:rPr>
                            <w:rFonts w:ascii="宋体" w:hAnsi="宋体" w:cs="宋体" w:eastAsia="宋体" w:hint="default"/>
                            <w:sz w:val="18"/>
                            <w:szCs w:val="18"/>
                          </w:rPr>
                          <w:t>关于部分募投项目结项并使用结余募集资金及利息永久补充流动资金的议</w:t>
                        </w:r>
                        <w:r>
                          <w:rPr>
                            <w:rFonts w:ascii="宋体" w:hAnsi="宋体" w:cs="宋体" w:eastAsia="宋体" w:hint="default"/>
                            <w:spacing w:val="-1"/>
                            <w:sz w:val="18"/>
                            <w:szCs w:val="18"/>
                          </w:rPr>
                          <w:t>案</w:t>
                        </w:r>
                        <w:r>
                          <w:rPr>
                            <w:rFonts w:ascii="宋体" w:hAnsi="宋体" w:cs="宋体" w:eastAsia="宋体" w:hint="default"/>
                            <w:spacing w:val="-89"/>
                            <w:sz w:val="18"/>
                            <w:szCs w:val="18"/>
                          </w:rPr>
                          <w:t>》</w:t>
                        </w:r>
                        <w:r>
                          <w:rPr>
                            <w:rFonts w:ascii="宋体" w:hAnsi="宋体" w:cs="宋体" w:eastAsia="宋体" w:hint="default"/>
                            <w:spacing w:val="-12"/>
                            <w:sz w:val="18"/>
                            <w:szCs w:val="18"/>
                          </w:rPr>
                          <w:t>，</w:t>
                        </w:r>
                        <w:r>
                          <w:rPr>
                            <w:rFonts w:ascii="宋体" w:hAnsi="宋体" w:cs="宋体" w:eastAsia="宋体" w:hint="default"/>
                            <w:sz w:val="18"/>
                            <w:szCs w:val="18"/>
                          </w:rPr>
                          <w:t>同意将公司募投项目</w:t>
                        </w:r>
                        <w:r>
                          <w:rPr>
                            <w:rFonts w:ascii="Arial" w:hAnsi="Arial" w:cs="Arial" w:eastAsia="Arial" w:hint="default"/>
                            <w:sz w:val="18"/>
                            <w:szCs w:val="18"/>
                          </w:rPr>
                          <w:t>“</w:t>
                        </w:r>
                        <w:r>
                          <w:rPr>
                            <w:rFonts w:ascii="宋体" w:hAnsi="宋体" w:cs="宋体" w:eastAsia="宋体" w:hint="default"/>
                            <w:sz w:val="18"/>
                            <w:szCs w:val="18"/>
                          </w:rPr>
                          <w:t>数字法院智能管理系统</w:t>
                        </w:r>
                        <w:r>
                          <w:rPr>
                            <w:rFonts w:ascii="Arial" w:hAnsi="Arial" w:cs="Arial" w:eastAsia="Arial" w:hint="default"/>
                            <w:sz w:val="18"/>
                            <w:szCs w:val="18"/>
                          </w:rPr>
                          <w:t>”</w:t>
                        </w:r>
                      </w:p>
                    </w:tc>
                  </w:tr>
                  <w:tr>
                    <w:trPr>
                      <w:trHeight w:val="324" w:hRule="exact"/>
                    </w:trPr>
                    <w:tc>
                      <w:tcPr>
                        <w:tcW w:w="31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0" w:lineRule="exact"/>
                          <w:ind w:left="24" w:right="0"/>
                          <w:jc w:val="left"/>
                          <w:rPr>
                            <w:rFonts w:ascii="宋体" w:hAnsi="宋体" w:cs="宋体" w:eastAsia="宋体" w:hint="default"/>
                            <w:sz w:val="18"/>
                            <w:szCs w:val="18"/>
                          </w:rPr>
                        </w:pPr>
                        <w:r>
                          <w:rPr>
                            <w:rFonts w:ascii="宋体" w:hAnsi="宋体" w:cs="宋体" w:eastAsia="宋体" w:hint="default"/>
                            <w:sz w:val="18"/>
                            <w:szCs w:val="18"/>
                          </w:rPr>
                          <w:t>因</w:t>
                        </w:r>
                      </w:p>
                    </w:tc>
                    <w:tc>
                      <w:tcPr>
                        <w:tcW w:w="10773"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left="22"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电子检务管理系统</w:t>
                        </w:r>
                        <w:r>
                          <w:rPr>
                            <w:rFonts w:ascii="Arial" w:hAnsi="Arial" w:cs="Arial" w:eastAsia="Arial" w:hint="default"/>
                            <w:sz w:val="18"/>
                            <w:szCs w:val="18"/>
                          </w:rPr>
                          <w:t>”</w:t>
                        </w:r>
                        <w:r>
                          <w:rPr>
                            <w:rFonts w:ascii="宋体" w:hAnsi="宋体" w:cs="宋体" w:eastAsia="宋体" w:hint="default"/>
                            <w:sz w:val="18"/>
                            <w:szCs w:val="18"/>
                          </w:rPr>
                          <w:t>和</w:t>
                        </w:r>
                        <w:r>
                          <w:rPr>
                            <w:rFonts w:ascii="Arial" w:hAnsi="Arial" w:cs="Arial" w:eastAsia="Arial" w:hint="default"/>
                            <w:sz w:val="18"/>
                            <w:szCs w:val="18"/>
                          </w:rPr>
                          <w:t>“</w:t>
                        </w:r>
                        <w:r>
                          <w:rPr>
                            <w:rFonts w:ascii="宋体" w:hAnsi="宋体" w:cs="宋体" w:eastAsia="宋体" w:hint="default"/>
                            <w:sz w:val="18"/>
                            <w:szCs w:val="18"/>
                          </w:rPr>
                          <w:t>信息应用运维管理与服务系统</w:t>
                        </w:r>
                        <w:r>
                          <w:rPr>
                            <w:rFonts w:ascii="Arial" w:hAnsi="Arial" w:cs="Arial" w:eastAsia="Arial" w:hint="default"/>
                            <w:sz w:val="18"/>
                            <w:szCs w:val="18"/>
                          </w:rPr>
                          <w:t>”</w:t>
                        </w:r>
                        <w:r>
                          <w:rPr>
                            <w:rFonts w:ascii="宋体" w:hAnsi="宋体" w:cs="宋体" w:eastAsia="宋体" w:hint="default"/>
                            <w:sz w:val="18"/>
                            <w:szCs w:val="18"/>
                          </w:rPr>
                          <w:t>的结余募集资金（含利息收入）</w:t>
                        </w:r>
                        <w:r>
                          <w:rPr>
                            <w:rFonts w:ascii="Arial" w:hAnsi="Arial" w:cs="Arial" w:eastAsia="Arial" w:hint="default"/>
                            <w:sz w:val="18"/>
                            <w:szCs w:val="18"/>
                          </w:rPr>
                          <w:t>3,350.65</w:t>
                        </w:r>
                        <w:r>
                          <w:rPr>
                            <w:rFonts w:ascii="Arial" w:hAnsi="Arial" w:cs="Arial" w:eastAsia="Arial" w:hint="default"/>
                            <w:spacing w:val="-10"/>
                            <w:sz w:val="18"/>
                            <w:szCs w:val="18"/>
                          </w:rPr>
                          <w:t> </w:t>
                        </w:r>
                        <w:r>
                          <w:rPr>
                            <w:rFonts w:ascii="宋体" w:hAnsi="宋体" w:cs="宋体" w:eastAsia="宋体" w:hint="default"/>
                            <w:sz w:val="18"/>
                            <w:szCs w:val="18"/>
                          </w:rPr>
                          <w:t>万元永久补充流动资金，用于公司主营业</w:t>
                        </w:r>
                      </w:p>
                    </w:tc>
                  </w:tr>
                  <w:tr>
                    <w:trPr>
                      <w:trHeight w:val="312" w:hRule="exact"/>
                    </w:trPr>
                    <w:tc>
                      <w:tcPr>
                        <w:tcW w:w="3119" w:type="dxa"/>
                        <w:tcBorders>
                          <w:top w:val="nil" w:sz="6" w:space="0" w:color="auto"/>
                          <w:left w:val="single" w:sz="4" w:space="0" w:color="000000"/>
                          <w:bottom w:val="nil" w:sz="6" w:space="0" w:color="auto"/>
                          <w:right w:val="single" w:sz="4" w:space="0" w:color="000000"/>
                        </w:tcBorders>
                        <w:shd w:val="clear" w:color="auto" w:fill="D2D2D2"/>
                      </w:tcPr>
                      <w:p>
                        <w:pPr/>
                      </w:p>
                    </w:tc>
                    <w:tc>
                      <w:tcPr>
                        <w:tcW w:w="1077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务相关新产品的研发及新业务的市场拓展。</w:t>
                        </w: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9</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日，公司第五届董事会第十三次会议审议通过了《关于部分募投项目结项并</w:t>
                        </w:r>
                      </w:p>
                    </w:tc>
                  </w:tr>
                  <w:tr>
                    <w:trPr>
                      <w:trHeight w:val="312" w:hRule="exact"/>
                    </w:trPr>
                    <w:tc>
                      <w:tcPr>
                        <w:tcW w:w="3119" w:type="dxa"/>
                        <w:tcBorders>
                          <w:top w:val="nil" w:sz="6" w:space="0" w:color="auto"/>
                          <w:left w:val="single" w:sz="4" w:space="0" w:color="000000"/>
                          <w:bottom w:val="nil" w:sz="6" w:space="0" w:color="auto"/>
                          <w:right w:val="single" w:sz="4" w:space="0" w:color="000000"/>
                        </w:tcBorders>
                        <w:shd w:val="clear" w:color="auto" w:fill="D2D2D2"/>
                      </w:tcPr>
                      <w:p>
                        <w:pPr/>
                      </w:p>
                    </w:tc>
                    <w:tc>
                      <w:tcPr>
                        <w:tcW w:w="1077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Arial" w:hAnsi="Arial" w:cs="Arial" w:eastAsia="Arial" w:hint="default"/>
                            <w:sz w:val="18"/>
                            <w:szCs w:val="18"/>
                          </w:rPr>
                        </w:pPr>
                        <w:r>
                          <w:rPr>
                            <w:rFonts w:ascii="宋体" w:hAnsi="宋体" w:cs="宋体" w:eastAsia="宋体" w:hint="default"/>
                            <w:sz w:val="18"/>
                            <w:szCs w:val="18"/>
                          </w:rPr>
                          <w:t>将结余资金转超募资金的议案</w:t>
                        </w:r>
                        <w:r>
                          <w:rPr>
                            <w:rFonts w:ascii="宋体" w:hAnsi="宋体" w:cs="宋体" w:eastAsia="宋体" w:hint="default"/>
                            <w:spacing w:val="-89"/>
                            <w:sz w:val="18"/>
                            <w:szCs w:val="18"/>
                          </w:rPr>
                          <w:t>》</w:t>
                        </w:r>
                        <w:r>
                          <w:rPr>
                            <w:rFonts w:ascii="宋体" w:hAnsi="宋体" w:cs="宋体" w:eastAsia="宋体" w:hint="default"/>
                            <w:spacing w:val="-80"/>
                            <w:sz w:val="18"/>
                            <w:szCs w:val="18"/>
                          </w:rPr>
                          <w:t>，</w:t>
                        </w:r>
                        <w:r>
                          <w:rPr>
                            <w:rFonts w:ascii="宋体" w:hAnsi="宋体" w:cs="宋体" w:eastAsia="宋体" w:hint="default"/>
                            <w:sz w:val="18"/>
                            <w:szCs w:val="18"/>
                          </w:rPr>
                          <w:t>同意将公司募投项</w:t>
                        </w:r>
                        <w:r>
                          <w:rPr>
                            <w:rFonts w:ascii="宋体" w:hAnsi="宋体" w:cs="宋体" w:eastAsia="宋体" w:hint="default"/>
                            <w:spacing w:val="-1"/>
                            <w:sz w:val="18"/>
                            <w:szCs w:val="18"/>
                          </w:rPr>
                          <w:t>目</w:t>
                        </w:r>
                        <w:r>
                          <w:rPr>
                            <w:rFonts w:ascii="Arial" w:hAnsi="Arial" w:cs="Arial" w:eastAsia="Arial" w:hint="default"/>
                            <w:sz w:val="18"/>
                            <w:szCs w:val="18"/>
                          </w:rPr>
                          <w:t>“</w:t>
                        </w:r>
                        <w:r>
                          <w:rPr>
                            <w:rFonts w:ascii="宋体" w:hAnsi="宋体" w:cs="宋体" w:eastAsia="宋体" w:hint="default"/>
                            <w:sz w:val="18"/>
                            <w:szCs w:val="18"/>
                          </w:rPr>
                          <w:t>商业智能分析应用平台</w:t>
                        </w:r>
                        <w:r>
                          <w:rPr>
                            <w:rFonts w:ascii="Arial" w:hAnsi="Arial" w:cs="Arial" w:eastAsia="Arial" w:hint="default"/>
                            <w:sz w:val="18"/>
                            <w:szCs w:val="18"/>
                          </w:rPr>
                          <w:t>”</w:t>
                        </w:r>
                        <w:r>
                          <w:rPr>
                            <w:rFonts w:ascii="宋体" w:hAnsi="宋体" w:cs="宋体" w:eastAsia="宋体" w:hint="default"/>
                            <w:sz w:val="18"/>
                            <w:szCs w:val="18"/>
                          </w:rPr>
                          <w:t>和</w:t>
                        </w:r>
                        <w:r>
                          <w:rPr>
                            <w:rFonts w:ascii="Arial" w:hAnsi="Arial" w:cs="Arial" w:eastAsia="Arial" w:hint="default"/>
                            <w:sz w:val="18"/>
                            <w:szCs w:val="18"/>
                          </w:rPr>
                          <w:t>“</w:t>
                        </w:r>
                        <w:r>
                          <w:rPr>
                            <w:rFonts w:ascii="宋体" w:hAnsi="宋体" w:cs="宋体" w:eastAsia="宋体" w:hint="default"/>
                            <w:sz w:val="18"/>
                            <w:szCs w:val="18"/>
                          </w:rPr>
                          <w:t>华宇政务应用支撑和研发平台</w:t>
                        </w:r>
                        <w:r>
                          <w:rPr>
                            <w:rFonts w:ascii="Arial" w:hAnsi="Arial" w:cs="Arial" w:eastAsia="Arial" w:hint="default"/>
                            <w:sz w:val="18"/>
                            <w:szCs w:val="18"/>
                          </w:rPr>
                          <w:t>”</w:t>
                        </w:r>
                        <w:r>
                          <w:rPr>
                            <w:rFonts w:ascii="宋体" w:hAnsi="宋体" w:cs="宋体" w:eastAsia="宋体" w:hint="default"/>
                            <w:sz w:val="18"/>
                            <w:szCs w:val="18"/>
                          </w:rPr>
                          <w:t>的结余募集资金</w:t>
                        </w:r>
                        <w:r>
                          <w:rPr>
                            <w:rFonts w:ascii="宋体" w:hAnsi="宋体" w:cs="宋体" w:eastAsia="宋体" w:hint="default"/>
                            <w:spacing w:val="-45"/>
                            <w:sz w:val="18"/>
                            <w:szCs w:val="18"/>
                          </w:rPr>
                          <w:t> </w:t>
                        </w:r>
                        <w:r>
                          <w:rPr>
                            <w:rFonts w:ascii="Arial" w:hAnsi="Arial" w:cs="Arial" w:eastAsia="Arial" w:hint="default"/>
                            <w:w w:val="99"/>
                            <w:sz w:val="18"/>
                            <w:szCs w:val="18"/>
                          </w:rPr>
                          <w:t>2</w:t>
                        </w:r>
                        <w:r>
                          <w:rPr>
                            <w:rFonts w:ascii="Arial" w:hAnsi="Arial" w:cs="Arial" w:eastAsia="Arial" w:hint="default"/>
                            <w:w w:val="99"/>
                            <w:sz w:val="18"/>
                            <w:szCs w:val="18"/>
                          </w:rPr>
                          <w:t>,</w:t>
                        </w:r>
                        <w:r>
                          <w:rPr>
                            <w:rFonts w:ascii="Arial" w:hAnsi="Arial" w:cs="Arial" w:eastAsia="Arial" w:hint="default"/>
                            <w:spacing w:val="-2"/>
                            <w:w w:val="99"/>
                            <w:sz w:val="18"/>
                            <w:szCs w:val="18"/>
                          </w:rPr>
                          <w:t>3</w:t>
                        </w:r>
                        <w:r>
                          <w:rPr>
                            <w:rFonts w:ascii="Arial" w:hAnsi="Arial" w:cs="Arial" w:eastAsia="Arial" w:hint="default"/>
                            <w:w w:val="99"/>
                            <w:sz w:val="18"/>
                            <w:szCs w:val="18"/>
                          </w:rPr>
                          <w:t>00</w:t>
                        </w:r>
                        <w:r>
                          <w:rPr>
                            <w:rFonts w:ascii="Arial" w:hAnsi="Arial" w:cs="Arial" w:eastAsia="Arial" w:hint="default"/>
                            <w:w w:val="99"/>
                            <w:sz w:val="18"/>
                            <w:szCs w:val="18"/>
                          </w:rPr>
                          <w:t>.</w:t>
                        </w:r>
                        <w:r>
                          <w:rPr>
                            <w:rFonts w:ascii="Arial" w:hAnsi="Arial" w:cs="Arial" w:eastAsia="Arial" w:hint="default"/>
                            <w:spacing w:val="-2"/>
                            <w:w w:val="99"/>
                            <w:sz w:val="18"/>
                            <w:szCs w:val="18"/>
                          </w:rPr>
                          <w:t>3</w:t>
                        </w:r>
                        <w:r>
                          <w:rPr>
                            <w:rFonts w:ascii="Arial" w:hAnsi="Arial" w:cs="Arial" w:eastAsia="Arial" w:hint="default"/>
                            <w:w w:val="99"/>
                            <w:sz w:val="18"/>
                            <w:szCs w:val="18"/>
                          </w:rPr>
                          <w:t>2</w:t>
                        </w:r>
                        <w:r>
                          <w:rPr>
                            <w:rFonts w:ascii="Arial" w:hAnsi="Arial" w:cs="Arial" w:eastAsia="Arial" w:hint="default"/>
                            <w:sz w:val="18"/>
                            <w:szCs w:val="18"/>
                          </w:rPr>
                        </w:r>
                      </w:p>
                    </w:tc>
                  </w:tr>
                  <w:tr>
                    <w:trPr>
                      <w:trHeight w:val="328" w:hRule="exact"/>
                    </w:trPr>
                    <w:tc>
                      <w:tcPr>
                        <w:tcW w:w="3119" w:type="dxa"/>
                        <w:tcBorders>
                          <w:top w:val="nil" w:sz="6" w:space="0" w:color="auto"/>
                          <w:left w:val="single" w:sz="4" w:space="0" w:color="000000"/>
                          <w:bottom w:val="nil" w:sz="6" w:space="0" w:color="auto"/>
                          <w:right w:val="single" w:sz="4" w:space="0" w:color="000000"/>
                        </w:tcBorders>
                        <w:shd w:val="clear" w:color="auto" w:fill="D2D2D2"/>
                      </w:tcPr>
                      <w:p>
                        <w:pPr/>
                      </w:p>
                    </w:tc>
                    <w:tc>
                      <w:tcPr>
                        <w:tcW w:w="1077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万元（含利息收入）转为超募资金管理。目前，结余资金已全部处理完毕。</w:t>
                        </w:r>
                      </w:p>
                    </w:tc>
                  </w:tr>
                  <w:tr>
                    <w:trPr>
                      <w:trHeight w:val="337" w:hRule="exact"/>
                    </w:trPr>
                    <w:tc>
                      <w:tcPr>
                        <w:tcW w:w="3119" w:type="dxa"/>
                        <w:tcBorders>
                          <w:top w:val="nil" w:sz="6" w:space="0" w:color="auto"/>
                          <w:left w:val="single" w:sz="4" w:space="0" w:color="000000"/>
                          <w:bottom w:val="nil" w:sz="6" w:space="0" w:color="auto"/>
                          <w:right w:val="single" w:sz="4" w:space="0" w:color="000000"/>
                        </w:tcBorders>
                        <w:shd w:val="clear" w:color="auto" w:fill="D2D2D2"/>
                      </w:tcPr>
                      <w:p>
                        <w:pPr/>
                      </w:p>
                    </w:tc>
                    <w:tc>
                      <w:tcPr>
                        <w:tcW w:w="10773"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34"/>
                          <w:jc w:val="right"/>
                          <w:rPr>
                            <w:rFonts w:ascii="宋体" w:hAnsi="宋体" w:cs="宋体" w:eastAsia="宋体" w:hint="default"/>
                            <w:sz w:val="18"/>
                            <w:szCs w:val="18"/>
                          </w:rPr>
                        </w:pPr>
                        <w:r>
                          <w:rPr>
                            <w:rFonts w:ascii="宋体" w:hAnsi="宋体" w:cs="宋体" w:eastAsia="宋体" w:hint="default"/>
                            <w:sz w:val="18"/>
                            <w:szCs w:val="18"/>
                          </w:rPr>
                          <w:t>公司募投项目</w:t>
                        </w:r>
                        <w:r>
                          <w:rPr>
                            <w:rFonts w:ascii="Arial" w:hAnsi="Arial" w:cs="Arial" w:eastAsia="Arial" w:hint="default"/>
                            <w:sz w:val="18"/>
                            <w:szCs w:val="18"/>
                          </w:rPr>
                          <w:t>“</w:t>
                        </w:r>
                        <w:r>
                          <w:rPr>
                            <w:rFonts w:ascii="宋体" w:hAnsi="宋体" w:cs="宋体" w:eastAsia="宋体" w:hint="default"/>
                            <w:sz w:val="18"/>
                            <w:szCs w:val="18"/>
                          </w:rPr>
                          <w:t>购买联奕科技</w:t>
                        </w:r>
                        <w:r>
                          <w:rPr>
                            <w:rFonts w:ascii="宋体" w:hAnsi="宋体" w:cs="宋体" w:eastAsia="宋体" w:hint="default"/>
                            <w:spacing w:val="-48"/>
                            <w:sz w:val="18"/>
                            <w:szCs w:val="18"/>
                          </w:rPr>
                          <w:t> </w:t>
                        </w:r>
                        <w:r>
                          <w:rPr>
                            <w:rFonts w:ascii="Arial" w:hAnsi="Arial" w:cs="Arial" w:eastAsia="Arial" w:hint="default"/>
                            <w:sz w:val="18"/>
                            <w:szCs w:val="18"/>
                          </w:rPr>
                          <w:t>100%</w:t>
                        </w:r>
                        <w:r>
                          <w:rPr>
                            <w:rFonts w:ascii="宋体" w:hAnsi="宋体" w:cs="宋体" w:eastAsia="宋体" w:hint="default"/>
                            <w:sz w:val="18"/>
                            <w:szCs w:val="18"/>
                          </w:rPr>
                          <w:t>股权</w:t>
                        </w:r>
                        <w:r>
                          <w:rPr>
                            <w:rFonts w:ascii="Arial" w:hAnsi="Arial" w:cs="Arial" w:eastAsia="Arial" w:hint="default"/>
                            <w:sz w:val="18"/>
                            <w:szCs w:val="18"/>
                          </w:rPr>
                          <w:t>”</w:t>
                        </w:r>
                        <w:r>
                          <w:rPr>
                            <w:rFonts w:ascii="宋体" w:hAnsi="宋体" w:cs="宋体" w:eastAsia="宋体" w:hint="default"/>
                            <w:sz w:val="18"/>
                            <w:szCs w:val="18"/>
                          </w:rPr>
                          <w:t>累计募集资金</w:t>
                        </w:r>
                        <w:r>
                          <w:rPr>
                            <w:rFonts w:ascii="宋体" w:hAnsi="宋体" w:cs="宋体" w:eastAsia="宋体" w:hint="default"/>
                            <w:spacing w:val="-50"/>
                            <w:sz w:val="18"/>
                            <w:szCs w:val="18"/>
                          </w:rPr>
                          <w:t> </w:t>
                        </w:r>
                        <w:r>
                          <w:rPr>
                            <w:rFonts w:ascii="Arial" w:hAnsi="Arial" w:cs="Arial" w:eastAsia="Arial" w:hint="default"/>
                            <w:sz w:val="18"/>
                            <w:szCs w:val="18"/>
                          </w:rPr>
                          <w:t>48,000</w:t>
                        </w:r>
                        <w:r>
                          <w:rPr>
                            <w:rFonts w:ascii="Arial" w:hAnsi="Arial" w:cs="Arial" w:eastAsia="Arial" w:hint="default"/>
                            <w:spacing w:val="-10"/>
                            <w:sz w:val="18"/>
                            <w:szCs w:val="18"/>
                          </w:rPr>
                          <w:t> </w:t>
                        </w:r>
                        <w:r>
                          <w:rPr>
                            <w:rFonts w:ascii="宋体" w:hAnsi="宋体" w:cs="宋体" w:eastAsia="宋体" w:hint="default"/>
                            <w:sz w:val="18"/>
                            <w:szCs w:val="18"/>
                          </w:rPr>
                          <w:t>万元，累计投入金额为</w:t>
                        </w:r>
                        <w:r>
                          <w:rPr>
                            <w:rFonts w:ascii="宋体" w:hAnsi="宋体" w:cs="宋体" w:eastAsia="宋体" w:hint="default"/>
                            <w:spacing w:val="-48"/>
                            <w:sz w:val="18"/>
                            <w:szCs w:val="18"/>
                          </w:rPr>
                          <w:t> </w:t>
                        </w:r>
                        <w:r>
                          <w:rPr>
                            <w:rFonts w:ascii="Arial" w:hAnsi="Arial" w:cs="Arial" w:eastAsia="Arial" w:hint="default"/>
                            <w:sz w:val="18"/>
                            <w:szCs w:val="18"/>
                          </w:rPr>
                          <w:t>47,771.72</w:t>
                        </w:r>
                        <w:r>
                          <w:rPr>
                            <w:rFonts w:ascii="Arial" w:hAnsi="Arial" w:cs="Arial" w:eastAsia="Arial" w:hint="default"/>
                            <w:spacing w:val="-7"/>
                            <w:sz w:val="18"/>
                            <w:szCs w:val="18"/>
                          </w:rPr>
                          <w:t> </w:t>
                        </w:r>
                        <w:r>
                          <w:rPr>
                            <w:rFonts w:ascii="宋体" w:hAnsi="宋体" w:cs="宋体" w:eastAsia="宋体" w:hint="default"/>
                            <w:sz w:val="18"/>
                            <w:szCs w:val="18"/>
                          </w:rPr>
                          <w:t>万元，剩余募集资金余额</w:t>
                        </w:r>
                        <w:r>
                          <w:rPr>
                            <w:rFonts w:ascii="宋体" w:hAnsi="宋体" w:cs="宋体" w:eastAsia="宋体" w:hint="default"/>
                            <w:spacing w:val="-50"/>
                            <w:sz w:val="18"/>
                            <w:szCs w:val="18"/>
                          </w:rPr>
                          <w:t> </w:t>
                        </w:r>
                        <w:r>
                          <w:rPr>
                            <w:rFonts w:ascii="Arial" w:hAnsi="Arial" w:cs="Arial" w:eastAsia="Arial" w:hint="default"/>
                            <w:sz w:val="18"/>
                            <w:szCs w:val="18"/>
                          </w:rPr>
                          <w:t>251.11</w:t>
                        </w:r>
                        <w:r>
                          <w:rPr>
                            <w:rFonts w:ascii="Arial" w:hAnsi="Arial" w:cs="Arial" w:eastAsia="Arial" w:hint="default"/>
                            <w:spacing w:val="-12"/>
                            <w:sz w:val="18"/>
                            <w:szCs w:val="18"/>
                          </w:rPr>
                          <w:t> </w:t>
                        </w:r>
                        <w:r>
                          <w:rPr>
                            <w:rFonts w:ascii="宋体" w:hAnsi="宋体" w:cs="宋体" w:eastAsia="宋体" w:hint="default"/>
                            <w:sz w:val="18"/>
                            <w:szCs w:val="18"/>
                          </w:rPr>
                          <w:t>万</w:t>
                        </w:r>
                      </w:p>
                    </w:tc>
                  </w:tr>
                  <w:tr>
                    <w:trPr>
                      <w:trHeight w:val="312" w:hRule="exact"/>
                    </w:trPr>
                    <w:tc>
                      <w:tcPr>
                        <w:tcW w:w="3119" w:type="dxa"/>
                        <w:tcBorders>
                          <w:top w:val="nil" w:sz="6" w:space="0" w:color="auto"/>
                          <w:left w:val="single" w:sz="4" w:space="0" w:color="000000"/>
                          <w:bottom w:val="nil" w:sz="6" w:space="0" w:color="auto"/>
                          <w:right w:val="single" w:sz="4" w:space="0" w:color="000000"/>
                        </w:tcBorders>
                        <w:shd w:val="clear" w:color="auto" w:fill="D2D2D2"/>
                      </w:tcPr>
                      <w:p>
                        <w:pPr/>
                      </w:p>
                    </w:tc>
                    <w:tc>
                      <w:tcPr>
                        <w:tcW w:w="1077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2"/>
                            <w:sz w:val="18"/>
                            <w:szCs w:val="18"/>
                          </w:rPr>
                          <w:t>元（含利息收入净额</w:t>
                        </w:r>
                        <w:r>
                          <w:rPr>
                            <w:rFonts w:ascii="宋体" w:hAnsi="宋体" w:cs="宋体" w:eastAsia="宋体" w:hint="default"/>
                            <w:sz w:val="18"/>
                            <w:szCs w:val="18"/>
                          </w:rPr>
                          <w:t> </w:t>
                        </w:r>
                        <w:r>
                          <w:rPr>
                            <w:rFonts w:ascii="Arial" w:hAnsi="Arial" w:cs="Arial" w:eastAsia="Arial" w:hint="default"/>
                            <w:spacing w:val="-1"/>
                            <w:sz w:val="18"/>
                            <w:szCs w:val="18"/>
                          </w:rPr>
                          <w:t>22.83</w:t>
                        </w:r>
                        <w:r>
                          <w:rPr>
                            <w:rFonts w:ascii="Arial" w:hAnsi="Arial" w:cs="Arial" w:eastAsia="Arial" w:hint="default"/>
                            <w:spacing w:val="-20"/>
                            <w:sz w:val="18"/>
                            <w:szCs w:val="18"/>
                          </w:rPr>
                          <w:t> </w:t>
                        </w:r>
                        <w:r>
                          <w:rPr>
                            <w:rFonts w:ascii="宋体" w:hAnsi="宋体" w:cs="宋体" w:eastAsia="宋体" w:hint="default"/>
                            <w:spacing w:val="-2"/>
                            <w:sz w:val="18"/>
                            <w:szCs w:val="18"/>
                          </w:rPr>
                          <w:t>万元）系支付现金对价和相关中介费用后剩余的金额，该金额用于补充流动资金。目前，结余资金已全部使用</w:t>
                        </w:r>
                      </w:p>
                    </w:tc>
                  </w:tr>
                  <w:tr>
                    <w:trPr>
                      <w:trHeight w:val="352" w:hRule="exact"/>
                    </w:trPr>
                    <w:tc>
                      <w:tcPr>
                        <w:tcW w:w="31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7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完毕。</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尚未使用的募集资金用途及去向</w:t>
                        </w:r>
                      </w:p>
                    </w:tc>
                    <w:tc>
                      <w:tcPr>
                        <w:tcW w:w="10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7" w:hRule="exact"/>
                    </w:trPr>
                    <w:tc>
                      <w:tcPr>
                        <w:tcW w:w="3119"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募集资金使用及披露中存在的问题或其</w:t>
                        </w:r>
                      </w:p>
                    </w:tc>
                    <w:tc>
                      <w:tcPr>
                        <w:tcW w:w="1077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pacing w:val="-2"/>
                            <w:sz w:val="18"/>
                            <w:szCs w:val="18"/>
                          </w:rPr>
                          <w:t>本公司不存在募集资金使用的其他情况。本公司已披露的募集资金相关信息及时、真实、准确、完整披露，不存在募集资金管理违规</w:t>
                        </w:r>
                      </w:p>
                    </w:tc>
                  </w:tr>
                  <w:tr>
                    <w:trPr>
                      <w:trHeight w:val="357" w:hRule="exact"/>
                    </w:trPr>
                    <w:tc>
                      <w:tcPr>
                        <w:tcW w:w="311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他情况</w:t>
                        </w:r>
                      </w:p>
                    </w:tc>
                    <w:tc>
                      <w:tcPr>
                        <w:tcW w:w="1077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情况。</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before="44"/>
        <w:ind w:left="0" w:right="202"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4"/>
        <w:spacing w:line="240" w:lineRule="auto" w:before="34"/>
        <w:ind w:left="120" w:right="11018"/>
        <w:jc w:val="left"/>
        <w:rPr>
          <w:b w:val="0"/>
          <w:bCs w:val="0"/>
        </w:rPr>
      </w:pPr>
      <w:bookmarkStart w:name="（3）募集资金变更项目情况" w:id="51"/>
      <w:bookmarkEnd w:id="51"/>
      <w:r>
        <w:rPr>
          <w:b w:val="0"/>
          <w:bCs w:val="0"/>
        </w:rPr>
      </w:r>
      <w:r>
        <w:rPr/>
        <w:t>（</w:t>
      </w:r>
      <w:r>
        <w:rPr>
          <w:rFonts w:ascii="Arial" w:hAnsi="Arial" w:cs="Arial" w:eastAsia="Arial" w:hint="default"/>
        </w:rPr>
        <w:t>3</w:t>
      </w:r>
      <w:r>
        <w:rPr/>
        <w:t>）募集资金变更项目情况</w:t>
      </w:r>
      <w:r>
        <w:rPr>
          <w:b w:val="0"/>
          <w:bCs w:val="0"/>
        </w:rPr>
      </w:r>
    </w:p>
    <w:p>
      <w:pPr>
        <w:spacing w:line="240" w:lineRule="auto" w:before="2"/>
        <w:rPr>
          <w:rFonts w:ascii="宋体" w:hAnsi="宋体" w:cs="宋体" w:eastAsia="宋体" w:hint="default"/>
          <w:b/>
          <w:bCs/>
          <w:sz w:val="23"/>
          <w:szCs w:val="23"/>
        </w:rPr>
      </w:pPr>
    </w:p>
    <w:p>
      <w:pPr>
        <w:spacing w:before="44"/>
        <w:ind w:left="120" w:right="11018" w:firstLine="0"/>
        <w:jc w:val="left"/>
        <w:rPr>
          <w:rFonts w:ascii="宋体" w:hAnsi="宋体" w:cs="宋体" w:eastAsia="宋体" w:hint="default"/>
          <w:sz w:val="18"/>
          <w:szCs w:val="18"/>
        </w:rPr>
      </w:pPr>
      <w:r>
        <w:rPr>
          <w:rFonts w:ascii="Arial" w:hAnsi="Arial" w:cs="Arial" w:eastAsia="Arial" w:hint="default"/>
          <w:sz w:val="18"/>
          <w:szCs w:val="18"/>
        </w:rPr>
        <w:t>√  </w:t>
      </w:r>
      <w:r>
        <w:rPr>
          <w:rFonts w:ascii="宋体" w:hAnsi="宋体" w:cs="宋体" w:eastAsia="宋体" w:hint="default"/>
          <w:sz w:val="18"/>
          <w:szCs w:val="18"/>
        </w:rPr>
        <w:t>适用 </w:t>
      </w:r>
      <w:r>
        <w:rPr>
          <w:rFonts w:ascii="Arial" w:hAnsi="Arial" w:cs="Arial" w:eastAsia="Arial" w:hint="default"/>
          <w:sz w:val="18"/>
          <w:szCs w:val="18"/>
        </w:rPr>
        <w:t>□</w:t>
      </w:r>
      <w:r>
        <w:rPr>
          <w:rFonts w:ascii="Arial" w:hAnsi="Arial" w:cs="Arial" w:eastAsia="Arial" w:hint="default"/>
          <w:spacing w:val="28"/>
          <w:sz w:val="18"/>
          <w:szCs w:val="18"/>
        </w:rPr>
        <w:t> </w:t>
      </w:r>
      <w:r>
        <w:rPr>
          <w:rFonts w:ascii="宋体" w:hAnsi="宋体" w:cs="宋体" w:eastAsia="宋体" w:hint="default"/>
          <w:sz w:val="18"/>
          <w:szCs w:val="18"/>
        </w:rPr>
        <w:t>不适用</w:t>
      </w:r>
    </w:p>
    <w:p>
      <w:pPr>
        <w:spacing w:before="104"/>
        <w:ind w:left="0" w:right="197"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843"/>
        <w:gridCol w:w="1559"/>
        <w:gridCol w:w="1560"/>
        <w:gridCol w:w="992"/>
        <w:gridCol w:w="1417"/>
        <w:gridCol w:w="1276"/>
        <w:gridCol w:w="1418"/>
        <w:gridCol w:w="1275"/>
        <w:gridCol w:w="993"/>
        <w:gridCol w:w="1701"/>
      </w:tblGrid>
      <w:tr>
        <w:trPr>
          <w:trHeight w:val="71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变更后的项目</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对应的原承诺项目</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5" w:right="54" w:hanging="72"/>
              <w:jc w:val="left"/>
              <w:rPr>
                <w:rFonts w:ascii="Arial" w:hAnsi="Arial" w:cs="Arial" w:eastAsia="Arial" w:hint="default"/>
                <w:sz w:val="18"/>
                <w:szCs w:val="18"/>
              </w:rPr>
            </w:pPr>
            <w:r>
              <w:rPr>
                <w:rFonts w:ascii="宋体" w:hAnsi="宋体" w:cs="宋体" w:eastAsia="宋体" w:hint="default"/>
                <w:sz w:val="18"/>
                <w:szCs w:val="18"/>
              </w:rPr>
              <w:t>变更后项目拟投入 募集资金总额</w:t>
            </w:r>
            <w:r>
              <w:rPr>
                <w:rFonts w:ascii="Arial" w:hAnsi="Arial" w:cs="Arial" w:eastAsia="Arial" w:hint="default"/>
                <w:sz w:val="18"/>
                <w:szCs w:val="18"/>
              </w:rPr>
              <w:t>(1)</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1" w:right="38"/>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44" w:right="73" w:hanging="72"/>
              <w:jc w:val="left"/>
              <w:rPr>
                <w:rFonts w:ascii="Arial" w:hAnsi="Arial" w:cs="Arial" w:eastAsia="Arial" w:hint="default"/>
                <w:sz w:val="18"/>
                <w:szCs w:val="18"/>
              </w:rPr>
            </w:pPr>
            <w:r>
              <w:rPr>
                <w:rFonts w:ascii="宋体" w:hAnsi="宋体" w:cs="宋体" w:eastAsia="宋体" w:hint="default"/>
                <w:sz w:val="18"/>
                <w:szCs w:val="18"/>
              </w:rPr>
              <w:t>截至期末实际累 计投入金额</w:t>
            </w:r>
            <w:r>
              <w:rPr>
                <w:rFonts w:ascii="Arial" w:hAnsi="Arial" w:cs="Arial" w:eastAsia="Arial" w:hint="default"/>
                <w:sz w:val="18"/>
                <w:szCs w:val="18"/>
              </w:rPr>
              <w:t>(2)</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7" w:right="41" w:firstLine="45"/>
              <w:jc w:val="left"/>
              <w:rPr>
                <w:rFonts w:ascii="Arial" w:hAnsi="Arial" w:cs="Arial" w:eastAsia="Arial" w:hint="default"/>
                <w:sz w:val="18"/>
                <w:szCs w:val="18"/>
              </w:rPr>
            </w:pPr>
            <w:r>
              <w:rPr>
                <w:rFonts w:ascii="宋体" w:hAnsi="宋体" w:cs="宋体" w:eastAsia="宋体" w:hint="default"/>
                <w:sz w:val="18"/>
                <w:szCs w:val="18"/>
              </w:rPr>
              <w:t>截至期末投资 进度</w:t>
            </w:r>
            <w:r>
              <w:rPr>
                <w:rFonts w:ascii="Arial" w:hAnsi="Arial" w:cs="Arial" w:eastAsia="Arial" w:hint="default"/>
                <w:sz w:val="18"/>
                <w:szCs w:val="18"/>
              </w:rPr>
              <w:t>(3)=(2)/(1)</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3" w:right="71" w:hanging="89"/>
              <w:jc w:val="left"/>
              <w:rPr>
                <w:rFonts w:ascii="宋体" w:hAnsi="宋体" w:cs="宋体" w:eastAsia="宋体" w:hint="default"/>
                <w:sz w:val="18"/>
                <w:szCs w:val="18"/>
              </w:rPr>
            </w:pPr>
            <w:r>
              <w:rPr>
                <w:rFonts w:ascii="宋体" w:hAnsi="宋体" w:cs="宋体" w:eastAsia="宋体" w:hint="default"/>
                <w:sz w:val="18"/>
                <w:szCs w:val="18"/>
              </w:rPr>
              <w:t>项目达到预定可 使用状态日期</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62" w:right="91" w:hanging="272"/>
              <w:jc w:val="left"/>
              <w:rPr>
                <w:rFonts w:ascii="宋体" w:hAnsi="宋体" w:cs="宋体" w:eastAsia="宋体" w:hint="default"/>
                <w:sz w:val="18"/>
                <w:szCs w:val="18"/>
              </w:rPr>
            </w:pPr>
            <w:r>
              <w:rPr>
                <w:rFonts w:ascii="宋体" w:hAnsi="宋体" w:cs="宋体" w:eastAsia="宋体" w:hint="default"/>
                <w:sz w:val="18"/>
                <w:szCs w:val="18"/>
              </w:rPr>
              <w:t>本报告期实现 的效益</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0" w:right="40"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5" w:right="35" w:hanging="92"/>
              <w:jc w:val="left"/>
              <w:rPr>
                <w:rFonts w:ascii="宋体" w:hAnsi="宋体" w:cs="宋体" w:eastAsia="宋体" w:hint="default"/>
                <w:sz w:val="18"/>
                <w:szCs w:val="18"/>
              </w:rPr>
            </w:pPr>
            <w:r>
              <w:rPr>
                <w:rFonts w:ascii="宋体" w:hAnsi="宋体" w:cs="宋体" w:eastAsia="宋体" w:hint="default"/>
                <w:sz w:val="18"/>
                <w:szCs w:val="18"/>
              </w:rPr>
              <w:t>变更后的项目可行性 是否发生重大变化</w:t>
            </w:r>
          </w:p>
        </w:tc>
      </w:tr>
    </w:tbl>
    <w:p>
      <w:pPr>
        <w:spacing w:after="0" w:line="316" w:lineRule="auto"/>
        <w:jc w:val="left"/>
        <w:rPr>
          <w:rFonts w:ascii="宋体" w:hAnsi="宋体" w:cs="宋体" w:eastAsia="宋体" w:hint="default"/>
          <w:sz w:val="18"/>
          <w:szCs w:val="18"/>
        </w:rPr>
        <w:sectPr>
          <w:pgSz w:w="16840" w:h="11910" w:orient="landscape"/>
          <w:pgMar w:header="868" w:footer="978" w:top="1060" w:bottom="1160" w:left="1320" w:right="1240"/>
        </w:sectPr>
      </w:pPr>
    </w:p>
    <w:p>
      <w:pPr>
        <w:spacing w:line="240" w:lineRule="auto" w:before="10"/>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843"/>
        <w:gridCol w:w="1559"/>
        <w:gridCol w:w="1560"/>
        <w:gridCol w:w="992"/>
        <w:gridCol w:w="1417"/>
        <w:gridCol w:w="1276"/>
        <w:gridCol w:w="1418"/>
        <w:gridCol w:w="1275"/>
        <w:gridCol w:w="993"/>
        <w:gridCol w:w="1701"/>
      </w:tblGrid>
      <w:tr>
        <w:trPr>
          <w:trHeight w:val="729" w:hRule="exact"/>
        </w:trPr>
        <w:tc>
          <w:tcPr>
            <w:tcW w:w="1843" w:type="dxa"/>
            <w:tcBorders>
              <w:top w:val="single" w:sz="16" w:space="0" w:color="000000"/>
              <w:left w:val="single" w:sz="4" w:space="0" w:color="000000"/>
              <w:bottom w:val="single" w:sz="4" w:space="0" w:color="000000"/>
              <w:right w:val="single" w:sz="4" w:space="0" w:color="000000"/>
            </w:tcBorders>
          </w:tcPr>
          <w:p>
            <w:pPr>
              <w:pStyle w:val="TableParagraph"/>
              <w:spacing w:line="316" w:lineRule="auto" w:before="51"/>
              <w:ind w:left="24" w:right="187"/>
              <w:jc w:val="left"/>
              <w:rPr>
                <w:rFonts w:ascii="宋体" w:hAnsi="宋体" w:cs="宋体" w:eastAsia="宋体" w:hint="default"/>
                <w:sz w:val="18"/>
                <w:szCs w:val="18"/>
              </w:rPr>
            </w:pPr>
            <w:r>
              <w:rPr>
                <w:rFonts w:ascii="宋体" w:hAnsi="宋体" w:cs="宋体" w:eastAsia="宋体" w:hint="default"/>
                <w:sz w:val="18"/>
                <w:szCs w:val="18"/>
              </w:rPr>
              <w:t>信息应用运维管理与 服务系统</w:t>
            </w:r>
          </w:p>
        </w:tc>
        <w:tc>
          <w:tcPr>
            <w:tcW w:w="1559" w:type="dxa"/>
            <w:tcBorders>
              <w:top w:val="single" w:sz="16" w:space="0" w:color="000000"/>
              <w:left w:val="single" w:sz="4" w:space="0" w:color="000000"/>
              <w:bottom w:val="single" w:sz="4" w:space="0" w:color="000000"/>
              <w:right w:val="single" w:sz="4" w:space="0" w:color="000000"/>
            </w:tcBorders>
          </w:tcPr>
          <w:p>
            <w:pPr>
              <w:pStyle w:val="TableParagraph"/>
              <w:spacing w:line="316" w:lineRule="auto" w:before="51"/>
              <w:ind w:left="24" w:right="83"/>
              <w:jc w:val="left"/>
              <w:rPr>
                <w:rFonts w:ascii="宋体" w:hAnsi="宋体" w:cs="宋体" w:eastAsia="宋体" w:hint="default"/>
                <w:sz w:val="18"/>
                <w:szCs w:val="18"/>
              </w:rPr>
            </w:pPr>
            <w:r>
              <w:rPr>
                <w:rFonts w:ascii="宋体" w:hAnsi="宋体" w:cs="宋体" w:eastAsia="宋体" w:hint="default"/>
                <w:sz w:val="18"/>
                <w:szCs w:val="18"/>
              </w:rPr>
              <w:t>信息应用运维管理 与服务系统</w:t>
            </w:r>
          </w:p>
        </w:tc>
        <w:tc>
          <w:tcPr>
            <w:tcW w:w="1560"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3,450.78</w:t>
            </w:r>
          </w:p>
        </w:tc>
        <w:tc>
          <w:tcPr>
            <w:tcW w:w="992"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w w:val="99"/>
                <w:sz w:val="18"/>
              </w:rPr>
              <w:t>0</w:t>
            </w:r>
            <w:r>
              <w:rPr>
                <w:rFonts w:ascii="Arial"/>
                <w:sz w:val="18"/>
              </w:rPr>
            </w:r>
          </w:p>
        </w:tc>
        <w:tc>
          <w:tcPr>
            <w:tcW w:w="1417"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3,450.78</w:t>
            </w:r>
          </w:p>
        </w:tc>
        <w:tc>
          <w:tcPr>
            <w:tcW w:w="1276"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32" w:right="0"/>
              <w:jc w:val="left"/>
              <w:rPr>
                <w:rFonts w:ascii="Arial" w:hAnsi="Arial" w:cs="Arial" w:eastAsia="Arial" w:hint="default"/>
                <w:sz w:val="18"/>
                <w:szCs w:val="18"/>
              </w:rPr>
            </w:pPr>
            <w:r>
              <w:rPr>
                <w:rFonts w:ascii="Arial"/>
                <w:sz w:val="18"/>
              </w:rPr>
              <w:t>100.00%</w:t>
            </w:r>
          </w:p>
        </w:tc>
        <w:tc>
          <w:tcPr>
            <w:tcW w:w="1418"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Arial" w:hAnsi="Arial" w:cs="Arial" w:eastAsia="Arial" w:hint="default"/>
                <w:sz w:val="18"/>
                <w:szCs w:val="18"/>
              </w:rPr>
            </w:pPr>
            <w:r>
              <w:rPr>
                <w:rFonts w:ascii="Arial" w:hAnsi="Arial" w:cs="Arial" w:eastAsia="Arial" w:hint="default"/>
                <w:sz w:val="18"/>
                <w:szCs w:val="18"/>
              </w:rPr>
              <w:t>2013</w:t>
            </w:r>
            <w:r>
              <w:rPr>
                <w:rFonts w:ascii="Arial" w:hAnsi="Arial" w:cs="Arial" w:eastAsia="Arial"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397.01</w:t>
            </w:r>
          </w:p>
        </w:tc>
        <w:tc>
          <w:tcPr>
            <w:tcW w:w="993"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17"/>
              <w:jc w:val="right"/>
              <w:rPr>
                <w:rFonts w:ascii="宋体" w:hAnsi="宋体" w:cs="宋体" w:eastAsia="宋体" w:hint="default"/>
                <w:sz w:val="18"/>
                <w:szCs w:val="18"/>
              </w:rPr>
            </w:pPr>
            <w:r>
              <w:rPr>
                <w:rFonts w:ascii="宋体" w:hAnsi="宋体" w:cs="宋体" w:eastAsia="宋体" w:hint="default"/>
                <w:sz w:val="18"/>
                <w:szCs w:val="18"/>
              </w:rPr>
              <w:t>不适用</w:t>
            </w:r>
          </w:p>
        </w:tc>
        <w:tc>
          <w:tcPr>
            <w:tcW w:w="170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Arial" w:hAnsi="Arial" w:cs="Arial" w:eastAsia="Arial" w:hint="default"/>
                <w:sz w:val="18"/>
                <w:szCs w:val="18"/>
              </w:rPr>
            </w:pPr>
            <w:r>
              <w:rPr>
                <w:rFonts w:ascii="Arial"/>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3,450.78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Arial" w:hAnsi="Arial" w:cs="Arial" w:eastAsia="Arial" w:hint="default"/>
                <w:sz w:val="18"/>
                <w:szCs w:val="18"/>
              </w:rPr>
            </w:pPr>
            <w:r>
              <w:rPr>
                <w:rFonts w:ascii="Arial"/>
                <w:w w:val="99"/>
                <w:sz w:val="18"/>
              </w:rPr>
              <w:t>0</w:t>
            </w:r>
            <w:r>
              <w:rPr>
                <w:rFonts w:ascii="Arial"/>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3,450.78</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572" w:right="0"/>
              <w:jc w:val="left"/>
              <w:rPr>
                <w:rFonts w:ascii="Arial" w:hAnsi="Arial" w:cs="Arial" w:eastAsia="Arial" w:hint="default"/>
                <w:sz w:val="18"/>
                <w:szCs w:val="18"/>
              </w:rPr>
            </w:pPr>
            <w:r>
              <w:rPr>
                <w:rFonts w:ascii="Arial"/>
                <w:sz w:val="18"/>
              </w:rPr>
              <w:t>--</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Arial" w:hAnsi="Arial" w:cs="Arial" w:eastAsia="Arial" w:hint="default"/>
                <w:sz w:val="18"/>
                <w:szCs w:val="18"/>
              </w:rPr>
            </w:pPr>
            <w:r>
              <w:rPr>
                <w:rFonts w:ascii="Arial"/>
                <w:sz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397.01</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429"/>
              <w:jc w:val="right"/>
              <w:rPr>
                <w:rFonts w:ascii="Arial" w:hAnsi="Arial" w:cs="Arial" w:eastAsia="Arial" w:hint="default"/>
                <w:sz w:val="18"/>
                <w:szCs w:val="18"/>
              </w:rPr>
            </w:pPr>
            <w:r>
              <w:rPr>
                <w:rFonts w:ascii="Arial"/>
                <w:sz w:val="18"/>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Arial" w:hAnsi="Arial" w:cs="Arial" w:eastAsia="Arial" w:hint="default"/>
                <w:sz w:val="18"/>
                <w:szCs w:val="18"/>
              </w:rPr>
            </w:pPr>
            <w:r>
              <w:rPr>
                <w:rFonts w:ascii="Arial"/>
                <w:sz w:val="18"/>
              </w:rPr>
              <w:t>--</w:t>
            </w:r>
          </w:p>
        </w:tc>
      </w:tr>
      <w:tr>
        <w:trPr>
          <w:trHeight w:val="714" w:hRule="exact"/>
        </w:trPr>
        <w:tc>
          <w:tcPr>
            <w:tcW w:w="496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Arial" w:hAnsi="Arial" w:cs="Arial" w:eastAsia="Arial" w:hint="default"/>
                <w:sz w:val="18"/>
                <w:szCs w:val="18"/>
              </w:rPr>
            </w:pPr>
            <w:r>
              <w:rPr>
                <w:rFonts w:ascii="宋体" w:hAnsi="宋体" w:cs="宋体" w:eastAsia="宋体" w:hint="default"/>
                <w:sz w:val="18"/>
                <w:szCs w:val="18"/>
              </w:rPr>
              <w:t>变更原因、决策程序及信息披露情况说明</w:t>
            </w:r>
            <w:r>
              <w:rPr>
                <w:rFonts w:ascii="Arial" w:hAnsi="Arial" w:cs="Arial" w:eastAsia="Arial" w:hint="default"/>
                <w:sz w:val="18"/>
                <w:szCs w:val="18"/>
              </w:rPr>
              <w:t>(</w:t>
            </w:r>
            <w:r>
              <w:rPr>
                <w:rFonts w:ascii="宋体" w:hAnsi="宋体" w:cs="宋体" w:eastAsia="宋体" w:hint="default"/>
                <w:sz w:val="18"/>
                <w:szCs w:val="18"/>
              </w:rPr>
              <w:t>分具体项目</w:t>
            </w:r>
            <w:r>
              <w:rPr>
                <w:rFonts w:ascii="Arial" w:hAnsi="Arial" w:cs="Arial" w:eastAsia="Arial" w:hint="default"/>
                <w:sz w:val="18"/>
                <w:szCs w:val="18"/>
              </w:rPr>
              <w:t>)</w:t>
            </w:r>
          </w:p>
        </w:tc>
        <w:tc>
          <w:tcPr>
            <w:tcW w:w="9072" w:type="dxa"/>
            <w:gridSpan w:val="7"/>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firstLine="36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69"/>
                <w:sz w:val="18"/>
                <w:szCs w:val="18"/>
              </w:rPr>
              <w:t> </w:t>
            </w:r>
            <w:r>
              <w:rPr>
                <w:rFonts w:ascii="Arial" w:hAnsi="Arial" w:cs="Arial" w:eastAsia="Arial" w:hint="default"/>
                <w:sz w:val="18"/>
                <w:szCs w:val="18"/>
              </w:rPr>
              <w:t>2012</w:t>
            </w:r>
            <w:r>
              <w:rPr>
                <w:rFonts w:ascii="Arial" w:hAnsi="Arial" w:cs="Arial" w:eastAsia="Arial" w:hint="default"/>
                <w:spacing w:val="-31"/>
                <w:sz w:val="18"/>
                <w:szCs w:val="18"/>
              </w:rPr>
              <w:t> </w:t>
            </w:r>
            <w:r>
              <w:rPr>
                <w:rFonts w:ascii="宋体" w:hAnsi="宋体" w:cs="宋体" w:eastAsia="宋体" w:hint="default"/>
                <w:sz w:val="18"/>
                <w:szCs w:val="18"/>
              </w:rPr>
              <w:t>年第一次临时股东大会审议通过，</w:t>
            </w:r>
            <w:r>
              <w:rPr>
                <w:rFonts w:ascii="Arial" w:hAnsi="Arial" w:cs="Arial" w:eastAsia="Arial" w:hint="default"/>
                <w:sz w:val="18"/>
                <w:szCs w:val="18"/>
              </w:rPr>
              <w:t>“</w:t>
            </w:r>
            <w:r>
              <w:rPr>
                <w:rFonts w:ascii="宋体" w:hAnsi="宋体" w:cs="宋体" w:eastAsia="宋体" w:hint="default"/>
                <w:sz w:val="18"/>
                <w:szCs w:val="18"/>
              </w:rPr>
              <w:t>信息应用运维管理与服务系统</w:t>
            </w:r>
            <w:r>
              <w:rPr>
                <w:rFonts w:ascii="Arial" w:hAnsi="Arial" w:cs="Arial" w:eastAsia="Arial" w:hint="default"/>
                <w:sz w:val="18"/>
                <w:szCs w:val="18"/>
              </w:rPr>
              <w:t>”</w:t>
            </w:r>
            <w:r>
              <w:rPr>
                <w:rFonts w:ascii="宋体" w:hAnsi="宋体" w:cs="宋体" w:eastAsia="宋体" w:hint="default"/>
                <w:sz w:val="18"/>
                <w:szCs w:val="18"/>
              </w:rPr>
              <w:t>项目变更由公司全资子公司华宇 信息实施。</w:t>
            </w:r>
          </w:p>
        </w:tc>
      </w:tr>
      <w:tr>
        <w:trPr>
          <w:trHeight w:val="402" w:hRule="exact"/>
        </w:trPr>
        <w:tc>
          <w:tcPr>
            <w:tcW w:w="496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Arial" w:hAnsi="Arial" w:cs="Arial" w:eastAsia="Arial" w:hint="default"/>
                <w:sz w:val="18"/>
                <w:szCs w:val="18"/>
              </w:rPr>
            </w:pPr>
            <w:r>
              <w:rPr>
                <w:rFonts w:ascii="宋体" w:hAnsi="宋体" w:cs="宋体" w:eastAsia="宋体" w:hint="default"/>
                <w:sz w:val="18"/>
                <w:szCs w:val="18"/>
              </w:rPr>
              <w:t>未达到计划进度或预计收益的情况和原因</w:t>
            </w:r>
            <w:r>
              <w:rPr>
                <w:rFonts w:ascii="Arial" w:hAnsi="Arial" w:cs="Arial" w:eastAsia="Arial" w:hint="default"/>
                <w:sz w:val="18"/>
                <w:szCs w:val="18"/>
              </w:rPr>
              <w:t>(</w:t>
            </w:r>
            <w:r>
              <w:rPr>
                <w:rFonts w:ascii="宋体" w:hAnsi="宋体" w:cs="宋体" w:eastAsia="宋体" w:hint="default"/>
                <w:sz w:val="18"/>
                <w:szCs w:val="18"/>
              </w:rPr>
              <w:t>分具体项目</w:t>
            </w:r>
            <w:r>
              <w:rPr>
                <w:rFonts w:ascii="Arial" w:hAnsi="Arial" w:cs="Arial" w:eastAsia="Arial" w:hint="default"/>
                <w:sz w:val="18"/>
                <w:szCs w:val="18"/>
              </w:rPr>
              <w:t>)</w:t>
            </w:r>
          </w:p>
        </w:tc>
        <w:tc>
          <w:tcPr>
            <w:tcW w:w="907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96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变更后的项目可行性发生重大变化的情况说明</w:t>
            </w:r>
          </w:p>
        </w:tc>
        <w:tc>
          <w:tcPr>
            <w:tcW w:w="907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8"/>
          <w:szCs w:val="18"/>
        </w:rPr>
      </w:pPr>
    </w:p>
    <w:p>
      <w:pPr>
        <w:pStyle w:val="Heading2"/>
        <w:spacing w:line="240" w:lineRule="auto"/>
        <w:ind w:left="120" w:right="11018"/>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20" w:right="11018"/>
        <w:jc w:val="left"/>
        <w:rPr>
          <w:b w:val="0"/>
          <w:bCs w:val="0"/>
        </w:rPr>
      </w:pPr>
      <w:bookmarkStart w:name="1、出售重大资产情况" w:id="53"/>
      <w:bookmarkEnd w:id="53"/>
      <w:r>
        <w:rPr>
          <w:b w:val="0"/>
          <w:bCs w:val="0"/>
        </w:rPr>
      </w:r>
      <w:r>
        <w:rPr>
          <w:rFonts w:ascii="Arial" w:hAnsi="Arial" w:cs="Arial" w:eastAsia="Arial" w:hint="default"/>
        </w:rPr>
        <w:t>1</w:t>
      </w:r>
      <w:r>
        <w:rPr/>
        <w:t>、出售重大资产情况</w:t>
      </w:r>
      <w:r>
        <w:rPr>
          <w:b w:val="0"/>
          <w:bCs w:val="0"/>
        </w:rPr>
      </w:r>
    </w:p>
    <w:p>
      <w:pPr>
        <w:spacing w:line="240" w:lineRule="auto" w:before="11"/>
        <w:rPr>
          <w:rFonts w:ascii="宋体" w:hAnsi="宋体" w:cs="宋体" w:eastAsia="宋体" w:hint="default"/>
          <w:b/>
          <w:bCs/>
          <w:sz w:val="22"/>
          <w:szCs w:val="22"/>
        </w:rPr>
      </w:pPr>
    </w:p>
    <w:p>
      <w:pPr>
        <w:pStyle w:val="Heading3"/>
        <w:spacing w:line="254" w:lineRule="auto"/>
        <w:ind w:left="120" w:right="11018"/>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公司报告期未出售重大资产。</w:t>
      </w:r>
    </w:p>
    <w:p>
      <w:pPr>
        <w:spacing w:line="240" w:lineRule="auto" w:before="8"/>
        <w:rPr>
          <w:rFonts w:ascii="宋体" w:hAnsi="宋体" w:cs="宋体" w:eastAsia="宋体" w:hint="default"/>
          <w:sz w:val="23"/>
          <w:szCs w:val="23"/>
        </w:rPr>
      </w:pPr>
    </w:p>
    <w:p>
      <w:pPr>
        <w:pStyle w:val="Heading4"/>
        <w:spacing w:line="240" w:lineRule="auto"/>
        <w:ind w:left="120" w:right="11018"/>
        <w:jc w:val="left"/>
        <w:rPr>
          <w:b w:val="0"/>
          <w:bCs w:val="0"/>
        </w:rPr>
      </w:pPr>
      <w:bookmarkStart w:name="2、出售重大股权情况" w:id="54"/>
      <w:bookmarkEnd w:id="54"/>
      <w:r>
        <w:rPr>
          <w:b w:val="0"/>
          <w:bCs w:val="0"/>
        </w:rPr>
      </w:r>
      <w:r>
        <w:rPr>
          <w:rFonts w:ascii="Arial" w:hAnsi="Arial" w:cs="Arial" w:eastAsia="Arial" w:hint="default"/>
        </w:rPr>
        <w:t>2</w:t>
      </w:r>
      <w:r>
        <w:rPr/>
        <w:t>、出售重大股权情况</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left="120" w:right="11018"/>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after="0" w:line="240" w:lineRule="auto"/>
        <w:jc w:val="left"/>
        <w:sectPr>
          <w:pgSz w:w="16840" w:h="11910" w:orient="landscape"/>
          <w:pgMar w:header="868" w:footer="978" w:top="1060" w:bottom="1160" w:left="1320" w:right="1240"/>
        </w:sectPr>
      </w:pPr>
    </w:p>
    <w:p>
      <w:pPr>
        <w:spacing w:line="240" w:lineRule="auto" w:before="10"/>
        <w:rPr>
          <w:rFonts w:ascii="宋体" w:hAnsi="宋体" w:cs="宋体" w:eastAsia="宋体" w:hint="default"/>
          <w:sz w:val="19"/>
          <w:szCs w:val="19"/>
        </w:rPr>
      </w:pPr>
    </w:p>
    <w:p>
      <w:pPr>
        <w:pStyle w:val="Heading2"/>
        <w:spacing w:line="240" w:lineRule="auto"/>
        <w:ind w:right="996"/>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1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headerReference w:type="default" r:id="rId21"/>
          <w:footerReference w:type="default" r:id="rId22"/>
          <w:pgSz w:w="11910" w:h="16840"/>
          <w:pgMar w:header="878" w:footer="978" w:top="1100" w:bottom="1160" w:left="1020" w:right="0"/>
          <w:pgNumType w:start="38"/>
        </w:sectPr>
      </w:pPr>
    </w:p>
    <w:p>
      <w:pPr>
        <w:pStyle w:val="Heading3"/>
        <w:spacing w:line="240" w:lineRule="auto" w:before="26"/>
        <w:ind w:right="-16"/>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before="70"/>
        <w:ind w:left="112" w:right="-16"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8"/>
          <w:sz w:val="18"/>
          <w:szCs w:val="18"/>
        </w:rPr>
        <w:t> </w:t>
      </w:r>
      <w:r>
        <w:rPr>
          <w:rFonts w:ascii="Arial" w:hAnsi="Arial" w:cs="Arial" w:eastAsia="Arial"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3"/>
          <w:szCs w:val="23"/>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1020" w:right="0"/>
          <w:cols w:num="2" w:equalWidth="0">
            <w:col w:w="4839" w:space="4079"/>
            <w:col w:w="1972"/>
          </w:cols>
        </w:sectPr>
      </w:pPr>
    </w:p>
    <w:p>
      <w:pPr>
        <w:spacing w:line="240" w:lineRule="auto" w:before="2"/>
        <w:rPr>
          <w:rFonts w:ascii="宋体" w:hAnsi="宋体" w:cs="宋体" w:eastAsia="宋体" w:hint="default"/>
          <w:sz w:val="8"/>
          <w:szCs w:val="8"/>
        </w:rPr>
      </w:pPr>
      <w:r>
        <w:rPr/>
        <w:pict>
          <v:group style="position:absolute;margin-left:109.550003pt;margin-top:381.150024pt;width:44.65pt;height:51.05pt;mso-position-horizontal-relative:page;mso-position-vertical-relative:page;z-index:-862720" coordorigin="2191,7623" coordsize="893,1021">
            <v:shape style="position:absolute;left:2191;top:7623;width:893;height:1021" coordorigin="2191,7623" coordsize="893,1021" path="m2191,7623l3084,7623,3084,8644,2191,8644,2191,7623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1054"/>
        <w:gridCol w:w="898"/>
        <w:gridCol w:w="850"/>
        <w:gridCol w:w="851"/>
        <w:gridCol w:w="1184"/>
        <w:gridCol w:w="1185"/>
        <w:gridCol w:w="1185"/>
        <w:gridCol w:w="1185"/>
        <w:gridCol w:w="1185"/>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9"/>
              <w:jc w:val="both"/>
              <w:rPr>
                <w:rFonts w:ascii="宋体" w:hAnsi="宋体" w:cs="宋体" w:eastAsia="宋体" w:hint="default"/>
                <w:sz w:val="18"/>
                <w:szCs w:val="18"/>
              </w:rPr>
            </w:pPr>
            <w:r>
              <w:rPr>
                <w:rFonts w:ascii="宋体" w:hAnsi="宋体" w:cs="宋体" w:eastAsia="宋体" w:hint="default"/>
                <w:sz w:val="18"/>
                <w:szCs w:val="18"/>
              </w:rPr>
              <w:t>北京华宇信 息技术有限 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 w:right="96"/>
              <w:jc w:val="left"/>
              <w:rPr>
                <w:rFonts w:ascii="宋体" w:hAnsi="宋体" w:cs="宋体" w:eastAsia="宋体" w:hint="default"/>
                <w:sz w:val="18"/>
                <w:szCs w:val="18"/>
              </w:rPr>
            </w:pPr>
            <w:r>
              <w:rPr>
                <w:rFonts w:ascii="宋体" w:hAnsi="宋体" w:cs="宋体" w:eastAsia="宋体" w:hint="default"/>
                <w:sz w:val="18"/>
                <w:szCs w:val="18"/>
              </w:rPr>
              <w:t>软件开发 与销售</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8"/>
                <w:sz w:val="18"/>
                <w:szCs w:val="18"/>
              </w:rPr>
              <w:t> </w:t>
            </w:r>
            <w:r>
              <w:rPr>
                <w:rFonts w:ascii="宋体" w:hAnsi="宋体" w:cs="宋体" w:eastAsia="宋体" w:hint="default"/>
                <w:sz w:val="18"/>
                <w:szCs w:val="18"/>
              </w:rPr>
              <w:t>亿</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2,061,997,28</w:t>
            </w:r>
          </w:p>
          <w:p>
            <w:pPr>
              <w:pStyle w:val="TableParagraph"/>
              <w:spacing w:line="240" w:lineRule="auto" w:before="105"/>
              <w:ind w:right="20"/>
              <w:jc w:val="right"/>
              <w:rPr>
                <w:rFonts w:ascii="Arial" w:hAnsi="Arial" w:cs="Arial" w:eastAsia="Arial" w:hint="default"/>
                <w:sz w:val="18"/>
                <w:szCs w:val="18"/>
              </w:rPr>
            </w:pPr>
            <w:r>
              <w:rPr>
                <w:rFonts w:ascii="Arial"/>
                <w:w w:val="95"/>
                <w:sz w:val="18"/>
              </w:rPr>
              <w:t>1.86</w:t>
            </w:r>
            <w:r>
              <w:rPr>
                <w:rFonts w:ascii="Arial"/>
                <w:sz w:val="18"/>
              </w:rPr>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974,190,547.</w:t>
            </w:r>
          </w:p>
          <w:p>
            <w:pPr>
              <w:pStyle w:val="TableParagraph"/>
              <w:spacing w:line="240" w:lineRule="auto" w:before="105"/>
              <w:ind w:right="19"/>
              <w:jc w:val="right"/>
              <w:rPr>
                <w:rFonts w:ascii="Arial" w:hAnsi="Arial" w:cs="Arial" w:eastAsia="Arial" w:hint="default"/>
                <w:sz w:val="18"/>
                <w:szCs w:val="18"/>
              </w:rPr>
            </w:pPr>
            <w:r>
              <w:rPr>
                <w:rFonts w:ascii="Arial"/>
                <w:w w:val="95"/>
                <w:sz w:val="18"/>
              </w:rPr>
              <w:t>95</w:t>
            </w:r>
            <w:r>
              <w:rPr>
                <w:rFonts w:ascii="Arial"/>
                <w:sz w:val="18"/>
              </w:rPr>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1,857,280,38</w:t>
            </w:r>
          </w:p>
          <w:p>
            <w:pPr>
              <w:pStyle w:val="TableParagraph"/>
              <w:spacing w:line="240" w:lineRule="auto" w:before="105"/>
              <w:ind w:right="18"/>
              <w:jc w:val="right"/>
              <w:rPr>
                <w:rFonts w:ascii="Arial" w:hAnsi="Arial" w:cs="Arial" w:eastAsia="Arial" w:hint="default"/>
                <w:sz w:val="18"/>
                <w:szCs w:val="18"/>
              </w:rPr>
            </w:pPr>
            <w:r>
              <w:rPr>
                <w:rFonts w:ascii="Arial"/>
                <w:w w:val="95"/>
                <w:sz w:val="18"/>
              </w:rPr>
              <w:t>5.03</w:t>
            </w:r>
            <w:r>
              <w:rPr>
                <w:rFonts w:ascii="Arial"/>
                <w:sz w:val="18"/>
              </w:rPr>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1"/>
                <w:sz w:val="18"/>
              </w:rPr>
              <w:t>224,663,701.</w:t>
            </w:r>
          </w:p>
          <w:p>
            <w:pPr>
              <w:pStyle w:val="TableParagraph"/>
              <w:spacing w:line="240" w:lineRule="auto" w:before="105"/>
              <w:ind w:right="20"/>
              <w:jc w:val="right"/>
              <w:rPr>
                <w:rFonts w:ascii="Arial" w:hAnsi="Arial" w:cs="Arial" w:eastAsia="Arial" w:hint="default"/>
                <w:sz w:val="18"/>
                <w:szCs w:val="18"/>
              </w:rPr>
            </w:pPr>
            <w:r>
              <w:rPr>
                <w:rFonts w:ascii="Arial"/>
                <w:w w:val="95"/>
                <w:sz w:val="18"/>
              </w:rPr>
              <w:t>54</w:t>
            </w:r>
            <w:r>
              <w:rPr>
                <w:rFonts w:ascii="Arial"/>
                <w:sz w:val="18"/>
              </w:rPr>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198,920,126.</w:t>
            </w:r>
          </w:p>
          <w:p>
            <w:pPr>
              <w:pStyle w:val="TableParagraph"/>
              <w:spacing w:line="240" w:lineRule="auto" w:before="105"/>
              <w:ind w:right="20"/>
              <w:jc w:val="right"/>
              <w:rPr>
                <w:rFonts w:ascii="Arial" w:hAnsi="Arial" w:cs="Arial" w:eastAsia="Arial" w:hint="default"/>
                <w:sz w:val="18"/>
                <w:szCs w:val="18"/>
              </w:rPr>
            </w:pPr>
            <w:r>
              <w:rPr>
                <w:rFonts w:ascii="Arial"/>
                <w:w w:val="95"/>
                <w:sz w:val="18"/>
              </w:rPr>
              <w:t>04</w:t>
            </w:r>
            <w:r>
              <w:rPr>
                <w:rFonts w:ascii="Arial"/>
                <w:sz w:val="18"/>
              </w:rPr>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联奕科技有 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96"/>
              <w:jc w:val="both"/>
              <w:rPr>
                <w:rFonts w:ascii="宋体" w:hAnsi="宋体" w:cs="宋体" w:eastAsia="宋体" w:hint="default"/>
                <w:sz w:val="18"/>
                <w:szCs w:val="18"/>
              </w:rPr>
            </w:pPr>
            <w:r>
              <w:rPr>
                <w:rFonts w:ascii="宋体" w:hAnsi="宋体" w:cs="宋体" w:eastAsia="宋体" w:hint="default"/>
                <w:sz w:val="18"/>
                <w:szCs w:val="18"/>
              </w:rPr>
              <w:t>软件和信 息技术服 务业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Arial" w:hAnsi="Arial" w:cs="Arial" w:eastAsia="Arial" w:hint="default"/>
                <w:sz w:val="18"/>
                <w:szCs w:val="18"/>
              </w:rPr>
              <w:t>8,250</w:t>
            </w:r>
            <w:r>
              <w:rPr>
                <w:rFonts w:ascii="Arial" w:hAnsi="Arial" w:cs="Arial" w:eastAsia="Arial" w:hint="default"/>
                <w:spacing w:val="-10"/>
                <w:sz w:val="18"/>
                <w:szCs w:val="18"/>
              </w:rPr>
              <w:t> </w:t>
            </w:r>
            <w:r>
              <w:rPr>
                <w:rFonts w:ascii="宋体" w:hAnsi="宋体" w:cs="宋体" w:eastAsia="宋体" w:hint="default"/>
                <w:sz w:val="18"/>
                <w:szCs w:val="18"/>
              </w:rPr>
              <w:t>万</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705,430,901.</w:t>
            </w:r>
          </w:p>
          <w:p>
            <w:pPr>
              <w:pStyle w:val="TableParagraph"/>
              <w:spacing w:line="240" w:lineRule="auto" w:before="105"/>
              <w:ind w:right="20"/>
              <w:jc w:val="right"/>
              <w:rPr>
                <w:rFonts w:ascii="Arial" w:hAnsi="Arial" w:cs="Arial" w:eastAsia="Arial" w:hint="default"/>
                <w:sz w:val="18"/>
                <w:szCs w:val="18"/>
              </w:rPr>
            </w:pPr>
            <w:r>
              <w:rPr>
                <w:rFonts w:ascii="Arial"/>
                <w:w w:val="95"/>
                <w:sz w:val="18"/>
              </w:rPr>
              <w:t>72</w:t>
            </w:r>
            <w:r>
              <w:rPr>
                <w:rFonts w:ascii="Arial"/>
                <w:sz w:val="18"/>
              </w:rPr>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375,892,852.</w:t>
            </w:r>
          </w:p>
          <w:p>
            <w:pPr>
              <w:pStyle w:val="TableParagraph"/>
              <w:spacing w:line="240" w:lineRule="auto" w:before="105"/>
              <w:ind w:right="19"/>
              <w:jc w:val="right"/>
              <w:rPr>
                <w:rFonts w:ascii="Arial" w:hAnsi="Arial" w:cs="Arial" w:eastAsia="Arial" w:hint="default"/>
                <w:sz w:val="18"/>
                <w:szCs w:val="18"/>
              </w:rPr>
            </w:pPr>
            <w:r>
              <w:rPr>
                <w:rFonts w:ascii="Arial"/>
                <w:w w:val="95"/>
                <w:sz w:val="18"/>
              </w:rPr>
              <w:t>77</w:t>
            </w:r>
            <w:r>
              <w:rPr>
                <w:rFonts w:ascii="Arial"/>
                <w:sz w:val="18"/>
              </w:rPr>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1"/>
                <w:sz w:val="18"/>
              </w:rPr>
              <w:t>474,180,539.</w:t>
            </w:r>
          </w:p>
          <w:p>
            <w:pPr>
              <w:pStyle w:val="TableParagraph"/>
              <w:spacing w:line="240" w:lineRule="auto" w:before="105"/>
              <w:ind w:right="21"/>
              <w:jc w:val="right"/>
              <w:rPr>
                <w:rFonts w:ascii="Arial" w:hAnsi="Arial" w:cs="Arial" w:eastAsia="Arial" w:hint="default"/>
                <w:sz w:val="18"/>
                <w:szCs w:val="18"/>
              </w:rPr>
            </w:pPr>
            <w:r>
              <w:rPr>
                <w:rFonts w:ascii="Arial"/>
                <w:w w:val="95"/>
                <w:sz w:val="18"/>
              </w:rPr>
              <w:t>43</w:t>
            </w:r>
            <w:r>
              <w:rPr>
                <w:rFonts w:ascii="Arial"/>
                <w:sz w:val="18"/>
              </w:rPr>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1"/>
                <w:sz w:val="18"/>
              </w:rPr>
              <w:t>120,243,478.</w:t>
            </w:r>
          </w:p>
          <w:p>
            <w:pPr>
              <w:pStyle w:val="TableParagraph"/>
              <w:spacing w:line="240" w:lineRule="auto" w:before="105"/>
              <w:ind w:right="20"/>
              <w:jc w:val="right"/>
              <w:rPr>
                <w:rFonts w:ascii="Arial" w:hAnsi="Arial" w:cs="Arial" w:eastAsia="Arial" w:hint="default"/>
                <w:sz w:val="18"/>
                <w:szCs w:val="18"/>
              </w:rPr>
            </w:pPr>
            <w:r>
              <w:rPr>
                <w:rFonts w:ascii="Arial"/>
                <w:w w:val="95"/>
                <w:sz w:val="18"/>
              </w:rPr>
              <w:t>13</w:t>
            </w:r>
            <w:r>
              <w:rPr>
                <w:rFonts w:ascii="Arial"/>
                <w:sz w:val="18"/>
              </w:rPr>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108,925,026.</w:t>
            </w:r>
          </w:p>
          <w:p>
            <w:pPr>
              <w:pStyle w:val="TableParagraph"/>
              <w:spacing w:line="240" w:lineRule="auto" w:before="105"/>
              <w:ind w:right="20"/>
              <w:jc w:val="right"/>
              <w:rPr>
                <w:rFonts w:ascii="Arial" w:hAnsi="Arial" w:cs="Arial" w:eastAsia="Arial" w:hint="default"/>
                <w:sz w:val="18"/>
                <w:szCs w:val="18"/>
              </w:rPr>
            </w:pPr>
            <w:r>
              <w:rPr>
                <w:rFonts w:ascii="Arial"/>
                <w:w w:val="95"/>
                <w:sz w:val="18"/>
              </w:rPr>
              <w:t>69</w:t>
            </w:r>
            <w:r>
              <w:rPr>
                <w:rFonts w:ascii="Arial"/>
                <w:sz w:val="18"/>
              </w:rPr>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9"/>
              <w:jc w:val="both"/>
              <w:rPr>
                <w:rFonts w:ascii="宋体" w:hAnsi="宋体" w:cs="宋体" w:eastAsia="宋体" w:hint="default"/>
                <w:sz w:val="18"/>
                <w:szCs w:val="18"/>
              </w:rPr>
            </w:pPr>
            <w:r>
              <w:rPr>
                <w:rFonts w:ascii="宋体" w:hAnsi="宋体" w:cs="宋体" w:eastAsia="宋体" w:hint="default"/>
                <w:sz w:val="18"/>
                <w:szCs w:val="18"/>
              </w:rPr>
              <w:t>上海浦东华 宇信息技术 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 w:right="96"/>
              <w:jc w:val="left"/>
              <w:rPr>
                <w:rFonts w:ascii="宋体" w:hAnsi="宋体" w:cs="宋体" w:eastAsia="宋体" w:hint="default"/>
                <w:sz w:val="18"/>
                <w:szCs w:val="18"/>
              </w:rPr>
            </w:pPr>
            <w:r>
              <w:rPr>
                <w:rFonts w:ascii="宋体" w:hAnsi="宋体" w:cs="宋体" w:eastAsia="宋体" w:hint="default"/>
                <w:sz w:val="18"/>
                <w:szCs w:val="18"/>
              </w:rPr>
              <w:t>软件开发 与销售</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Arial" w:hAnsi="Arial" w:cs="Arial" w:eastAsia="Arial" w:hint="default"/>
                <w:sz w:val="18"/>
                <w:szCs w:val="18"/>
              </w:rPr>
              <w:t>3,000</w:t>
            </w:r>
            <w:r>
              <w:rPr>
                <w:rFonts w:ascii="Arial" w:hAnsi="Arial" w:cs="Arial" w:eastAsia="Arial" w:hint="default"/>
                <w:spacing w:val="-10"/>
                <w:sz w:val="18"/>
                <w:szCs w:val="18"/>
              </w:rPr>
              <w:t> </w:t>
            </w:r>
            <w:r>
              <w:rPr>
                <w:rFonts w:ascii="宋体" w:hAnsi="宋体" w:cs="宋体" w:eastAsia="宋体" w:hint="default"/>
                <w:sz w:val="18"/>
                <w:szCs w:val="18"/>
              </w:rPr>
              <w:t>万</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189,209,376.</w:t>
            </w:r>
          </w:p>
          <w:p>
            <w:pPr>
              <w:pStyle w:val="TableParagraph"/>
              <w:spacing w:line="240" w:lineRule="auto" w:before="105"/>
              <w:ind w:right="20"/>
              <w:jc w:val="right"/>
              <w:rPr>
                <w:rFonts w:ascii="Arial" w:hAnsi="Arial" w:cs="Arial" w:eastAsia="Arial" w:hint="default"/>
                <w:sz w:val="18"/>
                <w:szCs w:val="18"/>
              </w:rPr>
            </w:pPr>
            <w:r>
              <w:rPr>
                <w:rFonts w:ascii="Arial"/>
                <w:w w:val="95"/>
                <w:sz w:val="18"/>
              </w:rPr>
              <w:t>44</w:t>
            </w:r>
            <w:r>
              <w:rPr>
                <w:rFonts w:ascii="Arial"/>
                <w:sz w:val="18"/>
              </w:rPr>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150,441,064.</w:t>
            </w:r>
          </w:p>
          <w:p>
            <w:pPr>
              <w:pStyle w:val="TableParagraph"/>
              <w:spacing w:line="240" w:lineRule="auto" w:before="105"/>
              <w:ind w:right="19"/>
              <w:jc w:val="right"/>
              <w:rPr>
                <w:rFonts w:ascii="Arial" w:hAnsi="Arial" w:cs="Arial" w:eastAsia="Arial" w:hint="default"/>
                <w:sz w:val="18"/>
                <w:szCs w:val="18"/>
              </w:rPr>
            </w:pPr>
            <w:r>
              <w:rPr>
                <w:rFonts w:ascii="Arial"/>
                <w:w w:val="95"/>
                <w:sz w:val="18"/>
              </w:rPr>
              <w:t>32</w:t>
            </w:r>
            <w:r>
              <w:rPr>
                <w:rFonts w:ascii="Arial"/>
                <w:sz w:val="18"/>
              </w:rPr>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1"/>
                <w:sz w:val="18"/>
              </w:rPr>
              <w:t>179,846,544.</w:t>
            </w:r>
          </w:p>
          <w:p>
            <w:pPr>
              <w:pStyle w:val="TableParagraph"/>
              <w:spacing w:line="240" w:lineRule="auto" w:before="105"/>
              <w:ind w:right="21"/>
              <w:jc w:val="right"/>
              <w:rPr>
                <w:rFonts w:ascii="Arial" w:hAnsi="Arial" w:cs="Arial" w:eastAsia="Arial" w:hint="default"/>
                <w:sz w:val="18"/>
                <w:szCs w:val="18"/>
              </w:rPr>
            </w:pPr>
            <w:r>
              <w:rPr>
                <w:rFonts w:ascii="Arial"/>
                <w:w w:val="95"/>
                <w:sz w:val="18"/>
              </w:rPr>
              <w:t>50</w:t>
            </w:r>
            <w:r>
              <w:rPr>
                <w:rFonts w:ascii="Arial"/>
                <w:sz w:val="18"/>
              </w:rPr>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1"/>
                <w:sz w:val="18"/>
              </w:rPr>
              <w:t>48,532,499.4</w:t>
            </w:r>
          </w:p>
          <w:p>
            <w:pPr>
              <w:pStyle w:val="TableParagraph"/>
              <w:spacing w:line="240" w:lineRule="auto" w:before="105"/>
              <w:ind w:right="20"/>
              <w:jc w:val="right"/>
              <w:rPr>
                <w:rFonts w:ascii="Arial" w:hAnsi="Arial" w:cs="Arial" w:eastAsia="Arial" w:hint="default"/>
                <w:sz w:val="18"/>
                <w:szCs w:val="18"/>
              </w:rPr>
            </w:pPr>
            <w:r>
              <w:rPr>
                <w:rFonts w:ascii="Arial"/>
                <w:w w:val="99"/>
                <w:sz w:val="18"/>
              </w:rPr>
              <w:t>1</w:t>
            </w:r>
            <w:r>
              <w:rPr>
                <w:rFonts w:ascii="Arial"/>
                <w:sz w:val="18"/>
              </w:rPr>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43,459,173.4</w:t>
            </w:r>
          </w:p>
          <w:p>
            <w:pPr>
              <w:pStyle w:val="TableParagraph"/>
              <w:spacing w:line="240" w:lineRule="auto" w:before="105"/>
              <w:ind w:right="20"/>
              <w:jc w:val="right"/>
              <w:rPr>
                <w:rFonts w:ascii="Arial" w:hAnsi="Arial" w:cs="Arial" w:eastAsia="Arial" w:hint="default"/>
                <w:sz w:val="18"/>
                <w:szCs w:val="18"/>
              </w:rPr>
            </w:pPr>
            <w:r>
              <w:rPr>
                <w:rFonts w:ascii="Arial"/>
                <w:w w:val="99"/>
                <w:sz w:val="18"/>
              </w:rPr>
              <w:t>4</w:t>
            </w:r>
            <w:r>
              <w:rPr>
                <w:rFonts w:ascii="Arial"/>
                <w:sz w:val="18"/>
              </w:rPr>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北京万户网 络技术有限 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 w:right="96"/>
              <w:jc w:val="left"/>
              <w:rPr>
                <w:rFonts w:ascii="宋体" w:hAnsi="宋体" w:cs="宋体" w:eastAsia="宋体" w:hint="default"/>
                <w:sz w:val="18"/>
                <w:szCs w:val="18"/>
              </w:rPr>
            </w:pPr>
            <w:r>
              <w:rPr>
                <w:rFonts w:ascii="宋体" w:hAnsi="宋体" w:cs="宋体" w:eastAsia="宋体" w:hint="default"/>
                <w:sz w:val="18"/>
                <w:szCs w:val="18"/>
              </w:rPr>
              <w:t>软件开发 与销售</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Arial" w:hAnsi="Arial" w:cs="Arial" w:eastAsia="Arial" w:hint="default"/>
                <w:sz w:val="18"/>
                <w:szCs w:val="18"/>
              </w:rPr>
              <w:t>2,470</w:t>
            </w:r>
            <w:r>
              <w:rPr>
                <w:rFonts w:ascii="Arial" w:hAnsi="Arial" w:cs="Arial" w:eastAsia="Arial" w:hint="default"/>
                <w:spacing w:val="-10"/>
                <w:sz w:val="18"/>
                <w:szCs w:val="18"/>
              </w:rPr>
              <w:t> </w:t>
            </w:r>
            <w:r>
              <w:rPr>
                <w:rFonts w:ascii="宋体" w:hAnsi="宋体" w:cs="宋体" w:eastAsia="宋体" w:hint="default"/>
                <w:sz w:val="18"/>
                <w:szCs w:val="18"/>
              </w:rPr>
              <w:t>万</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165,068,291.</w:t>
            </w:r>
          </w:p>
          <w:p>
            <w:pPr>
              <w:pStyle w:val="TableParagraph"/>
              <w:spacing w:line="240" w:lineRule="auto" w:before="105"/>
              <w:ind w:right="20"/>
              <w:jc w:val="right"/>
              <w:rPr>
                <w:rFonts w:ascii="Arial" w:hAnsi="Arial" w:cs="Arial" w:eastAsia="Arial" w:hint="default"/>
                <w:sz w:val="18"/>
                <w:szCs w:val="18"/>
              </w:rPr>
            </w:pPr>
            <w:r>
              <w:rPr>
                <w:rFonts w:ascii="Arial"/>
                <w:w w:val="95"/>
                <w:sz w:val="18"/>
              </w:rPr>
              <w:t>49</w:t>
            </w:r>
            <w:r>
              <w:rPr>
                <w:rFonts w:ascii="Arial"/>
                <w:sz w:val="18"/>
              </w:rPr>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139,131,080.</w:t>
            </w:r>
          </w:p>
          <w:p>
            <w:pPr>
              <w:pStyle w:val="TableParagraph"/>
              <w:spacing w:line="240" w:lineRule="auto" w:before="105"/>
              <w:ind w:right="19"/>
              <w:jc w:val="right"/>
              <w:rPr>
                <w:rFonts w:ascii="Arial" w:hAnsi="Arial" w:cs="Arial" w:eastAsia="Arial" w:hint="default"/>
                <w:sz w:val="18"/>
                <w:szCs w:val="18"/>
              </w:rPr>
            </w:pPr>
            <w:r>
              <w:rPr>
                <w:rFonts w:ascii="Arial"/>
                <w:w w:val="95"/>
                <w:sz w:val="18"/>
              </w:rPr>
              <w:t>69</w:t>
            </w:r>
            <w:r>
              <w:rPr>
                <w:rFonts w:ascii="Arial"/>
                <w:sz w:val="18"/>
              </w:rPr>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1"/>
                <w:sz w:val="18"/>
              </w:rPr>
              <w:t>126,905,272.</w:t>
            </w:r>
          </w:p>
          <w:p>
            <w:pPr>
              <w:pStyle w:val="TableParagraph"/>
              <w:spacing w:line="240" w:lineRule="auto" w:before="105"/>
              <w:ind w:right="21"/>
              <w:jc w:val="right"/>
              <w:rPr>
                <w:rFonts w:ascii="Arial" w:hAnsi="Arial" w:cs="Arial" w:eastAsia="Arial" w:hint="default"/>
                <w:sz w:val="18"/>
                <w:szCs w:val="18"/>
              </w:rPr>
            </w:pPr>
            <w:r>
              <w:rPr>
                <w:rFonts w:ascii="Arial"/>
                <w:w w:val="95"/>
                <w:sz w:val="18"/>
              </w:rPr>
              <w:t>97</w:t>
            </w:r>
            <w:r>
              <w:rPr>
                <w:rFonts w:ascii="Arial"/>
                <w:sz w:val="18"/>
              </w:rPr>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1"/>
                <w:sz w:val="18"/>
              </w:rPr>
              <w:t>43,627,327.7</w:t>
            </w:r>
          </w:p>
          <w:p>
            <w:pPr>
              <w:pStyle w:val="TableParagraph"/>
              <w:spacing w:line="240" w:lineRule="auto" w:before="105"/>
              <w:ind w:right="20"/>
              <w:jc w:val="right"/>
              <w:rPr>
                <w:rFonts w:ascii="Arial" w:hAnsi="Arial" w:cs="Arial" w:eastAsia="Arial" w:hint="default"/>
                <w:sz w:val="18"/>
                <w:szCs w:val="18"/>
              </w:rPr>
            </w:pPr>
            <w:r>
              <w:rPr>
                <w:rFonts w:ascii="Arial"/>
                <w:w w:val="99"/>
                <w:sz w:val="18"/>
              </w:rPr>
              <w:t>1</w:t>
            </w:r>
            <w:r>
              <w:rPr>
                <w:rFonts w:ascii="Arial"/>
                <w:sz w:val="18"/>
              </w:rPr>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38,730,689.0</w:t>
            </w:r>
          </w:p>
          <w:p>
            <w:pPr>
              <w:pStyle w:val="TableParagraph"/>
              <w:spacing w:line="240" w:lineRule="auto" w:before="105"/>
              <w:ind w:right="20"/>
              <w:jc w:val="right"/>
              <w:rPr>
                <w:rFonts w:ascii="Arial" w:hAnsi="Arial" w:cs="Arial" w:eastAsia="Arial" w:hint="default"/>
                <w:sz w:val="18"/>
                <w:szCs w:val="18"/>
              </w:rPr>
            </w:pPr>
            <w:r>
              <w:rPr>
                <w:rFonts w:ascii="Arial"/>
                <w:w w:val="99"/>
                <w:sz w:val="18"/>
              </w:rPr>
              <w:t>3</w:t>
            </w:r>
            <w:r>
              <w:rPr>
                <w:rFonts w:ascii="Arial"/>
                <w:sz w:val="18"/>
              </w:rPr>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9"/>
              <w:jc w:val="both"/>
              <w:rPr>
                <w:rFonts w:ascii="宋体" w:hAnsi="宋体" w:cs="宋体" w:eastAsia="宋体" w:hint="default"/>
                <w:sz w:val="18"/>
                <w:szCs w:val="18"/>
              </w:rPr>
            </w:pPr>
            <w:r>
              <w:rPr>
                <w:rFonts w:ascii="宋体" w:hAnsi="宋体" w:cs="宋体" w:eastAsia="宋体" w:hint="default"/>
                <w:sz w:val="18"/>
                <w:szCs w:val="18"/>
              </w:rPr>
              <w:t>华宇（大连 信息服务有 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 w:right="96"/>
              <w:jc w:val="left"/>
              <w:rPr>
                <w:rFonts w:ascii="宋体" w:hAnsi="宋体" w:cs="宋体" w:eastAsia="宋体" w:hint="default"/>
                <w:sz w:val="18"/>
                <w:szCs w:val="18"/>
              </w:rPr>
            </w:pPr>
            <w:r>
              <w:rPr>
                <w:rFonts w:ascii="宋体" w:hAnsi="宋体" w:cs="宋体" w:eastAsia="宋体" w:hint="default"/>
                <w:sz w:val="18"/>
                <w:szCs w:val="18"/>
              </w:rPr>
              <w:t>软件开发 与销售</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亿</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221,459,069.</w:t>
            </w:r>
          </w:p>
          <w:p>
            <w:pPr>
              <w:pStyle w:val="TableParagraph"/>
              <w:spacing w:line="240" w:lineRule="auto" w:before="105"/>
              <w:ind w:right="20"/>
              <w:jc w:val="right"/>
              <w:rPr>
                <w:rFonts w:ascii="Arial" w:hAnsi="Arial" w:cs="Arial" w:eastAsia="Arial" w:hint="default"/>
                <w:sz w:val="18"/>
                <w:szCs w:val="18"/>
              </w:rPr>
            </w:pPr>
            <w:r>
              <w:rPr>
                <w:rFonts w:ascii="Arial"/>
                <w:w w:val="95"/>
                <w:sz w:val="18"/>
              </w:rPr>
              <w:t>46</w:t>
            </w:r>
            <w:r>
              <w:rPr>
                <w:rFonts w:ascii="Arial"/>
                <w:sz w:val="18"/>
              </w:rPr>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162,914,204.</w:t>
            </w:r>
          </w:p>
          <w:p>
            <w:pPr>
              <w:pStyle w:val="TableParagraph"/>
              <w:spacing w:line="240" w:lineRule="auto" w:before="105"/>
              <w:ind w:right="19"/>
              <w:jc w:val="right"/>
              <w:rPr>
                <w:rFonts w:ascii="Arial" w:hAnsi="Arial" w:cs="Arial" w:eastAsia="Arial" w:hint="default"/>
                <w:sz w:val="18"/>
                <w:szCs w:val="18"/>
              </w:rPr>
            </w:pPr>
            <w:r>
              <w:rPr>
                <w:rFonts w:ascii="Arial"/>
                <w:w w:val="95"/>
                <w:sz w:val="18"/>
              </w:rPr>
              <w:t>34</w:t>
            </w:r>
            <w:r>
              <w:rPr>
                <w:rFonts w:ascii="Arial"/>
                <w:sz w:val="18"/>
              </w:rPr>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1"/>
                <w:sz w:val="18"/>
              </w:rPr>
              <w:t>122,027,268.</w:t>
            </w:r>
          </w:p>
          <w:p>
            <w:pPr>
              <w:pStyle w:val="TableParagraph"/>
              <w:spacing w:line="240" w:lineRule="auto" w:before="105"/>
              <w:ind w:right="21"/>
              <w:jc w:val="right"/>
              <w:rPr>
                <w:rFonts w:ascii="Arial" w:hAnsi="Arial" w:cs="Arial" w:eastAsia="Arial" w:hint="default"/>
                <w:sz w:val="18"/>
                <w:szCs w:val="18"/>
              </w:rPr>
            </w:pPr>
            <w:r>
              <w:rPr>
                <w:rFonts w:ascii="Arial"/>
                <w:w w:val="95"/>
                <w:sz w:val="18"/>
              </w:rPr>
              <w:t>50</w:t>
            </w:r>
            <w:r>
              <w:rPr>
                <w:rFonts w:ascii="Arial"/>
                <w:sz w:val="18"/>
              </w:rPr>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1"/>
                <w:sz w:val="18"/>
              </w:rPr>
              <w:t>24,628,050.7</w:t>
            </w:r>
          </w:p>
          <w:p>
            <w:pPr>
              <w:pStyle w:val="TableParagraph"/>
              <w:spacing w:line="240" w:lineRule="auto" w:before="105"/>
              <w:ind w:right="20"/>
              <w:jc w:val="right"/>
              <w:rPr>
                <w:rFonts w:ascii="Arial" w:hAnsi="Arial" w:cs="Arial" w:eastAsia="Arial" w:hint="default"/>
                <w:sz w:val="18"/>
                <w:szCs w:val="18"/>
              </w:rPr>
            </w:pPr>
            <w:r>
              <w:rPr>
                <w:rFonts w:ascii="Arial"/>
                <w:w w:val="99"/>
                <w:sz w:val="18"/>
              </w:rPr>
              <w:t>9</w:t>
            </w:r>
            <w:r>
              <w:rPr>
                <w:rFonts w:ascii="Arial"/>
                <w:sz w:val="18"/>
              </w:rPr>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25,430,839.4</w:t>
            </w:r>
          </w:p>
          <w:p>
            <w:pPr>
              <w:pStyle w:val="TableParagraph"/>
              <w:spacing w:line="240" w:lineRule="auto" w:before="105"/>
              <w:ind w:right="20"/>
              <w:jc w:val="right"/>
              <w:rPr>
                <w:rFonts w:ascii="Arial" w:hAnsi="Arial" w:cs="Arial" w:eastAsia="Arial" w:hint="default"/>
                <w:sz w:val="18"/>
                <w:szCs w:val="18"/>
              </w:rPr>
            </w:pPr>
            <w:r>
              <w:rPr>
                <w:rFonts w:ascii="Arial"/>
                <w:w w:val="99"/>
                <w:sz w:val="18"/>
              </w:rPr>
              <w:t>2</w:t>
            </w:r>
            <w:r>
              <w:rPr>
                <w:rFonts w:ascii="Arial"/>
                <w:sz w:val="18"/>
              </w:rPr>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北京亿信华 辰软件有限 责任公司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 w:right="96"/>
              <w:jc w:val="left"/>
              <w:rPr>
                <w:rFonts w:ascii="宋体" w:hAnsi="宋体" w:cs="宋体" w:eastAsia="宋体" w:hint="default"/>
                <w:sz w:val="18"/>
                <w:szCs w:val="18"/>
              </w:rPr>
            </w:pPr>
            <w:r>
              <w:rPr>
                <w:rFonts w:ascii="宋体" w:hAnsi="宋体" w:cs="宋体" w:eastAsia="宋体" w:hint="default"/>
                <w:sz w:val="18"/>
                <w:szCs w:val="18"/>
              </w:rPr>
              <w:t>软件开发 与销售</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Arial" w:hAnsi="Arial" w:cs="Arial" w:eastAsia="Arial" w:hint="default"/>
                <w:sz w:val="18"/>
                <w:szCs w:val="18"/>
              </w:rPr>
              <w:t>1,250</w:t>
            </w:r>
            <w:r>
              <w:rPr>
                <w:rFonts w:ascii="Arial" w:hAnsi="Arial" w:cs="Arial" w:eastAsia="Arial" w:hint="default"/>
                <w:spacing w:val="-10"/>
                <w:sz w:val="18"/>
                <w:szCs w:val="18"/>
              </w:rPr>
              <w:t> </w:t>
            </w:r>
            <w:r>
              <w:rPr>
                <w:rFonts w:ascii="宋体" w:hAnsi="宋体" w:cs="宋体" w:eastAsia="宋体" w:hint="default"/>
                <w:sz w:val="18"/>
                <w:szCs w:val="18"/>
              </w:rPr>
              <w:t>万</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164,016,581.</w:t>
            </w:r>
          </w:p>
          <w:p>
            <w:pPr>
              <w:pStyle w:val="TableParagraph"/>
              <w:spacing w:line="240" w:lineRule="auto" w:before="105"/>
              <w:ind w:right="20"/>
              <w:jc w:val="right"/>
              <w:rPr>
                <w:rFonts w:ascii="Arial" w:hAnsi="Arial" w:cs="Arial" w:eastAsia="Arial" w:hint="default"/>
                <w:sz w:val="18"/>
                <w:szCs w:val="18"/>
              </w:rPr>
            </w:pPr>
            <w:r>
              <w:rPr>
                <w:rFonts w:ascii="Arial"/>
                <w:w w:val="95"/>
                <w:sz w:val="18"/>
              </w:rPr>
              <w:t>40</w:t>
            </w:r>
            <w:r>
              <w:rPr>
                <w:rFonts w:ascii="Arial"/>
                <w:sz w:val="18"/>
              </w:rPr>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121,353,392.</w:t>
            </w:r>
          </w:p>
          <w:p>
            <w:pPr>
              <w:pStyle w:val="TableParagraph"/>
              <w:spacing w:line="240" w:lineRule="auto" w:before="105"/>
              <w:ind w:right="19"/>
              <w:jc w:val="right"/>
              <w:rPr>
                <w:rFonts w:ascii="Arial" w:hAnsi="Arial" w:cs="Arial" w:eastAsia="Arial" w:hint="default"/>
                <w:sz w:val="18"/>
                <w:szCs w:val="18"/>
              </w:rPr>
            </w:pPr>
            <w:r>
              <w:rPr>
                <w:rFonts w:ascii="Arial"/>
                <w:w w:val="95"/>
                <w:sz w:val="18"/>
              </w:rPr>
              <w:t>44</w:t>
            </w:r>
            <w:r>
              <w:rPr>
                <w:rFonts w:ascii="Arial"/>
                <w:sz w:val="18"/>
              </w:rPr>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1"/>
                <w:sz w:val="18"/>
              </w:rPr>
              <w:t>147,283,872.</w:t>
            </w:r>
          </w:p>
          <w:p>
            <w:pPr>
              <w:pStyle w:val="TableParagraph"/>
              <w:spacing w:line="240" w:lineRule="auto" w:before="105"/>
              <w:ind w:right="21"/>
              <w:jc w:val="right"/>
              <w:rPr>
                <w:rFonts w:ascii="Arial" w:hAnsi="Arial" w:cs="Arial" w:eastAsia="Arial" w:hint="default"/>
                <w:sz w:val="18"/>
                <w:szCs w:val="18"/>
              </w:rPr>
            </w:pPr>
            <w:r>
              <w:rPr>
                <w:rFonts w:ascii="Arial"/>
                <w:w w:val="95"/>
                <w:sz w:val="18"/>
              </w:rPr>
              <w:t>25</w:t>
            </w:r>
            <w:r>
              <w:rPr>
                <w:rFonts w:ascii="Arial"/>
                <w:sz w:val="18"/>
              </w:rPr>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1"/>
                <w:sz w:val="18"/>
              </w:rPr>
              <w:t>20,054,504.1</w:t>
            </w:r>
          </w:p>
          <w:p>
            <w:pPr>
              <w:pStyle w:val="TableParagraph"/>
              <w:spacing w:line="240" w:lineRule="auto" w:before="105"/>
              <w:ind w:right="20"/>
              <w:jc w:val="right"/>
              <w:rPr>
                <w:rFonts w:ascii="Arial" w:hAnsi="Arial" w:cs="Arial" w:eastAsia="Arial" w:hint="default"/>
                <w:sz w:val="18"/>
                <w:szCs w:val="18"/>
              </w:rPr>
            </w:pPr>
            <w:r>
              <w:rPr>
                <w:rFonts w:ascii="Arial"/>
                <w:w w:val="99"/>
                <w:sz w:val="18"/>
              </w:rPr>
              <w:t>4</w:t>
            </w:r>
            <w:r>
              <w:rPr>
                <w:rFonts w:ascii="Arial"/>
                <w:sz w:val="18"/>
              </w:rPr>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19,013,582.5</w:t>
            </w:r>
          </w:p>
          <w:p>
            <w:pPr>
              <w:pStyle w:val="TableParagraph"/>
              <w:spacing w:line="240" w:lineRule="auto" w:before="105"/>
              <w:ind w:right="20"/>
              <w:jc w:val="right"/>
              <w:rPr>
                <w:rFonts w:ascii="Arial" w:hAnsi="Arial" w:cs="Arial" w:eastAsia="Arial" w:hint="default"/>
                <w:sz w:val="18"/>
                <w:szCs w:val="18"/>
              </w:rPr>
            </w:pPr>
            <w:r>
              <w:rPr>
                <w:rFonts w:ascii="Arial"/>
                <w:w w:val="99"/>
                <w:sz w:val="18"/>
              </w:rPr>
              <w:t>7</w:t>
            </w:r>
            <w:r>
              <w:rPr>
                <w:rFonts w:ascii="Arial"/>
                <w:sz w:val="18"/>
              </w:rPr>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9"/>
              <w:jc w:val="both"/>
              <w:rPr>
                <w:rFonts w:ascii="宋体" w:hAnsi="宋体" w:cs="宋体" w:eastAsia="宋体" w:hint="default"/>
                <w:sz w:val="18"/>
                <w:szCs w:val="18"/>
              </w:rPr>
            </w:pPr>
            <w:r>
              <w:rPr>
                <w:rFonts w:ascii="宋体" w:hAnsi="宋体" w:cs="宋体" w:eastAsia="宋体" w:hint="default"/>
                <w:sz w:val="18"/>
                <w:szCs w:val="18"/>
              </w:rPr>
              <w:t>广州华宇信 息技术有限 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 w:right="96"/>
              <w:jc w:val="left"/>
              <w:rPr>
                <w:rFonts w:ascii="宋体" w:hAnsi="宋体" w:cs="宋体" w:eastAsia="宋体" w:hint="default"/>
                <w:sz w:val="18"/>
                <w:szCs w:val="18"/>
              </w:rPr>
            </w:pPr>
            <w:r>
              <w:rPr>
                <w:rFonts w:ascii="宋体" w:hAnsi="宋体" w:cs="宋体" w:eastAsia="宋体" w:hint="default"/>
                <w:sz w:val="18"/>
                <w:szCs w:val="18"/>
              </w:rPr>
              <w:t>软件开发 与销售</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Arial" w:hAnsi="Arial" w:cs="Arial" w:eastAsia="Arial" w:hint="default"/>
                <w:sz w:val="18"/>
                <w:szCs w:val="18"/>
              </w:rPr>
              <w:t>2,000</w:t>
            </w:r>
            <w:r>
              <w:rPr>
                <w:rFonts w:ascii="Arial" w:hAnsi="Arial" w:cs="Arial" w:eastAsia="Arial" w:hint="default"/>
                <w:spacing w:val="-10"/>
                <w:sz w:val="18"/>
                <w:szCs w:val="18"/>
              </w:rPr>
              <w:t> </w:t>
            </w:r>
            <w:r>
              <w:rPr>
                <w:rFonts w:ascii="宋体" w:hAnsi="宋体" w:cs="宋体" w:eastAsia="宋体" w:hint="default"/>
                <w:sz w:val="18"/>
                <w:szCs w:val="18"/>
              </w:rPr>
              <w:t>万</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186,964,564.</w:t>
            </w:r>
          </w:p>
          <w:p>
            <w:pPr>
              <w:pStyle w:val="TableParagraph"/>
              <w:spacing w:line="240" w:lineRule="auto" w:before="105"/>
              <w:ind w:right="20"/>
              <w:jc w:val="right"/>
              <w:rPr>
                <w:rFonts w:ascii="Arial" w:hAnsi="Arial" w:cs="Arial" w:eastAsia="Arial" w:hint="default"/>
                <w:sz w:val="18"/>
                <w:szCs w:val="18"/>
              </w:rPr>
            </w:pPr>
            <w:r>
              <w:rPr>
                <w:rFonts w:ascii="Arial"/>
                <w:w w:val="95"/>
                <w:sz w:val="18"/>
              </w:rPr>
              <w:t>77</w:t>
            </w:r>
            <w:r>
              <w:rPr>
                <w:rFonts w:ascii="Arial"/>
                <w:sz w:val="18"/>
              </w:rPr>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156,290,108.</w:t>
            </w:r>
          </w:p>
          <w:p>
            <w:pPr>
              <w:pStyle w:val="TableParagraph"/>
              <w:spacing w:line="240" w:lineRule="auto" w:before="105"/>
              <w:ind w:right="19"/>
              <w:jc w:val="right"/>
              <w:rPr>
                <w:rFonts w:ascii="Arial" w:hAnsi="Arial" w:cs="Arial" w:eastAsia="Arial" w:hint="default"/>
                <w:sz w:val="18"/>
                <w:szCs w:val="18"/>
              </w:rPr>
            </w:pPr>
            <w:r>
              <w:rPr>
                <w:rFonts w:ascii="Arial"/>
                <w:w w:val="95"/>
                <w:sz w:val="18"/>
              </w:rPr>
              <w:t>68</w:t>
            </w:r>
            <w:r>
              <w:rPr>
                <w:rFonts w:ascii="Arial"/>
                <w:sz w:val="18"/>
              </w:rPr>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3"/>
                <w:sz w:val="18"/>
              </w:rPr>
              <w:t>111,195,806.8</w:t>
            </w:r>
          </w:p>
          <w:p>
            <w:pPr>
              <w:pStyle w:val="TableParagraph"/>
              <w:spacing w:line="240" w:lineRule="auto" w:before="105"/>
              <w:ind w:right="21"/>
              <w:jc w:val="right"/>
              <w:rPr>
                <w:rFonts w:ascii="Arial" w:hAnsi="Arial" w:cs="Arial" w:eastAsia="Arial" w:hint="default"/>
                <w:sz w:val="18"/>
                <w:szCs w:val="18"/>
              </w:rPr>
            </w:pPr>
            <w:r>
              <w:rPr>
                <w:rFonts w:ascii="Arial"/>
                <w:w w:val="99"/>
                <w:sz w:val="18"/>
              </w:rPr>
              <w:t>9</w:t>
            </w:r>
            <w:r>
              <w:rPr>
                <w:rFonts w:ascii="Arial"/>
                <w:sz w:val="18"/>
              </w:rPr>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1" w:right="0"/>
              <w:jc w:val="center"/>
              <w:rPr>
                <w:rFonts w:ascii="Arial" w:hAnsi="Arial" w:cs="Arial" w:eastAsia="Arial" w:hint="default"/>
                <w:sz w:val="18"/>
                <w:szCs w:val="18"/>
              </w:rPr>
            </w:pPr>
            <w:r>
              <w:rPr>
                <w:rFonts w:ascii="Arial"/>
                <w:sz w:val="18"/>
              </w:rPr>
              <w:t>-2,550,978.53</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7"/>
              <w:jc w:val="right"/>
              <w:rPr>
                <w:rFonts w:ascii="Arial" w:hAnsi="Arial" w:cs="Arial" w:eastAsia="Arial" w:hint="default"/>
                <w:sz w:val="18"/>
                <w:szCs w:val="18"/>
              </w:rPr>
            </w:pPr>
            <w:r>
              <w:rPr>
                <w:rFonts w:ascii="Arial"/>
                <w:spacing w:val="-2"/>
                <w:sz w:val="18"/>
              </w:rPr>
              <w:t>110,424.04</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北京华宇元 典信息服务 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96"/>
              <w:jc w:val="both"/>
              <w:rPr>
                <w:rFonts w:ascii="宋体" w:hAnsi="宋体" w:cs="宋体" w:eastAsia="宋体" w:hint="default"/>
                <w:sz w:val="18"/>
                <w:szCs w:val="18"/>
              </w:rPr>
            </w:pPr>
            <w:r>
              <w:rPr>
                <w:rFonts w:ascii="宋体" w:hAnsi="宋体" w:cs="宋体" w:eastAsia="宋体" w:hint="default"/>
                <w:sz w:val="18"/>
                <w:szCs w:val="18"/>
              </w:rPr>
              <w:t>软件开发 与销售、 技术咨询</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Arial" w:hAnsi="Arial" w:cs="Arial" w:eastAsia="Arial" w:hint="default"/>
                <w:sz w:val="18"/>
                <w:szCs w:val="18"/>
              </w:rPr>
              <w:t>4,800</w:t>
            </w:r>
            <w:r>
              <w:rPr>
                <w:rFonts w:ascii="Arial" w:hAnsi="Arial" w:cs="Arial" w:eastAsia="Arial" w:hint="default"/>
                <w:spacing w:val="-10"/>
                <w:sz w:val="18"/>
                <w:szCs w:val="18"/>
              </w:rPr>
              <w:t> </w:t>
            </w:r>
            <w:r>
              <w:rPr>
                <w:rFonts w:ascii="宋体" w:hAnsi="宋体" w:cs="宋体" w:eastAsia="宋体" w:hint="default"/>
                <w:sz w:val="18"/>
                <w:szCs w:val="18"/>
              </w:rPr>
              <w:t>万</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47,582,884.0</w:t>
            </w:r>
          </w:p>
          <w:p>
            <w:pPr>
              <w:pStyle w:val="TableParagraph"/>
              <w:spacing w:line="240" w:lineRule="auto" w:before="105"/>
              <w:ind w:right="20"/>
              <w:jc w:val="right"/>
              <w:rPr>
                <w:rFonts w:ascii="Arial" w:hAnsi="Arial" w:cs="Arial" w:eastAsia="Arial" w:hint="default"/>
                <w:sz w:val="18"/>
                <w:szCs w:val="18"/>
              </w:rPr>
            </w:pPr>
            <w:r>
              <w:rPr>
                <w:rFonts w:ascii="Arial"/>
                <w:w w:val="99"/>
                <w:sz w:val="18"/>
              </w:rPr>
              <w:t>4</w:t>
            </w:r>
            <w:r>
              <w:rPr>
                <w:rFonts w:ascii="Arial"/>
                <w:sz w:val="18"/>
              </w:rPr>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32,635,733.5</w:t>
            </w:r>
          </w:p>
          <w:p>
            <w:pPr>
              <w:pStyle w:val="TableParagraph"/>
              <w:spacing w:line="240" w:lineRule="auto" w:before="105"/>
              <w:ind w:right="21"/>
              <w:jc w:val="right"/>
              <w:rPr>
                <w:rFonts w:ascii="Arial" w:hAnsi="Arial" w:cs="Arial" w:eastAsia="Arial" w:hint="default"/>
                <w:sz w:val="18"/>
                <w:szCs w:val="18"/>
              </w:rPr>
            </w:pPr>
            <w:r>
              <w:rPr>
                <w:rFonts w:ascii="Arial"/>
                <w:w w:val="99"/>
                <w:sz w:val="18"/>
              </w:rPr>
              <w:t>6</w:t>
            </w:r>
            <w:r>
              <w:rPr>
                <w:rFonts w:ascii="Arial"/>
                <w:sz w:val="18"/>
              </w:rPr>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18,552,810.6</w:t>
            </w:r>
          </w:p>
          <w:p>
            <w:pPr>
              <w:pStyle w:val="TableParagraph"/>
              <w:spacing w:line="240" w:lineRule="auto" w:before="105"/>
              <w:ind w:right="21"/>
              <w:jc w:val="right"/>
              <w:rPr>
                <w:rFonts w:ascii="Arial" w:hAnsi="Arial" w:cs="Arial" w:eastAsia="Arial" w:hint="default"/>
                <w:sz w:val="18"/>
                <w:szCs w:val="18"/>
              </w:rPr>
            </w:pPr>
            <w:r>
              <w:rPr>
                <w:rFonts w:ascii="Arial"/>
                <w:w w:val="99"/>
                <w:sz w:val="18"/>
              </w:rPr>
              <w:t>7</w:t>
            </w:r>
            <w:r>
              <w:rPr>
                <w:rFonts w:ascii="Arial"/>
                <w:sz w:val="18"/>
              </w:rPr>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 w:right="0"/>
              <w:jc w:val="center"/>
              <w:rPr>
                <w:rFonts w:ascii="Arial" w:hAnsi="Arial" w:cs="Arial" w:eastAsia="Arial" w:hint="default"/>
                <w:sz w:val="18"/>
                <w:szCs w:val="18"/>
              </w:rPr>
            </w:pPr>
            <w:r>
              <w:rPr>
                <w:rFonts w:ascii="Arial"/>
                <w:sz w:val="18"/>
              </w:rPr>
              <w:t>-1,462,826.50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7"/>
              <w:jc w:val="right"/>
              <w:rPr>
                <w:rFonts w:ascii="Arial" w:hAnsi="Arial" w:cs="Arial" w:eastAsia="Arial" w:hint="default"/>
                <w:sz w:val="18"/>
                <w:szCs w:val="18"/>
              </w:rPr>
            </w:pPr>
            <w:r>
              <w:rPr>
                <w:rFonts w:ascii="Arial"/>
                <w:spacing w:val="-1"/>
                <w:sz w:val="18"/>
              </w:rPr>
              <w:t>-3,337,288.05</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1"/>
              <w:jc w:val="both"/>
              <w:rPr>
                <w:rFonts w:ascii="宋体" w:hAnsi="宋体" w:cs="宋体" w:eastAsia="宋体" w:hint="default"/>
                <w:sz w:val="18"/>
                <w:szCs w:val="18"/>
              </w:rPr>
            </w:pPr>
            <w:r>
              <w:rPr>
                <w:rFonts w:ascii="宋体" w:hAnsi="宋体" w:cs="宋体" w:eastAsia="宋体" w:hint="default"/>
                <w:spacing w:val="-14"/>
                <w:sz w:val="18"/>
                <w:szCs w:val="18"/>
              </w:rPr>
              <w:t>华宇金信（北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京）软件有限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 w:right="96"/>
              <w:jc w:val="left"/>
              <w:rPr>
                <w:rFonts w:ascii="宋体" w:hAnsi="宋体" w:cs="宋体" w:eastAsia="宋体" w:hint="default"/>
                <w:sz w:val="18"/>
                <w:szCs w:val="18"/>
              </w:rPr>
            </w:pPr>
            <w:r>
              <w:rPr>
                <w:rFonts w:ascii="宋体" w:hAnsi="宋体" w:cs="宋体" w:eastAsia="宋体" w:hint="default"/>
                <w:sz w:val="18"/>
                <w:szCs w:val="18"/>
              </w:rPr>
              <w:t>软件开发 与销售</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Arial" w:hAnsi="Arial" w:cs="Arial" w:eastAsia="Arial" w:hint="default"/>
                <w:sz w:val="18"/>
                <w:szCs w:val="18"/>
              </w:rPr>
              <w:t>5,000</w:t>
            </w:r>
            <w:r>
              <w:rPr>
                <w:rFonts w:ascii="Arial" w:hAnsi="Arial" w:cs="Arial" w:eastAsia="Arial" w:hint="default"/>
                <w:spacing w:val="-10"/>
                <w:sz w:val="18"/>
                <w:szCs w:val="18"/>
              </w:rPr>
              <w:t> </w:t>
            </w:r>
            <w:r>
              <w:rPr>
                <w:rFonts w:ascii="宋体" w:hAnsi="宋体" w:cs="宋体" w:eastAsia="宋体" w:hint="default"/>
                <w:sz w:val="18"/>
                <w:szCs w:val="18"/>
              </w:rPr>
              <w:t>万</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277,090,752.</w:t>
            </w:r>
          </w:p>
          <w:p>
            <w:pPr>
              <w:pStyle w:val="TableParagraph"/>
              <w:spacing w:line="240" w:lineRule="auto" w:before="105"/>
              <w:ind w:right="20"/>
              <w:jc w:val="right"/>
              <w:rPr>
                <w:rFonts w:ascii="Arial" w:hAnsi="Arial" w:cs="Arial" w:eastAsia="Arial" w:hint="default"/>
                <w:sz w:val="18"/>
                <w:szCs w:val="18"/>
              </w:rPr>
            </w:pPr>
            <w:r>
              <w:rPr>
                <w:rFonts w:ascii="Arial"/>
                <w:w w:val="95"/>
                <w:sz w:val="18"/>
              </w:rPr>
              <w:t>76</w:t>
            </w:r>
            <w:r>
              <w:rPr>
                <w:rFonts w:ascii="Arial"/>
                <w:sz w:val="18"/>
              </w:rPr>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137,869,279.</w:t>
            </w:r>
          </w:p>
          <w:p>
            <w:pPr>
              <w:pStyle w:val="TableParagraph"/>
              <w:spacing w:line="240" w:lineRule="auto" w:before="105"/>
              <w:ind w:right="19"/>
              <w:jc w:val="right"/>
              <w:rPr>
                <w:rFonts w:ascii="Arial" w:hAnsi="Arial" w:cs="Arial" w:eastAsia="Arial" w:hint="default"/>
                <w:sz w:val="18"/>
                <w:szCs w:val="18"/>
              </w:rPr>
            </w:pPr>
            <w:r>
              <w:rPr>
                <w:rFonts w:ascii="Arial"/>
                <w:w w:val="95"/>
                <w:sz w:val="18"/>
              </w:rPr>
              <w:t>96</w:t>
            </w:r>
            <w:r>
              <w:rPr>
                <w:rFonts w:ascii="Arial"/>
                <w:sz w:val="18"/>
              </w:rPr>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1"/>
                <w:sz w:val="18"/>
              </w:rPr>
              <w:t>102,421,493.</w:t>
            </w:r>
          </w:p>
          <w:p>
            <w:pPr>
              <w:pStyle w:val="TableParagraph"/>
              <w:spacing w:line="240" w:lineRule="auto" w:before="105"/>
              <w:ind w:right="21"/>
              <w:jc w:val="right"/>
              <w:rPr>
                <w:rFonts w:ascii="Arial" w:hAnsi="Arial" w:cs="Arial" w:eastAsia="Arial" w:hint="default"/>
                <w:sz w:val="18"/>
                <w:szCs w:val="18"/>
              </w:rPr>
            </w:pPr>
            <w:r>
              <w:rPr>
                <w:rFonts w:ascii="Arial"/>
                <w:w w:val="95"/>
                <w:sz w:val="18"/>
              </w:rPr>
              <w:t>08</w:t>
            </w:r>
            <w:r>
              <w:rPr>
                <w:rFonts w:ascii="Arial"/>
                <w:sz w:val="18"/>
              </w:rPr>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1" w:right="0"/>
              <w:jc w:val="center"/>
              <w:rPr>
                <w:rFonts w:ascii="Arial" w:hAnsi="Arial" w:cs="Arial" w:eastAsia="Arial" w:hint="default"/>
                <w:sz w:val="18"/>
                <w:szCs w:val="18"/>
              </w:rPr>
            </w:pPr>
            <w:r>
              <w:rPr>
                <w:rFonts w:ascii="Arial"/>
                <w:sz w:val="18"/>
              </w:rPr>
              <w:t>-9,970,981.46</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7"/>
              <w:jc w:val="right"/>
              <w:rPr>
                <w:rFonts w:ascii="Arial" w:hAnsi="Arial" w:cs="Arial" w:eastAsia="Arial" w:hint="default"/>
                <w:sz w:val="18"/>
                <w:szCs w:val="18"/>
              </w:rPr>
            </w:pPr>
            <w:r>
              <w:rPr>
                <w:rFonts w:ascii="Arial"/>
                <w:spacing w:val="-1"/>
                <w:sz w:val="18"/>
              </w:rPr>
              <w:t>-8,535,953.26</w:t>
            </w:r>
          </w:p>
        </w:tc>
      </w:tr>
    </w:tbl>
    <w:p>
      <w:pPr>
        <w:pStyle w:val="Heading3"/>
        <w:spacing w:line="240" w:lineRule="auto" w:before="3"/>
        <w:ind w:right="996"/>
        <w:jc w:val="left"/>
      </w:pPr>
      <w:r>
        <w:rPr/>
        <w:t>报告期内取得和处置子公司的情况</w:t>
      </w:r>
    </w:p>
    <w:p>
      <w:pPr>
        <w:pStyle w:val="Heading3"/>
        <w:spacing w:line="271" w:lineRule="auto" w:before="38"/>
        <w:ind w:right="787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主要控股参股公司情况说明</w:t>
      </w:r>
    </w:p>
    <w:p>
      <w:pPr>
        <w:pStyle w:val="Heading3"/>
        <w:spacing w:line="259" w:lineRule="auto" w:before="14"/>
        <w:ind w:left="595" w:right="1127"/>
        <w:jc w:val="left"/>
      </w:pPr>
      <w:r>
        <w:rPr/>
        <w:t>（</w:t>
      </w:r>
      <w:r>
        <w:rPr>
          <w:rFonts w:ascii="Arial" w:hAnsi="Arial" w:cs="Arial" w:eastAsia="Arial" w:hint="default"/>
        </w:rPr>
        <w:t>1</w:t>
      </w:r>
      <w:r>
        <w:rPr/>
        <w:t>）华宇信息 </w:t>
      </w:r>
      <w:r>
        <w:rPr>
          <w:spacing w:val="-2"/>
        </w:rPr>
        <w:t>华宇信息成立于</w:t>
      </w:r>
      <w:r>
        <w:rPr>
          <w:rFonts w:ascii="Arial" w:hAnsi="Arial" w:cs="Arial" w:eastAsia="Arial" w:hint="default"/>
          <w:spacing w:val="-2"/>
        </w:rPr>
        <w:t>2009</w:t>
      </w:r>
      <w:r>
        <w:rPr>
          <w:spacing w:val="-2"/>
        </w:rPr>
        <w:t>年</w:t>
      </w:r>
      <w:r>
        <w:rPr>
          <w:rFonts w:ascii="Arial" w:hAnsi="Arial" w:cs="Arial" w:eastAsia="Arial" w:hint="default"/>
          <w:spacing w:val="-2"/>
        </w:rPr>
        <w:t>9</w:t>
      </w:r>
      <w:r>
        <w:rPr>
          <w:spacing w:val="-2"/>
        </w:rPr>
        <w:t>月</w:t>
      </w:r>
      <w:r>
        <w:rPr>
          <w:rFonts w:ascii="Arial" w:hAnsi="Arial" w:cs="Arial" w:eastAsia="Arial" w:hint="default"/>
          <w:spacing w:val="-2"/>
        </w:rPr>
        <w:t>9</w:t>
      </w:r>
      <w:r>
        <w:rPr>
          <w:spacing w:val="-2"/>
        </w:rPr>
        <w:t>日，注册资本</w:t>
      </w:r>
      <w:r>
        <w:rPr>
          <w:rFonts w:ascii="Arial" w:hAnsi="Arial" w:cs="Arial" w:eastAsia="Arial" w:hint="default"/>
          <w:spacing w:val="-2"/>
        </w:rPr>
        <w:t>3</w:t>
      </w:r>
      <w:r>
        <w:rPr>
          <w:spacing w:val="-2"/>
        </w:rPr>
        <w:t>亿元，住所为北京市海淀区中关村东路</w:t>
      </w:r>
      <w:r>
        <w:rPr>
          <w:rFonts w:ascii="Arial" w:hAnsi="Arial" w:cs="Arial" w:eastAsia="Arial" w:hint="default"/>
          <w:spacing w:val="-2"/>
        </w:rPr>
        <w:t>1</w:t>
      </w:r>
      <w:r>
        <w:rPr>
          <w:spacing w:val="-2"/>
        </w:rPr>
        <w:t>号院</w:t>
      </w:r>
    </w:p>
    <w:p>
      <w:pPr>
        <w:pStyle w:val="Heading3"/>
        <w:spacing w:line="261" w:lineRule="auto" w:before="5"/>
        <w:ind w:right="996"/>
        <w:jc w:val="left"/>
      </w:pPr>
      <w:r>
        <w:rPr>
          <w:rFonts w:ascii="Arial" w:hAnsi="Arial" w:cs="Arial" w:eastAsia="Arial" w:hint="default"/>
          <w:spacing w:val="-3"/>
        </w:rPr>
        <w:t>8</w:t>
      </w:r>
      <w:r>
        <w:rPr>
          <w:spacing w:val="-3"/>
        </w:rPr>
        <w:t>号楼</w:t>
      </w:r>
      <w:r>
        <w:rPr>
          <w:rFonts w:ascii="Arial" w:hAnsi="Arial" w:cs="Arial" w:eastAsia="Arial" w:hint="default"/>
          <w:spacing w:val="-3"/>
        </w:rPr>
        <w:t>21</w:t>
      </w:r>
      <w:r>
        <w:rPr>
          <w:spacing w:val="-3"/>
        </w:rPr>
        <w:t>层</w:t>
      </w:r>
      <w:r>
        <w:rPr>
          <w:rFonts w:ascii="Arial" w:hAnsi="Arial" w:cs="Arial" w:eastAsia="Arial" w:hint="default"/>
          <w:spacing w:val="-3"/>
        </w:rPr>
        <w:t>C2301</w:t>
      </w:r>
      <w:r>
        <w:rPr>
          <w:spacing w:val="-3"/>
        </w:rPr>
        <w:t>，</w:t>
      </w:r>
      <w:r>
        <w:rPr>
          <w:rFonts w:ascii="Arial" w:hAnsi="Arial" w:cs="Arial" w:eastAsia="Arial" w:hint="default"/>
          <w:spacing w:val="-3"/>
        </w:rPr>
        <w:t>C2302</w:t>
      </w:r>
      <w:r>
        <w:rPr>
          <w:spacing w:val="-3"/>
        </w:rPr>
        <w:t>，经营范围为计算机软硬件、电子产品技术开发、技术转让、技术</w:t>
      </w:r>
      <w:r>
        <w:rPr>
          <w:spacing w:val="-84"/>
        </w:rPr>
        <w:t> </w:t>
      </w:r>
      <w:r>
        <w:rPr>
          <w:spacing w:val="-84"/>
        </w:rPr>
      </w:r>
      <w:r>
        <w:rPr/>
        <w:t>咨询、技术服务。公司持有华宇信息</w:t>
      </w:r>
      <w:r>
        <w:rPr>
          <w:rFonts w:ascii="Arial" w:hAnsi="Arial" w:cs="Arial" w:eastAsia="Arial" w:hint="default"/>
        </w:rPr>
        <w:t>100%</w:t>
      </w:r>
      <w:r>
        <w:rPr/>
        <w:t>股权。</w:t>
      </w:r>
    </w:p>
    <w:p>
      <w:pPr>
        <w:spacing w:after="0" w:line="261" w:lineRule="auto"/>
        <w:jc w:val="left"/>
        <w:sectPr>
          <w:type w:val="continuous"/>
          <w:pgSz w:w="11910" w:h="16840"/>
          <w:pgMar w:top="1060" w:bottom="1160" w:left="1020" w:right="0"/>
        </w:sectPr>
      </w:pPr>
    </w:p>
    <w:p>
      <w:pPr>
        <w:spacing w:line="240" w:lineRule="auto" w:before="6"/>
        <w:rPr>
          <w:rFonts w:ascii="宋体" w:hAnsi="宋体" w:cs="宋体" w:eastAsia="宋体" w:hint="default"/>
          <w:sz w:val="21"/>
          <w:szCs w:val="21"/>
        </w:rPr>
      </w:pPr>
    </w:p>
    <w:p>
      <w:pPr>
        <w:pStyle w:val="Heading3"/>
        <w:spacing w:line="261" w:lineRule="auto" w:before="26"/>
        <w:ind w:right="1045" w:firstLine="482"/>
        <w:jc w:val="both"/>
      </w:pPr>
      <w:r>
        <w:rPr/>
        <w:t>报告期内，华宇信息各项业务开展顺利，整体运营良好。报告期末，总资产</w:t>
      </w:r>
      <w:r>
        <w:rPr>
          <w:rFonts w:ascii="Arial" w:hAnsi="Arial" w:cs="Arial" w:eastAsia="Arial" w:hint="default"/>
        </w:rPr>
        <w:t>20.62</w:t>
      </w:r>
      <w:r>
        <w:rPr/>
        <w:t>亿元， 净资产</w:t>
      </w:r>
      <w:r>
        <w:rPr>
          <w:rFonts w:ascii="Arial" w:hAnsi="Arial" w:cs="Arial" w:eastAsia="Arial" w:hint="default"/>
        </w:rPr>
        <w:t>9.74</w:t>
      </w:r>
      <w:r>
        <w:rPr/>
        <w:t>亿元；报告期内，实现净利润</w:t>
      </w:r>
      <w:r>
        <w:rPr>
          <w:rFonts w:ascii="Arial" w:hAnsi="Arial" w:cs="Arial" w:eastAsia="Arial" w:hint="default"/>
        </w:rPr>
        <w:t>1.99</w:t>
      </w:r>
      <w:r>
        <w:rPr/>
        <w:t>亿元。</w:t>
      </w:r>
    </w:p>
    <w:p>
      <w:pPr>
        <w:pStyle w:val="Heading3"/>
        <w:spacing w:line="261" w:lineRule="auto" w:before="2"/>
        <w:ind w:left="595" w:right="996"/>
        <w:jc w:val="left"/>
      </w:pPr>
      <w:r>
        <w:rPr/>
        <w:t>（</w:t>
      </w:r>
      <w:r>
        <w:rPr>
          <w:rFonts w:ascii="Arial" w:hAnsi="Arial" w:cs="Arial" w:eastAsia="Arial" w:hint="default"/>
        </w:rPr>
        <w:t>2</w:t>
      </w:r>
      <w:r>
        <w:rPr/>
        <w:t>）联奕科技 </w:t>
      </w:r>
      <w:r>
        <w:rPr>
          <w:spacing w:val="-2"/>
        </w:rPr>
        <w:t>联奕科技成立于</w:t>
      </w:r>
      <w:r>
        <w:rPr>
          <w:rFonts w:ascii="Arial" w:hAnsi="Arial" w:cs="Arial" w:eastAsia="Arial" w:hint="default"/>
          <w:spacing w:val="-2"/>
        </w:rPr>
        <w:t>2004</w:t>
      </w:r>
      <w:r>
        <w:rPr>
          <w:spacing w:val="-2"/>
        </w:rPr>
        <w:t>年</w:t>
      </w:r>
      <w:r>
        <w:rPr>
          <w:rFonts w:ascii="Arial" w:hAnsi="Arial" w:cs="Arial" w:eastAsia="Arial" w:hint="default"/>
          <w:spacing w:val="-2"/>
        </w:rPr>
        <w:t>7</w:t>
      </w:r>
      <w:r>
        <w:rPr>
          <w:spacing w:val="-2"/>
        </w:rPr>
        <w:t>月</w:t>
      </w:r>
      <w:r>
        <w:rPr>
          <w:rFonts w:ascii="Arial" w:hAnsi="Arial" w:cs="Arial" w:eastAsia="Arial" w:hint="default"/>
          <w:spacing w:val="-2"/>
        </w:rPr>
        <w:t>5</w:t>
      </w:r>
      <w:r>
        <w:rPr>
          <w:spacing w:val="-2"/>
        </w:rPr>
        <w:t>日，注册资本</w:t>
      </w:r>
      <w:r>
        <w:rPr>
          <w:rFonts w:ascii="Arial" w:hAnsi="Arial" w:cs="Arial" w:eastAsia="Arial" w:hint="default"/>
          <w:spacing w:val="-2"/>
        </w:rPr>
        <w:t>8,250</w:t>
      </w:r>
      <w:r>
        <w:rPr>
          <w:spacing w:val="-2"/>
        </w:rPr>
        <w:t>万元，住所为广州市天河区科韵路</w:t>
      </w:r>
      <w:r>
        <w:rPr>
          <w:rFonts w:ascii="Arial" w:hAnsi="Arial" w:cs="Arial" w:eastAsia="Arial" w:hint="default"/>
          <w:spacing w:val="-2"/>
        </w:rPr>
        <w:t>16</w:t>
      </w:r>
      <w:r>
        <w:rPr>
          <w:spacing w:val="-2"/>
        </w:rPr>
        <w:t>号，</w:t>
      </w:r>
    </w:p>
    <w:p>
      <w:pPr>
        <w:pStyle w:val="Heading3"/>
        <w:spacing w:line="273" w:lineRule="auto" w:before="2"/>
        <w:ind w:right="1132"/>
        <w:jc w:val="both"/>
      </w:pPr>
      <w:r>
        <w:rPr/>
        <w:t>经营范围为软件开发；信息系统集成服务；信息技术咨询服务；数据处理和存储服务；软件</w:t>
      </w:r>
      <w:r>
        <w:rPr>
          <w:spacing w:val="-89"/>
        </w:rPr>
        <w:t> </w:t>
      </w:r>
      <w:r>
        <w:rPr>
          <w:spacing w:val="-89"/>
        </w:rPr>
      </w:r>
      <w:r>
        <w:rPr/>
        <w:t>服务；教育咨询服务；软件测试服务；网络技术的研究、开发；计算机技术开发、技术服务</w:t>
      </w:r>
      <w:r>
        <w:rPr>
          <w:spacing w:val="-89"/>
        </w:rPr>
        <w:t> </w:t>
      </w:r>
      <w:r>
        <w:rPr>
          <w:spacing w:val="-89"/>
        </w:rPr>
      </w:r>
      <w:r>
        <w:rPr/>
        <w:t>等。公司持有联奕科技</w:t>
      </w:r>
      <w:r>
        <w:rPr>
          <w:rFonts w:ascii="Arial" w:hAnsi="Arial" w:cs="Arial" w:eastAsia="Arial" w:hint="default"/>
        </w:rPr>
        <w:t>100%</w:t>
      </w:r>
      <w:r>
        <w:rPr/>
        <w:t>股权。</w:t>
      </w:r>
    </w:p>
    <w:p>
      <w:pPr>
        <w:pStyle w:val="Heading3"/>
        <w:spacing w:line="266" w:lineRule="auto"/>
        <w:ind w:right="1130" w:firstLine="482"/>
        <w:jc w:val="both"/>
      </w:pPr>
      <w:r>
        <w:rPr/>
        <w:t>报告期内，联奕科技充分发挥成功案例和标杆客户的优势，借助品牌势能继续深入开发 全国市场。报告期末，总资产</w:t>
      </w:r>
      <w:r>
        <w:rPr>
          <w:rFonts w:ascii="Arial" w:hAnsi="Arial" w:cs="Arial" w:eastAsia="Arial" w:hint="default"/>
        </w:rPr>
        <w:t>7.05</w:t>
      </w:r>
      <w:r>
        <w:rPr/>
        <w:t>亿元，净资产</w:t>
      </w:r>
      <w:r>
        <w:rPr>
          <w:rFonts w:ascii="Arial" w:hAnsi="Arial" w:cs="Arial" w:eastAsia="Arial" w:hint="default"/>
        </w:rPr>
        <w:t>3.76</w:t>
      </w:r>
      <w:r>
        <w:rPr/>
        <w:t>亿元；报告期内，纳入合并报表的净利</w:t>
      </w:r>
      <w:r>
        <w:rPr>
          <w:spacing w:val="-71"/>
        </w:rPr>
        <w:t> </w:t>
      </w:r>
      <w:r>
        <w:rPr>
          <w:spacing w:val="-71"/>
        </w:rPr>
      </w:r>
      <w:r>
        <w:rPr/>
        <w:t>润</w:t>
      </w:r>
      <w:r>
        <w:rPr>
          <w:rFonts w:ascii="Arial" w:hAnsi="Arial" w:cs="Arial" w:eastAsia="Arial" w:hint="default"/>
        </w:rPr>
        <w:t>1.09</w:t>
      </w:r>
      <w:r>
        <w:rPr/>
        <w:t>万元。</w:t>
      </w:r>
    </w:p>
    <w:p>
      <w:pPr>
        <w:pStyle w:val="Heading3"/>
        <w:spacing w:line="261" w:lineRule="auto"/>
        <w:ind w:left="595" w:right="996"/>
        <w:jc w:val="left"/>
      </w:pPr>
      <w:r>
        <w:rPr/>
        <w:t>（</w:t>
      </w:r>
      <w:r>
        <w:rPr>
          <w:rFonts w:ascii="Arial" w:hAnsi="Arial" w:cs="Arial" w:eastAsia="Arial" w:hint="default"/>
        </w:rPr>
        <w:t>3</w:t>
      </w:r>
      <w:r>
        <w:rPr/>
        <w:t>）浦东华宇 浦东华宇成立于</w:t>
      </w:r>
      <w:r>
        <w:rPr>
          <w:rFonts w:ascii="Arial" w:hAnsi="Arial" w:cs="Arial" w:eastAsia="Arial" w:hint="default"/>
        </w:rPr>
        <w:t>2000</w:t>
      </w:r>
      <w:r>
        <w:rPr/>
        <w:t>年</w:t>
      </w:r>
      <w:r>
        <w:rPr>
          <w:rFonts w:ascii="Arial" w:hAnsi="Arial" w:cs="Arial" w:eastAsia="Arial" w:hint="default"/>
        </w:rPr>
        <w:t>4</w:t>
      </w:r>
      <w:r>
        <w:rPr/>
        <w:t>月</w:t>
      </w:r>
      <w:r>
        <w:rPr>
          <w:rFonts w:ascii="Arial" w:hAnsi="Arial" w:cs="Arial" w:eastAsia="Arial" w:hint="default"/>
        </w:rPr>
        <w:t>3</w:t>
      </w:r>
      <w:r>
        <w:rPr/>
        <w:t>日，注册资金人民币</w:t>
      </w:r>
      <w:r>
        <w:rPr>
          <w:rFonts w:ascii="Arial" w:hAnsi="Arial" w:cs="Arial" w:eastAsia="Arial" w:hint="default"/>
        </w:rPr>
        <w:t>3,000</w:t>
      </w:r>
      <w:r>
        <w:rPr/>
        <w:t>万元，经营范围为计算机软件、</w:t>
      </w:r>
    </w:p>
    <w:p>
      <w:pPr>
        <w:pStyle w:val="Heading3"/>
        <w:spacing w:line="273" w:lineRule="auto" w:before="2"/>
        <w:ind w:right="1132"/>
        <w:jc w:val="both"/>
      </w:pPr>
      <w:r>
        <w:rPr/>
        <w:t>硬件开发、系统集成及相关产品的销售，网路工程的安装、调试、维护、楼宇智能化系统的</w:t>
      </w:r>
      <w:r>
        <w:rPr>
          <w:spacing w:val="-89"/>
        </w:rPr>
        <w:t> </w:t>
      </w:r>
      <w:r>
        <w:rPr>
          <w:spacing w:val="-89"/>
        </w:rPr>
      </w:r>
      <w:r>
        <w:rPr/>
        <w:t>设计、施工、维修，网络安全技术咨询和技术服务，信息技术咨询和技术服务。公司持有浦</w:t>
      </w:r>
      <w:r>
        <w:rPr>
          <w:spacing w:val="-89"/>
        </w:rPr>
        <w:t> </w:t>
      </w:r>
      <w:r>
        <w:rPr>
          <w:spacing w:val="-89"/>
        </w:rPr>
      </w:r>
      <w:r>
        <w:rPr/>
        <w:t>东华宇</w:t>
      </w:r>
      <w:r>
        <w:rPr>
          <w:rFonts w:ascii="Arial" w:hAnsi="Arial" w:cs="Arial" w:eastAsia="Arial" w:hint="default"/>
        </w:rPr>
        <w:t>100%</w:t>
      </w:r>
      <w:r>
        <w:rPr/>
        <w:t>的股权。</w:t>
      </w:r>
    </w:p>
    <w:p>
      <w:pPr>
        <w:pStyle w:val="Heading3"/>
        <w:spacing w:line="268" w:lineRule="auto"/>
        <w:ind w:right="1128" w:firstLine="482"/>
        <w:jc w:val="both"/>
      </w:pPr>
      <w:r>
        <w:rPr/>
        <w:t>浦东华宇主要从事法院、非银行金融等业务领域的软件开发、运维服务与系统建设。报 </w:t>
      </w:r>
      <w:r>
        <w:rPr>
          <w:spacing w:val="6"/>
        </w:rPr>
        <w:t>告期末，浦东华宇总资产</w:t>
      </w:r>
      <w:r>
        <w:rPr>
          <w:rFonts w:ascii="Arial" w:hAnsi="Arial" w:cs="Arial" w:eastAsia="Arial" w:hint="default"/>
          <w:spacing w:val="6"/>
        </w:rPr>
        <w:t>1.89</w:t>
      </w:r>
      <w:r>
        <w:rPr>
          <w:spacing w:val="6"/>
        </w:rPr>
        <w:t>亿元，净资产</w:t>
      </w:r>
      <w:r>
        <w:rPr>
          <w:rFonts w:ascii="Arial" w:hAnsi="Arial" w:cs="Arial" w:eastAsia="Arial" w:hint="default"/>
          <w:spacing w:val="6"/>
        </w:rPr>
        <w:t>1.50</w:t>
      </w:r>
      <w:r>
        <w:rPr>
          <w:spacing w:val="6"/>
        </w:rPr>
        <w:t>亿元；报告期内，纳入合并报表的净利润</w:t>
      </w:r>
      <w:r>
        <w:rPr>
          <w:spacing w:val="-91"/>
        </w:rPr>
        <w:t> </w:t>
      </w:r>
      <w:r>
        <w:rPr>
          <w:spacing w:val="-91"/>
        </w:rPr>
      </w:r>
      <w:r>
        <w:rPr>
          <w:rFonts w:ascii="Arial" w:hAnsi="Arial" w:cs="Arial" w:eastAsia="Arial" w:hint="default"/>
        </w:rPr>
        <w:t>4,345.92</w:t>
      </w:r>
      <w:r>
        <w:rPr/>
        <w:t>万元。</w:t>
      </w:r>
    </w:p>
    <w:p>
      <w:pPr>
        <w:pStyle w:val="Heading3"/>
        <w:spacing w:line="261" w:lineRule="auto"/>
        <w:ind w:left="595" w:right="996"/>
        <w:jc w:val="left"/>
      </w:pPr>
      <w:r>
        <w:rPr/>
        <w:t>（</w:t>
      </w:r>
      <w:r>
        <w:rPr>
          <w:rFonts w:ascii="Arial" w:hAnsi="Arial" w:cs="Arial" w:eastAsia="Arial" w:hint="default"/>
        </w:rPr>
        <w:t>4</w:t>
      </w:r>
      <w:r>
        <w:rPr/>
        <w:t>）万户网络 </w:t>
      </w:r>
      <w:r>
        <w:rPr>
          <w:spacing w:val="-5"/>
        </w:rPr>
        <w:t>万户网络成立于</w:t>
      </w:r>
      <w:r>
        <w:rPr>
          <w:rFonts w:ascii="Arial" w:hAnsi="Arial" w:cs="Arial" w:eastAsia="Arial" w:hint="default"/>
          <w:spacing w:val="-5"/>
        </w:rPr>
        <w:t>2003</w:t>
      </w:r>
      <w:r>
        <w:rPr>
          <w:spacing w:val="-5"/>
        </w:rPr>
        <w:t>年</w:t>
      </w:r>
      <w:r>
        <w:rPr>
          <w:rFonts w:ascii="Arial" w:hAnsi="Arial" w:cs="Arial" w:eastAsia="Arial" w:hint="default"/>
          <w:spacing w:val="-5"/>
        </w:rPr>
        <w:t>8</w:t>
      </w:r>
      <w:r>
        <w:rPr>
          <w:spacing w:val="-5"/>
        </w:rPr>
        <w:t>月</w:t>
      </w:r>
      <w:r>
        <w:rPr>
          <w:rFonts w:ascii="Arial" w:hAnsi="Arial" w:cs="Arial" w:eastAsia="Arial" w:hint="default"/>
          <w:spacing w:val="-5"/>
        </w:rPr>
        <w:t>12</w:t>
      </w:r>
      <w:r>
        <w:rPr>
          <w:spacing w:val="-5"/>
        </w:rPr>
        <w:t>日，注册资金人民币</w:t>
      </w:r>
      <w:r>
        <w:rPr>
          <w:rFonts w:ascii="Arial" w:hAnsi="Arial" w:cs="Arial" w:eastAsia="Arial" w:hint="default"/>
          <w:spacing w:val="-5"/>
        </w:rPr>
        <w:t>2,470</w:t>
      </w:r>
      <w:r>
        <w:rPr>
          <w:spacing w:val="-5"/>
        </w:rPr>
        <w:t>万元，经营范围为技术推广服务；</w:t>
      </w:r>
    </w:p>
    <w:p>
      <w:pPr>
        <w:pStyle w:val="Heading3"/>
        <w:spacing w:line="240" w:lineRule="auto" w:before="2"/>
        <w:ind w:right="0"/>
        <w:jc w:val="both"/>
      </w:pPr>
      <w:r>
        <w:rPr/>
        <w:t>计算机系统服务；公共软件服务；销售机械设备、五金交电、电子产品。公司持有万户网络</w:t>
      </w:r>
    </w:p>
    <w:p>
      <w:pPr>
        <w:pStyle w:val="Heading3"/>
        <w:spacing w:line="240" w:lineRule="auto" w:before="46"/>
        <w:ind w:right="0"/>
        <w:jc w:val="both"/>
      </w:pPr>
      <w:r>
        <w:rPr>
          <w:rFonts w:ascii="Arial" w:hAnsi="Arial" w:cs="Arial" w:eastAsia="Arial" w:hint="default"/>
        </w:rPr>
        <w:t>100%</w:t>
      </w:r>
      <w:r>
        <w:rPr/>
        <w:t>的股权。</w:t>
      </w:r>
    </w:p>
    <w:p>
      <w:pPr>
        <w:pStyle w:val="Heading3"/>
        <w:spacing w:line="276" w:lineRule="auto" w:before="26"/>
        <w:ind w:right="1132" w:firstLine="482"/>
        <w:jc w:val="both"/>
      </w:pPr>
      <w:r>
        <w:rPr/>
        <w:t>万户网络主要从事协同办公软件的研发、销售及相关技术服务。报告期末，万户网络总 资产</w:t>
      </w:r>
      <w:r>
        <w:rPr>
          <w:rFonts w:ascii="Arial" w:hAnsi="Arial" w:cs="Arial" w:eastAsia="Arial" w:hint="default"/>
        </w:rPr>
        <w:t>1.65</w:t>
      </w:r>
      <w:r>
        <w:rPr/>
        <w:t>亿元，净资产</w:t>
      </w:r>
      <w:r>
        <w:rPr>
          <w:rFonts w:ascii="Arial" w:hAnsi="Arial" w:cs="Arial" w:eastAsia="Arial" w:hint="default"/>
        </w:rPr>
        <w:t>1.39</w:t>
      </w:r>
      <w:r>
        <w:rPr/>
        <w:t>亿元；报告期内，纳入合并报表的净利润</w:t>
      </w:r>
      <w:r>
        <w:rPr>
          <w:rFonts w:ascii="Arial" w:hAnsi="Arial" w:cs="Arial" w:eastAsia="Arial" w:hint="default"/>
        </w:rPr>
        <w:t>3,873.07</w:t>
      </w:r>
      <w:r>
        <w:rPr/>
        <w:t>万元。</w:t>
      </w:r>
    </w:p>
    <w:p>
      <w:pPr>
        <w:pStyle w:val="Heading3"/>
        <w:spacing w:line="259" w:lineRule="auto"/>
        <w:ind w:left="595" w:right="996"/>
        <w:jc w:val="left"/>
      </w:pPr>
      <w:r>
        <w:rPr/>
        <w:t>（</w:t>
      </w:r>
      <w:r>
        <w:rPr>
          <w:rFonts w:ascii="Arial" w:hAnsi="Arial" w:cs="Arial" w:eastAsia="Arial" w:hint="default"/>
        </w:rPr>
        <w:t>5</w:t>
      </w:r>
      <w:r>
        <w:rPr/>
        <w:t>）大连华宇 </w:t>
      </w:r>
      <w:r>
        <w:rPr>
          <w:spacing w:val="-1"/>
        </w:rPr>
        <w:t>大连华宇成立于</w:t>
      </w:r>
      <w:r>
        <w:rPr>
          <w:rFonts w:ascii="Arial" w:hAnsi="Arial" w:cs="Arial" w:eastAsia="Arial" w:hint="default"/>
          <w:spacing w:val="-1"/>
        </w:rPr>
        <w:t>2012</w:t>
      </w:r>
      <w:r>
        <w:rPr>
          <w:spacing w:val="-1"/>
        </w:rPr>
        <w:t>年</w:t>
      </w:r>
      <w:r>
        <w:rPr>
          <w:rFonts w:ascii="Arial" w:hAnsi="Arial" w:cs="Arial" w:eastAsia="Arial" w:hint="default"/>
          <w:spacing w:val="-1"/>
        </w:rPr>
        <w:t>9</w:t>
      </w:r>
      <w:r>
        <w:rPr>
          <w:spacing w:val="-1"/>
        </w:rPr>
        <w:t>月</w:t>
      </w:r>
      <w:r>
        <w:rPr>
          <w:rFonts w:ascii="Arial" w:hAnsi="Arial" w:cs="Arial" w:eastAsia="Arial" w:hint="default"/>
          <w:spacing w:val="-1"/>
        </w:rPr>
        <w:t>19</w:t>
      </w:r>
      <w:r>
        <w:rPr>
          <w:spacing w:val="-1"/>
        </w:rPr>
        <w:t>日，注册资金</w:t>
      </w:r>
      <w:r>
        <w:rPr>
          <w:rFonts w:ascii="Arial" w:hAnsi="Arial" w:cs="Arial" w:eastAsia="Arial" w:hint="default"/>
          <w:spacing w:val="-1"/>
        </w:rPr>
        <w:t>1.2</w:t>
      </w:r>
      <w:r>
        <w:rPr>
          <w:spacing w:val="-1"/>
        </w:rPr>
        <w:t>亿元，住所为大连市甘井子区辛寨子街道</w:t>
      </w:r>
    </w:p>
    <w:p>
      <w:pPr>
        <w:pStyle w:val="Heading3"/>
        <w:spacing w:line="273" w:lineRule="auto" w:before="7"/>
        <w:ind w:right="1009"/>
        <w:jc w:val="both"/>
      </w:pPr>
      <w:r>
        <w:rPr>
          <w:spacing w:val="-2"/>
        </w:rPr>
        <w:t>砬子山村，经营范围为计算机软硬件、电子产品技术开发、技术转让、技术咨询、技术服务，</w:t>
      </w:r>
      <w:r>
        <w:rPr>
          <w:spacing w:val="-118"/>
        </w:rPr>
        <w:t> </w:t>
      </w:r>
      <w:r>
        <w:rPr>
          <w:spacing w:val="-118"/>
        </w:rPr>
      </w:r>
      <w:r>
        <w:rPr>
          <w:spacing w:val="-2"/>
        </w:rPr>
        <w:t>企业管理咨询，数据处理及存储服务，计算机系统集成及综合布线，计算机设备、电子产品、</w:t>
      </w:r>
      <w:r>
        <w:rPr/>
        <w:t> 通讯设备销售及现场维修。公司持有大连华宇</w:t>
      </w:r>
      <w:r>
        <w:rPr>
          <w:rFonts w:ascii="Arial" w:hAnsi="Arial" w:cs="Arial" w:eastAsia="Arial" w:hint="default"/>
        </w:rPr>
        <w:t>100%</w:t>
      </w:r>
      <w:r>
        <w:rPr/>
        <w:t>的股权。</w:t>
      </w:r>
    </w:p>
    <w:p>
      <w:pPr>
        <w:pStyle w:val="Heading3"/>
        <w:spacing w:line="273" w:lineRule="auto"/>
        <w:ind w:right="1132" w:firstLine="482"/>
        <w:jc w:val="both"/>
      </w:pPr>
      <w:r>
        <w:rPr/>
        <w:t>大连华宇主要从事自有软件产品研发和软件项目开发等业务。报告期末，大连华宇总资 产</w:t>
      </w:r>
      <w:r>
        <w:rPr>
          <w:rFonts w:ascii="Arial" w:hAnsi="Arial" w:cs="Arial" w:eastAsia="Arial" w:hint="default"/>
        </w:rPr>
        <w:t>2.21</w:t>
      </w:r>
      <w:r>
        <w:rPr/>
        <w:t>亿元，净资产</w:t>
      </w:r>
      <w:r>
        <w:rPr>
          <w:rFonts w:ascii="Arial" w:hAnsi="Arial" w:cs="Arial" w:eastAsia="Arial" w:hint="default"/>
        </w:rPr>
        <w:t>1.63</w:t>
      </w:r>
      <w:r>
        <w:rPr/>
        <w:t>亿元；报告期内，实现净利润</w:t>
      </w:r>
      <w:r>
        <w:rPr>
          <w:rFonts w:ascii="Arial" w:hAnsi="Arial" w:cs="Arial" w:eastAsia="Arial" w:hint="default"/>
        </w:rPr>
        <w:t>2,543.08</w:t>
      </w:r>
      <w:r>
        <w:rPr/>
        <w:t>万元。</w:t>
      </w:r>
    </w:p>
    <w:p>
      <w:pPr>
        <w:pStyle w:val="Heading3"/>
        <w:spacing w:line="259" w:lineRule="auto"/>
        <w:ind w:left="595" w:right="996"/>
        <w:jc w:val="left"/>
      </w:pPr>
      <w:r>
        <w:rPr/>
        <w:t>（</w:t>
      </w:r>
      <w:r>
        <w:rPr>
          <w:rFonts w:ascii="Arial" w:hAnsi="Arial" w:cs="Arial" w:eastAsia="Arial" w:hint="default"/>
        </w:rPr>
        <w:t>6</w:t>
      </w:r>
      <w:r>
        <w:rPr/>
        <w:t>）亿信华辰 亿信华辰成立于</w:t>
      </w:r>
      <w:r>
        <w:rPr>
          <w:rFonts w:ascii="Arial" w:hAnsi="Arial" w:cs="Arial" w:eastAsia="Arial" w:hint="default"/>
        </w:rPr>
        <w:t>2006</w:t>
      </w:r>
      <w:r>
        <w:rPr/>
        <w:t>年</w:t>
      </w:r>
      <w:r>
        <w:rPr>
          <w:rFonts w:ascii="Arial" w:hAnsi="Arial" w:cs="Arial" w:eastAsia="Arial" w:hint="default"/>
        </w:rPr>
        <w:t>10</w:t>
      </w:r>
      <w:r>
        <w:rPr/>
        <w:t>月</w:t>
      </w:r>
      <w:r>
        <w:rPr>
          <w:rFonts w:ascii="Arial" w:hAnsi="Arial" w:cs="Arial" w:eastAsia="Arial" w:hint="default"/>
        </w:rPr>
        <w:t>31</w:t>
      </w:r>
      <w:r>
        <w:rPr/>
        <w:t>日，注册资本</w:t>
      </w:r>
      <w:r>
        <w:rPr>
          <w:rFonts w:ascii="Arial" w:hAnsi="Arial" w:cs="Arial" w:eastAsia="Arial" w:hint="default"/>
        </w:rPr>
        <w:t>1,250</w:t>
      </w:r>
      <w:r>
        <w:rPr/>
        <w:t>万元，住所为北京市海淀区西小口路</w:t>
      </w:r>
    </w:p>
    <w:p>
      <w:pPr>
        <w:pStyle w:val="Heading3"/>
        <w:spacing w:line="259" w:lineRule="auto" w:before="7"/>
        <w:ind w:right="1033"/>
        <w:jc w:val="both"/>
      </w:pPr>
      <w:r>
        <w:rPr>
          <w:rFonts w:ascii="Arial" w:hAnsi="Arial" w:cs="Arial" w:eastAsia="Arial" w:hint="default"/>
        </w:rPr>
        <w:t>66</w:t>
      </w:r>
      <w:r>
        <w:rPr/>
        <w:t>号中关村东升科技园</w:t>
      </w:r>
      <w:r>
        <w:rPr>
          <w:rFonts w:ascii="Arial" w:hAnsi="Arial" w:cs="Arial" w:eastAsia="Arial" w:hint="default"/>
        </w:rPr>
        <w:t>B-2</w:t>
      </w:r>
      <w:r>
        <w:rPr/>
        <w:t>号楼</w:t>
      </w:r>
      <w:r>
        <w:rPr>
          <w:rFonts w:ascii="Arial" w:hAnsi="Arial" w:cs="Arial" w:eastAsia="Arial" w:hint="default"/>
        </w:rPr>
        <w:t>5</w:t>
      </w:r>
      <w:r>
        <w:rPr/>
        <w:t>层</w:t>
      </w:r>
      <w:r>
        <w:rPr>
          <w:rFonts w:ascii="Arial" w:hAnsi="Arial" w:cs="Arial" w:eastAsia="Arial" w:hint="default"/>
        </w:rPr>
        <w:t>A502</w:t>
      </w:r>
      <w:r>
        <w:rPr/>
        <w:t>室，经营范围为计算机软硬件、电子产品技术开发、 技术转让、技术咨询、技术服务。公司持有亿信华辰</w:t>
      </w:r>
      <w:r>
        <w:rPr>
          <w:rFonts w:ascii="Arial" w:hAnsi="Arial" w:cs="Arial" w:eastAsia="Arial" w:hint="default"/>
        </w:rPr>
        <w:t>80%</w:t>
      </w:r>
      <w:r>
        <w:rPr/>
        <w:t>股权。</w:t>
      </w:r>
    </w:p>
    <w:p>
      <w:pPr>
        <w:pStyle w:val="Heading3"/>
        <w:spacing w:line="268" w:lineRule="auto" w:before="5"/>
        <w:ind w:right="996" w:firstLine="482"/>
        <w:jc w:val="left"/>
      </w:pPr>
      <w:r>
        <w:rPr/>
        <w:t>亿信华辰专注于数据分析技术与平台的研发与服务，以</w:t>
      </w:r>
      <w:r>
        <w:rPr>
          <w:rFonts w:ascii="Arial" w:hAnsi="Arial" w:cs="Arial" w:eastAsia="Arial" w:hint="default"/>
        </w:rPr>
        <w:t>BI@Report</w:t>
      </w:r>
      <w:r>
        <w:rPr/>
        <w:t>、</w:t>
      </w:r>
      <w:r>
        <w:rPr>
          <w:rFonts w:ascii="Arial" w:hAnsi="Arial" w:cs="Arial" w:eastAsia="Arial" w:hint="default"/>
        </w:rPr>
        <w:t>i@Report</w:t>
      </w:r>
      <w:r>
        <w:rPr>
          <w:rFonts w:ascii="Arial" w:hAnsi="Arial" w:cs="Arial" w:eastAsia="Arial" w:hint="default"/>
          <w:spacing w:val="23"/>
        </w:rPr>
        <w:t> </w:t>
      </w:r>
      <w:r>
        <w:rPr>
          <w:spacing w:val="2"/>
        </w:rPr>
        <w:t>等产品</w:t>
      </w:r>
      <w:r>
        <w:rPr/>
        <w:t> </w:t>
      </w:r>
      <w:r>
        <w:rPr>
          <w:spacing w:val="-2"/>
        </w:rPr>
        <w:t>为核心构成了一整套完整的数据分析应用综合解决方案，是国内领先的数据仓库、商业智能、</w:t>
      </w:r>
      <w:r>
        <w:rPr/>
        <w:t> 报表统计软件产品和咨询服务提供商。报告期末，亿信华辰总资产</w:t>
      </w:r>
      <w:r>
        <w:rPr>
          <w:rFonts w:ascii="Arial" w:hAnsi="Arial" w:cs="Arial" w:eastAsia="Arial" w:hint="default"/>
        </w:rPr>
        <w:t>1.64</w:t>
      </w:r>
      <w:r>
        <w:rPr/>
        <w:t>亿元，净资产</w:t>
      </w:r>
      <w:r>
        <w:rPr>
          <w:rFonts w:ascii="Arial" w:hAnsi="Arial" w:cs="Arial" w:eastAsia="Arial" w:hint="default"/>
        </w:rPr>
        <w:t>1.21</w:t>
      </w:r>
      <w:r>
        <w:rPr/>
        <w:t>亿</w:t>
      </w:r>
    </w:p>
    <w:p>
      <w:pPr>
        <w:spacing w:after="0" w:line="268" w:lineRule="auto"/>
        <w:jc w:val="left"/>
        <w:sectPr>
          <w:pgSz w:w="11910" w:h="16840"/>
          <w:pgMar w:header="878" w:footer="978" w:top="1100" w:bottom="1160" w:left="1020" w:right="0"/>
        </w:sectPr>
      </w:pPr>
    </w:p>
    <w:p>
      <w:pPr>
        <w:spacing w:line="240" w:lineRule="auto" w:before="6"/>
        <w:rPr>
          <w:rFonts w:ascii="宋体" w:hAnsi="宋体" w:cs="宋体" w:eastAsia="宋体" w:hint="default"/>
          <w:sz w:val="21"/>
          <w:szCs w:val="21"/>
        </w:rPr>
      </w:pPr>
    </w:p>
    <w:p>
      <w:pPr>
        <w:pStyle w:val="Heading3"/>
        <w:spacing w:line="240" w:lineRule="auto" w:before="26"/>
        <w:ind w:right="996"/>
        <w:jc w:val="left"/>
      </w:pPr>
      <w:r>
        <w:rPr/>
        <w:t>元；报告期内，实现净利润</w:t>
      </w:r>
      <w:r>
        <w:rPr>
          <w:rFonts w:ascii="Arial" w:hAnsi="Arial" w:cs="Arial" w:eastAsia="Arial" w:hint="default"/>
        </w:rPr>
        <w:t>1,901.36</w:t>
      </w:r>
      <w:r>
        <w:rPr/>
        <w:t>万元。</w:t>
      </w:r>
    </w:p>
    <w:p>
      <w:pPr>
        <w:pStyle w:val="Heading3"/>
        <w:spacing w:line="240" w:lineRule="auto" w:before="29"/>
        <w:ind w:left="595" w:right="996"/>
        <w:jc w:val="left"/>
      </w:pPr>
      <w:r>
        <w:rPr/>
        <w:t>（</w:t>
      </w:r>
      <w:r>
        <w:rPr>
          <w:rFonts w:ascii="Arial" w:hAnsi="Arial" w:cs="Arial" w:eastAsia="Arial" w:hint="default"/>
        </w:rPr>
        <w:t>7</w:t>
      </w:r>
      <w:r>
        <w:rPr/>
        <w:t>）广州华宇</w:t>
      </w:r>
    </w:p>
    <w:p>
      <w:pPr>
        <w:pStyle w:val="Heading3"/>
        <w:spacing w:line="264" w:lineRule="auto" w:before="26"/>
        <w:ind w:right="1125" w:firstLine="482"/>
        <w:jc w:val="both"/>
      </w:pPr>
      <w:r>
        <w:rPr/>
        <w:t>广州华宇成立于</w:t>
      </w:r>
      <w:r>
        <w:rPr>
          <w:spacing w:val="40"/>
        </w:rPr>
        <w:t> </w:t>
      </w:r>
      <w:r>
        <w:rPr>
          <w:rFonts w:ascii="Arial" w:hAnsi="Arial" w:cs="Arial" w:eastAsia="Arial" w:hint="default"/>
        </w:rPr>
        <w:t>2007</w:t>
      </w:r>
      <w:r>
        <w:rPr/>
        <w:t>年</w:t>
      </w:r>
      <w:r>
        <w:rPr>
          <w:rFonts w:ascii="Arial" w:hAnsi="Arial" w:cs="Arial" w:eastAsia="Arial" w:hint="default"/>
        </w:rPr>
        <w:t>9</w:t>
      </w:r>
      <w:r>
        <w:rPr/>
        <w:t>月</w:t>
      </w:r>
      <w:r>
        <w:rPr>
          <w:rFonts w:ascii="Arial" w:hAnsi="Arial" w:cs="Arial" w:eastAsia="Arial" w:hint="default"/>
        </w:rPr>
        <w:t>11</w:t>
      </w:r>
      <w:r>
        <w:rPr/>
        <w:t>日，注册资本</w:t>
      </w:r>
      <w:r>
        <w:rPr>
          <w:rFonts w:ascii="Arial" w:hAnsi="Arial" w:cs="Arial" w:eastAsia="Arial" w:hint="default"/>
        </w:rPr>
        <w:t>2,000</w:t>
      </w:r>
      <w:r>
        <w:rPr/>
        <w:t>万元，住所为广州市海珠区阅江中路 </w:t>
      </w:r>
      <w:r>
        <w:rPr>
          <w:rFonts w:ascii="Arial" w:hAnsi="Arial" w:cs="Arial" w:eastAsia="Arial" w:hint="default"/>
        </w:rPr>
        <w:t>688</w:t>
      </w:r>
      <w:r>
        <w:rPr>
          <w:rFonts w:ascii="Arial" w:hAnsi="Arial" w:cs="Arial" w:eastAsia="Arial" w:hint="default"/>
          <w:spacing w:val="25"/>
        </w:rPr>
        <w:t> </w:t>
      </w:r>
      <w:r>
        <w:rPr/>
        <w:t>号保利国际广场北塔</w:t>
      </w:r>
      <w:r>
        <w:rPr>
          <w:rFonts w:ascii="Arial" w:hAnsi="Arial" w:cs="Arial" w:eastAsia="Arial" w:hint="default"/>
        </w:rPr>
        <w:t>15</w:t>
      </w:r>
      <w:r>
        <w:rPr/>
        <w:t>层，经营范围为计算机硬件及外围设备、网络技术、应用电子技 术的研究开发、技术咨询、技术服务、技术转让及销售；计算机网络工程及综合布线工程服</w:t>
      </w:r>
      <w:r>
        <w:rPr>
          <w:spacing w:val="-89"/>
        </w:rPr>
        <w:t> </w:t>
      </w:r>
      <w:r>
        <w:rPr>
          <w:spacing w:val="-89"/>
        </w:rPr>
      </w:r>
      <w:r>
        <w:rPr/>
        <w:t>务；企业咨询管理。公司持有广州华宇</w:t>
      </w:r>
      <w:r>
        <w:rPr>
          <w:rFonts w:ascii="Arial" w:hAnsi="Arial" w:cs="Arial" w:eastAsia="Arial" w:hint="default"/>
        </w:rPr>
        <w:t>100%</w:t>
      </w:r>
      <w:r>
        <w:rPr/>
        <w:t>股权。</w:t>
      </w:r>
    </w:p>
    <w:p>
      <w:pPr>
        <w:pStyle w:val="Heading3"/>
        <w:spacing w:line="276" w:lineRule="auto"/>
        <w:ind w:right="1132" w:firstLine="482"/>
        <w:jc w:val="both"/>
      </w:pPr>
      <w:r>
        <w:rPr/>
        <w:t>广州华宇的主营业务是面向华南区域的法律服务软件产品和服务。报告期末，广州华宇 总资产</w:t>
      </w:r>
      <w:r>
        <w:rPr>
          <w:rFonts w:ascii="Arial" w:hAnsi="Arial" w:cs="Arial" w:eastAsia="Arial" w:hint="default"/>
        </w:rPr>
        <w:t>1.87</w:t>
      </w:r>
      <w:r>
        <w:rPr/>
        <w:t>亿元，净资产</w:t>
      </w:r>
      <w:r>
        <w:rPr>
          <w:rFonts w:ascii="Arial" w:hAnsi="Arial" w:cs="Arial" w:eastAsia="Arial" w:hint="default"/>
        </w:rPr>
        <w:t>1.56</w:t>
      </w:r>
      <w:r>
        <w:rPr/>
        <w:t>亿元；报告期内，实现净利润</w:t>
      </w:r>
      <w:r>
        <w:rPr>
          <w:rFonts w:ascii="Arial" w:hAnsi="Arial" w:cs="Arial" w:eastAsia="Arial" w:hint="default"/>
        </w:rPr>
        <w:t>11.04</w:t>
      </w:r>
      <w:r>
        <w:rPr/>
        <w:t>万元。</w:t>
      </w:r>
    </w:p>
    <w:p>
      <w:pPr>
        <w:pStyle w:val="Heading3"/>
        <w:spacing w:line="261" w:lineRule="auto"/>
        <w:ind w:left="595" w:right="996"/>
        <w:jc w:val="left"/>
      </w:pPr>
      <w:r>
        <w:rPr/>
        <w:t>（</w:t>
      </w:r>
      <w:r>
        <w:rPr>
          <w:rFonts w:ascii="Arial" w:hAnsi="Arial" w:cs="Arial" w:eastAsia="Arial" w:hint="default"/>
        </w:rPr>
        <w:t>8</w:t>
      </w:r>
      <w:r>
        <w:rPr/>
        <w:t>）华宇元典 </w:t>
      </w:r>
      <w:r>
        <w:rPr>
          <w:spacing w:val="-5"/>
        </w:rPr>
        <w:t>华宇元典成立于</w:t>
      </w:r>
      <w:r>
        <w:rPr>
          <w:rFonts w:ascii="Arial" w:hAnsi="Arial" w:cs="Arial" w:eastAsia="Arial" w:hint="default"/>
          <w:spacing w:val="-5"/>
        </w:rPr>
        <w:t>2016</w:t>
      </w:r>
      <w:r>
        <w:rPr>
          <w:spacing w:val="-5"/>
        </w:rPr>
        <w:t>年</w:t>
      </w:r>
      <w:r>
        <w:rPr>
          <w:rFonts w:ascii="Arial" w:hAnsi="Arial" w:cs="Arial" w:eastAsia="Arial" w:hint="default"/>
          <w:spacing w:val="-5"/>
        </w:rPr>
        <w:t>7</w:t>
      </w:r>
      <w:r>
        <w:rPr>
          <w:spacing w:val="-5"/>
        </w:rPr>
        <w:t>月</w:t>
      </w:r>
      <w:r>
        <w:rPr>
          <w:rFonts w:ascii="Arial" w:hAnsi="Arial" w:cs="Arial" w:eastAsia="Arial" w:hint="default"/>
          <w:spacing w:val="-5"/>
        </w:rPr>
        <w:t>25</w:t>
      </w:r>
      <w:r>
        <w:rPr>
          <w:spacing w:val="-5"/>
        </w:rPr>
        <w:t>日，注册资本人民币</w:t>
      </w:r>
      <w:r>
        <w:rPr>
          <w:rFonts w:ascii="Arial" w:hAnsi="Arial" w:cs="Arial" w:eastAsia="Arial" w:hint="default"/>
          <w:spacing w:val="-5"/>
        </w:rPr>
        <w:t>4,800</w:t>
      </w:r>
      <w:r>
        <w:rPr>
          <w:spacing w:val="-5"/>
        </w:rPr>
        <w:t>万元，经营范围为经济贸易咨询；</w:t>
      </w:r>
    </w:p>
    <w:p>
      <w:pPr>
        <w:pStyle w:val="Heading3"/>
        <w:spacing w:line="273" w:lineRule="auto" w:before="2"/>
        <w:ind w:right="996"/>
        <w:jc w:val="left"/>
      </w:pPr>
      <w:r>
        <w:rPr/>
        <w:t>技术开发、技术推广、技术转让、技术咨询、技术服务；计算机系统服务；基础软件服务；</w:t>
      </w:r>
      <w:r>
        <w:rPr>
          <w:spacing w:val="-89"/>
        </w:rPr>
        <w:t> </w:t>
      </w:r>
      <w:r>
        <w:rPr>
          <w:spacing w:val="-89"/>
        </w:rPr>
      </w:r>
      <w:r>
        <w:rPr>
          <w:spacing w:val="-2"/>
        </w:rPr>
        <w:t>应用软件服务；软件开发；数据处理；销售电子产品、通讯设备、计算机、软件及辅助设备；</w:t>
      </w:r>
      <w:r>
        <w:rPr/>
        <w:t> 互联网信息服务等。公司持有华宇元典</w:t>
      </w:r>
      <w:r>
        <w:rPr>
          <w:rFonts w:ascii="Arial" w:hAnsi="Arial" w:cs="Arial" w:eastAsia="Arial" w:hint="default"/>
        </w:rPr>
        <w:t>37.50%</w:t>
      </w:r>
      <w:r>
        <w:rPr/>
        <w:t>的股权。</w:t>
      </w:r>
    </w:p>
    <w:p>
      <w:pPr>
        <w:pStyle w:val="Heading3"/>
        <w:spacing w:line="264" w:lineRule="auto"/>
        <w:ind w:right="1128" w:firstLine="482"/>
        <w:jc w:val="both"/>
      </w:pPr>
      <w:r>
        <w:rPr/>
        <w:t>华宇元典专注于法律大数据深度研发，团队由具备丰富实务经验的前法官、检察官、律 师、</w:t>
      </w:r>
      <w:r>
        <w:rPr>
          <w:rFonts w:ascii="Arial" w:hAnsi="Arial" w:cs="Arial" w:eastAsia="Arial" w:hint="default"/>
        </w:rPr>
        <w:t>NLP</w:t>
      </w:r>
      <w:r>
        <w:rPr/>
        <w:t>算法工程师与程序员等组成，致力于提供法律实务智能产品，产品服务对象涵盖法</w:t>
      </w:r>
      <w:r>
        <w:rPr>
          <w:spacing w:val="-80"/>
        </w:rPr>
        <w:t> </w:t>
      </w:r>
      <w:r>
        <w:rPr>
          <w:spacing w:val="-80"/>
        </w:rPr>
      </w:r>
      <w:r>
        <w:rPr/>
        <w:t>院、检察院、律师、法务等全法律生态圈。报告期末，华宇元典总资产</w:t>
      </w:r>
      <w:r>
        <w:rPr>
          <w:rFonts w:ascii="Arial" w:hAnsi="Arial" w:cs="Arial" w:eastAsia="Arial" w:hint="default"/>
        </w:rPr>
        <w:t>4,758.29</w:t>
      </w:r>
      <w:r>
        <w:rPr/>
        <w:t>万元，净资</w:t>
      </w:r>
      <w:r>
        <w:rPr>
          <w:spacing w:val="-68"/>
        </w:rPr>
        <w:t> </w:t>
      </w:r>
      <w:r>
        <w:rPr>
          <w:spacing w:val="-68"/>
        </w:rPr>
      </w:r>
      <w:r>
        <w:rPr/>
        <w:t>产</w:t>
      </w:r>
      <w:r>
        <w:rPr>
          <w:rFonts w:ascii="Arial" w:hAnsi="Arial" w:cs="Arial" w:eastAsia="Arial" w:hint="default"/>
        </w:rPr>
        <w:t>3,263.57</w:t>
      </w:r>
      <w:r>
        <w:rPr/>
        <w:t>万元；报告期内，实现净利润</w:t>
      </w:r>
      <w:r>
        <w:rPr>
          <w:rFonts w:ascii="Arial" w:hAnsi="Arial" w:cs="Arial" w:eastAsia="Arial" w:hint="default"/>
        </w:rPr>
        <w:t>-333.73</w:t>
      </w:r>
      <w:r>
        <w:rPr/>
        <w:t>万元。</w:t>
      </w:r>
    </w:p>
    <w:p>
      <w:pPr>
        <w:pStyle w:val="Heading3"/>
        <w:spacing w:line="259" w:lineRule="auto" w:before="2"/>
        <w:ind w:left="595" w:right="1119"/>
        <w:jc w:val="left"/>
        <w:rPr>
          <w:rFonts w:ascii="Arial" w:hAnsi="Arial" w:cs="Arial" w:eastAsia="Arial" w:hint="default"/>
        </w:rPr>
      </w:pPr>
      <w:r>
        <w:rPr/>
        <w:t>（</w:t>
      </w:r>
      <w:r>
        <w:rPr>
          <w:rFonts w:ascii="Arial" w:hAnsi="Arial" w:cs="Arial" w:eastAsia="Arial" w:hint="default"/>
        </w:rPr>
        <w:t>9</w:t>
      </w:r>
      <w:r>
        <w:rPr/>
        <w:t>）华宇金信 </w:t>
      </w:r>
      <w:r>
        <w:rPr>
          <w:spacing w:val="-2"/>
        </w:rPr>
        <w:t>华宇金信成立于</w:t>
      </w:r>
      <w:r>
        <w:rPr>
          <w:rFonts w:ascii="Arial" w:hAnsi="Arial" w:cs="Arial" w:eastAsia="Arial" w:hint="default"/>
          <w:spacing w:val="-2"/>
        </w:rPr>
        <w:t>2007</w:t>
      </w:r>
      <w:r>
        <w:rPr>
          <w:spacing w:val="-2"/>
        </w:rPr>
        <w:t>年</w:t>
      </w:r>
      <w:r>
        <w:rPr>
          <w:rFonts w:ascii="Arial" w:hAnsi="Arial" w:cs="Arial" w:eastAsia="Arial" w:hint="default"/>
          <w:spacing w:val="-2"/>
        </w:rPr>
        <w:t>1</w:t>
      </w:r>
      <w:r>
        <w:rPr>
          <w:spacing w:val="-2"/>
        </w:rPr>
        <w:t>月</w:t>
      </w:r>
      <w:r>
        <w:rPr>
          <w:rFonts w:ascii="Arial" w:hAnsi="Arial" w:cs="Arial" w:eastAsia="Arial" w:hint="default"/>
          <w:spacing w:val="-2"/>
        </w:rPr>
        <w:t>26</w:t>
      </w:r>
      <w:r>
        <w:rPr>
          <w:spacing w:val="-2"/>
        </w:rPr>
        <w:t>日，注册资本</w:t>
      </w:r>
      <w:r>
        <w:rPr>
          <w:rFonts w:ascii="Arial" w:hAnsi="Arial" w:cs="Arial" w:eastAsia="Arial" w:hint="default"/>
          <w:spacing w:val="-2"/>
        </w:rPr>
        <w:t>5,000</w:t>
      </w:r>
      <w:r>
        <w:rPr>
          <w:spacing w:val="-2"/>
        </w:rPr>
        <w:t>万元，住所为北京市海淀区万泉河路</w:t>
      </w:r>
      <w:r>
        <w:rPr>
          <w:rFonts w:ascii="Arial" w:hAnsi="Arial" w:cs="Arial" w:eastAsia="Arial" w:hint="default"/>
          <w:spacing w:val="-2"/>
        </w:rPr>
        <w:t>68</w:t>
      </w:r>
    </w:p>
    <w:p>
      <w:pPr>
        <w:pStyle w:val="Heading3"/>
        <w:spacing w:line="264" w:lineRule="auto" w:before="7"/>
        <w:ind w:right="1129"/>
        <w:jc w:val="both"/>
      </w:pPr>
      <w:r>
        <w:rPr/>
        <w:t>号</w:t>
      </w:r>
      <w:r>
        <w:rPr>
          <w:rFonts w:ascii="Arial" w:hAnsi="Arial" w:cs="Arial" w:eastAsia="Arial" w:hint="default"/>
        </w:rPr>
        <w:t>8</w:t>
      </w:r>
      <w:r>
        <w:rPr/>
        <w:t>号楼</w:t>
      </w:r>
      <w:r>
        <w:rPr>
          <w:rFonts w:ascii="Arial" w:hAnsi="Arial" w:cs="Arial" w:eastAsia="Arial" w:hint="default"/>
        </w:rPr>
        <w:t>18</w:t>
      </w:r>
      <w:r>
        <w:rPr/>
        <w:t>层</w:t>
      </w:r>
      <w:r>
        <w:rPr>
          <w:rFonts w:ascii="Arial" w:hAnsi="Arial" w:cs="Arial" w:eastAsia="Arial" w:hint="default"/>
        </w:rPr>
        <w:t>1801</w:t>
      </w:r>
      <w:r>
        <w:rPr/>
        <w:t>单元，经营范围为计算机系统服务；计算机维修、数据处理；基础软件服</w:t>
      </w:r>
      <w:r>
        <w:rPr>
          <w:spacing w:val="-68"/>
        </w:rPr>
        <w:t> </w:t>
      </w:r>
      <w:r>
        <w:rPr>
          <w:spacing w:val="-68"/>
        </w:rPr>
      </w:r>
      <w:r>
        <w:rPr/>
        <w:t>务、应用软件服务；技术开发、技术咨询、技术服务、技术推广；销售计算机、软件及辅助</w:t>
      </w:r>
      <w:r>
        <w:rPr>
          <w:spacing w:val="-89"/>
        </w:rPr>
        <w:t> </w:t>
      </w:r>
      <w:r>
        <w:rPr>
          <w:spacing w:val="-89"/>
        </w:rPr>
      </w:r>
      <w:r>
        <w:rPr>
          <w:spacing w:val="-3"/>
        </w:rPr>
        <w:t>设备、文化用品、机械设备、通讯设备、五金、交电、建筑材料。公司持有华宇金信</w:t>
      </w:r>
      <w:r>
        <w:rPr>
          <w:rFonts w:ascii="Arial" w:hAnsi="Arial" w:cs="Arial" w:eastAsia="Arial" w:hint="default"/>
          <w:spacing w:val="-3"/>
        </w:rPr>
        <w:t>100%</w:t>
      </w:r>
      <w:r>
        <w:rPr>
          <w:spacing w:val="-3"/>
        </w:rPr>
        <w:t>的</w:t>
      </w:r>
      <w:r>
        <w:rPr>
          <w:spacing w:val="-90"/>
        </w:rPr>
        <w:t> </w:t>
      </w:r>
      <w:r>
        <w:rPr/>
        <w:t>股权。</w:t>
      </w:r>
    </w:p>
    <w:p>
      <w:pPr>
        <w:pStyle w:val="Heading3"/>
        <w:spacing w:line="266" w:lineRule="auto" w:before="22"/>
        <w:ind w:right="1130" w:firstLine="482"/>
        <w:jc w:val="both"/>
      </w:pPr>
      <w:r>
        <w:rPr/>
        <w:t>华宇金信专注于为市场监管行业提供咨询规划、应用开发、系统建设、数据服务和运行 维护的全方位服务，致力于成为市场监管行业的领军企业。报告期末，华宇金信总资产</w:t>
      </w:r>
      <w:r>
        <w:rPr>
          <w:rFonts w:ascii="Arial" w:hAnsi="Arial" w:cs="Arial" w:eastAsia="Arial" w:hint="default"/>
        </w:rPr>
        <w:t>2.77</w:t>
      </w:r>
      <w:r>
        <w:rPr>
          <w:rFonts w:ascii="Arial" w:hAnsi="Arial" w:cs="Arial" w:eastAsia="Arial" w:hint="default"/>
          <w:spacing w:val="-24"/>
        </w:rPr>
        <w:t> </w:t>
      </w:r>
      <w:r>
        <w:rPr>
          <w:rFonts w:ascii="Arial" w:hAnsi="Arial" w:cs="Arial" w:eastAsia="Arial" w:hint="default"/>
          <w:spacing w:val="-24"/>
        </w:rPr>
      </w:r>
      <w:r>
        <w:rPr/>
        <w:t>亿元，净资产</w:t>
      </w:r>
      <w:r>
        <w:rPr>
          <w:rFonts w:ascii="Arial" w:hAnsi="Arial" w:cs="Arial" w:eastAsia="Arial" w:hint="default"/>
        </w:rPr>
        <w:t>1.38</w:t>
      </w:r>
      <w:r>
        <w:rPr/>
        <w:t>亿元；报告期内，实现净利润</w:t>
      </w:r>
      <w:r>
        <w:rPr>
          <w:rFonts w:ascii="Arial" w:hAnsi="Arial" w:cs="Arial" w:eastAsia="Arial" w:hint="default"/>
        </w:rPr>
        <w:t>-853.60</w:t>
      </w:r>
      <w:r>
        <w:rPr/>
        <w:t>万元。</w:t>
      </w:r>
    </w:p>
    <w:p>
      <w:pPr>
        <w:spacing w:line="240" w:lineRule="auto" w:before="1"/>
        <w:rPr>
          <w:rFonts w:ascii="宋体" w:hAnsi="宋体" w:cs="宋体" w:eastAsia="宋体" w:hint="default"/>
          <w:sz w:val="21"/>
          <w:szCs w:val="21"/>
        </w:rPr>
      </w:pPr>
    </w:p>
    <w:p>
      <w:pPr>
        <w:pStyle w:val="Heading2"/>
        <w:spacing w:line="240" w:lineRule="auto" w:before="0"/>
        <w:ind w:right="996"/>
        <w:jc w:val="left"/>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12"/>
        <w:rPr>
          <w:rFonts w:ascii="宋体" w:hAnsi="宋体" w:cs="宋体" w:eastAsia="宋体" w:hint="default"/>
          <w:b/>
          <w:bCs/>
          <w:sz w:val="22"/>
          <w:szCs w:val="22"/>
        </w:rPr>
      </w:pPr>
    </w:p>
    <w:p>
      <w:pPr>
        <w:spacing w:line="444" w:lineRule="auto" w:before="0"/>
        <w:ind w:left="112" w:right="8103"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w:t>
      </w:r>
      <w:bookmarkStart w:name="九、公司未来发展的展望" w:id="57"/>
      <w:bookmarkEnd w:id="57"/>
      <w:r>
        <w:rPr>
          <w:rFonts w:ascii="宋体" w:hAnsi="宋体" w:cs="宋体" w:eastAsia="宋体" w:hint="default"/>
          <w:sz w:val="24"/>
          <w:szCs w:val="24"/>
        </w:rPr>
      </w:r>
      <w:r>
        <w:rPr>
          <w:rFonts w:ascii="宋体" w:hAnsi="宋体" w:cs="宋体" w:eastAsia="宋体" w:hint="default"/>
          <w:b/>
          <w:bCs/>
          <w:sz w:val="24"/>
          <w:szCs w:val="24"/>
        </w:rPr>
        <w:t>九、公司未来发展的展望</w:t>
      </w:r>
      <w:r>
        <w:rPr>
          <w:rFonts w:ascii="宋体" w:hAnsi="宋体" w:cs="宋体" w:eastAsia="宋体" w:hint="default"/>
          <w:sz w:val="24"/>
          <w:szCs w:val="24"/>
        </w:rPr>
      </w:r>
    </w:p>
    <w:p>
      <w:pPr>
        <w:spacing w:line="477" w:lineRule="auto" w:before="96"/>
        <w:ind w:left="112" w:right="4994" w:firstLine="0"/>
        <w:jc w:val="left"/>
        <w:rPr>
          <w:rFonts w:ascii="宋体" w:hAnsi="宋体" w:cs="宋体" w:eastAsia="宋体" w:hint="default"/>
          <w:sz w:val="21"/>
          <w:szCs w:val="21"/>
        </w:rPr>
      </w:pPr>
      <w:r>
        <w:rPr>
          <w:rFonts w:ascii="宋体" w:hAnsi="宋体" w:cs="宋体" w:eastAsia="宋体" w:hint="default"/>
          <w:sz w:val="24"/>
          <w:szCs w:val="24"/>
        </w:rPr>
        <w:t>请见“第四节经营情况分析与讨论”中“一、概述”。 </w:t>
      </w:r>
      <w:bookmarkStart w:name="十、接待调研、沟通、采访等活动登记表" w:id="58"/>
      <w:bookmarkEnd w:id="58"/>
      <w:r>
        <w:rPr>
          <w:rFonts w:ascii="宋体" w:hAnsi="宋体" w:cs="宋体" w:eastAsia="宋体" w:hint="default"/>
          <w:sz w:val="24"/>
          <w:szCs w:val="24"/>
        </w:rPr>
      </w:r>
      <w:r>
        <w:rPr>
          <w:rFonts w:ascii="宋体" w:hAnsi="宋体" w:cs="宋体" w:eastAsia="宋体" w:hint="default"/>
          <w:b/>
          <w:bCs/>
          <w:sz w:val="24"/>
          <w:szCs w:val="24"/>
        </w:rPr>
        <w:t>十、接待调研、沟通、采访等活动登记表</w:t>
      </w:r>
      <w:r>
        <w:rPr>
          <w:rFonts w:ascii="宋体" w:hAnsi="宋体" w:cs="宋体" w:eastAsia="宋体" w:hint="default"/>
          <w:b/>
          <w:bCs/>
          <w:w w:val="99"/>
          <w:sz w:val="24"/>
          <w:szCs w:val="24"/>
        </w:rPr>
        <w:t> </w:t>
      </w:r>
      <w:bookmarkStart w:name="1、报告期内接待调研、沟通、采访等活动登记表" w:id="59"/>
      <w:bookmarkEnd w:id="59"/>
      <w:r>
        <w:rPr>
          <w:rFonts w:ascii="宋体" w:hAnsi="宋体" w:cs="宋体" w:eastAsia="宋体" w:hint="default"/>
          <w:b/>
          <w:bCs/>
          <w:w w:val="99"/>
          <w:sz w:val="24"/>
          <w:szCs w:val="24"/>
        </w:rPr>
      </w:r>
      <w:r>
        <w:rPr>
          <w:rFonts w:ascii="Arial" w:hAnsi="Arial" w:cs="Arial" w:eastAsia="Arial" w:hint="default"/>
          <w:b/>
          <w:bCs/>
          <w:sz w:val="21"/>
          <w:szCs w:val="21"/>
        </w:rPr>
        <w:t>1</w:t>
      </w:r>
      <w:r>
        <w:rPr>
          <w:rFonts w:ascii="宋体" w:hAnsi="宋体" w:cs="宋体" w:eastAsia="宋体" w:hint="default"/>
          <w:b/>
          <w:bCs/>
          <w:sz w:val="21"/>
          <w:szCs w:val="21"/>
        </w:rPr>
        <w:t>、报告期内接待调研、沟通、采访等活动登记表</w:t>
      </w:r>
      <w:r>
        <w:rPr>
          <w:rFonts w:ascii="宋体" w:hAnsi="宋体" w:cs="宋体" w:eastAsia="宋体" w:hint="default"/>
          <w:sz w:val="21"/>
          <w:szCs w:val="21"/>
        </w:rPr>
      </w:r>
    </w:p>
    <w:p>
      <w:pPr>
        <w:pStyle w:val="Heading3"/>
        <w:spacing w:line="240" w:lineRule="auto" w:before="67"/>
        <w:ind w:right="996"/>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after="0" w:line="240" w:lineRule="auto"/>
        <w:jc w:val="left"/>
        <w:sectPr>
          <w:footerReference w:type="default" r:id="rId23"/>
          <w:pgSz w:w="11910" w:h="16840"/>
          <w:pgMar w:footer="978" w:header="878" w:top="1100" w:bottom="1160" w:left="1020" w:right="0"/>
          <w:pgNumType w:start="4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178"/>
        <w:gridCol w:w="2177"/>
        <w:gridCol w:w="2177"/>
        <w:gridCol w:w="3037"/>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2"/>
              <w:jc w:val="center"/>
              <w:rPr>
                <w:rFonts w:ascii="宋体" w:hAnsi="宋体" w:cs="宋体" w:eastAsia="宋体" w:hint="default"/>
                <w:sz w:val="21"/>
                <w:szCs w:val="21"/>
              </w:rPr>
            </w:pPr>
            <w:r>
              <w:rPr>
                <w:rFonts w:ascii="宋体" w:hAnsi="宋体" w:cs="宋体" w:eastAsia="宋体" w:hint="default"/>
                <w:sz w:val="21"/>
                <w:szCs w:val="21"/>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05</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27</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1" w:right="0"/>
              <w:jc w:val="center"/>
              <w:rPr>
                <w:rFonts w:ascii="Arial" w:hAnsi="Arial" w:cs="Arial" w:eastAsia="Arial" w:hint="default"/>
                <w:sz w:val="21"/>
                <w:szCs w:val="21"/>
              </w:rPr>
            </w:pPr>
            <w:hyperlink r:id="rId10">
              <w:r>
                <w:rPr>
                  <w:rFonts w:ascii="Arial"/>
                  <w:sz w:val="21"/>
                </w:rPr>
                <w:t>http://www.cninfo.com.cn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08</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30</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 w:right="0"/>
              <w:jc w:val="center"/>
              <w:rPr>
                <w:rFonts w:ascii="Arial" w:hAnsi="Arial" w:cs="Arial" w:eastAsia="Arial" w:hint="default"/>
                <w:sz w:val="21"/>
                <w:szCs w:val="21"/>
              </w:rPr>
            </w:pPr>
            <w:hyperlink r:id="rId10">
              <w:r>
                <w:rPr>
                  <w:rFonts w:ascii="Arial"/>
                  <w:sz w:val="21"/>
                </w:rPr>
                <w:t>http://www.cninfo.com.cn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09</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13</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1" w:right="0"/>
              <w:jc w:val="center"/>
              <w:rPr>
                <w:rFonts w:ascii="Arial" w:hAnsi="Arial" w:cs="Arial" w:eastAsia="Arial" w:hint="default"/>
                <w:sz w:val="21"/>
                <w:szCs w:val="21"/>
              </w:rPr>
            </w:pPr>
            <w:hyperlink r:id="rId10">
              <w:r>
                <w:rPr>
                  <w:rFonts w:ascii="Arial"/>
                  <w:sz w:val="21"/>
                </w:rPr>
                <w:t>http://www.cninfo.com.cn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10</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28</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 w:right="0"/>
              <w:jc w:val="center"/>
              <w:rPr>
                <w:rFonts w:ascii="Arial" w:hAnsi="Arial" w:cs="Arial" w:eastAsia="Arial" w:hint="default"/>
                <w:sz w:val="21"/>
                <w:szCs w:val="21"/>
              </w:rPr>
            </w:pPr>
            <w:hyperlink r:id="rId10">
              <w:r>
                <w:rPr>
                  <w:rFonts w:ascii="Arial"/>
                  <w:sz w:val="21"/>
                </w:rPr>
                <w:t>http://www.cninfo.com.cn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pacing w:val="-6"/>
                <w:sz w:val="21"/>
                <w:szCs w:val="21"/>
              </w:rPr>
              <w:t>11</w:t>
            </w:r>
            <w:r>
              <w:rPr>
                <w:rFonts w:ascii="Arial" w:hAnsi="Arial" w:cs="Arial" w:eastAsia="Arial"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15</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1" w:right="0"/>
              <w:jc w:val="center"/>
              <w:rPr>
                <w:rFonts w:ascii="Arial" w:hAnsi="Arial" w:cs="Arial" w:eastAsia="Arial" w:hint="default"/>
                <w:sz w:val="21"/>
                <w:szCs w:val="21"/>
              </w:rPr>
            </w:pPr>
            <w:hyperlink r:id="rId10">
              <w:r>
                <w:rPr>
                  <w:rFonts w:ascii="Arial"/>
                  <w:sz w:val="21"/>
                </w:rPr>
                <w:t>http://www.cninfo.com.cn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pacing w:val="-6"/>
                <w:sz w:val="21"/>
                <w:szCs w:val="21"/>
              </w:rPr>
              <w:t>11</w:t>
            </w:r>
            <w:r>
              <w:rPr>
                <w:rFonts w:ascii="Arial" w:hAnsi="Arial" w:cs="Arial" w:eastAsia="Arial"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27</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 w:right="0"/>
              <w:jc w:val="center"/>
              <w:rPr>
                <w:rFonts w:ascii="Arial" w:hAnsi="Arial" w:cs="Arial" w:eastAsia="Arial" w:hint="default"/>
                <w:sz w:val="21"/>
                <w:szCs w:val="21"/>
              </w:rPr>
            </w:pPr>
            <w:hyperlink r:id="rId10">
              <w:r>
                <w:rPr>
                  <w:rFonts w:ascii="Arial"/>
                  <w:sz w:val="21"/>
                </w:rPr>
                <w:t>http://www.cninfo.com.cn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07</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1" w:right="0"/>
              <w:jc w:val="center"/>
              <w:rPr>
                <w:rFonts w:ascii="Arial" w:hAnsi="Arial" w:cs="Arial" w:eastAsia="Arial" w:hint="default"/>
                <w:sz w:val="21"/>
                <w:szCs w:val="21"/>
              </w:rPr>
            </w:pPr>
            <w:hyperlink r:id="rId10">
              <w:r>
                <w:rPr>
                  <w:rFonts w:ascii="Arial"/>
                  <w:sz w:val="21"/>
                </w:rPr>
                <w:t>http://www.cninfo.com.cn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13</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 w:right="0"/>
              <w:jc w:val="center"/>
              <w:rPr>
                <w:rFonts w:ascii="Arial" w:hAnsi="Arial" w:cs="Arial" w:eastAsia="Arial" w:hint="default"/>
                <w:sz w:val="21"/>
                <w:szCs w:val="21"/>
              </w:rPr>
            </w:pPr>
            <w:hyperlink r:id="rId10">
              <w:r>
                <w:rPr>
                  <w:rFonts w:ascii="Arial"/>
                  <w:sz w:val="21"/>
                </w:rPr>
                <w:t>http://www.cninfo.com.cn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25</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1" w:right="0"/>
              <w:jc w:val="center"/>
              <w:rPr>
                <w:rFonts w:ascii="Arial" w:hAnsi="Arial" w:cs="Arial" w:eastAsia="Arial" w:hint="default"/>
                <w:sz w:val="21"/>
                <w:szCs w:val="21"/>
              </w:rPr>
            </w:pPr>
            <w:hyperlink r:id="rId10">
              <w:r>
                <w:rPr>
                  <w:rFonts w:ascii="Arial"/>
                  <w:sz w:val="21"/>
                </w:rPr>
                <w:t>http://www.cninfo.com.cn</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 w:right="0"/>
              <w:jc w:val="center"/>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26</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 w:right="0"/>
              <w:jc w:val="center"/>
              <w:rPr>
                <w:rFonts w:ascii="Arial" w:hAnsi="Arial" w:cs="Arial" w:eastAsia="Arial" w:hint="default"/>
                <w:sz w:val="21"/>
                <w:szCs w:val="21"/>
              </w:rPr>
            </w:pPr>
            <w:hyperlink r:id="rId10">
              <w:r>
                <w:rPr>
                  <w:rFonts w:ascii="Arial"/>
                  <w:sz w:val="21"/>
                </w:rPr>
                <w:t>http://www.cninfo.com.cn</w:t>
              </w:r>
            </w:hyperlink>
          </w:p>
        </w:tc>
      </w:tr>
    </w:tbl>
    <w:p>
      <w:pPr>
        <w:spacing w:after="0" w:line="240" w:lineRule="auto"/>
        <w:jc w:val="center"/>
        <w:rPr>
          <w:rFonts w:ascii="Arial" w:hAnsi="Arial" w:cs="Arial" w:eastAsia="Arial" w:hint="default"/>
          <w:sz w:val="21"/>
          <w:szCs w:val="21"/>
        </w:rPr>
        <w:sectPr>
          <w:pgSz w:w="11910" w:h="16840"/>
          <w:pgMar w:header="878" w:footer="978" w:top="110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6"/>
          <w:szCs w:val="26"/>
        </w:rPr>
      </w:pPr>
    </w:p>
    <w:p>
      <w:pPr>
        <w:pStyle w:val="Heading1"/>
        <w:spacing w:line="439" w:lineRule="exact"/>
        <w:ind w:right="3762"/>
        <w:jc w:val="center"/>
        <w:rPr>
          <w:b w:val="0"/>
          <w:bCs w:val="0"/>
        </w:rPr>
      </w:pPr>
      <w:bookmarkStart w:name="第五节 重要事项" w:id="60"/>
      <w:bookmarkEnd w:id="60"/>
      <w:r>
        <w:rPr>
          <w:b w:val="0"/>
          <w:bCs w:val="0"/>
        </w:rPr>
      </w:r>
      <w:bookmarkStart w:name="_bookmark3" w:id="61"/>
      <w:bookmarkEnd w:id="61"/>
      <w:r>
        <w:rPr>
          <w:b w:val="0"/>
          <w:bCs w:val="0"/>
        </w:rPr>
      </w:r>
      <w:r>
        <w:rPr/>
        <w:t>第五节</w:t>
      </w:r>
      <w:r>
        <w:rPr>
          <w:spacing w:val="62"/>
        </w:rPr>
        <w:t> </w:t>
      </w:r>
      <w:r>
        <w:rPr/>
        <w:t>重要事项</w:t>
      </w:r>
      <w:r>
        <w:rPr>
          <w:b w:val="0"/>
          <w:bCs w:val="0"/>
        </w:rPr>
      </w:r>
    </w:p>
    <w:p>
      <w:pPr>
        <w:spacing w:line="610" w:lineRule="atLeast" w:before="161"/>
        <w:ind w:left="112" w:right="2594" w:firstLine="0"/>
        <w:jc w:val="left"/>
        <w:rPr>
          <w:rFonts w:ascii="宋体" w:hAnsi="宋体" w:cs="宋体" w:eastAsia="宋体" w:hint="default"/>
          <w:sz w:val="24"/>
          <w:szCs w:val="24"/>
        </w:rPr>
      </w:pPr>
      <w:bookmarkStart w:name="一、公司普通股利润分配及资本公积金转增股本情况" w:id="62"/>
      <w:bookmarkEnd w:id="62"/>
      <w:r>
        <w:rPr/>
      </w:r>
      <w:r>
        <w:rPr>
          <w:rFonts w:ascii="宋体" w:hAnsi="宋体" w:cs="宋体" w:eastAsia="宋体" w:hint="default"/>
          <w:b/>
          <w:bCs/>
          <w:sz w:val="24"/>
          <w:szCs w:val="24"/>
        </w:rPr>
        <w:t>一、公司普通股利润分配及资本公积金转增股本情况</w:t>
      </w:r>
      <w:r>
        <w:rPr>
          <w:rFonts w:ascii="宋体" w:hAnsi="宋体" w:cs="宋体" w:eastAsia="宋体" w:hint="default"/>
          <w:b/>
          <w:bCs/>
          <w:w w:val="99"/>
          <w:sz w:val="24"/>
          <w:szCs w:val="24"/>
        </w:rPr>
        <w:t> </w:t>
      </w:r>
      <w:r>
        <w:rPr>
          <w:rFonts w:ascii="宋体" w:hAnsi="宋体" w:cs="宋体" w:eastAsia="宋体" w:hint="default"/>
          <w:sz w:val="24"/>
          <w:szCs w:val="24"/>
        </w:rPr>
        <w:t>报告期内普通股利润分配政策，特别是现金分红政策的制定、执行或调整情况</w:t>
      </w:r>
    </w:p>
    <w:p>
      <w:pPr>
        <w:pStyle w:val="Heading3"/>
        <w:spacing w:line="273" w:lineRule="auto" w:before="36"/>
        <w:ind w:left="592" w:right="996" w:hanging="48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w:t>
      </w:r>
      <w:r>
        <w:rPr>
          <w:spacing w:val="-3"/>
        </w:rPr>
        <w:t>报告期内，公司严格按照《公司章程》相关利润分配政策和审议程序实施利润分配方案，</w:t>
      </w:r>
    </w:p>
    <w:p>
      <w:pPr>
        <w:pStyle w:val="Heading3"/>
        <w:spacing w:line="273" w:lineRule="auto" w:before="10"/>
        <w:ind w:right="996"/>
        <w:jc w:val="left"/>
      </w:pPr>
      <w:r>
        <w:rPr>
          <w:spacing w:val="-2"/>
        </w:rPr>
        <w:t>分红标准和分红比例明确清晰，相关的决策程序和机制完备。公司利润分配方案经由董事会、</w:t>
      </w:r>
      <w:r>
        <w:rPr/>
        <w:t> 监事会审议过后提交股东大会审议，并由独立董事发表独立意见，审议通过后在规定时间内 进行实施，切实保证了全体股东的利益。</w:t>
      </w:r>
    </w:p>
    <w:p>
      <w:pPr>
        <w:pStyle w:val="Heading3"/>
        <w:spacing w:line="259" w:lineRule="auto" w:before="10"/>
        <w:ind w:right="285" w:firstLine="480"/>
        <w:jc w:val="left"/>
      </w:pPr>
      <w:r>
        <w:rPr>
          <w:spacing w:val="-4"/>
          <w:w w:val="99"/>
        </w:rPr>
        <w:t>经公司</w:t>
      </w:r>
      <w:r>
        <w:rPr>
          <w:rFonts w:ascii="Arial" w:hAnsi="Arial" w:cs="Arial" w:eastAsia="Arial" w:hint="default"/>
          <w:spacing w:val="-4"/>
          <w:w w:val="99"/>
        </w:rPr>
        <w:t>2018</w:t>
      </w:r>
      <w:r>
        <w:rPr>
          <w:spacing w:val="-4"/>
          <w:w w:val="99"/>
        </w:rPr>
        <w:t>年</w:t>
      </w:r>
      <w:r>
        <w:rPr>
          <w:rFonts w:ascii="Arial" w:hAnsi="Arial" w:cs="Arial" w:eastAsia="Arial" w:hint="default"/>
          <w:spacing w:val="-4"/>
          <w:w w:val="99"/>
        </w:rPr>
        <w:t>5</w:t>
      </w:r>
      <w:r>
        <w:rPr>
          <w:spacing w:val="-4"/>
          <w:w w:val="99"/>
        </w:rPr>
        <w:t>月</w:t>
      </w:r>
      <w:r>
        <w:rPr>
          <w:rFonts w:ascii="Arial" w:hAnsi="Arial" w:cs="Arial" w:eastAsia="Arial" w:hint="default"/>
          <w:spacing w:val="-4"/>
          <w:w w:val="99"/>
        </w:rPr>
        <w:t>7</w:t>
      </w:r>
      <w:r>
        <w:rPr>
          <w:spacing w:val="-4"/>
          <w:w w:val="99"/>
        </w:rPr>
        <w:t>日召开的</w:t>
      </w:r>
      <w:r>
        <w:rPr>
          <w:rFonts w:ascii="Arial" w:hAnsi="Arial" w:cs="Arial" w:eastAsia="Arial" w:hint="default"/>
          <w:spacing w:val="-4"/>
          <w:w w:val="99"/>
        </w:rPr>
        <w:t>2017</w:t>
      </w:r>
      <w:r>
        <w:rPr>
          <w:spacing w:val="-4"/>
          <w:w w:val="99"/>
        </w:rPr>
        <w:t>年度股东大会审议通过公司《</w:t>
      </w:r>
      <w:r>
        <w:rPr>
          <w:rFonts w:ascii="Arial" w:hAnsi="Arial" w:cs="Arial" w:eastAsia="Arial" w:hint="default"/>
          <w:spacing w:val="-4"/>
          <w:w w:val="99"/>
        </w:rPr>
        <w:t>2017</w:t>
      </w:r>
      <w:r>
        <w:rPr>
          <w:spacing w:val="-4"/>
          <w:w w:val="99"/>
        </w:rPr>
        <w:t>年度利润分配方案》：</w:t>
      </w:r>
      <w:r>
        <w:rPr/>
        <w:t> 以截止</w:t>
      </w:r>
      <w:r>
        <w:rPr>
          <w:rFonts w:ascii="Arial" w:hAnsi="Arial" w:cs="Arial" w:eastAsia="Arial" w:hint="default"/>
        </w:rPr>
        <w:t>2017</w:t>
      </w:r>
      <w:r>
        <w:rPr/>
        <w:t>年</w:t>
      </w:r>
      <w:r>
        <w:rPr>
          <w:rFonts w:ascii="Arial" w:hAnsi="Arial" w:cs="Arial" w:eastAsia="Arial" w:hint="default"/>
        </w:rPr>
        <w:t>12</w:t>
      </w:r>
      <w:r>
        <w:rPr/>
        <w:t>月</w:t>
      </w:r>
      <w:r>
        <w:rPr>
          <w:rFonts w:ascii="Arial" w:hAnsi="Arial" w:cs="Arial" w:eastAsia="Arial" w:hint="default"/>
        </w:rPr>
        <w:t>31</w:t>
      </w:r>
      <w:r>
        <w:rPr/>
        <w:t>日公司总股本</w:t>
      </w:r>
      <w:r>
        <w:rPr>
          <w:rFonts w:ascii="Arial" w:hAnsi="Arial" w:cs="Arial" w:eastAsia="Arial" w:hint="default"/>
        </w:rPr>
        <w:t>760,681,176</w:t>
      </w:r>
      <w:r>
        <w:rPr/>
        <w:t>股为基数，向全体股东按每</w:t>
      </w:r>
      <w:r>
        <w:rPr>
          <w:rFonts w:ascii="Arial" w:hAnsi="Arial" w:cs="Arial" w:eastAsia="Arial" w:hint="default"/>
        </w:rPr>
        <w:t>10</w:t>
      </w:r>
      <w:r>
        <w:rPr/>
        <w:t>股派发现金红 利</w:t>
      </w:r>
      <w:r>
        <w:rPr>
          <w:rFonts w:ascii="Arial" w:hAnsi="Arial" w:cs="Arial" w:eastAsia="Arial" w:hint="default"/>
        </w:rPr>
        <w:t>0.5</w:t>
      </w:r>
      <w:r>
        <w:rPr/>
        <w:t>元人民币（含税）。由于公司股权激励对象共行权</w:t>
      </w:r>
      <w:r>
        <w:rPr>
          <w:rFonts w:ascii="Arial" w:hAnsi="Arial" w:cs="Arial" w:eastAsia="Arial" w:hint="default"/>
        </w:rPr>
        <w:t>215,614</w:t>
      </w:r>
      <w:r>
        <w:rPr/>
        <w:t>份股票期权，回购注销股份 </w:t>
      </w:r>
      <w:r>
        <w:rPr>
          <w:rFonts w:ascii="Arial" w:hAnsi="Arial" w:cs="Arial" w:eastAsia="Arial" w:hint="default"/>
          <w:spacing w:val="-2"/>
        </w:rPr>
        <w:t>3,300,116</w:t>
      </w:r>
      <w:r>
        <w:rPr>
          <w:spacing w:val="-2"/>
        </w:rPr>
        <w:t>股。公司总股本由</w:t>
      </w:r>
      <w:r>
        <w:rPr>
          <w:rFonts w:ascii="Arial" w:hAnsi="Arial" w:cs="Arial" w:eastAsia="Arial" w:hint="default"/>
          <w:spacing w:val="-2"/>
        </w:rPr>
        <w:t>2017</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日的</w:t>
      </w:r>
      <w:r>
        <w:rPr>
          <w:rFonts w:ascii="Arial" w:hAnsi="Arial" w:cs="Arial" w:eastAsia="Arial" w:hint="default"/>
          <w:spacing w:val="-2"/>
        </w:rPr>
        <w:t>760,681,176</w:t>
      </w:r>
      <w:r>
        <w:rPr>
          <w:spacing w:val="-2"/>
        </w:rPr>
        <w:t>股减少至目前的</w:t>
      </w:r>
      <w:r>
        <w:rPr>
          <w:rFonts w:ascii="Arial" w:hAnsi="Arial" w:cs="Arial" w:eastAsia="Arial" w:hint="default"/>
          <w:spacing w:val="-2"/>
        </w:rPr>
        <w:t>757,596,674</w:t>
      </w:r>
      <w:r>
        <w:rPr>
          <w:spacing w:val="-2"/>
        </w:rPr>
        <w:t>股。</w:t>
      </w:r>
      <w:r>
        <w:rPr>
          <w:spacing w:val="-117"/>
        </w:rPr>
        <w:t> </w:t>
      </w:r>
      <w:r>
        <w:rPr>
          <w:spacing w:val="-3"/>
        </w:rPr>
        <w:t>按照</w:t>
      </w:r>
      <w:r>
        <w:rPr>
          <w:rFonts w:ascii="Arial" w:hAnsi="Arial" w:cs="Arial" w:eastAsia="Arial" w:hint="default"/>
          <w:spacing w:val="-3"/>
        </w:rPr>
        <w:t>“</w:t>
      </w:r>
      <w:r>
        <w:rPr>
          <w:spacing w:val="-3"/>
        </w:rPr>
        <w:t>现金分红总额、送红股总额、转增股本总额固定不变</w:t>
      </w:r>
      <w:r>
        <w:rPr>
          <w:rFonts w:ascii="Arial" w:hAnsi="Arial" w:cs="Arial" w:eastAsia="Arial" w:hint="default"/>
          <w:spacing w:val="-3"/>
        </w:rPr>
        <w:t>”</w:t>
      </w:r>
      <w:r>
        <w:rPr>
          <w:spacing w:val="-3"/>
        </w:rPr>
        <w:t>的原则，公司按</w:t>
      </w:r>
      <w:r>
        <w:rPr>
          <w:rFonts w:ascii="Arial" w:hAnsi="Arial" w:cs="Arial" w:eastAsia="Arial" w:hint="default"/>
          <w:spacing w:val="-3"/>
        </w:rPr>
        <w:t>2018</w:t>
      </w:r>
      <w:r>
        <w:rPr>
          <w:spacing w:val="-3"/>
        </w:rPr>
        <w:t>年</w:t>
      </w:r>
      <w:r>
        <w:rPr>
          <w:rFonts w:ascii="Arial" w:hAnsi="Arial" w:cs="Arial" w:eastAsia="Arial" w:hint="default"/>
          <w:spacing w:val="-3"/>
        </w:rPr>
        <w:t>6</w:t>
      </w:r>
      <w:r>
        <w:rPr>
          <w:spacing w:val="-3"/>
        </w:rPr>
        <w:t>月</w:t>
      </w:r>
      <w:r>
        <w:rPr>
          <w:rFonts w:ascii="Arial" w:hAnsi="Arial" w:cs="Arial" w:eastAsia="Arial" w:hint="default"/>
          <w:spacing w:val="-3"/>
        </w:rPr>
        <w:t>15</w:t>
      </w:r>
      <w:r>
        <w:rPr>
          <w:spacing w:val="-3"/>
        </w:rPr>
        <w:t>日股</w:t>
      </w:r>
      <w:r>
        <w:rPr>
          <w:spacing w:val="-90"/>
        </w:rPr>
        <w:t> </w:t>
      </w:r>
      <w:r>
        <w:rPr/>
        <w:t>本计算的</w:t>
      </w:r>
      <w:r>
        <w:rPr>
          <w:rFonts w:ascii="Arial" w:hAnsi="Arial" w:cs="Arial" w:eastAsia="Arial" w:hint="default"/>
        </w:rPr>
        <w:t>2017</w:t>
      </w:r>
      <w:r>
        <w:rPr/>
        <w:t>年年度权益分派方案为：以公司现有总股本</w:t>
      </w:r>
      <w:r>
        <w:rPr>
          <w:rFonts w:ascii="Arial" w:hAnsi="Arial" w:cs="Arial" w:eastAsia="Arial" w:hint="default"/>
        </w:rPr>
        <w:t>757,596,674</w:t>
      </w:r>
      <w:r>
        <w:rPr/>
        <w:t>股为基数，向全体股 东每</w:t>
      </w:r>
      <w:r>
        <w:rPr>
          <w:rFonts w:ascii="Arial" w:hAnsi="Arial" w:cs="Arial" w:eastAsia="Arial" w:hint="default"/>
        </w:rPr>
        <w:t>10</w:t>
      </w:r>
      <w:r>
        <w:rPr/>
        <w:t>股派</w:t>
      </w:r>
      <w:r>
        <w:rPr>
          <w:rFonts w:ascii="Arial" w:hAnsi="Arial" w:cs="Arial" w:eastAsia="Arial" w:hint="default"/>
        </w:rPr>
        <w:t>0.502035</w:t>
      </w:r>
      <w:r>
        <w:rPr/>
        <w:t>元人民币现金（含税）。公司于</w:t>
      </w:r>
      <w:r>
        <w:rPr>
          <w:rFonts w:ascii="Arial" w:hAnsi="Arial" w:cs="Arial" w:eastAsia="Arial" w:hint="default"/>
        </w:rPr>
        <w:t>2018</w:t>
      </w:r>
      <w:r>
        <w:rPr/>
        <w:t>年</w:t>
      </w:r>
      <w:r>
        <w:rPr>
          <w:rFonts w:ascii="Arial" w:hAnsi="Arial" w:cs="Arial" w:eastAsia="Arial" w:hint="default"/>
        </w:rPr>
        <w:t>6</w:t>
      </w:r>
      <w:r>
        <w:rPr/>
        <w:t>月</w:t>
      </w:r>
      <w:r>
        <w:rPr>
          <w:rFonts w:ascii="Arial" w:hAnsi="Arial" w:cs="Arial" w:eastAsia="Arial" w:hint="default"/>
        </w:rPr>
        <w:t>11</w:t>
      </w:r>
      <w:r>
        <w:rPr/>
        <w:t>日发出《</w:t>
      </w:r>
      <w:r>
        <w:rPr>
          <w:rFonts w:ascii="Arial" w:hAnsi="Arial" w:cs="Arial" w:eastAsia="Arial" w:hint="default"/>
        </w:rPr>
        <w:t>2017</w:t>
      </w:r>
      <w:r>
        <w:rPr/>
        <w:t>年年度权益 分派实施公告》，本次权益分派股权登记日为：</w:t>
      </w:r>
      <w:r>
        <w:rPr>
          <w:rFonts w:ascii="Arial" w:hAnsi="Arial" w:cs="Arial" w:eastAsia="Arial" w:hint="default"/>
        </w:rPr>
        <w:t>2018</w:t>
      </w:r>
      <w:r>
        <w:rPr/>
        <w:t>年</w:t>
      </w:r>
      <w:r>
        <w:rPr>
          <w:rFonts w:ascii="Arial" w:hAnsi="Arial" w:cs="Arial" w:eastAsia="Arial" w:hint="default"/>
        </w:rPr>
        <w:t>6</w:t>
      </w:r>
      <w:r>
        <w:rPr/>
        <w:t>月</w:t>
      </w:r>
      <w:r>
        <w:rPr>
          <w:rFonts w:ascii="Arial" w:hAnsi="Arial" w:cs="Arial" w:eastAsia="Arial" w:hint="default"/>
        </w:rPr>
        <w:t>15</w:t>
      </w:r>
      <w:r>
        <w:rPr/>
        <w:t>日，除权除息日为：</w:t>
      </w:r>
      <w:r>
        <w:rPr>
          <w:rFonts w:ascii="Arial" w:hAnsi="Arial" w:cs="Arial" w:eastAsia="Arial" w:hint="default"/>
        </w:rPr>
        <w:t>2018</w:t>
      </w:r>
      <w:r>
        <w:rPr/>
        <w:t>年</w:t>
      </w:r>
      <w:r>
        <w:rPr>
          <w:rFonts w:ascii="Arial" w:hAnsi="Arial" w:cs="Arial" w:eastAsia="Arial" w:hint="default"/>
        </w:rPr>
        <w:t>6</w:t>
      </w:r>
      <w:r>
        <w:rPr>
          <w:rFonts w:ascii="Arial" w:hAnsi="Arial" w:cs="Arial" w:eastAsia="Arial" w:hint="default"/>
          <w:w w:val="99"/>
        </w:rPr>
        <w:t> </w:t>
      </w:r>
      <w:r>
        <w:rPr/>
        <w:t>月</w:t>
      </w:r>
      <w:r>
        <w:rPr>
          <w:rFonts w:ascii="Arial" w:hAnsi="Arial" w:cs="Arial" w:eastAsia="Arial" w:hint="default"/>
        </w:rPr>
        <w:t>19</w:t>
      </w:r>
      <w:r>
        <w:rPr/>
        <w:t>日。</w:t>
      </w:r>
    </w:p>
    <w:tbl>
      <w:tblPr>
        <w:tblW w:w="0" w:type="auto"/>
        <w:jc w:val="left"/>
        <w:tblInd w:w="109" w:type="dxa"/>
        <w:tblLayout w:type="fixed"/>
        <w:tblCellMar>
          <w:top w:w="0" w:type="dxa"/>
          <w:left w:w="0" w:type="dxa"/>
          <w:bottom w:w="0" w:type="dxa"/>
          <w:right w:w="0" w:type="dxa"/>
        </w:tblCellMar>
        <w:tblLook w:val="01E0"/>
      </w:tblPr>
      <w:tblGrid>
        <w:gridCol w:w="7938"/>
        <w:gridCol w:w="1630"/>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现金分红政策的专项说明</w:t>
            </w:r>
          </w:p>
        </w:tc>
      </w:tr>
      <w:tr>
        <w:trPr>
          <w:trHeight w:val="402" w:hRule="exact"/>
        </w:trPr>
        <w:tc>
          <w:tcPr>
            <w:tcW w:w="7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是否符合公司章程的规定或股东大会决议的要求：</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402" w:hRule="exact"/>
        </w:trPr>
        <w:tc>
          <w:tcPr>
            <w:tcW w:w="7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分红标准和比例是否明确和清晰：</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402" w:hRule="exact"/>
        </w:trPr>
        <w:tc>
          <w:tcPr>
            <w:tcW w:w="7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相关的决策程序和机制是否完备：</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402" w:hRule="exact"/>
        </w:trPr>
        <w:tc>
          <w:tcPr>
            <w:tcW w:w="7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独立董事是否履职尽责并发挥了应有的作用：</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402" w:hRule="exact"/>
        </w:trPr>
        <w:tc>
          <w:tcPr>
            <w:tcW w:w="7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中小股东是否有充分表达意见和诉求的机会，其合法权益是否得到了充分保护：</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402" w:hRule="exact"/>
        </w:trPr>
        <w:tc>
          <w:tcPr>
            <w:tcW w:w="7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现金分红政策进行调整或变更的，条件及程序是否合规、透明：</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bl>
    <w:p>
      <w:pPr>
        <w:pStyle w:val="Heading3"/>
        <w:spacing w:line="312" w:lineRule="exact" w:before="53"/>
        <w:ind w:right="1154"/>
        <w:jc w:val="left"/>
      </w:pPr>
      <w:r>
        <w:rPr/>
        <w:t>公司报告期利润分配预案及资本公积金转增股本预案与公司章程和分红管理办法等的相关规 定一致</w:t>
      </w:r>
    </w:p>
    <w:p>
      <w:pPr>
        <w:pStyle w:val="Heading3"/>
        <w:spacing w:line="261" w:lineRule="auto" w:before="10"/>
        <w:ind w:right="2114"/>
        <w:jc w:val="left"/>
      </w:pPr>
      <w:r>
        <w:rPr>
          <w:rFonts w:ascii="Arial" w:hAnsi="Arial" w:cs="Arial" w:eastAsia="Arial" w:hint="default"/>
        </w:rPr>
        <w:t>√ </w:t>
      </w:r>
      <w:r>
        <w:rPr/>
        <w:t>是 </w:t>
      </w:r>
      <w:r>
        <w:rPr>
          <w:rFonts w:ascii="Arial" w:hAnsi="Arial" w:cs="Arial" w:eastAsia="Arial" w:hint="default"/>
        </w:rPr>
        <w:t>□ </w:t>
      </w:r>
      <w:r>
        <w:rPr/>
        <w:t>否 </w:t>
      </w:r>
      <w:r>
        <w:rPr>
          <w:rFonts w:ascii="Arial" w:hAnsi="Arial" w:cs="Arial" w:eastAsia="Arial" w:hint="default"/>
        </w:rPr>
        <w:t>□</w:t>
      </w:r>
      <w:r>
        <w:rPr>
          <w:rFonts w:ascii="Arial" w:hAnsi="Arial" w:cs="Arial" w:eastAsia="Arial" w:hint="default"/>
          <w:spacing w:val="26"/>
        </w:rPr>
        <w:t> </w:t>
      </w:r>
      <w:r>
        <w:rPr/>
        <w:t>不适用 公司报告期利润分配预案及资本公积金转增股本预案符合公司章程等的相关规定。 本年度利润分配及资本公积金转增股本情况</w:t>
      </w:r>
    </w:p>
    <w:p>
      <w:pPr>
        <w:spacing w:line="240" w:lineRule="auto" w:before="2"/>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5812"/>
        <w:gridCol w:w="3756"/>
      </w:tblGrid>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8"/>
                <w:sz w:val="21"/>
                <w:szCs w:val="21"/>
              </w:rPr>
              <w:t> </w:t>
            </w:r>
            <w:r>
              <w:rPr>
                <w:rFonts w:ascii="Arial" w:hAnsi="Arial" w:cs="Arial" w:eastAsia="Arial" w:hint="default"/>
                <w:sz w:val="21"/>
                <w:szCs w:val="21"/>
              </w:rPr>
              <w:t>10</w:t>
            </w:r>
            <w:r>
              <w:rPr>
                <w:rFonts w:ascii="Arial" w:hAnsi="Arial" w:cs="Arial" w:eastAsia="Arial" w:hint="default"/>
                <w:spacing w:val="-10"/>
                <w:sz w:val="21"/>
                <w:szCs w:val="21"/>
              </w:rPr>
              <w:t> </w:t>
            </w:r>
            <w:r>
              <w:rPr>
                <w:rFonts w:ascii="宋体" w:hAnsi="宋体" w:cs="宋体" w:eastAsia="宋体" w:hint="default"/>
                <w:sz w:val="21"/>
                <w:szCs w:val="21"/>
              </w:rPr>
              <w:t>股送红股数（股）</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w w:val="99"/>
                <w:sz w:val="21"/>
              </w:rPr>
              <w:t>0</w:t>
            </w:r>
            <w:r>
              <w:rPr>
                <w:rFonts w:ascii="Arial"/>
                <w:sz w:val="21"/>
              </w:rPr>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w w:val="99"/>
                <w:sz w:val="21"/>
                <w:szCs w:val="21"/>
              </w:rPr>
              <w:t>每</w:t>
            </w:r>
            <w:r>
              <w:rPr>
                <w:rFonts w:ascii="宋体" w:hAnsi="宋体" w:cs="宋体" w:eastAsia="宋体" w:hint="default"/>
                <w:spacing w:val="-53"/>
                <w:sz w:val="21"/>
                <w:szCs w:val="21"/>
              </w:rPr>
              <w:t> </w:t>
            </w:r>
            <w:r>
              <w:rPr>
                <w:rFonts w:ascii="Arial" w:hAnsi="Arial" w:cs="Arial" w:eastAsia="Arial" w:hint="default"/>
                <w:spacing w:val="-1"/>
                <w:w w:val="99"/>
                <w:sz w:val="21"/>
                <w:szCs w:val="21"/>
              </w:rPr>
              <w:t>1</w:t>
            </w:r>
            <w:r>
              <w:rPr>
                <w:rFonts w:ascii="Arial" w:hAnsi="Arial" w:cs="Arial" w:eastAsia="Arial" w:hint="default"/>
                <w:w w:val="99"/>
                <w:sz w:val="21"/>
                <w:szCs w:val="21"/>
              </w:rPr>
              <w:t>0</w:t>
            </w:r>
            <w:r>
              <w:rPr>
                <w:rFonts w:ascii="Arial" w:hAnsi="Arial" w:cs="Arial" w:eastAsia="Arial" w:hint="default"/>
                <w:spacing w:val="-5"/>
                <w:sz w:val="21"/>
                <w:szCs w:val="21"/>
              </w:rPr>
              <w:t> </w:t>
            </w:r>
            <w:r>
              <w:rPr>
                <w:rFonts w:ascii="宋体" w:hAnsi="宋体" w:cs="宋体" w:eastAsia="宋体" w:hint="default"/>
                <w:spacing w:val="-1"/>
                <w:w w:val="99"/>
                <w:sz w:val="21"/>
                <w:szCs w:val="21"/>
              </w:rPr>
              <w:t>股</w:t>
            </w:r>
            <w:r>
              <w:rPr>
                <w:rFonts w:ascii="宋体" w:hAnsi="宋体" w:cs="宋体" w:eastAsia="宋体" w:hint="default"/>
                <w:spacing w:val="2"/>
                <w:w w:val="99"/>
                <w:sz w:val="21"/>
                <w:szCs w:val="21"/>
              </w:rPr>
              <w:t>派</w:t>
            </w:r>
            <w:r>
              <w:rPr>
                <w:rFonts w:ascii="宋体" w:hAnsi="宋体" w:cs="宋体" w:eastAsia="宋体" w:hint="default"/>
                <w:spacing w:val="-1"/>
                <w:w w:val="99"/>
                <w:sz w:val="21"/>
                <w:szCs w:val="21"/>
              </w:rPr>
              <w:t>息</w:t>
            </w:r>
            <w:r>
              <w:rPr>
                <w:rFonts w:ascii="宋体" w:hAnsi="宋体" w:cs="宋体" w:eastAsia="宋体" w:hint="default"/>
                <w:spacing w:val="2"/>
                <w:w w:val="99"/>
                <w:sz w:val="21"/>
                <w:szCs w:val="21"/>
              </w:rPr>
              <w:t>数</w:t>
            </w: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元</w:t>
            </w:r>
            <w:r>
              <w:rPr>
                <w:rFonts w:ascii="宋体" w:hAnsi="宋体" w:cs="宋体" w:eastAsia="宋体" w:hint="default"/>
                <w:spacing w:val="-104"/>
                <w:w w:val="99"/>
                <w:sz w:val="21"/>
                <w:szCs w:val="21"/>
              </w:rPr>
              <w:t>）</w:t>
            </w: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含</w:t>
            </w:r>
            <w:r>
              <w:rPr>
                <w:rFonts w:ascii="宋体" w:hAnsi="宋体" w:cs="宋体" w:eastAsia="宋体" w:hint="default"/>
                <w:spacing w:val="-1"/>
                <w:w w:val="99"/>
                <w:sz w:val="21"/>
                <w:szCs w:val="21"/>
              </w:rPr>
              <w:t>税</w:t>
            </w:r>
            <w:r>
              <w:rPr>
                <w:rFonts w:ascii="宋体" w:hAnsi="宋体" w:cs="宋体" w:eastAsia="宋体" w:hint="default"/>
                <w:w w:val="99"/>
                <w:sz w:val="21"/>
                <w:szCs w:val="21"/>
              </w:rPr>
              <w:t>）</w:t>
            </w:r>
            <w:r>
              <w:rPr>
                <w:rFonts w:ascii="宋体" w:hAnsi="宋体" w:cs="宋体" w:eastAsia="宋体" w:hint="default"/>
                <w:sz w:val="21"/>
                <w:szCs w:val="21"/>
              </w:rPr>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Arial" w:hAnsi="Arial" w:cs="Arial" w:eastAsia="Arial" w:hint="default"/>
                <w:sz w:val="21"/>
                <w:szCs w:val="21"/>
              </w:rPr>
            </w:pPr>
            <w:r>
              <w:rPr>
                <w:rFonts w:ascii="Arial"/>
                <w:spacing w:val="-1"/>
                <w:sz w:val="21"/>
              </w:rPr>
              <w:t>0.66</w:t>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7"/>
                <w:sz w:val="21"/>
                <w:szCs w:val="21"/>
              </w:rPr>
              <w:t> </w:t>
            </w:r>
            <w:r>
              <w:rPr>
                <w:rFonts w:ascii="Arial" w:hAnsi="Arial" w:cs="Arial" w:eastAsia="Arial" w:hint="default"/>
                <w:sz w:val="21"/>
                <w:szCs w:val="21"/>
              </w:rPr>
              <w:t>10</w:t>
            </w:r>
            <w:r>
              <w:rPr>
                <w:rFonts w:ascii="Arial" w:hAnsi="Arial" w:cs="Arial" w:eastAsia="Arial" w:hint="default"/>
                <w:spacing w:val="-9"/>
                <w:sz w:val="21"/>
                <w:szCs w:val="21"/>
              </w:rPr>
              <w:t> </w:t>
            </w:r>
            <w:r>
              <w:rPr>
                <w:rFonts w:ascii="宋体" w:hAnsi="宋体" w:cs="宋体" w:eastAsia="宋体" w:hint="default"/>
                <w:sz w:val="21"/>
                <w:szCs w:val="21"/>
              </w:rPr>
              <w:t>股转增数（股）</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w w:val="99"/>
                <w:sz w:val="21"/>
              </w:rPr>
              <w:t>0</w:t>
            </w:r>
            <w:r>
              <w:rPr>
                <w:rFonts w:ascii="Arial"/>
                <w:sz w:val="21"/>
              </w:rPr>
            </w:r>
          </w:p>
        </w:tc>
      </w:tr>
      <w:tr>
        <w:trPr>
          <w:trHeight w:val="400" w:hRule="exact"/>
        </w:trPr>
        <w:tc>
          <w:tcPr>
            <w:tcW w:w="5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分配预案的股本基数（股）</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6"/>
              <w:jc w:val="right"/>
              <w:rPr>
                <w:rFonts w:ascii="Arial" w:hAnsi="Arial" w:cs="Arial" w:eastAsia="Arial" w:hint="default"/>
                <w:sz w:val="21"/>
                <w:szCs w:val="21"/>
              </w:rPr>
            </w:pPr>
            <w:r>
              <w:rPr>
                <w:rFonts w:ascii="Arial"/>
                <w:w w:val="95"/>
                <w:sz w:val="21"/>
              </w:rPr>
              <w:t>754,491,460</w:t>
            </w:r>
            <w:r>
              <w:rPr>
                <w:rFonts w:ascii="Arial"/>
                <w:sz w:val="21"/>
              </w:rPr>
            </w:r>
          </w:p>
        </w:tc>
      </w:tr>
    </w:tbl>
    <w:p>
      <w:pPr>
        <w:spacing w:after="0" w:line="240" w:lineRule="auto"/>
        <w:jc w:val="right"/>
        <w:rPr>
          <w:rFonts w:ascii="Arial" w:hAnsi="Arial" w:cs="Arial" w:eastAsia="Arial" w:hint="default"/>
          <w:sz w:val="21"/>
          <w:szCs w:val="21"/>
        </w:rPr>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5812"/>
        <w:gridCol w:w="3756"/>
      </w:tblGrid>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pacing w:val="-1"/>
                <w:w w:val="99"/>
                <w:sz w:val="21"/>
                <w:szCs w:val="21"/>
              </w:rPr>
              <w:t>现</w:t>
            </w:r>
            <w:r>
              <w:rPr>
                <w:rFonts w:ascii="宋体" w:hAnsi="宋体" w:cs="宋体" w:eastAsia="宋体" w:hint="default"/>
                <w:spacing w:val="2"/>
                <w:w w:val="99"/>
                <w:sz w:val="21"/>
                <w:szCs w:val="21"/>
              </w:rPr>
              <w:t>金</w:t>
            </w:r>
            <w:r>
              <w:rPr>
                <w:rFonts w:ascii="宋体" w:hAnsi="宋体" w:cs="宋体" w:eastAsia="宋体" w:hint="default"/>
                <w:spacing w:val="-1"/>
                <w:w w:val="99"/>
                <w:sz w:val="21"/>
                <w:szCs w:val="21"/>
              </w:rPr>
              <w:t>分</w:t>
            </w:r>
            <w:r>
              <w:rPr>
                <w:rFonts w:ascii="宋体" w:hAnsi="宋体" w:cs="宋体" w:eastAsia="宋体" w:hint="default"/>
                <w:spacing w:val="2"/>
                <w:w w:val="99"/>
                <w:sz w:val="21"/>
                <w:szCs w:val="21"/>
              </w:rPr>
              <w:t>红</w:t>
            </w:r>
            <w:r>
              <w:rPr>
                <w:rFonts w:ascii="宋体" w:hAnsi="宋体" w:cs="宋体" w:eastAsia="宋体" w:hint="default"/>
                <w:spacing w:val="-1"/>
                <w:w w:val="99"/>
                <w:sz w:val="21"/>
                <w:szCs w:val="21"/>
              </w:rPr>
              <w:t>金</w:t>
            </w:r>
            <w:r>
              <w:rPr>
                <w:rFonts w:ascii="宋体" w:hAnsi="宋体" w:cs="宋体" w:eastAsia="宋体" w:hint="default"/>
                <w:spacing w:val="2"/>
                <w:w w:val="99"/>
                <w:sz w:val="21"/>
                <w:szCs w:val="21"/>
              </w:rPr>
              <w:t>额</w:t>
            </w: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元</w:t>
            </w:r>
            <w:r>
              <w:rPr>
                <w:rFonts w:ascii="宋体" w:hAnsi="宋体" w:cs="宋体" w:eastAsia="宋体" w:hint="default"/>
                <w:spacing w:val="-104"/>
                <w:w w:val="99"/>
                <w:sz w:val="21"/>
                <w:szCs w:val="21"/>
              </w:rPr>
              <w:t>）</w:t>
            </w: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含</w:t>
            </w:r>
            <w:r>
              <w:rPr>
                <w:rFonts w:ascii="宋体" w:hAnsi="宋体" w:cs="宋体" w:eastAsia="宋体" w:hint="default"/>
                <w:spacing w:val="-1"/>
                <w:w w:val="99"/>
                <w:sz w:val="21"/>
                <w:szCs w:val="21"/>
              </w:rPr>
              <w:t>税</w:t>
            </w:r>
            <w:r>
              <w:rPr>
                <w:rFonts w:ascii="宋体" w:hAnsi="宋体" w:cs="宋体" w:eastAsia="宋体" w:hint="default"/>
                <w:w w:val="99"/>
                <w:sz w:val="21"/>
                <w:szCs w:val="21"/>
              </w:rPr>
              <w:t>）</w:t>
            </w:r>
            <w:r>
              <w:rPr>
                <w:rFonts w:ascii="宋体" w:hAnsi="宋体" w:cs="宋体" w:eastAsia="宋体" w:hint="default"/>
                <w:sz w:val="21"/>
                <w:szCs w:val="21"/>
              </w:rPr>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Arial" w:hAnsi="Arial" w:cs="Arial" w:eastAsia="Arial" w:hint="default"/>
                <w:sz w:val="21"/>
                <w:szCs w:val="21"/>
              </w:rPr>
            </w:pPr>
            <w:r>
              <w:rPr>
                <w:rFonts w:ascii="Arial"/>
                <w:w w:val="95"/>
                <w:sz w:val="21"/>
              </w:rPr>
              <w:t>49,796,436.36</w:t>
            </w:r>
            <w:r>
              <w:rPr>
                <w:rFonts w:ascii="Arial"/>
                <w:sz w:val="21"/>
              </w:rPr>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以其他方式（如回购股份）现金分红金额（元）</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Arial" w:hAnsi="Arial" w:cs="Arial" w:eastAsia="Arial" w:hint="default"/>
                <w:sz w:val="21"/>
                <w:szCs w:val="21"/>
              </w:rPr>
            </w:pPr>
            <w:r>
              <w:rPr>
                <w:rFonts w:ascii="Arial"/>
                <w:spacing w:val="-1"/>
                <w:sz w:val="21"/>
              </w:rPr>
              <w:t>0.00</w:t>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pacing w:val="-1"/>
                <w:w w:val="99"/>
                <w:sz w:val="21"/>
                <w:szCs w:val="21"/>
              </w:rPr>
              <w:t>现</w:t>
            </w:r>
            <w:r>
              <w:rPr>
                <w:rFonts w:ascii="宋体" w:hAnsi="宋体" w:cs="宋体" w:eastAsia="宋体" w:hint="default"/>
                <w:spacing w:val="2"/>
                <w:w w:val="99"/>
                <w:sz w:val="21"/>
                <w:szCs w:val="21"/>
              </w:rPr>
              <w:t>金</w:t>
            </w:r>
            <w:r>
              <w:rPr>
                <w:rFonts w:ascii="宋体" w:hAnsi="宋体" w:cs="宋体" w:eastAsia="宋体" w:hint="default"/>
                <w:spacing w:val="-1"/>
                <w:w w:val="99"/>
                <w:sz w:val="21"/>
                <w:szCs w:val="21"/>
              </w:rPr>
              <w:t>分</w:t>
            </w:r>
            <w:r>
              <w:rPr>
                <w:rFonts w:ascii="宋体" w:hAnsi="宋体" w:cs="宋体" w:eastAsia="宋体" w:hint="default"/>
                <w:spacing w:val="2"/>
                <w:w w:val="99"/>
                <w:sz w:val="21"/>
                <w:szCs w:val="21"/>
              </w:rPr>
              <w:t>红</w:t>
            </w:r>
            <w:r>
              <w:rPr>
                <w:rFonts w:ascii="宋体" w:hAnsi="宋体" w:cs="宋体" w:eastAsia="宋体" w:hint="default"/>
                <w:spacing w:val="-1"/>
                <w:w w:val="99"/>
                <w:sz w:val="21"/>
                <w:szCs w:val="21"/>
              </w:rPr>
              <w:t>总</w:t>
            </w:r>
            <w:r>
              <w:rPr>
                <w:rFonts w:ascii="宋体" w:hAnsi="宋体" w:cs="宋体" w:eastAsia="宋体" w:hint="default"/>
                <w:spacing w:val="2"/>
                <w:w w:val="99"/>
                <w:sz w:val="21"/>
                <w:szCs w:val="21"/>
              </w:rPr>
              <w:t>额</w:t>
            </w: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含</w:t>
            </w:r>
            <w:r>
              <w:rPr>
                <w:rFonts w:ascii="宋体" w:hAnsi="宋体" w:cs="宋体" w:eastAsia="宋体" w:hint="default"/>
                <w:spacing w:val="-1"/>
                <w:w w:val="99"/>
                <w:sz w:val="21"/>
                <w:szCs w:val="21"/>
              </w:rPr>
              <w:t>其</w:t>
            </w:r>
            <w:r>
              <w:rPr>
                <w:rFonts w:ascii="宋体" w:hAnsi="宋体" w:cs="宋体" w:eastAsia="宋体" w:hint="default"/>
                <w:spacing w:val="2"/>
                <w:w w:val="99"/>
                <w:sz w:val="21"/>
                <w:szCs w:val="21"/>
              </w:rPr>
              <w:t>他</w:t>
            </w:r>
            <w:r>
              <w:rPr>
                <w:rFonts w:ascii="宋体" w:hAnsi="宋体" w:cs="宋体" w:eastAsia="宋体" w:hint="default"/>
                <w:spacing w:val="-1"/>
                <w:w w:val="99"/>
                <w:sz w:val="21"/>
                <w:szCs w:val="21"/>
              </w:rPr>
              <w:t>方</w:t>
            </w:r>
            <w:r>
              <w:rPr>
                <w:rFonts w:ascii="宋体" w:hAnsi="宋体" w:cs="宋体" w:eastAsia="宋体" w:hint="default"/>
                <w:spacing w:val="2"/>
                <w:w w:val="99"/>
                <w:sz w:val="21"/>
                <w:szCs w:val="21"/>
              </w:rPr>
              <w:t>式</w:t>
            </w:r>
            <w:r>
              <w:rPr>
                <w:rFonts w:ascii="宋体" w:hAnsi="宋体" w:cs="宋体" w:eastAsia="宋体" w:hint="default"/>
                <w:spacing w:val="-104"/>
                <w:w w:val="99"/>
                <w:sz w:val="21"/>
                <w:szCs w:val="21"/>
              </w:rPr>
              <w:t>）</w:t>
            </w: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元</w:t>
            </w:r>
            <w:r>
              <w:rPr>
                <w:rFonts w:ascii="宋体" w:hAnsi="宋体" w:cs="宋体" w:eastAsia="宋体" w:hint="default"/>
                <w:w w:val="99"/>
                <w:sz w:val="21"/>
                <w:szCs w:val="21"/>
              </w:rPr>
              <w:t>）</w:t>
            </w:r>
            <w:r>
              <w:rPr>
                <w:rFonts w:ascii="宋体" w:hAnsi="宋体" w:cs="宋体" w:eastAsia="宋体" w:hint="default"/>
                <w:sz w:val="21"/>
                <w:szCs w:val="21"/>
              </w:rPr>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Arial" w:hAnsi="Arial" w:cs="Arial" w:eastAsia="Arial" w:hint="default"/>
                <w:sz w:val="21"/>
                <w:szCs w:val="21"/>
              </w:rPr>
            </w:pPr>
            <w:r>
              <w:rPr>
                <w:rFonts w:ascii="Arial"/>
                <w:w w:val="95"/>
                <w:sz w:val="21"/>
              </w:rPr>
              <w:t>49,796,436.36</w:t>
            </w:r>
            <w:r>
              <w:rPr>
                <w:rFonts w:ascii="Arial"/>
                <w:sz w:val="21"/>
              </w:rPr>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可分配利润（元）</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4"/>
              <w:jc w:val="right"/>
              <w:rPr>
                <w:rFonts w:ascii="Arial" w:hAnsi="Arial" w:cs="Arial" w:eastAsia="Arial" w:hint="default"/>
                <w:sz w:val="21"/>
                <w:szCs w:val="21"/>
              </w:rPr>
            </w:pPr>
            <w:r>
              <w:rPr>
                <w:rFonts w:ascii="Arial"/>
                <w:w w:val="95"/>
                <w:sz w:val="21"/>
              </w:rPr>
              <w:t>259,152,497.66</w:t>
            </w:r>
            <w:r>
              <w:rPr>
                <w:rFonts w:ascii="Arial"/>
                <w:sz w:val="21"/>
              </w:rPr>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现金分红总额（含其他方式）占利润分配总额的比例</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w w:val="95"/>
                <w:sz w:val="21"/>
              </w:rPr>
              <w:t>100.00%</w:t>
            </w:r>
            <w:r>
              <w:rPr>
                <w:rFonts w:ascii="Arial"/>
                <w:sz w:val="21"/>
              </w:rPr>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 w:right="1"/>
              <w:jc w:val="center"/>
              <w:rPr>
                <w:rFonts w:ascii="宋体" w:hAnsi="宋体" w:cs="宋体" w:eastAsia="宋体" w:hint="default"/>
                <w:sz w:val="21"/>
                <w:szCs w:val="21"/>
              </w:rPr>
            </w:pPr>
            <w:r>
              <w:rPr>
                <w:rFonts w:ascii="宋体" w:hAnsi="宋体" w:cs="宋体" w:eastAsia="宋体" w:hint="default"/>
                <w:sz w:val="21"/>
                <w:szCs w:val="21"/>
              </w:rPr>
              <w:t>本次现金分红情况</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84"/>
              <w:jc w:val="left"/>
              <w:rPr>
                <w:rFonts w:ascii="宋体" w:hAnsi="宋体" w:cs="宋体" w:eastAsia="宋体" w:hint="default"/>
                <w:sz w:val="21"/>
                <w:szCs w:val="21"/>
              </w:rPr>
            </w:pPr>
            <w:r>
              <w:rPr>
                <w:rFonts w:ascii="宋体" w:hAnsi="宋体" w:cs="宋体" w:eastAsia="宋体" w:hint="default"/>
                <w:sz w:val="21"/>
                <w:szCs w:val="21"/>
              </w:rPr>
              <w:t>公司发展阶段属成长期且有重大资金支出安排的，进行利润分配时，现金分红在本次利润分配中所占比</w:t>
            </w:r>
            <w:r>
              <w:rPr>
                <w:rFonts w:ascii="宋体" w:hAnsi="宋体" w:cs="宋体" w:eastAsia="宋体" w:hint="default"/>
                <w:w w:val="99"/>
                <w:sz w:val="21"/>
                <w:szCs w:val="21"/>
              </w:rPr>
              <w:t> </w:t>
            </w:r>
            <w:r>
              <w:rPr>
                <w:rFonts w:ascii="宋体" w:hAnsi="宋体" w:cs="宋体" w:eastAsia="宋体" w:hint="default"/>
                <w:sz w:val="21"/>
                <w:szCs w:val="21"/>
              </w:rPr>
              <w:t>例最低应达到</w:t>
            </w:r>
            <w:r>
              <w:rPr>
                <w:rFonts w:ascii="宋体" w:hAnsi="宋体" w:cs="宋体" w:eastAsia="宋体" w:hint="default"/>
                <w:spacing w:val="-58"/>
                <w:sz w:val="21"/>
                <w:szCs w:val="21"/>
              </w:rPr>
              <w:t> </w:t>
            </w:r>
            <w:r>
              <w:rPr>
                <w:rFonts w:ascii="Arial" w:hAnsi="Arial" w:cs="Arial" w:eastAsia="Arial" w:hint="default"/>
                <w:sz w:val="21"/>
                <w:szCs w:val="21"/>
              </w:rPr>
              <w:t>20</w:t>
            </w:r>
            <w:r>
              <w:rPr>
                <w:rFonts w:ascii="宋体" w:hAnsi="宋体" w:cs="宋体" w:eastAsia="宋体" w:hint="default"/>
                <w:sz w:val="21"/>
                <w:szCs w:val="21"/>
              </w:rPr>
              <w:t>％</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574" w:right="0"/>
              <w:jc w:val="left"/>
              <w:rPr>
                <w:rFonts w:ascii="宋体" w:hAnsi="宋体" w:cs="宋体" w:eastAsia="宋体" w:hint="default"/>
                <w:sz w:val="21"/>
                <w:szCs w:val="21"/>
              </w:rPr>
            </w:pPr>
            <w:r>
              <w:rPr>
                <w:rFonts w:ascii="宋体" w:hAnsi="宋体" w:cs="宋体" w:eastAsia="宋体" w:hint="default"/>
                <w:sz w:val="21"/>
                <w:szCs w:val="21"/>
              </w:rPr>
              <w:t>利润分配或资本公积金转增预案的详细情况说明</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59" w:lineRule="auto" w:before="27"/>
              <w:ind w:left="22" w:right="125"/>
              <w:jc w:val="left"/>
              <w:rPr>
                <w:rFonts w:ascii="宋体" w:hAnsi="宋体" w:cs="宋体" w:eastAsia="宋体" w:hint="default"/>
                <w:sz w:val="21"/>
                <w:szCs w:val="21"/>
              </w:rPr>
            </w:pPr>
            <w:r>
              <w:rPr>
                <w:rFonts w:ascii="宋体" w:hAnsi="宋体" w:cs="宋体" w:eastAsia="宋体" w:hint="default"/>
                <w:sz w:val="21"/>
                <w:szCs w:val="21"/>
              </w:rPr>
              <w:t>以截止</w:t>
            </w:r>
            <w:r>
              <w:rPr>
                <w:rFonts w:ascii="宋体" w:hAnsi="宋体" w:cs="宋体" w:eastAsia="宋体" w:hint="default"/>
                <w:spacing w:val="-56"/>
                <w:sz w:val="21"/>
                <w:szCs w:val="21"/>
              </w:rPr>
              <w:t> </w:t>
            </w:r>
            <w:r>
              <w:rPr>
                <w:rFonts w:ascii="Arial" w:hAnsi="Arial" w:cs="Arial" w:eastAsia="Arial" w:hint="default"/>
                <w:sz w:val="21"/>
                <w:szCs w:val="21"/>
              </w:rPr>
              <w:t>2018</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日股本</w:t>
            </w:r>
            <w:r>
              <w:rPr>
                <w:rFonts w:ascii="宋体" w:hAnsi="宋体" w:cs="宋体" w:eastAsia="宋体" w:hint="default"/>
                <w:spacing w:val="-56"/>
                <w:sz w:val="21"/>
                <w:szCs w:val="21"/>
              </w:rPr>
              <w:t> </w:t>
            </w:r>
            <w:r>
              <w:rPr>
                <w:rFonts w:ascii="Arial" w:hAnsi="Arial" w:cs="Arial" w:eastAsia="Arial" w:hint="default"/>
                <w:sz w:val="21"/>
                <w:szCs w:val="21"/>
              </w:rPr>
              <w:t>754,491,460</w:t>
            </w:r>
            <w:r>
              <w:rPr>
                <w:rFonts w:ascii="Arial" w:hAnsi="Arial" w:cs="Arial" w:eastAsia="Arial" w:hint="default"/>
                <w:spacing w:val="-5"/>
                <w:sz w:val="21"/>
                <w:szCs w:val="21"/>
              </w:rPr>
              <w:t> </w:t>
            </w:r>
            <w:r>
              <w:rPr>
                <w:rFonts w:ascii="宋体" w:hAnsi="宋体" w:cs="宋体" w:eastAsia="宋体" w:hint="default"/>
                <w:sz w:val="21"/>
                <w:szCs w:val="21"/>
              </w:rPr>
              <w:t>为基数，向全体股东按每</w:t>
            </w:r>
            <w:r>
              <w:rPr>
                <w:rFonts w:ascii="宋体" w:hAnsi="宋体" w:cs="宋体" w:eastAsia="宋体" w:hint="default"/>
                <w:spacing w:val="-5"/>
                <w:sz w:val="21"/>
                <w:szCs w:val="21"/>
              </w:rPr>
              <w:t> </w:t>
            </w:r>
            <w:r>
              <w:rPr>
                <w:rFonts w:ascii="Arial" w:hAnsi="Arial" w:cs="Arial" w:eastAsia="Arial" w:hint="default"/>
                <w:sz w:val="21"/>
                <w:szCs w:val="21"/>
              </w:rPr>
              <w:t>10</w:t>
            </w:r>
            <w:r>
              <w:rPr>
                <w:rFonts w:ascii="Arial" w:hAnsi="Arial" w:cs="Arial" w:eastAsia="Arial" w:hint="default"/>
                <w:spacing w:val="43"/>
                <w:sz w:val="21"/>
                <w:szCs w:val="21"/>
              </w:rPr>
              <w:t> </w:t>
            </w:r>
            <w:r>
              <w:rPr>
                <w:rFonts w:ascii="宋体" w:hAnsi="宋体" w:cs="宋体" w:eastAsia="宋体" w:hint="default"/>
                <w:sz w:val="21"/>
                <w:szCs w:val="21"/>
              </w:rPr>
              <w:t>股派发现金股利</w:t>
            </w:r>
            <w:r>
              <w:rPr>
                <w:rFonts w:ascii="宋体" w:hAnsi="宋体" w:cs="宋体" w:eastAsia="宋体" w:hint="default"/>
                <w:spacing w:val="-5"/>
                <w:sz w:val="21"/>
                <w:szCs w:val="21"/>
              </w:rPr>
              <w:t> </w:t>
            </w:r>
            <w:r>
              <w:rPr>
                <w:rFonts w:ascii="Arial" w:hAnsi="Arial" w:cs="Arial" w:eastAsia="Arial" w:hint="default"/>
                <w:sz w:val="21"/>
                <w:szCs w:val="21"/>
              </w:rPr>
              <w:t>0.66</w:t>
            </w:r>
            <w:r>
              <w:rPr>
                <w:rFonts w:ascii="Arial" w:hAnsi="Arial" w:cs="Arial" w:eastAsia="Arial" w:hint="default"/>
                <w:spacing w:val="-8"/>
                <w:sz w:val="21"/>
                <w:szCs w:val="21"/>
              </w:rPr>
              <w:t> </w:t>
            </w:r>
            <w:r>
              <w:rPr>
                <w:rFonts w:ascii="宋体" w:hAnsi="宋体" w:cs="宋体" w:eastAsia="宋体" w:hint="default"/>
                <w:sz w:val="21"/>
                <w:szCs w:val="21"/>
              </w:rPr>
              <w:t>元人</w:t>
            </w:r>
            <w:r>
              <w:rPr>
                <w:rFonts w:ascii="宋体" w:hAnsi="宋体" w:cs="宋体" w:eastAsia="宋体" w:hint="default"/>
                <w:w w:val="99"/>
                <w:sz w:val="21"/>
                <w:szCs w:val="21"/>
              </w:rPr>
              <w:t> </w:t>
            </w:r>
            <w:r>
              <w:rPr>
                <w:rFonts w:ascii="宋体" w:hAnsi="宋体" w:cs="宋体" w:eastAsia="宋体" w:hint="default"/>
                <w:spacing w:val="-15"/>
                <w:w w:val="99"/>
                <w:sz w:val="21"/>
                <w:szCs w:val="21"/>
              </w:rPr>
              <w:t>民币（含税）。</w:t>
            </w:r>
            <w:r>
              <w:rPr>
                <w:rFonts w:ascii="宋体" w:hAnsi="宋体" w:cs="宋体" w:eastAsia="宋体" w:hint="default"/>
                <w:spacing w:val="-15"/>
                <w:sz w:val="21"/>
                <w:szCs w:val="21"/>
              </w:rPr>
            </w:r>
          </w:p>
        </w:tc>
      </w:tr>
    </w:tbl>
    <w:p>
      <w:pPr>
        <w:pStyle w:val="Heading3"/>
        <w:spacing w:line="312" w:lineRule="exact" w:before="33"/>
        <w:ind w:right="1121"/>
        <w:jc w:val="left"/>
      </w:pPr>
      <w:r>
        <w:rPr/>
        <w:t>公司近</w:t>
      </w:r>
      <w:r>
        <w:rPr>
          <w:spacing w:val="-60"/>
        </w:rPr>
        <w:t> </w:t>
      </w:r>
      <w:r>
        <w:rPr>
          <w:rFonts w:ascii="Arial" w:hAnsi="Arial" w:cs="Arial" w:eastAsia="Arial" w:hint="default"/>
          <w:w w:val="99"/>
        </w:rPr>
        <w:t>3</w:t>
      </w:r>
      <w:r>
        <w:rPr>
          <w:rFonts w:ascii="Arial" w:hAnsi="Arial" w:cs="Arial" w:eastAsia="Arial" w:hint="default"/>
          <w:spacing w:val="-6"/>
          <w:w w:val="99"/>
        </w:rPr>
        <w:t> </w:t>
      </w:r>
      <w:r>
        <w:rPr>
          <w:spacing w:val="-6"/>
        </w:rPr>
        <w:t>年（包括本报告期）的普通股股利分配方案（预案）、资本公积金转增股本方案（预</w:t>
      </w:r>
      <w:r>
        <w:rPr/>
        <w:t> 案）情况</w:t>
      </w:r>
    </w:p>
    <w:p>
      <w:pPr>
        <w:pStyle w:val="Heading3"/>
        <w:spacing w:line="259" w:lineRule="auto" w:before="31"/>
        <w:ind w:right="996" w:firstLine="480"/>
        <w:jc w:val="left"/>
      </w:pPr>
      <w:r>
        <w:rPr>
          <w:spacing w:val="-2"/>
        </w:rPr>
        <w:t>（</w:t>
      </w:r>
      <w:r>
        <w:rPr>
          <w:rFonts w:ascii="Arial" w:hAnsi="Arial" w:cs="Arial" w:eastAsia="Arial" w:hint="default"/>
          <w:spacing w:val="-2"/>
        </w:rPr>
        <w:t>1</w:t>
      </w:r>
      <w:r>
        <w:rPr>
          <w:spacing w:val="-2"/>
        </w:rPr>
        <w:t>）</w:t>
      </w:r>
      <w:r>
        <w:rPr>
          <w:rFonts w:ascii="Arial" w:hAnsi="Arial" w:cs="Arial" w:eastAsia="Arial" w:hint="default"/>
          <w:spacing w:val="-2"/>
        </w:rPr>
        <w:t>2017</w:t>
      </w:r>
      <w:r>
        <w:rPr>
          <w:spacing w:val="-2"/>
        </w:rPr>
        <w:t>年</w:t>
      </w:r>
      <w:r>
        <w:rPr>
          <w:rFonts w:ascii="Arial" w:hAnsi="Arial" w:cs="Arial" w:eastAsia="Arial" w:hint="default"/>
          <w:spacing w:val="-2"/>
        </w:rPr>
        <w:t>4</w:t>
      </w:r>
      <w:r>
        <w:rPr>
          <w:spacing w:val="-2"/>
        </w:rPr>
        <w:t>月</w:t>
      </w:r>
      <w:r>
        <w:rPr>
          <w:rFonts w:ascii="Arial" w:hAnsi="Arial" w:cs="Arial" w:eastAsia="Arial" w:hint="default"/>
          <w:spacing w:val="-2"/>
        </w:rPr>
        <w:t>10</w:t>
      </w:r>
      <w:r>
        <w:rPr>
          <w:spacing w:val="-2"/>
        </w:rPr>
        <w:t>日，公司</w:t>
      </w:r>
      <w:r>
        <w:rPr>
          <w:rFonts w:ascii="Arial" w:hAnsi="Arial" w:cs="Arial" w:eastAsia="Arial" w:hint="default"/>
          <w:spacing w:val="-2"/>
        </w:rPr>
        <w:t>2016</w:t>
      </w:r>
      <w:r>
        <w:rPr>
          <w:spacing w:val="-2"/>
        </w:rPr>
        <w:t>年年度股东大会审议通过《</w:t>
      </w:r>
      <w:r>
        <w:rPr>
          <w:rFonts w:ascii="Arial" w:hAnsi="Arial" w:cs="Arial" w:eastAsia="Arial" w:hint="default"/>
          <w:spacing w:val="-2"/>
        </w:rPr>
        <w:t>2016</w:t>
      </w:r>
      <w:r>
        <w:rPr>
          <w:spacing w:val="-2"/>
        </w:rPr>
        <w:t>年度利润分配方案》，</w:t>
      </w:r>
      <w:r>
        <w:rPr/>
        <w:t> 拟以截止</w:t>
      </w:r>
      <w:r>
        <w:rPr>
          <w:rFonts w:ascii="Arial" w:hAnsi="Arial" w:cs="Arial" w:eastAsia="Arial" w:hint="default"/>
        </w:rPr>
        <w:t>2016</w:t>
      </w:r>
      <w:r>
        <w:rPr/>
        <w:t>年</w:t>
      </w:r>
      <w:r>
        <w:rPr>
          <w:rFonts w:ascii="Arial" w:hAnsi="Arial" w:cs="Arial" w:eastAsia="Arial" w:hint="default"/>
        </w:rPr>
        <w:t>12</w:t>
      </w:r>
      <w:r>
        <w:rPr/>
        <w:t>月</w:t>
      </w:r>
      <w:r>
        <w:rPr>
          <w:rFonts w:ascii="Arial" w:hAnsi="Arial" w:cs="Arial" w:eastAsia="Arial" w:hint="default"/>
        </w:rPr>
        <w:t>31</w:t>
      </w:r>
      <w:r>
        <w:rPr/>
        <w:t>日公司总股本</w:t>
      </w:r>
      <w:r>
        <w:rPr>
          <w:rFonts w:ascii="Arial" w:hAnsi="Arial" w:cs="Arial" w:eastAsia="Arial" w:hint="default"/>
        </w:rPr>
        <w:t>644,482,388</w:t>
      </w:r>
      <w:r>
        <w:rPr/>
        <w:t>股为基数，向全体股东按每</w:t>
      </w:r>
      <w:r>
        <w:rPr>
          <w:rFonts w:ascii="Arial" w:hAnsi="Arial" w:cs="Arial" w:eastAsia="Arial" w:hint="default"/>
        </w:rPr>
        <w:t>10</w:t>
      </w:r>
      <w:r>
        <w:rPr/>
        <w:t>股派发现金 股利</w:t>
      </w:r>
      <w:r>
        <w:rPr>
          <w:rFonts w:ascii="Arial" w:hAnsi="Arial" w:cs="Arial" w:eastAsia="Arial" w:hint="default"/>
        </w:rPr>
        <w:t>0.5</w:t>
      </w:r>
      <w:r>
        <w:rPr/>
        <w:t>元人民币（含税）。</w:t>
      </w:r>
    </w:p>
    <w:p>
      <w:pPr>
        <w:pStyle w:val="Heading3"/>
        <w:spacing w:line="259" w:lineRule="auto" w:before="7"/>
        <w:ind w:right="1141" w:firstLine="480"/>
        <w:jc w:val="both"/>
      </w:pPr>
      <w:r>
        <w:rPr/>
        <w:t>（</w:t>
      </w:r>
      <w:r>
        <w:rPr>
          <w:rFonts w:ascii="Arial" w:hAnsi="Arial" w:cs="Arial" w:eastAsia="Arial" w:hint="default"/>
        </w:rPr>
        <w:t>2</w:t>
      </w:r>
      <w:r>
        <w:rPr/>
        <w:t>）</w:t>
      </w:r>
      <w:r>
        <w:rPr>
          <w:rFonts w:ascii="Arial" w:hAnsi="Arial" w:cs="Arial" w:eastAsia="Arial" w:hint="default"/>
        </w:rPr>
        <w:t>2018</w:t>
      </w:r>
      <w:r>
        <w:rPr/>
        <w:t>年</w:t>
      </w:r>
      <w:r>
        <w:rPr>
          <w:rFonts w:ascii="Arial" w:hAnsi="Arial" w:cs="Arial" w:eastAsia="Arial" w:hint="default"/>
        </w:rPr>
        <w:t>4</w:t>
      </w:r>
      <w:r>
        <w:rPr/>
        <w:t>月</w:t>
      </w:r>
      <w:r>
        <w:rPr>
          <w:rFonts w:ascii="Arial" w:hAnsi="Arial" w:cs="Arial" w:eastAsia="Arial" w:hint="default"/>
        </w:rPr>
        <w:t>8</w:t>
      </w:r>
      <w:r>
        <w:rPr/>
        <w:t>日，公司第六届董事会第二十七次会议审议通过《</w:t>
      </w:r>
      <w:r>
        <w:rPr>
          <w:rFonts w:ascii="Arial" w:hAnsi="Arial" w:cs="Arial" w:eastAsia="Arial" w:hint="default"/>
        </w:rPr>
        <w:t>2017</w:t>
      </w:r>
      <w:r>
        <w:rPr/>
        <w:t>年度利润分配 方案》，拟以截止</w:t>
      </w:r>
      <w:r>
        <w:rPr>
          <w:rFonts w:ascii="Arial" w:hAnsi="Arial" w:cs="Arial" w:eastAsia="Arial" w:hint="default"/>
        </w:rPr>
        <w:t>2017</w:t>
      </w:r>
      <w:r>
        <w:rPr/>
        <w:t>年</w:t>
      </w:r>
      <w:r>
        <w:rPr>
          <w:rFonts w:ascii="Arial" w:hAnsi="Arial" w:cs="Arial" w:eastAsia="Arial" w:hint="default"/>
        </w:rPr>
        <w:t>12</w:t>
      </w:r>
      <w:r>
        <w:rPr/>
        <w:t>月</w:t>
      </w:r>
      <w:r>
        <w:rPr>
          <w:rFonts w:ascii="Arial" w:hAnsi="Arial" w:cs="Arial" w:eastAsia="Arial" w:hint="default"/>
        </w:rPr>
        <w:t>31</w:t>
      </w:r>
      <w:r>
        <w:rPr/>
        <w:t>日公司总股本</w:t>
      </w:r>
      <w:r>
        <w:rPr>
          <w:rFonts w:ascii="Arial" w:hAnsi="Arial" w:cs="Arial" w:eastAsia="Arial" w:hint="default"/>
        </w:rPr>
        <w:t>760,681,176</w:t>
      </w:r>
      <w:r>
        <w:rPr/>
        <w:t>股为基数，向全体股东按每</w:t>
      </w:r>
      <w:r>
        <w:rPr>
          <w:rFonts w:ascii="Arial" w:hAnsi="Arial" w:cs="Arial" w:eastAsia="Arial" w:hint="default"/>
        </w:rPr>
        <w:t>10</w:t>
      </w:r>
      <w:r>
        <w:rPr/>
        <w:t>股 派发现金股利</w:t>
      </w:r>
      <w:r>
        <w:rPr>
          <w:rFonts w:ascii="Arial" w:hAnsi="Arial" w:cs="Arial" w:eastAsia="Arial" w:hint="default"/>
        </w:rPr>
        <w:t>0.5</w:t>
      </w:r>
      <w:r>
        <w:rPr/>
        <w:t>元人民币（含税）。</w:t>
      </w:r>
    </w:p>
    <w:p>
      <w:pPr>
        <w:pStyle w:val="Heading3"/>
        <w:spacing w:line="259" w:lineRule="auto" w:before="7"/>
        <w:ind w:right="1124" w:firstLine="480"/>
        <w:jc w:val="left"/>
      </w:pPr>
      <w:r>
        <w:rPr/>
        <w:t>（</w:t>
      </w:r>
      <w:r>
        <w:rPr>
          <w:rFonts w:ascii="Arial" w:hAnsi="Arial" w:cs="Arial" w:eastAsia="Arial" w:hint="default"/>
        </w:rPr>
        <w:t>3</w:t>
      </w:r>
      <w:r>
        <w:rPr/>
        <w:t>）</w:t>
      </w:r>
      <w:r>
        <w:rPr>
          <w:rFonts w:ascii="Arial" w:hAnsi="Arial" w:cs="Arial" w:eastAsia="Arial" w:hint="default"/>
        </w:rPr>
        <w:t>2019</w:t>
      </w:r>
      <w:r>
        <w:rPr/>
        <w:t>年</w:t>
      </w:r>
      <w:r>
        <w:rPr>
          <w:rFonts w:ascii="Arial" w:hAnsi="Arial" w:cs="Arial" w:eastAsia="Arial" w:hint="default"/>
        </w:rPr>
        <w:t>4</w:t>
      </w:r>
      <w:r>
        <w:rPr/>
        <w:t>月</w:t>
      </w:r>
      <w:r>
        <w:rPr>
          <w:rFonts w:ascii="Arial" w:hAnsi="Arial" w:cs="Arial" w:eastAsia="Arial" w:hint="default"/>
        </w:rPr>
        <w:t>26</w:t>
      </w:r>
      <w:r>
        <w:rPr/>
        <w:t>日，公司第六届董事会第四十二次会议审议通过《</w:t>
      </w:r>
      <w:r>
        <w:rPr>
          <w:rFonts w:ascii="Arial" w:hAnsi="Arial" w:cs="Arial" w:eastAsia="Arial" w:hint="default"/>
        </w:rPr>
        <w:t>2018</w:t>
      </w:r>
      <w:r>
        <w:rPr/>
        <w:t>年度利润分 配方案》，拟以截止</w:t>
      </w:r>
      <w:r>
        <w:rPr>
          <w:rFonts w:ascii="Arial" w:hAnsi="Arial" w:cs="Arial" w:eastAsia="Arial" w:hint="default"/>
        </w:rPr>
        <w:t>2018</w:t>
      </w:r>
      <w:r>
        <w:rPr/>
        <w:t>年</w:t>
      </w:r>
      <w:r>
        <w:rPr>
          <w:rFonts w:ascii="Arial" w:hAnsi="Arial" w:cs="Arial" w:eastAsia="Arial" w:hint="default"/>
        </w:rPr>
        <w:t>12</w:t>
      </w:r>
      <w:r>
        <w:rPr/>
        <w:t>月</w:t>
      </w:r>
      <w:r>
        <w:rPr>
          <w:rFonts w:ascii="Arial" w:hAnsi="Arial" w:cs="Arial" w:eastAsia="Arial" w:hint="default"/>
        </w:rPr>
        <w:t>31</w:t>
      </w:r>
      <w:r>
        <w:rPr/>
        <w:t>日股本</w:t>
      </w:r>
      <w:r>
        <w:rPr>
          <w:rFonts w:ascii="Arial" w:hAnsi="Arial" w:cs="Arial" w:eastAsia="Arial" w:hint="default"/>
        </w:rPr>
        <w:t>754,491,460</w:t>
      </w:r>
      <w:r>
        <w:rPr/>
        <w:t>为基数，向全体股东按每</w:t>
      </w:r>
      <w:r>
        <w:rPr>
          <w:rFonts w:ascii="Arial" w:hAnsi="Arial" w:cs="Arial" w:eastAsia="Arial" w:hint="default"/>
        </w:rPr>
        <w:t>10</w:t>
      </w:r>
      <w:r>
        <w:rPr/>
        <w:t>股派发现 金股利</w:t>
      </w:r>
      <w:r>
        <w:rPr>
          <w:rFonts w:ascii="Arial" w:hAnsi="Arial" w:cs="Arial" w:eastAsia="Arial" w:hint="default"/>
        </w:rPr>
        <w:t>0.66</w:t>
      </w:r>
      <w:r>
        <w:rPr/>
        <w:t>元人民币（含税）。</w:t>
      </w:r>
    </w:p>
    <w:p>
      <w:pPr>
        <w:pStyle w:val="Heading3"/>
        <w:spacing w:line="240" w:lineRule="auto" w:before="21"/>
        <w:ind w:right="996"/>
        <w:jc w:val="left"/>
      </w:pPr>
      <w:r>
        <w:rPr/>
        <w:t>公司近三年（包括本报告期）普通股现金分红情况表</w:t>
      </w:r>
    </w:p>
    <w:p>
      <w:pPr>
        <w:pStyle w:val="BodyText"/>
        <w:spacing w:line="240" w:lineRule="auto" w:before="100"/>
        <w:ind w:left="0" w:right="1135"/>
        <w:jc w:val="right"/>
      </w:pPr>
      <w:r>
        <w:rPr>
          <w:w w:val="95"/>
        </w:rPr>
        <w:t>单位：元</w:t>
      </w:r>
      <w:r>
        <w:rPr/>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851"/>
        <w:gridCol w:w="1276"/>
        <w:gridCol w:w="1461"/>
        <w:gridCol w:w="1374"/>
        <w:gridCol w:w="850"/>
        <w:gridCol w:w="1276"/>
        <w:gridCol w:w="1284"/>
        <w:gridCol w:w="1196"/>
      </w:tblGrid>
      <w:tr>
        <w:trPr>
          <w:trHeight w:val="2274"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4" w:right="95"/>
              <w:jc w:val="center"/>
              <w:rPr>
                <w:rFonts w:ascii="宋体" w:hAnsi="宋体" w:cs="宋体" w:eastAsia="宋体" w:hint="default"/>
                <w:sz w:val="18"/>
                <w:szCs w:val="18"/>
              </w:rPr>
            </w:pPr>
            <w:r>
              <w:rPr>
                <w:rFonts w:ascii="宋体" w:hAnsi="宋体" w:cs="宋体" w:eastAsia="宋体" w:hint="default"/>
                <w:sz w:val="18"/>
                <w:szCs w:val="18"/>
              </w:rPr>
              <w:t>分红年度合并报 表中归属于上市 公司普通股股东 的净利润</w:t>
            </w:r>
          </w:p>
        </w:tc>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1" w:right="50"/>
              <w:jc w:val="center"/>
              <w:rPr>
                <w:rFonts w:ascii="宋体" w:hAnsi="宋体" w:cs="宋体" w:eastAsia="宋体" w:hint="default"/>
                <w:sz w:val="18"/>
                <w:szCs w:val="18"/>
              </w:rPr>
            </w:pPr>
            <w:r>
              <w:rPr>
                <w:rFonts w:ascii="宋体" w:hAnsi="宋体" w:cs="宋体" w:eastAsia="宋体" w:hint="default"/>
                <w:sz w:val="18"/>
                <w:szCs w:val="18"/>
              </w:rPr>
              <w:t>现金分红金额占 合并报表中归属 于上市公司普通 股股东的净利润 的比率</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0" w:right="58"/>
              <w:jc w:val="both"/>
              <w:rPr>
                <w:rFonts w:ascii="宋体" w:hAnsi="宋体" w:cs="宋体" w:eastAsia="宋体" w:hint="default"/>
                <w:sz w:val="18"/>
                <w:szCs w:val="18"/>
              </w:rPr>
            </w:pPr>
            <w:r>
              <w:rPr>
                <w:rFonts w:ascii="宋体" w:hAnsi="宋体" w:cs="宋体" w:eastAsia="宋体" w:hint="default"/>
                <w:sz w:val="18"/>
                <w:szCs w:val="18"/>
              </w:rPr>
              <w:t>以其他方 式（如回 购股份） 现金分红 的金额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6"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240" w:lineRule="auto" w:before="76"/>
              <w:ind w:left="21" w:right="-8"/>
              <w:jc w:val="left"/>
              <w:rPr>
                <w:rFonts w:ascii="宋体" w:hAnsi="宋体" w:cs="宋体" w:eastAsia="宋体" w:hint="default"/>
                <w:sz w:val="18"/>
                <w:szCs w:val="18"/>
              </w:rPr>
            </w:pPr>
            <w:r>
              <w:rPr>
                <w:rFonts w:ascii="宋体" w:hAnsi="宋体" w:cs="宋体" w:eastAsia="宋体" w:hint="default"/>
                <w:sz w:val="18"/>
                <w:szCs w:val="18"/>
              </w:rPr>
              <w:t>（含其他方式）</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3" w:right="51" w:hanging="3"/>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1" w:right="0"/>
              <w:jc w:val="center"/>
              <w:rPr>
                <w:rFonts w:ascii="Arial" w:hAnsi="Arial" w:cs="Arial" w:eastAsia="Arial" w:hint="default"/>
                <w:sz w:val="18"/>
                <w:szCs w:val="18"/>
              </w:rPr>
            </w:pPr>
            <w:r>
              <w:rPr>
                <w:rFonts w:ascii="Arial"/>
                <w:sz w:val="18"/>
              </w:rPr>
              <w:t>49,796,436.36</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497,708,243.20</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10.01%</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9" w:right="0"/>
              <w:jc w:val="center"/>
              <w:rPr>
                <w:rFonts w:ascii="Arial" w:hAnsi="Arial" w:cs="Arial" w:eastAsia="Arial" w:hint="default"/>
                <w:sz w:val="18"/>
                <w:szCs w:val="18"/>
              </w:rPr>
            </w:pPr>
            <w:r>
              <w:rPr>
                <w:rFonts w:ascii="Arial"/>
                <w:sz w:val="18"/>
              </w:rPr>
              <w:t>49,796,436.36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10.01%</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center"/>
              <w:rPr>
                <w:rFonts w:ascii="Arial" w:hAnsi="Arial" w:cs="Arial" w:eastAsia="Arial" w:hint="default"/>
                <w:sz w:val="18"/>
                <w:szCs w:val="18"/>
              </w:rPr>
            </w:pPr>
            <w:r>
              <w:rPr>
                <w:rFonts w:ascii="Arial"/>
                <w:sz w:val="18"/>
              </w:rPr>
              <w:t>38,034,058.80</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381,166,148.13</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9.98%</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center"/>
              <w:rPr>
                <w:rFonts w:ascii="Arial" w:hAnsi="Arial" w:cs="Arial" w:eastAsia="Arial" w:hint="default"/>
                <w:sz w:val="18"/>
                <w:szCs w:val="18"/>
              </w:rPr>
            </w:pPr>
            <w:r>
              <w:rPr>
                <w:rFonts w:ascii="Arial"/>
                <w:sz w:val="18"/>
              </w:rPr>
              <w:t>38,034,058.80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9.98%</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8" w:right="0"/>
              <w:jc w:val="center"/>
              <w:rPr>
                <w:rFonts w:ascii="Arial" w:hAnsi="Arial" w:cs="Arial" w:eastAsia="Arial" w:hint="default"/>
                <w:sz w:val="18"/>
                <w:szCs w:val="18"/>
              </w:rPr>
            </w:pPr>
            <w:r>
              <w:rPr>
                <w:rFonts w:ascii="Arial"/>
                <w:sz w:val="18"/>
              </w:rPr>
              <w:t>32,224,119.40</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271,694,183.15</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3"/>
                <w:sz w:val="18"/>
              </w:rPr>
              <w:t>11.86%</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6" w:right="0"/>
              <w:jc w:val="center"/>
              <w:rPr>
                <w:rFonts w:ascii="Arial" w:hAnsi="Arial" w:cs="Arial" w:eastAsia="Arial" w:hint="default"/>
                <w:sz w:val="18"/>
                <w:szCs w:val="18"/>
              </w:rPr>
            </w:pPr>
            <w:r>
              <w:rPr>
                <w:rFonts w:ascii="Arial"/>
                <w:w w:val="95"/>
                <w:sz w:val="18"/>
              </w:rPr>
              <w:t>32,224,119.40</w:t>
            </w:r>
            <w:r>
              <w:rPr>
                <w:rFonts w:ascii="Arial"/>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3"/>
                <w:sz w:val="18"/>
              </w:rPr>
              <w:t>11.86%</w:t>
            </w:r>
          </w:p>
        </w:tc>
      </w:tr>
    </w:tbl>
    <w:p>
      <w:pPr>
        <w:pStyle w:val="Heading3"/>
        <w:spacing w:line="240" w:lineRule="auto" w:before="25"/>
        <w:ind w:right="996"/>
        <w:jc w:val="left"/>
      </w:pPr>
      <w:r>
        <w:rPr/>
        <w:t>公司报告期内盈利且母公司可供普通股股东分配利润为正但未提出普通股现金红利分配预案</w:t>
      </w:r>
    </w:p>
    <w:p>
      <w:pPr>
        <w:pStyle w:val="Heading3"/>
        <w:spacing w:line="240" w:lineRule="auto" w:before="62"/>
        <w:ind w:right="996"/>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after="0" w:line="240" w:lineRule="auto"/>
        <w:jc w:val="left"/>
        <w:sectPr>
          <w:pgSz w:w="11910" w:h="16840"/>
          <w:pgMar w:header="878" w:footer="978" w:top="1100" w:bottom="1160" w:left="1020" w:right="0"/>
        </w:sectPr>
      </w:pPr>
    </w:p>
    <w:p>
      <w:pPr>
        <w:pStyle w:val="Heading2"/>
        <w:spacing w:line="240" w:lineRule="auto" w:before="27"/>
        <w:ind w:left="120" w:right="11018"/>
        <w:jc w:val="left"/>
        <w:rPr>
          <w:b w:val="0"/>
          <w:bCs w:val="0"/>
        </w:rPr>
      </w:pPr>
      <w:r>
        <w:rPr/>
        <w:pict>
          <v:shape style="position:absolute;margin-left:199.199997pt;margin-top:347.799988pt;width:76.6pt;height:173.75pt;mso-position-horizontal-relative:page;mso-position-vertical-relative:page;z-index:-86264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72pt;margin-top:2.116653pt;width:697.9pt;height:.1pt;mso-position-horizontal-relative:page;mso-position-vertical-relative:paragraph;z-index:-862624" coordorigin="1440,42" coordsize="13958,2">
            <v:shape style="position:absolute;left:1440;top:42;width:13958;height:2" coordorigin="1440,42" coordsize="13958,0" path="m1440,42l15398,42e" filled="false" stroked="true" strokeweight=".72pt" strokecolor="#000000">
              <v:path arrowok="t"/>
            </v:shape>
            <w10:wrap type="none"/>
          </v:group>
        </w:pict>
      </w:r>
      <w:bookmarkStart w:name="二、承诺事项履行情况" w:id="63"/>
      <w:bookmarkEnd w:id="63"/>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20" w:right="0"/>
        <w:jc w:val="left"/>
        <w:rPr>
          <w:b w:val="0"/>
          <w:bCs w:val="0"/>
        </w:rPr>
      </w:pPr>
      <w:bookmarkStart w:name="1、公司实际控制人、股东、关联方、收购人以及公司等承诺相关方在报告期内履行完毕及" w:id="64"/>
      <w:bookmarkEnd w:id="64"/>
      <w:r>
        <w:rPr>
          <w:b w:val="0"/>
          <w:bCs w:val="0"/>
        </w:rPr>
      </w:r>
      <w:r>
        <w:rPr>
          <w:rFonts w:ascii="Arial" w:hAnsi="Arial" w:cs="Arial" w:eastAsia="Arial"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7"/>
        <w:rPr>
          <w:rFonts w:ascii="宋体" w:hAnsi="宋体" w:cs="宋体" w:eastAsia="宋体" w:hint="default"/>
          <w:b/>
          <w:bCs/>
          <w:sz w:val="26"/>
          <w:szCs w:val="26"/>
        </w:rPr>
      </w:pPr>
    </w:p>
    <w:p>
      <w:pPr>
        <w:spacing w:before="0"/>
        <w:ind w:left="120" w:right="11018" w:firstLine="0"/>
        <w:jc w:val="left"/>
        <w:rPr>
          <w:rFonts w:ascii="宋体" w:hAnsi="宋体" w:cs="宋体" w:eastAsia="宋体" w:hint="default"/>
          <w:sz w:val="18"/>
          <w:szCs w:val="18"/>
        </w:rPr>
      </w:pPr>
      <w:r>
        <w:rPr/>
        <w:pict>
          <v:shape style="position:absolute;margin-left:199.199997pt;margin-top:37.561718pt;width:76.6pt;height:191.3pt;mso-position-horizontal-relative:page;mso-position-vertical-relative:paragraph;z-index:-86269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81.880005pt;margin-top:37.561718pt;width:62.5pt;height:191.3pt;mso-position-horizontal-relative:page;mso-position-vertical-relative:paragraph;z-index:-862672" type="#_x0000_t202" filled="false" stroked="false">
            <v:textbox inset="0,0,0,0">
              <w:txbxContent>
                <w:p>
                  <w:pPr>
                    <w:spacing w:line="240" w:lineRule="auto" w:before="0"/>
                    <w:rPr>
                      <w:rFonts w:ascii="宋体" w:hAnsi="宋体" w:cs="宋体" w:eastAsia="宋体" w:hint="default"/>
                      <w:sz w:val="18"/>
                      <w:szCs w:val="18"/>
                    </w:rPr>
                  </w:pPr>
                </w:p>
                <w:p>
                  <w:pPr>
                    <w:spacing w:before="12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05.199997pt;margin-top:37.561718pt;width:70.6pt;height:365.55pt;mso-position-horizontal-relative:page;mso-position-vertical-relative:paragraph;z-index:-862600" coordorigin="4104,751" coordsize="1412,7311">
            <v:group style="position:absolute;left:4104;top:751;width:1412;height:3829" coordorigin="4104,751" coordsize="1412,3829">
              <v:shape style="position:absolute;left:4104;top:751;width:1412;height:3829" coordorigin="4104,751" coordsize="1412,3829" path="m4104,751l5516,751,5516,4580,4104,4580,4104,751xe" filled="true" fillcolor="#ffffff" stroked="false">
                <v:path arrowok="t"/>
                <v:fill type="solid"/>
              </v:shape>
            </v:group>
            <v:group style="position:absolute;left:4104;top:4585;width:1412;height:3477" coordorigin="4104,4585" coordsize="1412,3477">
              <v:shape style="position:absolute;left:4104;top:4585;width:1412;height:3477" coordorigin="4104,4585" coordsize="1412,3477" path="m4104,4585l5516,4585,5516,8062,4104,8062,4104,4585xe" filled="true" fillcolor="#ffffff" stroked="false">
                <v:path arrowok="t"/>
                <v:fill type="solid"/>
              </v:shape>
            </v:group>
            <w10:wrap type="none"/>
          </v:group>
        </w:pict>
      </w:r>
      <w:r>
        <w:rPr/>
        <w:pict>
          <v:group style="position:absolute;margin-left:587.900024pt;margin-top:37.561718pt;width:56.45pt;height:191.45pt;mso-position-horizontal-relative:page;mso-position-vertical-relative:paragraph;z-index:-862576" coordorigin="11758,751" coordsize="1129,3829">
            <v:shape style="position:absolute;left:11758;top:751;width:1129;height:3829" coordorigin="11758,751" coordsize="1129,3829" path="m11758,751l12887,751,12887,4580,11758,4580,11758,751xe" filled="true" fillcolor="#ffffff" stroked="false">
              <v:path arrowok="t"/>
              <v:fill type="solid"/>
            </v:shape>
            <w10:wrap type="none"/>
          </v:group>
        </w:pict>
      </w:r>
      <w:r>
        <w:rPr>
          <w:rFonts w:ascii="Arial" w:hAnsi="Arial" w:cs="Arial" w:eastAsia="Arial" w:hint="default"/>
          <w:sz w:val="18"/>
          <w:szCs w:val="18"/>
        </w:rPr>
        <w:t>√  </w:t>
      </w:r>
      <w:r>
        <w:rPr>
          <w:rFonts w:ascii="宋体" w:hAnsi="宋体" w:cs="宋体" w:eastAsia="宋体" w:hint="default"/>
          <w:sz w:val="18"/>
          <w:szCs w:val="18"/>
        </w:rPr>
        <w:t>适用 </w:t>
      </w:r>
      <w:r>
        <w:rPr>
          <w:rFonts w:ascii="Arial" w:hAnsi="Arial" w:cs="Arial" w:eastAsia="Arial" w:hint="default"/>
          <w:sz w:val="18"/>
          <w:szCs w:val="18"/>
        </w:rPr>
        <w:t>□</w:t>
      </w:r>
      <w:r>
        <w:rPr>
          <w:rFonts w:ascii="Arial" w:hAnsi="Arial" w:cs="Arial" w:eastAsia="Arial" w:hint="default"/>
          <w:spacing w:val="28"/>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1101"/>
        <w:gridCol w:w="1560"/>
        <w:gridCol w:w="1417"/>
        <w:gridCol w:w="6237"/>
        <w:gridCol w:w="1134"/>
        <w:gridCol w:w="992"/>
        <w:gridCol w:w="1593"/>
      </w:tblGrid>
      <w:tr>
        <w:trPr>
          <w:trHeight w:val="402" w:hRule="exact"/>
        </w:trPr>
        <w:tc>
          <w:tcPr>
            <w:tcW w:w="1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4"/>
              <w:jc w:val="right"/>
              <w:rPr>
                <w:rFonts w:ascii="宋体" w:hAnsi="宋体" w:cs="宋体" w:eastAsia="宋体" w:hint="default"/>
                <w:sz w:val="18"/>
                <w:szCs w:val="18"/>
              </w:rPr>
            </w:pPr>
            <w:r>
              <w:rPr>
                <w:rFonts w:ascii="宋体" w:hAnsi="宋体" w:cs="宋体" w:eastAsia="宋体" w:hint="default"/>
                <w:sz w:val="18"/>
                <w:szCs w:val="18"/>
              </w:rPr>
              <w:t>承诺来源</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6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0"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57" w:hRule="exact"/>
        </w:trPr>
        <w:tc>
          <w:tcPr>
            <w:tcW w:w="1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62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为了避免与华宇软件及标的资产之间产生同业竞争，维护华宇软件及其股东的</w:t>
            </w:r>
          </w:p>
        </w:tc>
        <w:tc>
          <w:tcPr>
            <w:tcW w:w="1134"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59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101"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合法权益，保证华宇软件及标的资产的长期稳定发展，马勤、折哲民、诸越海</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101"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严峰、黄承芬、侯玉成、郑凯、王德胜、胡鸿轲、杨金萍、忻孝委共 </w:t>
            </w:r>
            <w:r>
              <w:rPr>
                <w:rFonts w:ascii="Arial" w:hAnsi="Arial" w:cs="Arial" w:eastAsia="Arial" w:hint="default"/>
                <w:spacing w:val="-6"/>
                <w:sz w:val="18"/>
                <w:szCs w:val="18"/>
              </w:rPr>
              <w:t>11</w:t>
            </w:r>
            <w:r>
              <w:rPr>
                <w:rFonts w:ascii="Arial" w:hAnsi="Arial" w:cs="Arial" w:eastAsia="Arial" w:hint="default"/>
                <w:spacing w:val="2"/>
                <w:sz w:val="18"/>
                <w:szCs w:val="18"/>
              </w:rPr>
              <w:t> </w:t>
            </w:r>
            <w:r>
              <w:rPr>
                <w:rFonts w:ascii="宋体" w:hAnsi="宋体" w:cs="宋体" w:eastAsia="宋体" w:hint="default"/>
                <w:sz w:val="18"/>
                <w:szCs w:val="18"/>
              </w:rPr>
              <w:t>名交易</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1868" w:hRule="exact"/>
        </w:trPr>
        <w:tc>
          <w:tcPr>
            <w:tcW w:w="1101"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22" w:right="86"/>
              <w:jc w:val="both"/>
              <w:rPr>
                <w:rFonts w:ascii="宋体" w:hAnsi="宋体" w:cs="宋体" w:eastAsia="宋体" w:hint="default"/>
                <w:sz w:val="18"/>
                <w:szCs w:val="18"/>
              </w:rPr>
            </w:pPr>
            <w:r>
              <w:rPr>
                <w:rFonts w:ascii="宋体" w:hAnsi="宋体" w:cs="宋体" w:eastAsia="宋体" w:hint="default"/>
                <w:sz w:val="18"/>
                <w:szCs w:val="18"/>
              </w:rPr>
              <w:t>马勤、折哲民、诸 越海、黄承芬、杨 金萍、王德胜、郑 </w:t>
            </w:r>
            <w:r>
              <w:rPr>
                <w:rFonts w:ascii="宋体" w:hAnsi="宋体" w:cs="宋体" w:eastAsia="宋体" w:hint="default"/>
                <w:spacing w:val="-3"/>
                <w:sz w:val="18"/>
                <w:szCs w:val="18"/>
              </w:rPr>
              <w:t>凯、严峰、侯玉成</w:t>
            </w:r>
            <w:r>
              <w:rPr>
                <w:rFonts w:ascii="宋体" w:hAnsi="宋体" w:cs="宋体" w:eastAsia="宋体" w:hint="default"/>
                <w:sz w:val="18"/>
                <w:szCs w:val="18"/>
              </w:rPr>
              <w:t> 忻孝委、胡鸿轲</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同业竞争</w:t>
            </w: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3" w:right="21"/>
              <w:jc w:val="left"/>
              <w:rPr>
                <w:rFonts w:ascii="宋体" w:hAnsi="宋体" w:cs="宋体" w:eastAsia="宋体" w:hint="default"/>
                <w:sz w:val="18"/>
                <w:szCs w:val="18"/>
              </w:rPr>
            </w:pPr>
            <w:r>
              <w:rPr>
                <w:rFonts w:ascii="宋体" w:hAnsi="宋体" w:cs="宋体" w:eastAsia="宋体" w:hint="default"/>
                <w:spacing w:val="-4"/>
                <w:sz w:val="18"/>
                <w:szCs w:val="18"/>
              </w:rPr>
              <w:t>对方签署了《关于避免同业竞争的承诺函》，承诺如下：承诺人目前没有通过直</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接或间接控制的经营实体或以自然人名义从事与华宇软件相同或相似的业务。 本次交易完成后，承诺人将不会通过直接或间接控制的经营实体或以自然人名 义从事与华宇软件及其控股公司相同或相似的业务。如承诺人或承诺人直接或 间接控制的经营实体现有或未来的经营活动可能与华宇软件及其控股公司发生 同业竞争或与华宇软件及其控股公司发生利益冲突，承诺人将放弃或将促使直</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Arial" w:hAnsi="Arial" w:cs="Arial" w:eastAsia="Arial" w:hint="default"/>
                <w:sz w:val="18"/>
                <w:szCs w:val="18"/>
              </w:rPr>
              <w:t>09</w:t>
            </w:r>
            <w:r>
              <w:rPr>
                <w:rFonts w:ascii="Arial" w:hAnsi="Arial" w:cs="Arial" w:eastAsia="Arial"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9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0"/>
                <w:sz w:val="18"/>
                <w:szCs w:val="18"/>
              </w:rPr>
              <w:t>截至报告期末，承诺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方遵守以上承诺，未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有违反上述承诺的 情况。</w:t>
            </w:r>
          </w:p>
        </w:tc>
      </w:tr>
      <w:tr>
        <w:trPr>
          <w:trHeight w:val="312" w:hRule="exact"/>
        </w:trPr>
        <w:tc>
          <w:tcPr>
            <w:tcW w:w="1101"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接或间接控制的经营实体无条件放弃可能发生同业竞争的业务，或将直接或间</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246" w:hRule="exact"/>
        </w:trPr>
        <w:tc>
          <w:tcPr>
            <w:tcW w:w="1101"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接控制的经营实体以公平、公允的市场价格在适当时机全部注入上市公司及其</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80" w:lineRule="exact"/>
              <w:ind w:right="165"/>
              <w:jc w:val="right"/>
              <w:rPr>
                <w:rFonts w:ascii="宋体" w:hAnsi="宋体" w:cs="宋体" w:eastAsia="宋体" w:hint="default"/>
                <w:sz w:val="18"/>
                <w:szCs w:val="18"/>
              </w:rPr>
            </w:pPr>
            <w:r>
              <w:rPr>
                <w:rFonts w:ascii="宋体" w:hAnsi="宋体" w:cs="宋体" w:eastAsia="宋体" w:hint="default"/>
                <w:sz w:val="18"/>
                <w:szCs w:val="18"/>
              </w:rPr>
              <w:t>资产重组时</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控股公司或对外转让。</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111" w:hRule="exact"/>
        </w:trPr>
        <w:tc>
          <w:tcPr>
            <w:tcW w:w="1101" w:type="dxa"/>
            <w:vMerge w:val="restart"/>
            <w:tcBorders>
              <w:top w:val="nil" w:sz="6" w:space="0" w:color="auto"/>
              <w:left w:val="single" w:sz="4" w:space="0" w:color="000000"/>
              <w:right w:val="single" w:sz="4" w:space="0" w:color="000000"/>
            </w:tcBorders>
            <w:shd w:val="clear" w:color="auto" w:fill="D2D2D2"/>
          </w:tcPr>
          <w:p>
            <w:pPr>
              <w:pStyle w:val="TableParagraph"/>
              <w:spacing w:line="180" w:lineRule="exact"/>
              <w:ind w:left="24" w:right="0"/>
              <w:jc w:val="left"/>
              <w:rPr>
                <w:rFonts w:ascii="宋体" w:hAnsi="宋体" w:cs="宋体" w:eastAsia="宋体" w:hint="default"/>
                <w:sz w:val="18"/>
                <w:szCs w:val="18"/>
              </w:rPr>
            </w:pPr>
            <w:r>
              <w:rPr>
                <w:rFonts w:ascii="宋体" w:hAnsi="宋体" w:cs="宋体" w:eastAsia="宋体" w:hint="default"/>
                <w:sz w:val="18"/>
                <w:szCs w:val="18"/>
              </w:rPr>
              <w:t>所作承诺</w:t>
            </w: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623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593" w:type="dxa"/>
            <w:tcBorders>
              <w:top w:val="nil" w:sz="6" w:space="0" w:color="auto"/>
              <w:left w:val="single" w:sz="4" w:space="0" w:color="000000"/>
              <w:bottom w:val="single" w:sz="4" w:space="0" w:color="000000"/>
              <w:right w:val="single" w:sz="4" w:space="0" w:color="000000"/>
            </w:tcBorders>
          </w:tcPr>
          <w:p>
            <w:pPr/>
          </w:p>
        </w:tc>
      </w:tr>
      <w:tr>
        <w:trPr>
          <w:trHeight w:val="89" w:hRule="exact"/>
        </w:trPr>
        <w:tc>
          <w:tcPr>
            <w:tcW w:w="1101" w:type="dxa"/>
            <w:vMerge/>
            <w:tcBorders>
              <w:left w:val="single" w:sz="4" w:space="0" w:color="000000"/>
              <w:bottom w:val="nil" w:sz="6" w:space="0" w:color="auto"/>
              <w:right w:val="single" w:sz="4" w:space="0" w:color="000000"/>
            </w:tcBorders>
            <w:shd w:val="clear" w:color="auto" w:fill="D2D2D2"/>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623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593" w:type="dxa"/>
            <w:tcBorders>
              <w:top w:val="single" w:sz="4" w:space="0" w:color="000000"/>
              <w:left w:val="single" w:sz="4" w:space="0" w:color="000000"/>
              <w:bottom w:val="nil" w:sz="6" w:space="0" w:color="auto"/>
              <w:right w:val="single" w:sz="4" w:space="0" w:color="000000"/>
            </w:tcBorders>
          </w:tcPr>
          <w:p>
            <w:pPr/>
          </w:p>
        </w:tc>
      </w:tr>
      <w:tr>
        <w:trPr>
          <w:trHeight w:val="266" w:hRule="exact"/>
        </w:trPr>
        <w:tc>
          <w:tcPr>
            <w:tcW w:w="1101"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00" w:lineRule="exact"/>
              <w:ind w:left="23" w:right="0"/>
              <w:jc w:val="left"/>
              <w:rPr>
                <w:rFonts w:ascii="宋体" w:hAnsi="宋体" w:cs="宋体" w:eastAsia="宋体" w:hint="default"/>
                <w:sz w:val="18"/>
                <w:szCs w:val="18"/>
              </w:rPr>
            </w:pPr>
            <w:r>
              <w:rPr>
                <w:rFonts w:ascii="宋体" w:hAnsi="宋体" w:cs="宋体" w:eastAsia="宋体" w:hint="default"/>
                <w:sz w:val="18"/>
                <w:szCs w:val="18"/>
              </w:rPr>
              <w:t>据《股票上市规则》规定，本次交易完成后，马勤、折哲民、诸越海、严峰、</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101"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黄承芬、侯玉成、郑凯、王德胜、胡鸿轲、杨金萍、忻孝委共 </w:t>
            </w:r>
            <w:r>
              <w:rPr>
                <w:rFonts w:ascii="Arial" w:hAnsi="Arial" w:cs="Arial" w:eastAsia="Arial" w:hint="default"/>
                <w:spacing w:val="-6"/>
                <w:sz w:val="18"/>
                <w:szCs w:val="18"/>
              </w:rPr>
              <w:t>11</w:t>
            </w:r>
            <w:r>
              <w:rPr>
                <w:rFonts w:ascii="Arial" w:hAnsi="Arial" w:cs="Arial" w:eastAsia="Arial" w:hint="default"/>
                <w:spacing w:val="20"/>
                <w:sz w:val="18"/>
                <w:szCs w:val="18"/>
              </w:rPr>
              <w:t> </w:t>
            </w:r>
            <w:r>
              <w:rPr>
                <w:rFonts w:ascii="宋体" w:hAnsi="宋体" w:cs="宋体" w:eastAsia="宋体" w:hint="default"/>
                <w:sz w:val="18"/>
                <w:szCs w:val="18"/>
              </w:rPr>
              <w:t>名自然人股东</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298" w:hRule="exact"/>
        </w:trPr>
        <w:tc>
          <w:tcPr>
            <w:tcW w:w="1101"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与华宇软件间不构成关联方。根据《股票上市规则》的相关规定，本次交易完</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1570" w:hRule="exact"/>
        </w:trPr>
        <w:tc>
          <w:tcPr>
            <w:tcW w:w="1101"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86"/>
              <w:jc w:val="both"/>
              <w:rPr>
                <w:rFonts w:ascii="宋体" w:hAnsi="宋体" w:cs="宋体" w:eastAsia="宋体" w:hint="default"/>
                <w:sz w:val="18"/>
                <w:szCs w:val="18"/>
              </w:rPr>
            </w:pPr>
            <w:r>
              <w:rPr>
                <w:rFonts w:ascii="宋体" w:hAnsi="宋体" w:cs="宋体" w:eastAsia="宋体" w:hint="default"/>
                <w:sz w:val="18"/>
                <w:szCs w:val="18"/>
              </w:rPr>
              <w:t>马勤、折哲民、诸 越海、黄承芬、杨 金萍、王德胜、郑 </w:t>
            </w:r>
            <w:r>
              <w:rPr>
                <w:rFonts w:ascii="宋体" w:hAnsi="宋体" w:cs="宋体" w:eastAsia="宋体" w:hint="default"/>
                <w:spacing w:val="-3"/>
                <w:sz w:val="18"/>
                <w:szCs w:val="18"/>
              </w:rPr>
              <w:t>凯、严峰、侯玉成</w:t>
            </w:r>
            <w:r>
              <w:rPr>
                <w:rFonts w:ascii="宋体" w:hAnsi="宋体" w:cs="宋体" w:eastAsia="宋体" w:hint="default"/>
                <w:sz w:val="18"/>
                <w:szCs w:val="18"/>
              </w:rPr>
              <w:t> 忻孝委、胡鸿轲</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316" w:lineRule="auto"/>
              <w:ind w:left="22" w:right="123"/>
              <w:jc w:val="left"/>
              <w:rPr>
                <w:rFonts w:ascii="宋体" w:hAnsi="宋体" w:cs="宋体" w:eastAsia="宋体" w:hint="default"/>
                <w:sz w:val="18"/>
                <w:szCs w:val="18"/>
              </w:rPr>
            </w:pPr>
            <w:r>
              <w:rPr>
                <w:rFonts w:ascii="宋体" w:hAnsi="宋体" w:cs="宋体" w:eastAsia="宋体" w:hint="default"/>
                <w:sz w:val="18"/>
                <w:szCs w:val="18"/>
              </w:rPr>
              <w:t>规范和减少关联 交易</w:t>
            </w: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309" w:lineRule="auto" w:before="20"/>
              <w:ind w:left="23" w:right="21"/>
              <w:jc w:val="left"/>
              <w:rPr>
                <w:rFonts w:ascii="宋体" w:hAnsi="宋体" w:cs="宋体" w:eastAsia="宋体" w:hint="default"/>
                <w:sz w:val="18"/>
                <w:szCs w:val="18"/>
              </w:rPr>
            </w:pPr>
            <w:r>
              <w:rPr>
                <w:rFonts w:ascii="宋体" w:hAnsi="宋体" w:cs="宋体" w:eastAsia="宋体" w:hint="default"/>
                <w:spacing w:val="-3"/>
                <w:sz w:val="18"/>
                <w:szCs w:val="18"/>
              </w:rPr>
              <w:t>成后，为规范将来可能存在的关联交易马勤等</w:t>
            </w:r>
            <w:r>
              <w:rPr>
                <w:rFonts w:ascii="宋体" w:hAnsi="宋体" w:cs="宋体" w:eastAsia="宋体" w:hint="default"/>
                <w:spacing w:val="-38"/>
                <w:sz w:val="18"/>
                <w:szCs w:val="18"/>
              </w:rPr>
              <w:t> </w:t>
            </w:r>
            <w:r>
              <w:rPr>
                <w:rFonts w:ascii="Arial" w:hAnsi="Arial" w:cs="Arial" w:eastAsia="Arial" w:hint="default"/>
                <w:spacing w:val="-5"/>
                <w:sz w:val="18"/>
                <w:szCs w:val="18"/>
              </w:rPr>
              <w:t>11</w:t>
            </w:r>
            <w:r>
              <w:rPr>
                <w:rFonts w:ascii="Arial" w:hAnsi="Arial" w:cs="Arial" w:eastAsia="Arial" w:hint="default"/>
                <w:spacing w:val="10"/>
                <w:sz w:val="18"/>
                <w:szCs w:val="18"/>
              </w:rPr>
              <w:t> </w:t>
            </w:r>
            <w:r>
              <w:rPr>
                <w:rFonts w:ascii="宋体" w:hAnsi="宋体" w:cs="宋体" w:eastAsia="宋体" w:hint="default"/>
                <w:spacing w:val="-4"/>
                <w:sz w:val="18"/>
                <w:szCs w:val="18"/>
              </w:rPr>
              <w:t>位自然人股东出具了《关于规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w w:val="99"/>
                <w:sz w:val="18"/>
                <w:szCs w:val="18"/>
              </w:rPr>
              <w:t>范和减少关联交易的承诺函》，承诺内容如下：</w:t>
            </w:r>
            <w:r>
              <w:rPr>
                <w:rFonts w:ascii="Arial" w:hAnsi="Arial" w:cs="Arial" w:eastAsia="Arial" w:hint="default"/>
                <w:spacing w:val="-3"/>
                <w:w w:val="99"/>
                <w:sz w:val="18"/>
                <w:szCs w:val="18"/>
              </w:rPr>
              <w:t>1</w:t>
            </w:r>
            <w:r>
              <w:rPr>
                <w:rFonts w:ascii="宋体" w:hAnsi="宋体" w:cs="宋体" w:eastAsia="宋体" w:hint="default"/>
                <w:spacing w:val="-3"/>
                <w:w w:val="99"/>
                <w:sz w:val="18"/>
                <w:szCs w:val="18"/>
              </w:rPr>
              <w:t>）承诺人及承诺人直接或间接</w:t>
            </w:r>
            <w:r>
              <w:rPr>
                <w:rFonts w:ascii="宋体" w:hAnsi="宋体" w:cs="宋体" w:eastAsia="宋体" w:hint="default"/>
                <w:spacing w:val="-77"/>
                <w:w w:val="99"/>
                <w:sz w:val="18"/>
                <w:szCs w:val="18"/>
              </w:rPr>
              <w:t> </w:t>
            </w:r>
            <w:r>
              <w:rPr>
                <w:rFonts w:ascii="宋体" w:hAnsi="宋体" w:cs="宋体" w:eastAsia="宋体" w:hint="default"/>
                <w:sz w:val="18"/>
                <w:szCs w:val="18"/>
              </w:rPr>
              <w:t>控制的经营实体与重组后的华宇软件及其控股企业之间将规范并尽可能减少关 联交易。对于无法避免或者有合理原因而发生的关联交易，承诺人承诺将遵循 市场化的公正、公平、公开的原则进行，并按照有关法律法规、规范性文件和</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Arial" w:hAnsi="Arial" w:cs="Arial" w:eastAsia="Arial" w:hint="default"/>
                <w:sz w:val="18"/>
                <w:szCs w:val="18"/>
              </w:rPr>
              <w:t>09</w:t>
            </w:r>
            <w:r>
              <w:rPr>
                <w:rFonts w:ascii="Arial" w:hAnsi="Arial" w:cs="Arial" w:eastAsia="Arial"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93"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22" w:right="20"/>
              <w:jc w:val="left"/>
              <w:rPr>
                <w:rFonts w:ascii="宋体" w:hAnsi="宋体" w:cs="宋体" w:eastAsia="宋体" w:hint="default"/>
                <w:sz w:val="18"/>
                <w:szCs w:val="18"/>
              </w:rPr>
            </w:pPr>
            <w:r>
              <w:rPr>
                <w:rFonts w:ascii="宋体" w:hAnsi="宋体" w:cs="宋体" w:eastAsia="宋体" w:hint="default"/>
                <w:spacing w:val="-10"/>
                <w:sz w:val="18"/>
                <w:szCs w:val="18"/>
              </w:rPr>
              <w:t>截至报告期末，承诺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方遵守以上承诺，未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有违反上述承诺的 情况。</w:t>
            </w:r>
          </w:p>
        </w:tc>
      </w:tr>
      <w:tr>
        <w:trPr>
          <w:trHeight w:val="312" w:hRule="exact"/>
        </w:trPr>
        <w:tc>
          <w:tcPr>
            <w:tcW w:w="1101"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华宇软件章程等有关规定依法签订协议，履行合法程序，依法履行信息披露义</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1"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务和办理有关报批程序，保证不通过关联交易损害华宇软件及其他股东的合法</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62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权益。</w:t>
            </w:r>
            <w:r>
              <w:rPr>
                <w:rFonts w:ascii="宋体" w:hAnsi="宋体" w:cs="宋体" w:eastAsia="宋体" w:hint="default"/>
                <w:spacing w:val="-3"/>
                <w:sz w:val="18"/>
                <w:szCs w:val="18"/>
              </w:rPr>
              <w:t> </w:t>
            </w:r>
            <w:r>
              <w:rPr>
                <w:rFonts w:ascii="Arial" w:hAnsi="Arial" w:cs="Arial" w:eastAsia="Arial" w:hint="default"/>
                <w:sz w:val="18"/>
                <w:szCs w:val="18"/>
              </w:rPr>
              <w:t>2</w:t>
            </w:r>
            <w:r>
              <w:rPr>
                <w:rFonts w:ascii="宋体" w:hAnsi="宋体" w:cs="宋体" w:eastAsia="宋体" w:hint="default"/>
                <w:sz w:val="18"/>
                <w:szCs w:val="18"/>
              </w:rPr>
              <w:t>）本次交易完成后承诺人将继续严格按照有关法律法规、规范性文件</w:t>
            </w:r>
          </w:p>
        </w:tc>
        <w:tc>
          <w:tcPr>
            <w:tcW w:w="1134"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593" w:type="dxa"/>
            <w:tcBorders>
              <w:top w:val="nil" w:sz="6" w:space="0" w:color="auto"/>
              <w:left w:val="single" w:sz="4" w:space="0" w:color="000000"/>
              <w:bottom w:val="single" w:sz="4" w:space="0" w:color="000000"/>
              <w:right w:val="single" w:sz="4" w:space="0" w:color="000000"/>
            </w:tcBorders>
          </w:tcPr>
          <w:p>
            <w:pPr/>
          </w:p>
        </w:tc>
      </w:tr>
    </w:tbl>
    <w:p>
      <w:pPr>
        <w:spacing w:after="0"/>
        <w:sectPr>
          <w:headerReference w:type="default" r:id="rId24"/>
          <w:footerReference w:type="default" r:id="rId25"/>
          <w:pgSz w:w="16840" w:h="11910" w:orient="landscape"/>
          <w:pgMar w:header="868" w:footer="978" w:top="1060" w:bottom="1160" w:left="1320" w:right="1240"/>
          <w:pgNumType w:start="44"/>
        </w:sectPr>
      </w:pPr>
    </w:p>
    <w:p>
      <w:pPr>
        <w:spacing w:line="240" w:lineRule="auto" w:before="1"/>
        <w:rPr>
          <w:rFonts w:ascii="Times New Roman" w:hAnsi="Times New Roman" w:cs="Times New Roman" w:eastAsia="Times New Roman" w:hint="default"/>
          <w:sz w:val="3"/>
          <w:szCs w:val="3"/>
        </w:rPr>
      </w:pPr>
      <w:r>
        <w:rPr/>
        <w:pict>
          <v:shape style="position:absolute;margin-left:581.880005pt;margin-top:369.5pt;width:62.5pt;height:158.15pt;mso-position-horizontal-relative:page;mso-position-vertical-relative:page;z-index:-8625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6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587.900024pt;margin-top:369.5pt;width:56.45pt;height:158.25pt;mso-position-horizontal-relative:page;mso-position-vertical-relative:page;z-index:-862528" coordorigin="11758,7390" coordsize="1129,3165">
            <v:shape style="position:absolute;left:11758;top:7390;width:1129;height:3165" coordorigin="11758,7390" coordsize="1129,3165" path="m11758,7390l12887,7390,12887,10555,11758,10555,11758,7390xe" filled="true" fillcolor="#ffffff" stroked="false">
              <v:path arrowok="t"/>
              <v:fill type="solid"/>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1101"/>
        <w:gridCol w:w="1560"/>
        <w:gridCol w:w="1417"/>
        <w:gridCol w:w="6237"/>
        <w:gridCol w:w="1134"/>
        <w:gridCol w:w="992"/>
        <w:gridCol w:w="1593"/>
      </w:tblGrid>
      <w:tr>
        <w:trPr>
          <w:trHeight w:val="332" w:hRule="exact"/>
        </w:trPr>
        <w:tc>
          <w:tcPr>
            <w:tcW w:w="1101" w:type="dxa"/>
            <w:vMerge w:val="restart"/>
            <w:tcBorders>
              <w:top w:val="single" w:sz="16" w:space="0" w:color="000000"/>
              <w:left w:val="single" w:sz="4" w:space="0" w:color="000000"/>
              <w:right w:val="single" w:sz="4" w:space="0" w:color="000000"/>
            </w:tcBorders>
            <w:shd w:val="clear" w:color="auto" w:fill="D2D2D2"/>
          </w:tcPr>
          <w:p>
            <w:pPr/>
          </w:p>
        </w:tc>
        <w:tc>
          <w:tcPr>
            <w:tcW w:w="1560" w:type="dxa"/>
            <w:vMerge w:val="restart"/>
            <w:tcBorders>
              <w:top w:val="single" w:sz="16" w:space="0" w:color="000000"/>
              <w:left w:val="single" w:sz="4" w:space="0" w:color="000000"/>
              <w:right w:val="single" w:sz="4" w:space="0" w:color="000000"/>
            </w:tcBorders>
          </w:tcPr>
          <w:p>
            <w:pPr/>
          </w:p>
        </w:tc>
        <w:tc>
          <w:tcPr>
            <w:tcW w:w="1417" w:type="dxa"/>
            <w:vMerge w:val="restart"/>
            <w:tcBorders>
              <w:top w:val="single" w:sz="16" w:space="0" w:color="000000"/>
              <w:left w:val="single" w:sz="4" w:space="0" w:color="000000"/>
              <w:right w:val="single" w:sz="4" w:space="0" w:color="000000"/>
            </w:tcBorders>
          </w:tcPr>
          <w:p>
            <w:pPr/>
          </w:p>
        </w:tc>
        <w:tc>
          <w:tcPr>
            <w:tcW w:w="6237"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以及华宇软件章程的有关规定行使股东权利；在华宇软件股东大会对有关涉及</w:t>
            </w:r>
          </w:p>
        </w:tc>
        <w:tc>
          <w:tcPr>
            <w:tcW w:w="1134" w:type="dxa"/>
            <w:vMerge w:val="restart"/>
            <w:tcBorders>
              <w:top w:val="single" w:sz="16" w:space="0" w:color="000000"/>
              <w:left w:val="single" w:sz="4" w:space="0" w:color="000000"/>
              <w:right w:val="single" w:sz="4" w:space="0" w:color="000000"/>
            </w:tcBorders>
          </w:tcPr>
          <w:p>
            <w:pPr/>
          </w:p>
        </w:tc>
        <w:tc>
          <w:tcPr>
            <w:tcW w:w="992" w:type="dxa"/>
            <w:vMerge w:val="restart"/>
            <w:tcBorders>
              <w:top w:val="single" w:sz="16" w:space="0" w:color="000000"/>
              <w:left w:val="single" w:sz="4" w:space="0" w:color="000000"/>
              <w:right w:val="single" w:sz="4" w:space="0" w:color="000000"/>
            </w:tcBorders>
          </w:tcPr>
          <w:p>
            <w:pPr/>
          </w:p>
        </w:tc>
        <w:tc>
          <w:tcPr>
            <w:tcW w:w="1593" w:type="dxa"/>
            <w:vMerge w:val="restart"/>
            <w:tcBorders>
              <w:top w:val="single" w:sz="16" w:space="0" w:color="000000"/>
              <w:left w:val="single" w:sz="4" w:space="0" w:color="000000"/>
              <w:right w:val="single" w:sz="4" w:space="0" w:color="000000"/>
            </w:tcBorders>
          </w:tcPr>
          <w:p>
            <w:pPr/>
          </w:p>
        </w:tc>
      </w:tr>
      <w:tr>
        <w:trPr>
          <w:trHeight w:val="316" w:hRule="exact"/>
        </w:trPr>
        <w:tc>
          <w:tcPr>
            <w:tcW w:w="1101"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承诺人的关联交易进行表决时，履行回避表决的义务。</w:t>
            </w:r>
            <w:r>
              <w:rPr>
                <w:rFonts w:ascii="Arial" w:hAnsi="Arial" w:cs="Arial" w:eastAsia="Arial" w:hint="default"/>
                <w:spacing w:val="-2"/>
                <w:sz w:val="18"/>
                <w:szCs w:val="18"/>
              </w:rPr>
              <w:t>3</w:t>
            </w:r>
            <w:r>
              <w:rPr>
                <w:rFonts w:ascii="宋体" w:hAnsi="宋体" w:cs="宋体" w:eastAsia="宋体" w:hint="default"/>
                <w:spacing w:val="-2"/>
                <w:sz w:val="18"/>
                <w:szCs w:val="18"/>
              </w:rPr>
              <w:t>）承诺人承诺杜绝一切</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93" w:type="dxa"/>
            <w:vMerge/>
            <w:tcBorders>
              <w:left w:val="single" w:sz="4" w:space="0" w:color="000000"/>
              <w:right w:val="single" w:sz="4" w:space="0" w:color="000000"/>
            </w:tcBorders>
          </w:tcPr>
          <w:p>
            <w:pPr/>
          </w:p>
        </w:tc>
      </w:tr>
      <w:tr>
        <w:trPr>
          <w:trHeight w:val="353" w:hRule="exact"/>
        </w:trPr>
        <w:tc>
          <w:tcPr>
            <w:tcW w:w="1101"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62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非法占用华宇软件的资金、资产的行为。</w:t>
            </w:r>
          </w:p>
        </w:tc>
        <w:tc>
          <w:tcPr>
            <w:tcW w:w="113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593" w:type="dxa"/>
            <w:vMerge/>
            <w:tcBorders>
              <w:left w:val="single" w:sz="4" w:space="0" w:color="000000"/>
              <w:bottom w:val="single" w:sz="4" w:space="0" w:color="000000"/>
              <w:right w:val="single" w:sz="4" w:space="0" w:color="000000"/>
            </w:tcBorders>
          </w:tcPr>
          <w:p>
            <w:pPr/>
          </w:p>
        </w:tc>
      </w:tr>
      <w:tr>
        <w:trPr>
          <w:trHeight w:val="358" w:hRule="exact"/>
        </w:trPr>
        <w:tc>
          <w:tcPr>
            <w:tcW w:w="1101" w:type="dxa"/>
            <w:vMerge/>
            <w:tcBorders>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623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5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截至报告期末</w:t>
            </w:r>
            <w:r>
              <w:rPr>
                <w:rFonts w:ascii="宋体" w:hAnsi="宋体" w:cs="宋体" w:eastAsia="宋体" w:hint="default"/>
                <w:spacing w:val="-82"/>
                <w:sz w:val="18"/>
                <w:szCs w:val="18"/>
              </w:rPr>
              <w:t>，</w:t>
            </w:r>
            <w:r>
              <w:rPr>
                <w:rFonts w:ascii="宋体" w:hAnsi="宋体" w:cs="宋体" w:eastAsia="宋体" w:hint="default"/>
                <w:sz w:val="18"/>
                <w:szCs w:val="18"/>
              </w:rPr>
              <w:t>该承</w:t>
            </w:r>
          </w:p>
        </w:tc>
      </w:tr>
      <w:tr>
        <w:trPr>
          <w:trHeight w:val="316"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为保证标的公司的持续发展和持续竞争优势</w:t>
            </w:r>
            <w:r>
              <w:rPr>
                <w:rFonts w:ascii="宋体" w:hAnsi="宋体" w:cs="宋体" w:eastAsia="宋体" w:hint="default"/>
                <w:spacing w:val="-92"/>
                <w:sz w:val="18"/>
                <w:szCs w:val="18"/>
              </w:rPr>
              <w:t>，</w:t>
            </w:r>
            <w:r>
              <w:rPr>
                <w:rFonts w:ascii="宋体" w:hAnsi="宋体" w:cs="宋体" w:eastAsia="宋体" w:hint="default"/>
                <w:sz w:val="18"/>
                <w:szCs w:val="18"/>
              </w:rPr>
              <w:t>钱贵昱承诺至</w:t>
            </w:r>
            <w:r>
              <w:rPr>
                <w:rFonts w:ascii="宋体" w:hAnsi="宋体" w:cs="宋体" w:eastAsia="宋体" w:hint="default"/>
                <w:spacing w:val="-64"/>
                <w:sz w:val="18"/>
                <w:szCs w:val="18"/>
              </w:rPr>
              <w:t> </w:t>
            </w:r>
            <w:r>
              <w:rPr>
                <w:rFonts w:ascii="Arial" w:hAnsi="Arial" w:cs="Arial" w:eastAsia="Arial" w:hint="default"/>
                <w:w w:val="99"/>
                <w:sz w:val="18"/>
                <w:szCs w:val="18"/>
              </w:rPr>
              <w:t>2018</w:t>
            </w:r>
            <w:r>
              <w:rPr>
                <w:rFonts w:ascii="Arial" w:hAnsi="Arial" w:cs="Arial" w:eastAsia="Arial" w:hint="default"/>
                <w:sz w:val="18"/>
                <w:szCs w:val="18"/>
              </w:rPr>
              <w:t> </w:t>
            </w:r>
            <w:r>
              <w:rPr>
                <w:rFonts w:ascii="Arial" w:hAnsi="Arial" w:cs="Arial" w:eastAsia="Arial"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Arial" w:hAnsi="Arial" w:cs="Arial" w:eastAsia="Arial" w:hint="default"/>
                <w:w w:val="99"/>
                <w:sz w:val="18"/>
                <w:szCs w:val="18"/>
              </w:rPr>
              <w:t>4</w:t>
            </w:r>
            <w:r>
              <w:rPr>
                <w:rFonts w:ascii="Arial" w:hAnsi="Arial" w:cs="Arial" w:eastAsia="Arial" w:hint="default"/>
                <w:sz w:val="18"/>
                <w:szCs w:val="18"/>
              </w:rPr>
              <w:t> </w:t>
            </w:r>
            <w:r>
              <w:rPr>
                <w:rFonts w:ascii="Arial" w:hAnsi="Arial" w:cs="Arial" w:eastAsia="Arial"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Arial" w:hAnsi="Arial" w:cs="Arial" w:eastAsia="Arial" w:hint="default"/>
                <w:w w:val="99"/>
                <w:sz w:val="18"/>
                <w:szCs w:val="18"/>
              </w:rPr>
              <w:t>30</w:t>
            </w:r>
            <w:r>
              <w:rPr>
                <w:rFonts w:ascii="Arial" w:hAnsi="Arial" w:cs="Arial" w:eastAsia="Arial" w:hint="default"/>
                <w:sz w:val="18"/>
                <w:szCs w:val="18"/>
              </w:rPr>
              <w:t> </w:t>
            </w:r>
            <w:r>
              <w:rPr>
                <w:rFonts w:ascii="Arial" w:hAnsi="Arial" w:cs="Arial" w:eastAsia="Arial" w:hint="default"/>
                <w:spacing w:val="-11"/>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诺项目已经履行完</w:t>
            </w:r>
          </w:p>
        </w:tc>
      </w:tr>
      <w:tr>
        <w:trPr>
          <w:trHeight w:val="624"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钱贵昱、王琳</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任职期限承诺</w:t>
            </w: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302" w:lineRule="auto" w:before="6"/>
              <w:ind w:left="23" w:right="57"/>
              <w:jc w:val="left"/>
              <w:rPr>
                <w:rFonts w:ascii="宋体" w:hAnsi="宋体" w:cs="宋体" w:eastAsia="宋体" w:hint="default"/>
                <w:sz w:val="18"/>
                <w:szCs w:val="18"/>
              </w:rPr>
            </w:pPr>
            <w:r>
              <w:rPr>
                <w:rFonts w:ascii="宋体" w:hAnsi="宋体" w:cs="宋体" w:eastAsia="宋体" w:hint="default"/>
                <w:sz w:val="18"/>
                <w:szCs w:val="18"/>
              </w:rPr>
              <w:t>前全职、连续地在标的公司担任董事工作，王琳承诺至</w:t>
            </w:r>
            <w:r>
              <w:rPr>
                <w:rFonts w:ascii="宋体" w:hAnsi="宋体" w:cs="宋体" w:eastAsia="宋体" w:hint="default"/>
                <w:spacing w:val="-46"/>
                <w:sz w:val="18"/>
                <w:szCs w:val="18"/>
              </w:rPr>
              <w:t> </w:t>
            </w:r>
            <w:r>
              <w:rPr>
                <w:rFonts w:ascii="Arial" w:hAnsi="Arial" w:cs="Arial" w:eastAsia="Arial" w:hint="default"/>
                <w:sz w:val="18"/>
                <w:szCs w:val="18"/>
              </w:rPr>
              <w:t>2018</w:t>
            </w:r>
            <w:r>
              <w:rPr>
                <w:rFonts w:ascii="Arial" w:hAnsi="Arial" w:cs="Arial" w:eastAsia="Arial" w:hint="default"/>
                <w:spacing w:val="3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4</w:t>
            </w:r>
            <w:r>
              <w:rPr>
                <w:rFonts w:ascii="Arial" w:hAnsi="Arial" w:cs="Arial" w:eastAsia="Arial" w:hint="default"/>
                <w:spacing w:val="40"/>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30</w:t>
            </w:r>
            <w:r>
              <w:rPr>
                <w:rFonts w:ascii="Arial" w:hAnsi="Arial" w:cs="Arial" w:eastAsia="Arial" w:hint="default"/>
                <w:spacing w:val="38"/>
                <w:sz w:val="18"/>
                <w:szCs w:val="18"/>
              </w:rPr>
              <w:t> </w:t>
            </w:r>
            <w:r>
              <w:rPr>
                <w:rFonts w:ascii="宋体" w:hAnsi="宋体" w:cs="宋体" w:eastAsia="宋体" w:hint="default"/>
                <w:sz w:val="18"/>
                <w:szCs w:val="18"/>
              </w:rPr>
              <w:t>日前 全职、连续地在标的公司工作，未经本公司同意，不得主动提出从标的公司离</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Arial" w:hAnsi="Arial" w:cs="Arial" w:eastAsia="Arial" w:hint="default"/>
                <w:sz w:val="18"/>
                <w:szCs w:val="18"/>
              </w:rPr>
              <w:t>04</w:t>
            </w:r>
            <w:r>
              <w:rPr>
                <w:rFonts w:ascii="Arial" w:hAnsi="Arial" w:cs="Arial" w:eastAsia="Arial"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Arial" w:hAnsi="Arial" w:cs="Arial" w:eastAsia="Arial" w:hint="default"/>
                <w:sz w:val="18"/>
                <w:szCs w:val="18"/>
              </w:rPr>
              <w:t>29</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27"/>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Arial" w:hAnsi="Arial" w:cs="Arial" w:eastAsia="Arial" w:hint="default"/>
                <w:sz w:val="18"/>
                <w:szCs w:val="18"/>
              </w:rPr>
              <w:t>4</w:t>
            </w:r>
            <w:r>
              <w:rPr>
                <w:rFonts w:ascii="Arial" w:hAnsi="Arial" w:cs="Arial" w:eastAsia="Arial" w:hint="default"/>
                <w:spacing w:val="-2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Arial" w:hAnsi="Arial" w:cs="Arial" w:eastAsia="Arial" w:hint="default"/>
                <w:sz w:val="18"/>
                <w:szCs w:val="18"/>
              </w:rPr>
              <w:t>30</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593"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20"/>
              <w:jc w:val="left"/>
              <w:rPr>
                <w:rFonts w:ascii="宋体" w:hAnsi="宋体" w:cs="宋体" w:eastAsia="宋体" w:hint="default"/>
                <w:sz w:val="18"/>
                <w:szCs w:val="18"/>
              </w:rPr>
            </w:pPr>
            <w:r>
              <w:rPr>
                <w:rFonts w:ascii="宋体" w:hAnsi="宋体" w:cs="宋体" w:eastAsia="宋体" w:hint="default"/>
                <w:sz w:val="18"/>
                <w:szCs w:val="18"/>
              </w:rPr>
              <w:t>毕</w:t>
            </w:r>
            <w:r>
              <w:rPr>
                <w:rFonts w:ascii="宋体" w:hAnsi="宋体" w:cs="宋体" w:eastAsia="宋体" w:hint="default"/>
                <w:spacing w:val="-82"/>
                <w:sz w:val="18"/>
                <w:szCs w:val="18"/>
              </w:rPr>
              <w:t>，</w:t>
            </w:r>
            <w:r>
              <w:rPr>
                <w:rFonts w:ascii="宋体" w:hAnsi="宋体" w:cs="宋体" w:eastAsia="宋体" w:hint="default"/>
                <w:sz w:val="18"/>
                <w:szCs w:val="18"/>
              </w:rPr>
              <w:t>承诺期间承诺主</w:t>
            </w:r>
            <w:r>
              <w:rPr>
                <w:rFonts w:ascii="宋体" w:hAnsi="宋体" w:cs="宋体" w:eastAsia="宋体" w:hint="default"/>
                <w:sz w:val="18"/>
                <w:szCs w:val="18"/>
              </w:rPr>
              <w:t> 体遵守以上承诺</w:t>
            </w:r>
            <w:r>
              <w:rPr>
                <w:rFonts w:ascii="宋体" w:hAnsi="宋体" w:cs="宋体" w:eastAsia="宋体" w:hint="default"/>
                <w:spacing w:val="-82"/>
                <w:sz w:val="18"/>
                <w:szCs w:val="18"/>
              </w:rPr>
              <w:t>，</w:t>
            </w:r>
            <w:r>
              <w:rPr>
                <w:rFonts w:ascii="宋体" w:hAnsi="宋体" w:cs="宋体" w:eastAsia="宋体" w:hint="default"/>
                <w:sz w:val="18"/>
                <w:szCs w:val="18"/>
              </w:rPr>
              <w:t>未</w:t>
            </w:r>
          </w:p>
        </w:tc>
      </w:tr>
      <w:tr>
        <w:trPr>
          <w:trHeight w:val="308"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职。</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有违反上述承诺的</w:t>
            </w:r>
          </w:p>
        </w:tc>
      </w:tr>
      <w:tr>
        <w:trPr>
          <w:trHeight w:val="356"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623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5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357" w:hRule="exact"/>
        </w:trPr>
        <w:tc>
          <w:tcPr>
            <w:tcW w:w="1101" w:type="dxa"/>
            <w:vMerge/>
            <w:tcBorders>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62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截至《任职期限及竞业禁止协议》签署之日，除标的公司及其子公司外，钱贵</w:t>
            </w:r>
          </w:p>
        </w:tc>
        <w:tc>
          <w:tcPr>
            <w:tcW w:w="1134"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59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昱、王琳及其直接或间接控制的企业、或担任董事或高级管理人员（包括总经</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截至报告期末</w:t>
            </w:r>
            <w:r>
              <w:rPr>
                <w:rFonts w:ascii="宋体" w:hAnsi="宋体" w:cs="宋体" w:eastAsia="宋体" w:hint="default"/>
                <w:spacing w:val="-82"/>
                <w:sz w:val="18"/>
                <w:szCs w:val="18"/>
              </w:rPr>
              <w:t>，</w:t>
            </w:r>
            <w:r>
              <w:rPr>
                <w:rFonts w:ascii="宋体" w:hAnsi="宋体" w:cs="宋体" w:eastAsia="宋体" w:hint="default"/>
                <w:sz w:val="18"/>
                <w:szCs w:val="18"/>
              </w:rPr>
              <w:t>承诺</w:t>
            </w:r>
          </w:p>
        </w:tc>
      </w:tr>
      <w:tr>
        <w:trPr>
          <w:trHeight w:val="628"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钱贵昱、王琳</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竞业禁止承诺</w:t>
            </w: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1"/>
              <w:jc w:val="left"/>
              <w:rPr>
                <w:rFonts w:ascii="宋体" w:hAnsi="宋体" w:cs="宋体" w:eastAsia="宋体" w:hint="default"/>
                <w:sz w:val="18"/>
                <w:szCs w:val="18"/>
              </w:rPr>
            </w:pPr>
            <w:r>
              <w:rPr>
                <w:rFonts w:ascii="宋体" w:hAnsi="宋体" w:cs="宋体" w:eastAsia="宋体" w:hint="default"/>
                <w:spacing w:val="-4"/>
                <w:sz w:val="18"/>
                <w:szCs w:val="18"/>
              </w:rPr>
              <w:t>理、副总经理、财务总监及董事会秘书）、顾问或其他任何职务的企业在中华人</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民共和国（包括香港、澳门及台湾地区）未从事政府、事业单位和大型企业领</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Arial" w:hAnsi="Arial" w:cs="Arial" w:eastAsia="Arial" w:hint="default"/>
                <w:sz w:val="18"/>
                <w:szCs w:val="18"/>
              </w:rPr>
              <w:t>04</w:t>
            </w:r>
            <w:r>
              <w:rPr>
                <w:rFonts w:ascii="Arial" w:hAnsi="Arial" w:cs="Arial" w:eastAsia="Arial"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Arial" w:hAnsi="Arial" w:cs="Arial" w:eastAsia="Arial" w:hint="default"/>
                <w:sz w:val="18"/>
                <w:szCs w:val="18"/>
              </w:rPr>
              <w:t>29</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Arial" w:hAnsi="Arial" w:cs="Arial" w:eastAsia="Arial" w:hint="default"/>
                <w:sz w:val="18"/>
                <w:szCs w:val="18"/>
              </w:rPr>
            </w:pPr>
            <w:r>
              <w:rPr>
                <w:rFonts w:ascii="Arial" w:hAnsi="Arial" w:cs="Arial" w:eastAsia="Arial"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159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pacing w:val="-10"/>
                <w:sz w:val="18"/>
                <w:szCs w:val="18"/>
              </w:rPr>
              <w:t>方遵守以上承诺，未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有违反上述承诺的</w:t>
            </w: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域</w:t>
            </w:r>
            <w:r>
              <w:rPr>
                <w:rFonts w:ascii="宋体" w:hAnsi="宋体" w:cs="宋体" w:eastAsia="宋体" w:hint="default"/>
                <w:spacing w:val="-45"/>
                <w:sz w:val="18"/>
                <w:szCs w:val="18"/>
              </w:rPr>
              <w:t> </w:t>
            </w:r>
            <w:r>
              <w:rPr>
                <w:rFonts w:ascii="Arial" w:hAnsi="Arial" w:cs="Arial" w:eastAsia="Arial" w:hint="default"/>
                <w:spacing w:val="-2"/>
                <w:sz w:val="18"/>
                <w:szCs w:val="18"/>
              </w:rPr>
              <w:t>OA</w:t>
            </w:r>
            <w:r>
              <w:rPr>
                <w:rFonts w:ascii="宋体" w:hAnsi="宋体" w:cs="宋体" w:eastAsia="宋体" w:hint="default"/>
                <w:spacing w:val="-2"/>
                <w:sz w:val="18"/>
                <w:szCs w:val="18"/>
              </w:rPr>
              <w:t>（办公自动化）软件和系统的开发、销售及服务业务（含开发服务、自有</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353"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62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产品及代理产品的开发、销售和服务</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4"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593"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1101" w:type="dxa"/>
            <w:vMerge/>
            <w:tcBorders>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王琳</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兼业禁止承诺</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81"/>
              <w:jc w:val="both"/>
              <w:rPr>
                <w:rFonts w:ascii="宋体" w:hAnsi="宋体" w:cs="宋体" w:eastAsia="宋体" w:hint="default"/>
                <w:sz w:val="18"/>
                <w:szCs w:val="18"/>
              </w:rPr>
            </w:pPr>
            <w:r>
              <w:rPr>
                <w:rFonts w:ascii="宋体" w:hAnsi="宋体" w:cs="宋体" w:eastAsia="宋体" w:hint="default"/>
                <w:sz w:val="18"/>
                <w:szCs w:val="18"/>
              </w:rPr>
              <w:t>王琳在标的公司任职期限内，未经本公司同意，不得在其他公司、合伙企业等 任何经营主体或机构以任何方式（包括但不限于担任顾问等）兼职。若王琳违 反兼业禁止承诺的所得归本公司所有。</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Arial" w:hAnsi="Arial" w:cs="Arial" w:eastAsia="Arial" w:hint="default"/>
                <w:sz w:val="18"/>
                <w:szCs w:val="18"/>
              </w:rPr>
              <w:t>05</w:t>
            </w:r>
            <w:r>
              <w:rPr>
                <w:rFonts w:ascii="Arial" w:hAnsi="Arial" w:cs="Arial" w:eastAsia="Arial"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Arial" w:hAnsi="Arial" w:cs="Arial" w:eastAsia="Arial" w:hint="default"/>
                <w:sz w:val="18"/>
                <w:szCs w:val="18"/>
              </w:rPr>
              <w:t>04</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任职期限内</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0"/>
                <w:sz w:val="18"/>
                <w:szCs w:val="18"/>
              </w:rPr>
              <w:t>截至报告期末，承诺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方遵守以上承诺，未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有违反上述承诺的 情况。</w:t>
            </w:r>
          </w:p>
        </w:tc>
      </w:tr>
      <w:tr>
        <w:trPr>
          <w:trHeight w:val="361" w:hRule="exact"/>
        </w:trPr>
        <w:tc>
          <w:tcPr>
            <w:tcW w:w="1101" w:type="dxa"/>
            <w:vMerge/>
            <w:tcBorders>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62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Arial" w:hAnsi="Arial" w:cs="Arial" w:eastAsia="Arial" w:hint="default"/>
                <w:spacing w:val="-3"/>
                <w:sz w:val="18"/>
                <w:szCs w:val="18"/>
              </w:rPr>
              <w:t>1</w:t>
            </w:r>
            <w:r>
              <w:rPr>
                <w:rFonts w:ascii="宋体" w:hAnsi="宋体" w:cs="宋体" w:eastAsia="宋体" w:hint="default"/>
                <w:spacing w:val="-3"/>
                <w:sz w:val="18"/>
                <w:szCs w:val="18"/>
              </w:rPr>
              <w:t>、在作为上市公司股东期间，陈京念、沧州地铁本人</w:t>
            </w:r>
            <w:r>
              <w:rPr>
                <w:rFonts w:ascii="Arial" w:hAnsi="Arial" w:cs="Arial" w:eastAsia="Arial" w:hint="default"/>
                <w:spacing w:val="-3"/>
                <w:sz w:val="18"/>
                <w:szCs w:val="18"/>
              </w:rPr>
              <w:t>/</w:t>
            </w:r>
            <w:r>
              <w:rPr>
                <w:rFonts w:ascii="宋体" w:hAnsi="宋体" w:cs="宋体" w:eastAsia="宋体" w:hint="default"/>
                <w:spacing w:val="-3"/>
                <w:sz w:val="18"/>
                <w:szCs w:val="18"/>
              </w:rPr>
              <w:t>本公司及其控制的其他企</w:t>
            </w:r>
          </w:p>
        </w:tc>
        <w:tc>
          <w:tcPr>
            <w:tcW w:w="1134"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593" w:type="dxa"/>
            <w:tcBorders>
              <w:top w:val="single" w:sz="4" w:space="0" w:color="000000"/>
              <w:left w:val="single" w:sz="4" w:space="0" w:color="000000"/>
              <w:bottom w:val="nil" w:sz="6" w:space="0" w:color="auto"/>
              <w:right w:val="single" w:sz="4" w:space="0" w:color="000000"/>
            </w:tcBorders>
          </w:tcPr>
          <w:p>
            <w:pPr/>
          </w:p>
        </w:tc>
      </w:tr>
      <w:tr>
        <w:trPr>
          <w:trHeight w:val="308"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业不会直接或间接从事任何与上市公司及其下属公司（包括华宇金信及其子公</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司）经营业务构成竞争或潜在竞争关系的生产与经营，亦不会投资任何与上市</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pacing w:val="-4"/>
                <w:sz w:val="18"/>
                <w:szCs w:val="18"/>
              </w:rPr>
              <w:t>公司及其下属公司经营业务构成竞争或潜在竞争关系的其他企业。</w:t>
            </w:r>
            <w:r>
              <w:rPr>
                <w:rFonts w:ascii="Arial" w:hAnsi="Arial" w:cs="Arial" w:eastAsia="Arial" w:hint="default"/>
                <w:spacing w:val="-4"/>
                <w:sz w:val="18"/>
                <w:szCs w:val="18"/>
              </w:rPr>
              <w:t>2</w:t>
            </w:r>
            <w:r>
              <w:rPr>
                <w:rFonts w:ascii="宋体" w:hAnsi="宋体" w:cs="宋体" w:eastAsia="宋体" w:hint="default"/>
                <w:spacing w:val="-4"/>
                <w:sz w:val="18"/>
                <w:szCs w:val="18"/>
              </w:rPr>
              <w:t>、在陈京念</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截至报告期末</w:t>
            </w:r>
            <w:r>
              <w:rPr>
                <w:rFonts w:ascii="宋体" w:hAnsi="宋体" w:cs="宋体" w:eastAsia="宋体" w:hint="default"/>
                <w:spacing w:val="-82"/>
                <w:sz w:val="18"/>
                <w:szCs w:val="18"/>
              </w:rPr>
              <w:t>，</w:t>
            </w:r>
            <w:r>
              <w:rPr>
                <w:rFonts w:ascii="宋体" w:hAnsi="宋体" w:cs="宋体" w:eastAsia="宋体" w:hint="default"/>
                <w:sz w:val="18"/>
                <w:szCs w:val="18"/>
              </w:rPr>
              <w:t>承诺</w:t>
            </w:r>
          </w:p>
        </w:tc>
      </w:tr>
      <w:tr>
        <w:trPr>
          <w:trHeight w:val="620"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86"/>
              <w:jc w:val="left"/>
              <w:rPr>
                <w:rFonts w:ascii="宋体" w:hAnsi="宋体" w:cs="宋体" w:eastAsia="宋体" w:hint="default"/>
                <w:sz w:val="18"/>
                <w:szCs w:val="18"/>
              </w:rPr>
            </w:pPr>
            <w:r>
              <w:rPr>
                <w:rFonts w:ascii="宋体" w:hAnsi="宋体" w:cs="宋体" w:eastAsia="宋体" w:hint="default"/>
                <w:sz w:val="18"/>
                <w:szCs w:val="18"/>
              </w:rPr>
              <w:t>陈京念；沧州地铁 物资有限公司</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同业竞争</w:t>
            </w: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302" w:lineRule="auto" w:before="15"/>
              <w:ind w:left="23" w:right="31"/>
              <w:jc w:val="left"/>
              <w:rPr>
                <w:rFonts w:ascii="宋体" w:hAnsi="宋体" w:cs="宋体" w:eastAsia="宋体" w:hint="default"/>
                <w:sz w:val="18"/>
                <w:szCs w:val="18"/>
              </w:rPr>
            </w:pPr>
            <w:r>
              <w:rPr>
                <w:rFonts w:ascii="宋体" w:hAnsi="宋体" w:cs="宋体" w:eastAsia="宋体" w:hint="default"/>
                <w:sz w:val="18"/>
                <w:szCs w:val="18"/>
              </w:rPr>
              <w:t>沧州地铁作为上市公司股东期间，如陈京念、沧州地铁本人</w:t>
            </w:r>
            <w:r>
              <w:rPr>
                <w:rFonts w:ascii="Arial" w:hAnsi="Arial" w:cs="Arial" w:eastAsia="Arial" w:hint="default"/>
                <w:sz w:val="18"/>
                <w:szCs w:val="18"/>
              </w:rPr>
              <w:t>/</w:t>
            </w:r>
            <w:r>
              <w:rPr>
                <w:rFonts w:ascii="宋体" w:hAnsi="宋体" w:cs="宋体" w:eastAsia="宋体" w:hint="default"/>
                <w:sz w:val="18"/>
                <w:szCs w:val="18"/>
              </w:rPr>
              <w:t>本公司及其控制的 其他企业获得的商业机会与上市公司及其下属公司主营业务构成同业竞争或可</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4"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Arial" w:hAnsi="Arial" w:cs="Arial" w:eastAsia="Arial" w:hint="default"/>
                <w:sz w:val="18"/>
                <w:szCs w:val="18"/>
              </w:rPr>
              <w:t>05</w:t>
            </w:r>
            <w:r>
              <w:rPr>
                <w:rFonts w:ascii="Arial" w:hAnsi="Arial" w:cs="Arial" w:eastAsia="Arial"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Arial" w:hAnsi="Arial" w:cs="Arial" w:eastAsia="Arial" w:hint="default"/>
                <w:sz w:val="18"/>
                <w:szCs w:val="18"/>
              </w:rPr>
              <w:t>04</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93"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0"/>
                <w:sz w:val="18"/>
                <w:szCs w:val="18"/>
              </w:rPr>
              <w:t>方遵守以上承诺，未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有违反上述承诺的</w:t>
            </w:r>
          </w:p>
        </w:tc>
      </w:tr>
      <w:tr>
        <w:trPr>
          <w:trHeight w:val="326"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能构成同业竞争的，陈京念、沧州地铁本人</w:t>
            </w:r>
            <w:r>
              <w:rPr>
                <w:rFonts w:ascii="Arial" w:hAnsi="Arial" w:cs="Arial" w:eastAsia="Arial" w:hint="default"/>
                <w:sz w:val="18"/>
                <w:szCs w:val="18"/>
              </w:rPr>
              <w:t>/</w:t>
            </w:r>
            <w:r>
              <w:rPr>
                <w:rFonts w:ascii="宋体" w:hAnsi="宋体" w:cs="宋体" w:eastAsia="宋体" w:hint="default"/>
                <w:sz w:val="18"/>
                <w:szCs w:val="18"/>
              </w:rPr>
              <w:t>本公司将立即通知上市公司，并优</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308"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先将该商业机会给予上市公司，避免与上市公司及其下属公司业务构成同业竞</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争或潜在同业竞争，以确保上市公司及上市公司其他股东利益不受损害。</w:t>
            </w:r>
            <w:r>
              <w:rPr>
                <w:rFonts w:ascii="Arial" w:hAnsi="Arial" w:cs="Arial" w:eastAsia="Arial" w:hint="default"/>
                <w:spacing w:val="-2"/>
                <w:sz w:val="18"/>
                <w:szCs w:val="18"/>
              </w:rPr>
              <w:t>3</w:t>
            </w:r>
            <w:r>
              <w:rPr>
                <w:rFonts w:ascii="宋体" w:hAnsi="宋体" w:cs="宋体" w:eastAsia="宋体" w:hint="default"/>
                <w:spacing w:val="-2"/>
                <w:sz w:val="18"/>
                <w:szCs w:val="18"/>
              </w:rPr>
              <w:t>、陈</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101"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62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京念、沧州地铁本人</w:t>
            </w:r>
            <w:r>
              <w:rPr>
                <w:rFonts w:ascii="Arial" w:hAnsi="Arial" w:cs="Arial" w:eastAsia="Arial" w:hint="default"/>
                <w:sz w:val="18"/>
                <w:szCs w:val="18"/>
              </w:rPr>
              <w:t>/</w:t>
            </w:r>
            <w:r>
              <w:rPr>
                <w:rFonts w:ascii="宋体" w:hAnsi="宋体" w:cs="宋体" w:eastAsia="宋体" w:hint="default"/>
                <w:sz w:val="18"/>
                <w:szCs w:val="18"/>
              </w:rPr>
              <w:t>本公司保证有权签署本承诺函，且本承诺函一经陈京念、</w:t>
            </w:r>
          </w:p>
        </w:tc>
        <w:tc>
          <w:tcPr>
            <w:tcW w:w="1134"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593"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8" w:footer="978" w:top="1060" w:bottom="1160" w:left="1320" w:right="1240"/>
        </w:sectPr>
      </w:pPr>
    </w:p>
    <w:p>
      <w:pPr>
        <w:spacing w:line="240" w:lineRule="auto" w:before="1"/>
        <w:rPr>
          <w:rFonts w:ascii="Times New Roman" w:hAnsi="Times New Roman" w:cs="Times New Roman" w:eastAsia="Times New Roman" w:hint="default"/>
          <w:sz w:val="3"/>
          <w:szCs w:val="3"/>
        </w:rPr>
      </w:pPr>
      <w:r>
        <w:rPr/>
        <w:pict>
          <v:shape style="position:absolute;margin-left:581.880005pt;margin-top:57.099987pt;width:62.5pt;height:80.25pt;mso-position-horizontal-relative:page;mso-position-vertical-relative:page;z-index:-862504" type="#_x0000_t202" filled="false" stroked="false">
            <v:textbox inset="0,0,0,0">
              <w:txbxContent>
                <w:p>
                  <w:pPr>
                    <w:spacing w:before="12"/>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81.880005pt;margin-top:137.599991pt;width:62.5pt;height:175.7pt;mso-position-horizontal-relative:page;mso-position-vertical-relative:page;z-index:-8624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8"/>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81.880005pt;margin-top:313.699982pt;width:62.5pt;height:144.5pt;mso-position-horizontal-relative:page;mso-position-vertical-relative:page;z-index:-8624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587.900024pt;margin-top:57.099987pt;width:56.45pt;height:401.25pt;mso-position-horizontal-relative:page;mso-position-vertical-relative:page;z-index:-862432" coordorigin="11758,1142" coordsize="1129,8025">
            <v:group style="position:absolute;left:11758;top:1142;width:1129;height:1605" coordorigin="11758,1142" coordsize="1129,1605">
              <v:shape style="position:absolute;left:11758;top:1142;width:1129;height:1605" coordorigin="11758,1142" coordsize="1129,1605" path="m11758,1142l12887,1142,12887,2747,11758,2747,11758,1142xe" filled="true" fillcolor="#ffffff" stroked="false">
                <v:path arrowok="t"/>
                <v:fill type="solid"/>
              </v:shape>
            </v:group>
            <v:group style="position:absolute;left:11758;top:2752;width:1129;height:3517" coordorigin="11758,2752" coordsize="1129,3517">
              <v:shape style="position:absolute;left:11758;top:2752;width:1129;height:3517" coordorigin="11758,2752" coordsize="1129,3517" path="m11758,2752l12887,2752,12887,6269,11758,6269,11758,2752xe" filled="true" fillcolor="#ffffff" stroked="false">
                <v:path arrowok="t"/>
                <v:fill type="solid"/>
              </v:shape>
            </v:group>
            <v:group style="position:absolute;left:11758;top:6274;width:1129;height:2893" coordorigin="11758,6274" coordsize="1129,2893">
              <v:shape style="position:absolute;left:11758;top:6274;width:1129;height:2893" coordorigin="11758,6274" coordsize="1129,2893" path="m11758,6274l12887,6274,12887,9167,11758,9167,11758,6274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1101"/>
        <w:gridCol w:w="1560"/>
        <w:gridCol w:w="1417"/>
        <w:gridCol w:w="6237"/>
        <w:gridCol w:w="1134"/>
        <w:gridCol w:w="992"/>
        <w:gridCol w:w="1593"/>
      </w:tblGrid>
      <w:tr>
        <w:trPr>
          <w:trHeight w:val="336" w:hRule="exact"/>
        </w:trPr>
        <w:tc>
          <w:tcPr>
            <w:tcW w:w="1101" w:type="dxa"/>
            <w:vMerge w:val="restart"/>
            <w:tcBorders>
              <w:top w:val="single" w:sz="16" w:space="0" w:color="000000"/>
              <w:left w:val="single" w:sz="4" w:space="0" w:color="000000"/>
              <w:right w:val="single" w:sz="4" w:space="0" w:color="000000"/>
            </w:tcBorders>
            <w:shd w:val="clear" w:color="auto" w:fill="D2D2D2"/>
          </w:tcPr>
          <w:p>
            <w:pPr/>
          </w:p>
        </w:tc>
        <w:tc>
          <w:tcPr>
            <w:tcW w:w="1560" w:type="dxa"/>
            <w:vMerge w:val="restart"/>
            <w:tcBorders>
              <w:top w:val="single" w:sz="16" w:space="0" w:color="000000"/>
              <w:left w:val="single" w:sz="4" w:space="0" w:color="000000"/>
              <w:right w:val="single" w:sz="4" w:space="0" w:color="000000"/>
            </w:tcBorders>
          </w:tcPr>
          <w:p>
            <w:pPr/>
          </w:p>
        </w:tc>
        <w:tc>
          <w:tcPr>
            <w:tcW w:w="1417" w:type="dxa"/>
            <w:vMerge w:val="restart"/>
            <w:tcBorders>
              <w:top w:val="single" w:sz="16" w:space="0" w:color="000000"/>
              <w:left w:val="single" w:sz="4" w:space="0" w:color="000000"/>
              <w:right w:val="single" w:sz="4" w:space="0" w:color="000000"/>
            </w:tcBorders>
          </w:tcPr>
          <w:p>
            <w:pPr/>
          </w:p>
        </w:tc>
        <w:tc>
          <w:tcPr>
            <w:tcW w:w="6237"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沧州地铁本人</w:t>
            </w:r>
            <w:r>
              <w:rPr>
                <w:rFonts w:ascii="Arial" w:hAnsi="Arial" w:cs="Arial" w:eastAsia="Arial" w:hint="default"/>
                <w:spacing w:val="-3"/>
                <w:sz w:val="18"/>
                <w:szCs w:val="18"/>
              </w:rPr>
              <w:t>/</w:t>
            </w:r>
            <w:r>
              <w:rPr>
                <w:rFonts w:ascii="宋体" w:hAnsi="宋体" w:cs="宋体" w:eastAsia="宋体" w:hint="default"/>
                <w:spacing w:val="-3"/>
                <w:sz w:val="18"/>
                <w:szCs w:val="18"/>
              </w:rPr>
              <w:t>本公司签署即对本公司构成有效的、合法的、具有约束力的责任</w:t>
            </w:r>
          </w:p>
        </w:tc>
        <w:tc>
          <w:tcPr>
            <w:tcW w:w="1134" w:type="dxa"/>
            <w:vMerge w:val="restart"/>
            <w:tcBorders>
              <w:top w:val="single" w:sz="16" w:space="0" w:color="000000"/>
              <w:left w:val="single" w:sz="4" w:space="0" w:color="000000"/>
              <w:right w:val="single" w:sz="4" w:space="0" w:color="000000"/>
            </w:tcBorders>
          </w:tcPr>
          <w:p>
            <w:pPr/>
          </w:p>
        </w:tc>
        <w:tc>
          <w:tcPr>
            <w:tcW w:w="992" w:type="dxa"/>
            <w:vMerge w:val="restart"/>
            <w:tcBorders>
              <w:top w:val="single" w:sz="16" w:space="0" w:color="000000"/>
              <w:left w:val="single" w:sz="4" w:space="0" w:color="000000"/>
              <w:right w:val="single" w:sz="4" w:space="0" w:color="000000"/>
            </w:tcBorders>
          </w:tcPr>
          <w:p>
            <w:pPr/>
          </w:p>
        </w:tc>
        <w:tc>
          <w:tcPr>
            <w:tcW w:w="1593" w:type="dxa"/>
            <w:vMerge w:val="restart"/>
            <w:tcBorders>
              <w:top w:val="single" w:sz="16" w:space="0" w:color="000000"/>
              <w:left w:val="single" w:sz="4" w:space="0" w:color="000000"/>
              <w:right w:val="single" w:sz="4" w:space="0" w:color="000000"/>
            </w:tcBorders>
          </w:tcPr>
          <w:p>
            <w:pP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且在陈京念、沧州地铁本人</w:t>
            </w:r>
            <w:r>
              <w:rPr>
                <w:rFonts w:ascii="Arial" w:hAnsi="Arial" w:cs="Arial" w:eastAsia="Arial" w:hint="default"/>
                <w:spacing w:val="-3"/>
                <w:sz w:val="18"/>
                <w:szCs w:val="18"/>
              </w:rPr>
              <w:t>/</w:t>
            </w:r>
            <w:r>
              <w:rPr>
                <w:rFonts w:ascii="宋体" w:hAnsi="宋体" w:cs="宋体" w:eastAsia="宋体" w:hint="default"/>
                <w:spacing w:val="-3"/>
                <w:sz w:val="18"/>
                <w:szCs w:val="18"/>
              </w:rPr>
              <w:t>本公司作为上市公司股东期间持续有效，不可撤销</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93" w:type="dxa"/>
            <w:vMerge/>
            <w:tcBorders>
              <w:left w:val="single" w:sz="4" w:space="0" w:color="000000"/>
              <w:right w:val="single" w:sz="4" w:space="0" w:color="000000"/>
            </w:tcBorders>
          </w:tcPr>
          <w:p>
            <w:pP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陈京念、沧州地铁本人</w:t>
            </w:r>
            <w:r>
              <w:rPr>
                <w:rFonts w:ascii="Arial" w:hAnsi="Arial" w:cs="Arial" w:eastAsia="Arial" w:hint="default"/>
                <w:sz w:val="18"/>
                <w:szCs w:val="18"/>
              </w:rPr>
              <w:t>/</w:t>
            </w:r>
            <w:r>
              <w:rPr>
                <w:rFonts w:ascii="宋体" w:hAnsi="宋体" w:cs="宋体" w:eastAsia="宋体" w:hint="default"/>
                <w:sz w:val="18"/>
                <w:szCs w:val="18"/>
              </w:rPr>
              <w:t>本公司保证严格履行本承诺函中的各项承诺，如因违反</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93" w:type="dxa"/>
            <w:vMerge/>
            <w:tcBorders>
              <w:left w:val="single" w:sz="4" w:space="0" w:color="000000"/>
              <w:right w:val="single" w:sz="4" w:space="0" w:color="000000"/>
            </w:tcBorders>
          </w:tcPr>
          <w:p>
            <w:pP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相关承诺并因此给上市公司造成损失的，陈京念、沧州地铁本人</w:t>
            </w:r>
            <w:r>
              <w:rPr>
                <w:rFonts w:ascii="Arial" w:hAnsi="Arial" w:cs="Arial" w:eastAsia="Arial" w:hint="default"/>
                <w:sz w:val="18"/>
                <w:szCs w:val="18"/>
              </w:rPr>
              <w:t>/</w:t>
            </w:r>
            <w:r>
              <w:rPr>
                <w:rFonts w:ascii="宋体" w:hAnsi="宋体" w:cs="宋体" w:eastAsia="宋体" w:hint="default"/>
                <w:sz w:val="18"/>
                <w:szCs w:val="18"/>
              </w:rPr>
              <w:t>本公司将承担</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93" w:type="dxa"/>
            <w:vMerge/>
            <w:tcBorders>
              <w:left w:val="single" w:sz="4" w:space="0" w:color="000000"/>
              <w:right w:val="single" w:sz="4" w:space="0" w:color="000000"/>
            </w:tcBorders>
          </w:tcPr>
          <w:p>
            <w:pPr/>
          </w:p>
        </w:tc>
      </w:tr>
      <w:tr>
        <w:trPr>
          <w:trHeight w:val="353" w:hRule="exact"/>
        </w:trPr>
        <w:tc>
          <w:tcPr>
            <w:tcW w:w="1101"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62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相应的法律责任。</w:t>
            </w:r>
          </w:p>
        </w:tc>
        <w:tc>
          <w:tcPr>
            <w:tcW w:w="113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593" w:type="dxa"/>
            <w:vMerge/>
            <w:tcBorders>
              <w:left w:val="single" w:sz="4" w:space="0" w:color="000000"/>
              <w:bottom w:val="single" w:sz="4" w:space="0" w:color="000000"/>
              <w:right w:val="single" w:sz="4" w:space="0" w:color="000000"/>
            </w:tcBorders>
          </w:tcPr>
          <w:p>
            <w:pPr/>
          </w:p>
        </w:tc>
      </w:tr>
      <w:tr>
        <w:trPr>
          <w:trHeight w:val="362" w:hRule="exact"/>
        </w:trPr>
        <w:tc>
          <w:tcPr>
            <w:tcW w:w="1101" w:type="dxa"/>
            <w:vMerge/>
            <w:tcBorders>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62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在本次重组完成后，陈京念、沧州地铁本人</w:t>
            </w:r>
            <w:r>
              <w:rPr>
                <w:rFonts w:ascii="Arial" w:hAnsi="Arial" w:cs="Arial" w:eastAsia="Arial" w:hint="default"/>
                <w:sz w:val="18"/>
                <w:szCs w:val="18"/>
              </w:rPr>
              <w:t>/</w:t>
            </w:r>
            <w:r>
              <w:rPr>
                <w:rFonts w:ascii="宋体" w:hAnsi="宋体" w:cs="宋体" w:eastAsia="宋体" w:hint="default"/>
                <w:sz w:val="18"/>
                <w:szCs w:val="18"/>
              </w:rPr>
              <w:t>本公司及其控制的企业将尽可能避</w:t>
            </w:r>
          </w:p>
        </w:tc>
        <w:tc>
          <w:tcPr>
            <w:tcW w:w="1134"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593" w:type="dxa"/>
            <w:tcBorders>
              <w:top w:val="single" w:sz="4" w:space="0" w:color="000000"/>
              <w:left w:val="single" w:sz="4" w:space="0" w:color="000000"/>
              <w:bottom w:val="nil" w:sz="6" w:space="0" w:color="auto"/>
              <w:right w:val="single" w:sz="4" w:space="0" w:color="000000"/>
            </w:tcBorders>
          </w:tcPr>
          <w:p>
            <w:pPr/>
          </w:p>
        </w:tc>
      </w:tr>
      <w:tr>
        <w:trPr>
          <w:trHeight w:val="308"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免和减少与上市公司的关联交易，对于无法避免或有合理理由存在的关联交易</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陈京念、沧州地铁本人</w:t>
            </w:r>
            <w:r>
              <w:rPr>
                <w:rFonts w:ascii="Arial" w:hAnsi="Arial" w:cs="Arial" w:eastAsia="Arial" w:hint="default"/>
                <w:sz w:val="18"/>
                <w:szCs w:val="18"/>
              </w:rPr>
              <w:t>/</w:t>
            </w:r>
            <w:r>
              <w:rPr>
                <w:rFonts w:ascii="宋体" w:hAnsi="宋体" w:cs="宋体" w:eastAsia="宋体" w:hint="default"/>
                <w:sz w:val="18"/>
                <w:szCs w:val="18"/>
              </w:rPr>
              <w:t>本公司及其控制的企业将与上市公司按照公平、公允、</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1556"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86"/>
              <w:jc w:val="left"/>
              <w:rPr>
                <w:rFonts w:ascii="宋体" w:hAnsi="宋体" w:cs="宋体" w:eastAsia="宋体" w:hint="default"/>
                <w:sz w:val="18"/>
                <w:szCs w:val="18"/>
              </w:rPr>
            </w:pPr>
            <w:r>
              <w:rPr>
                <w:rFonts w:ascii="宋体" w:hAnsi="宋体" w:cs="宋体" w:eastAsia="宋体" w:hint="default"/>
                <w:sz w:val="18"/>
                <w:szCs w:val="18"/>
              </w:rPr>
              <w:t>陈京念；沧州地铁 物资有限公司</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123"/>
              <w:jc w:val="left"/>
              <w:rPr>
                <w:rFonts w:ascii="宋体" w:hAnsi="宋体" w:cs="宋体" w:eastAsia="宋体" w:hint="default"/>
                <w:sz w:val="18"/>
                <w:szCs w:val="18"/>
              </w:rPr>
            </w:pPr>
            <w:r>
              <w:rPr>
                <w:rFonts w:ascii="宋体" w:hAnsi="宋体" w:cs="宋体" w:eastAsia="宋体" w:hint="default"/>
                <w:sz w:val="18"/>
                <w:szCs w:val="18"/>
              </w:rPr>
              <w:t>减少和规范关联 交易</w:t>
            </w: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314" w:lineRule="auto" w:before="6"/>
              <w:ind w:left="23" w:right="81"/>
              <w:jc w:val="left"/>
              <w:rPr>
                <w:rFonts w:ascii="宋体" w:hAnsi="宋体" w:cs="宋体" w:eastAsia="宋体" w:hint="default"/>
                <w:sz w:val="18"/>
                <w:szCs w:val="18"/>
              </w:rPr>
            </w:pPr>
            <w:r>
              <w:rPr>
                <w:rFonts w:ascii="宋体" w:hAnsi="宋体" w:cs="宋体" w:eastAsia="宋体" w:hint="default"/>
                <w:sz w:val="18"/>
                <w:szCs w:val="18"/>
              </w:rPr>
              <w:t>等价有偿等原则依法签订协议，并由上市公司按照有关法律、法规、其他规范 性文件以及上市公司章程等的规定，依法履行相关内部决策批准程序并及时履 行信息披露义务；陈京念、沧州地铁本人</w:t>
            </w:r>
            <w:r>
              <w:rPr>
                <w:rFonts w:ascii="Arial" w:hAnsi="Arial" w:cs="Arial" w:eastAsia="Arial" w:hint="default"/>
                <w:sz w:val="18"/>
                <w:szCs w:val="18"/>
              </w:rPr>
              <w:t>/</w:t>
            </w:r>
            <w:r>
              <w:rPr>
                <w:rFonts w:ascii="宋体" w:hAnsi="宋体" w:cs="宋体" w:eastAsia="宋体" w:hint="default"/>
                <w:sz w:val="18"/>
                <w:szCs w:val="18"/>
              </w:rPr>
              <w:t>本公司保证陈京念、沧州地铁本人</w:t>
            </w:r>
            <w:r>
              <w:rPr>
                <w:rFonts w:ascii="Arial" w:hAnsi="Arial" w:cs="Arial" w:eastAsia="Arial" w:hint="default"/>
                <w:sz w:val="18"/>
                <w:szCs w:val="18"/>
              </w:rPr>
              <w:t>/</w:t>
            </w:r>
            <w:r>
              <w:rPr>
                <w:rFonts w:ascii="Arial" w:hAnsi="Arial" w:cs="Arial" w:eastAsia="Arial" w:hint="default"/>
                <w:w w:val="99"/>
                <w:sz w:val="18"/>
                <w:szCs w:val="18"/>
              </w:rPr>
              <w:t> </w:t>
            </w:r>
            <w:r>
              <w:rPr>
                <w:rFonts w:ascii="宋体" w:hAnsi="宋体" w:cs="宋体" w:eastAsia="宋体" w:hint="default"/>
                <w:sz w:val="18"/>
                <w:szCs w:val="18"/>
              </w:rPr>
              <w:t>本公司及其控制的企业不以与市场价格相比显失公允的条件与上市公司进行交 易，不利用关联交易非法转移上市公司的资金、利润，亦不利用该类交易从事</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Arial" w:hAnsi="Arial" w:cs="Arial" w:eastAsia="Arial" w:hint="default"/>
                <w:sz w:val="18"/>
                <w:szCs w:val="18"/>
              </w:rPr>
              <w:t>05</w:t>
            </w:r>
            <w:r>
              <w:rPr>
                <w:rFonts w:ascii="Arial" w:hAnsi="Arial" w:cs="Arial" w:eastAsia="Arial"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Arial" w:hAnsi="Arial" w:cs="Arial" w:eastAsia="Arial" w:hint="default"/>
                <w:sz w:val="18"/>
                <w:szCs w:val="18"/>
              </w:rPr>
              <w:t>04</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9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0"/>
                <w:sz w:val="18"/>
                <w:szCs w:val="18"/>
              </w:rPr>
              <w:t>截至报告期末，承诺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方遵守以上承诺，未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有违反上述承诺的 情况。</w:t>
            </w: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任何损害上市公司及其他股东合法权益的行为。若出现违反上述承诺而损害上</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市公司利益的情形，陈京念、沧州地铁本人</w:t>
            </w:r>
            <w:r>
              <w:rPr>
                <w:rFonts w:ascii="Arial" w:hAnsi="Arial" w:cs="Arial" w:eastAsia="Arial" w:hint="default"/>
                <w:sz w:val="18"/>
                <w:szCs w:val="18"/>
              </w:rPr>
              <w:t>/</w:t>
            </w:r>
            <w:r>
              <w:rPr>
                <w:rFonts w:ascii="宋体" w:hAnsi="宋体" w:cs="宋体" w:eastAsia="宋体" w:hint="default"/>
                <w:sz w:val="18"/>
                <w:szCs w:val="18"/>
              </w:rPr>
              <w:t>本公司将对前述行为而给上市公司</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62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造成的损失向上市公司进行赔偿。</w:t>
            </w:r>
          </w:p>
        </w:tc>
        <w:tc>
          <w:tcPr>
            <w:tcW w:w="1134"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59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101" w:type="dxa"/>
            <w:vMerge/>
            <w:tcBorders>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62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配套融资认购邵学出具了《北京华宇软件股份有限公司发行股份及支付现金购</w:t>
            </w:r>
          </w:p>
        </w:tc>
        <w:tc>
          <w:tcPr>
            <w:tcW w:w="1134"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593"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买资产并募集配套资金暨关联交易之非公开发行</w:t>
            </w:r>
            <w:r>
              <w:rPr>
                <w:rFonts w:ascii="宋体" w:hAnsi="宋体" w:cs="宋体" w:eastAsia="宋体" w:hint="default"/>
                <w:spacing w:val="-46"/>
                <w:sz w:val="18"/>
                <w:szCs w:val="18"/>
              </w:rPr>
              <w:t> </w:t>
            </w:r>
            <w:r>
              <w:rPr>
                <w:rFonts w:ascii="Arial" w:hAnsi="Arial" w:cs="Arial" w:eastAsia="Arial" w:hint="default"/>
                <w:sz w:val="18"/>
                <w:szCs w:val="18"/>
              </w:rPr>
              <w:t>A</w:t>
            </w:r>
            <w:r>
              <w:rPr>
                <w:rFonts w:ascii="Arial" w:hAnsi="Arial" w:cs="Arial" w:eastAsia="Arial" w:hint="default"/>
                <w:spacing w:val="-8"/>
                <w:sz w:val="18"/>
                <w:szCs w:val="18"/>
              </w:rPr>
              <w:t> </w:t>
            </w:r>
            <w:r>
              <w:rPr>
                <w:rFonts w:ascii="宋体" w:hAnsi="宋体" w:cs="宋体" w:eastAsia="宋体" w:hint="default"/>
                <w:sz w:val="18"/>
                <w:szCs w:val="18"/>
              </w:rPr>
              <w:t>股股票之发行对象关于所认</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邵学</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309" w:lineRule="auto" w:before="6"/>
              <w:ind w:left="23" w:right="21"/>
              <w:jc w:val="left"/>
              <w:rPr>
                <w:rFonts w:ascii="宋体" w:hAnsi="宋体" w:cs="宋体" w:eastAsia="宋体" w:hint="default"/>
                <w:sz w:val="18"/>
                <w:szCs w:val="18"/>
              </w:rPr>
            </w:pPr>
            <w:r>
              <w:rPr>
                <w:rFonts w:ascii="宋体" w:hAnsi="宋体" w:cs="宋体" w:eastAsia="宋体" w:hint="default"/>
                <w:spacing w:val="-4"/>
                <w:sz w:val="18"/>
                <w:szCs w:val="18"/>
              </w:rPr>
              <w:t>购股份限售的承诺函及股份锁定申请》，主要内容如下：自北京华宇软件股份有</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限公司本次非公开发行的股票上市之日起</w:t>
            </w:r>
            <w:r>
              <w:rPr>
                <w:rFonts w:ascii="宋体" w:hAnsi="宋体" w:cs="宋体" w:eastAsia="宋体" w:hint="default"/>
                <w:spacing w:val="-46"/>
                <w:sz w:val="18"/>
                <w:szCs w:val="18"/>
              </w:rPr>
              <w:t> </w:t>
            </w:r>
            <w:r>
              <w:rPr>
                <w:rFonts w:ascii="Arial" w:hAnsi="Arial" w:cs="Arial" w:eastAsia="Arial" w:hint="default"/>
                <w:sz w:val="18"/>
                <w:szCs w:val="18"/>
              </w:rPr>
              <w:t>36</w:t>
            </w:r>
            <w:r>
              <w:rPr>
                <w:rFonts w:ascii="Arial" w:hAnsi="Arial" w:cs="Arial" w:eastAsia="Arial" w:hint="default"/>
                <w:spacing w:val="-8"/>
                <w:sz w:val="18"/>
                <w:szCs w:val="18"/>
              </w:rPr>
              <w:t> </w:t>
            </w:r>
            <w:r>
              <w:rPr>
                <w:rFonts w:ascii="宋体" w:hAnsi="宋体" w:cs="宋体" w:eastAsia="宋体" w:hint="default"/>
                <w:sz w:val="18"/>
                <w:szCs w:val="18"/>
              </w:rPr>
              <w:t>个月内，不转让本单位</w:t>
            </w:r>
            <w:r>
              <w:rPr>
                <w:rFonts w:ascii="Arial" w:hAnsi="Arial" w:cs="Arial" w:eastAsia="Arial" w:hint="default"/>
                <w:sz w:val="18"/>
                <w:szCs w:val="18"/>
              </w:rPr>
              <w:t>/</w:t>
            </w:r>
            <w:r>
              <w:rPr>
                <w:rFonts w:ascii="宋体" w:hAnsi="宋体" w:cs="宋体" w:eastAsia="宋体" w:hint="default"/>
                <w:sz w:val="18"/>
                <w:szCs w:val="18"/>
              </w:rPr>
              <w:t>本人所认 购的上述股份。本单位</w:t>
            </w:r>
            <w:r>
              <w:rPr>
                <w:rFonts w:ascii="Arial" w:hAnsi="Arial" w:cs="Arial" w:eastAsia="Arial" w:hint="default"/>
                <w:sz w:val="18"/>
                <w:szCs w:val="18"/>
              </w:rPr>
              <w:t>/</w:t>
            </w:r>
            <w:r>
              <w:rPr>
                <w:rFonts w:ascii="宋体" w:hAnsi="宋体" w:cs="宋体" w:eastAsia="宋体" w:hint="default"/>
                <w:sz w:val="18"/>
                <w:szCs w:val="18"/>
              </w:rPr>
              <w:t>本人所认购的上述公司股份在锁定期届满后减持还将遵 </w:t>
            </w:r>
            <w:r>
              <w:rPr>
                <w:rFonts w:ascii="宋体" w:hAnsi="宋体" w:cs="宋体" w:eastAsia="宋体" w:hint="default"/>
                <w:spacing w:val="-15"/>
                <w:sz w:val="18"/>
                <w:szCs w:val="18"/>
              </w:rPr>
              <w:t>守《公司法》、《证券法》、《深圳证券交易所股票上市规则》、《上市公司股东、</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w w:val="99"/>
                <w:sz w:val="18"/>
                <w:szCs w:val="18"/>
              </w:rPr>
              <w:t>董监高减持股份的若干规定》（证监会公告</w:t>
            </w:r>
            <w:r>
              <w:rPr>
                <w:rFonts w:ascii="Arial" w:hAnsi="Arial" w:cs="Arial" w:eastAsia="Arial" w:hint="default"/>
                <w:spacing w:val="-4"/>
                <w:w w:val="99"/>
                <w:sz w:val="18"/>
                <w:szCs w:val="18"/>
              </w:rPr>
              <w:t>[2017]9</w:t>
            </w:r>
            <w:r>
              <w:rPr>
                <w:rFonts w:ascii="Arial" w:hAnsi="Arial" w:cs="Arial" w:eastAsia="Arial" w:hint="default"/>
                <w:spacing w:val="3"/>
                <w:w w:val="99"/>
                <w:sz w:val="18"/>
                <w:szCs w:val="18"/>
              </w:rPr>
              <w:t> </w:t>
            </w:r>
            <w:r>
              <w:rPr>
                <w:rFonts w:ascii="宋体" w:hAnsi="宋体" w:cs="宋体" w:eastAsia="宋体" w:hint="default"/>
                <w:sz w:val="18"/>
                <w:szCs w:val="18"/>
              </w:rPr>
              <w:t>号）等法律、法规、规章、</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Arial" w:hAnsi="Arial" w:cs="Arial" w:eastAsia="Arial" w:hint="default"/>
                <w:sz w:val="18"/>
                <w:szCs w:val="18"/>
              </w:rPr>
              <w:t>10</w:t>
            </w:r>
            <w:r>
              <w:rPr>
                <w:rFonts w:ascii="Arial" w:hAnsi="Arial" w:cs="Arial" w:eastAsia="Arial"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Arial" w:hAnsi="Arial" w:cs="Arial" w:eastAsia="Arial" w:hint="default"/>
                <w:sz w:val="18"/>
                <w:szCs w:val="18"/>
              </w:rPr>
              <w:t>16</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Arial" w:hAnsi="Arial" w:cs="Arial" w:eastAsia="Arial" w:hint="default"/>
                <w:sz w:val="18"/>
                <w:szCs w:val="18"/>
              </w:rPr>
            </w:pPr>
            <w:r>
              <w:rPr>
                <w:rFonts w:ascii="Arial" w:hAnsi="Arial" w:cs="Arial" w:eastAsia="Arial" w:hint="default"/>
                <w:sz w:val="18"/>
                <w:szCs w:val="18"/>
              </w:rPr>
              <w:t>2020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16</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159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0"/>
                <w:sz w:val="18"/>
                <w:szCs w:val="18"/>
              </w:rPr>
              <w:t>截至报告期末，承诺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方遵守以上承诺，未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有违反上述承诺的 情况。</w:t>
            </w:r>
          </w:p>
        </w:tc>
      </w:tr>
      <w:tr>
        <w:trPr>
          <w:trHeight w:val="308"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规范性文件</w:t>
            </w:r>
            <w:r>
              <w:rPr>
                <w:rFonts w:ascii="宋体" w:hAnsi="宋体" w:cs="宋体" w:eastAsia="宋体" w:hint="default"/>
                <w:spacing w:val="-60"/>
                <w:sz w:val="18"/>
                <w:szCs w:val="18"/>
              </w:rPr>
              <w:t>、</w:t>
            </w:r>
            <w:r>
              <w:rPr>
                <w:rFonts w:ascii="宋体" w:hAnsi="宋体" w:cs="宋体" w:eastAsia="宋体" w:hint="default"/>
                <w:sz w:val="18"/>
                <w:szCs w:val="18"/>
              </w:rPr>
              <w:t>深圳证券交易所相关规</w:t>
            </w:r>
            <w:r>
              <w:rPr>
                <w:rFonts w:ascii="宋体" w:hAnsi="宋体" w:cs="宋体" w:eastAsia="宋体" w:hint="default"/>
                <w:spacing w:val="-60"/>
                <w:sz w:val="18"/>
                <w:szCs w:val="18"/>
              </w:rPr>
              <w:t>则</w:t>
            </w:r>
            <w:r>
              <w:rPr>
                <w:rFonts w:ascii="宋体" w:hAnsi="宋体" w:cs="宋体" w:eastAsia="宋体" w:hint="default"/>
                <w:spacing w:val="-89"/>
                <w:sz w:val="18"/>
                <w:szCs w:val="18"/>
              </w:rPr>
              <w:t>（</w:t>
            </w:r>
            <w:r>
              <w:rPr>
                <w:rFonts w:ascii="宋体" w:hAnsi="宋体" w:cs="宋体" w:eastAsia="宋体" w:hint="default"/>
                <w:sz w:val="18"/>
                <w:szCs w:val="18"/>
              </w:rPr>
              <w:t>《深圳证券交易所上市公司股东及董事</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62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监事、高级管理人员减持股份实施细则》等）以及《公司章程》的相关规定。</w:t>
            </w:r>
          </w:p>
        </w:tc>
        <w:tc>
          <w:tcPr>
            <w:tcW w:w="1134"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593" w:type="dxa"/>
            <w:tcBorders>
              <w:top w:val="nil" w:sz="6" w:space="0" w:color="auto"/>
              <w:left w:val="single" w:sz="4" w:space="0" w:color="000000"/>
              <w:bottom w:val="single" w:sz="4" w:space="0" w:color="000000"/>
              <w:right w:val="single" w:sz="4" w:space="0" w:color="000000"/>
            </w:tcBorders>
          </w:tcPr>
          <w:p>
            <w:pPr/>
          </w:p>
        </w:tc>
      </w:tr>
      <w:tr>
        <w:trPr>
          <w:trHeight w:val="347" w:hRule="exact"/>
        </w:trPr>
        <w:tc>
          <w:tcPr>
            <w:tcW w:w="1101" w:type="dxa"/>
            <w:vMerge/>
            <w:tcBorders>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北京中关村并购母</w:t>
            </w:r>
          </w:p>
        </w:tc>
        <w:tc>
          <w:tcPr>
            <w:tcW w:w="1417" w:type="dxa"/>
            <w:tcBorders>
              <w:top w:val="single" w:sz="4" w:space="0" w:color="000000"/>
              <w:left w:val="single" w:sz="4" w:space="0" w:color="000000"/>
              <w:bottom w:val="nil" w:sz="6" w:space="0" w:color="auto"/>
              <w:right w:val="single" w:sz="4" w:space="0" w:color="000000"/>
            </w:tcBorders>
          </w:tcPr>
          <w:p>
            <w:pPr/>
          </w:p>
        </w:tc>
        <w:tc>
          <w:tcPr>
            <w:tcW w:w="62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配套融资认购方上海国鑫投资发展有限公司、嘉实基金管理有限公司和北京中</w:t>
            </w:r>
          </w:p>
        </w:tc>
        <w:tc>
          <w:tcPr>
            <w:tcW w:w="1134"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5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截至报告期末</w:t>
            </w:r>
            <w:r>
              <w:rPr>
                <w:rFonts w:ascii="宋体" w:hAnsi="宋体" w:cs="宋体" w:eastAsia="宋体" w:hint="default"/>
                <w:spacing w:val="-82"/>
                <w:sz w:val="18"/>
                <w:szCs w:val="18"/>
              </w:rPr>
              <w:t>，</w:t>
            </w:r>
            <w:r>
              <w:rPr>
                <w:rFonts w:ascii="宋体" w:hAnsi="宋体" w:cs="宋体" w:eastAsia="宋体" w:hint="default"/>
                <w:sz w:val="18"/>
                <w:szCs w:val="18"/>
              </w:rPr>
              <w:t>该承</w:t>
            </w:r>
          </w:p>
        </w:tc>
      </w:tr>
      <w:tr>
        <w:trPr>
          <w:trHeight w:val="639"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316" w:lineRule="auto" w:before="21"/>
              <w:ind w:left="22" w:right="35"/>
              <w:jc w:val="left"/>
              <w:rPr>
                <w:rFonts w:ascii="宋体" w:hAnsi="宋体" w:cs="宋体" w:eastAsia="宋体" w:hint="default"/>
                <w:sz w:val="18"/>
                <w:szCs w:val="18"/>
              </w:rPr>
            </w:pPr>
            <w:r>
              <w:rPr>
                <w:rFonts w:ascii="宋体" w:hAnsi="宋体" w:cs="宋体" w:eastAsia="宋体" w:hint="default"/>
                <w:sz w:val="18"/>
                <w:szCs w:val="18"/>
              </w:rPr>
              <w:t>基金投资中心（有 限合伙）</w:t>
            </w:r>
            <w:r>
              <w:rPr>
                <w:rFonts w:ascii="Arial" w:hAnsi="Arial" w:cs="Arial" w:eastAsia="Arial" w:hint="default"/>
                <w:sz w:val="18"/>
                <w:szCs w:val="18"/>
              </w:rPr>
              <w:t>;</w:t>
            </w:r>
            <w:r>
              <w:rPr>
                <w:rFonts w:ascii="宋体" w:hAnsi="宋体" w:cs="宋体" w:eastAsia="宋体" w:hint="default"/>
                <w:sz w:val="18"/>
                <w:szCs w:val="18"/>
              </w:rPr>
              <w:t>嘉实基金</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316" w:lineRule="auto" w:before="21"/>
              <w:ind w:left="23" w:right="53"/>
              <w:jc w:val="left"/>
              <w:rPr>
                <w:rFonts w:ascii="宋体" w:hAnsi="宋体" w:cs="宋体" w:eastAsia="宋体" w:hint="default"/>
                <w:sz w:val="18"/>
                <w:szCs w:val="18"/>
              </w:rPr>
            </w:pPr>
            <w:r>
              <w:rPr>
                <w:rFonts w:ascii="宋体" w:hAnsi="宋体" w:cs="宋体" w:eastAsia="宋体" w:hint="default"/>
                <w:sz w:val="18"/>
                <w:szCs w:val="18"/>
              </w:rPr>
              <w:t>关村并购母基金投资中心（有限合伙）出具了《北京华宇软件股份有限公司发 行股份及支付现金购买资产并募集配套资金暨关联交易之非公开发行</w:t>
            </w:r>
            <w:r>
              <w:rPr>
                <w:rFonts w:ascii="宋体" w:hAnsi="宋体" w:cs="宋体" w:eastAsia="宋体" w:hint="default"/>
                <w:spacing w:val="-46"/>
                <w:sz w:val="18"/>
                <w:szCs w:val="18"/>
              </w:rPr>
              <w:t> </w:t>
            </w:r>
            <w:r>
              <w:rPr>
                <w:rFonts w:ascii="Arial" w:hAnsi="Arial" w:cs="Arial" w:eastAsia="Arial" w:hint="default"/>
                <w:sz w:val="18"/>
                <w:szCs w:val="18"/>
              </w:rPr>
              <w:t>A</w:t>
            </w:r>
            <w:r>
              <w:rPr>
                <w:rFonts w:ascii="Arial" w:hAnsi="Arial" w:cs="Arial" w:eastAsia="Arial" w:hint="default"/>
                <w:spacing w:val="-8"/>
                <w:sz w:val="18"/>
                <w:szCs w:val="18"/>
              </w:rPr>
              <w:t> </w:t>
            </w:r>
            <w:r>
              <w:rPr>
                <w:rFonts w:ascii="宋体" w:hAnsi="宋体" w:cs="宋体" w:eastAsia="宋体" w:hint="default"/>
                <w:sz w:val="18"/>
                <w:szCs w:val="18"/>
              </w:rPr>
              <w:t>股股票</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8" w:lineRule="exact"/>
              <w:ind w:left="24"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Arial" w:hAnsi="Arial" w:cs="Arial" w:eastAsia="Arial" w:hint="default"/>
                <w:sz w:val="18"/>
                <w:szCs w:val="18"/>
              </w:rPr>
              <w:t>10</w:t>
            </w:r>
            <w:r>
              <w:rPr>
                <w:rFonts w:ascii="Arial" w:hAnsi="Arial" w:cs="Arial" w:eastAsia="Arial"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Arial" w:hAnsi="Arial" w:cs="Arial" w:eastAsia="Arial" w:hint="default"/>
                <w:sz w:val="18"/>
                <w:szCs w:val="18"/>
              </w:rPr>
              <w:t>16</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8" w:lineRule="exact"/>
              <w:ind w:left="22" w:right="0"/>
              <w:jc w:val="left"/>
              <w:rPr>
                <w:rFonts w:ascii="Arial" w:hAnsi="Arial" w:cs="Arial" w:eastAsia="Arial" w:hint="default"/>
                <w:sz w:val="18"/>
                <w:szCs w:val="18"/>
              </w:rPr>
            </w:pPr>
            <w:r>
              <w:rPr>
                <w:rFonts w:ascii="Arial" w:hAnsi="Arial" w:cs="Arial" w:eastAsia="Arial" w:hint="default"/>
                <w:sz w:val="18"/>
                <w:szCs w:val="18"/>
              </w:rPr>
              <w:t>2018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16</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1593" w:type="dxa"/>
            <w:tcBorders>
              <w:top w:val="nil" w:sz="6" w:space="0" w:color="auto"/>
              <w:left w:val="single" w:sz="4" w:space="0" w:color="000000"/>
              <w:bottom w:val="nil" w:sz="6" w:space="0" w:color="auto"/>
              <w:right w:val="single" w:sz="4" w:space="0" w:color="000000"/>
            </w:tcBorders>
          </w:tcPr>
          <w:p>
            <w:pPr>
              <w:pStyle w:val="TableParagraph"/>
              <w:spacing w:line="316" w:lineRule="auto" w:before="21"/>
              <w:ind w:left="22" w:right="20"/>
              <w:jc w:val="left"/>
              <w:rPr>
                <w:rFonts w:ascii="宋体" w:hAnsi="宋体" w:cs="宋体" w:eastAsia="宋体" w:hint="default"/>
                <w:sz w:val="18"/>
                <w:szCs w:val="18"/>
              </w:rPr>
            </w:pPr>
            <w:r>
              <w:rPr>
                <w:rFonts w:ascii="宋体" w:hAnsi="宋体" w:cs="宋体" w:eastAsia="宋体" w:hint="default"/>
                <w:sz w:val="18"/>
                <w:szCs w:val="18"/>
              </w:rPr>
              <w:t>诺项目已经履行完 </w:t>
            </w:r>
            <w:r>
              <w:rPr>
                <w:rFonts w:ascii="宋体" w:hAnsi="宋体" w:cs="宋体" w:eastAsia="宋体" w:hint="default"/>
                <w:spacing w:val="-10"/>
                <w:sz w:val="18"/>
                <w:szCs w:val="18"/>
              </w:rPr>
              <w:t>毕，承诺期间承诺主</w:t>
            </w:r>
          </w:p>
        </w:tc>
      </w:tr>
      <w:tr>
        <w:trPr>
          <w:trHeight w:val="310" w:hRule="exact"/>
        </w:trPr>
        <w:tc>
          <w:tcPr>
            <w:tcW w:w="1101"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管理有限公司</w:t>
            </w:r>
            <w:r>
              <w:rPr>
                <w:rFonts w:ascii="Arial" w:hAnsi="Arial" w:cs="Arial" w:eastAsia="Arial" w:hint="default"/>
                <w:sz w:val="18"/>
                <w:szCs w:val="18"/>
              </w:rPr>
              <w:t>;</w:t>
            </w:r>
            <w:r>
              <w:rPr>
                <w:rFonts w:ascii="宋体" w:hAnsi="宋体" w:cs="宋体" w:eastAsia="宋体" w:hint="default"/>
                <w:sz w:val="18"/>
                <w:szCs w:val="18"/>
              </w:rPr>
              <w:t>上海</w:t>
            </w:r>
          </w:p>
        </w:tc>
        <w:tc>
          <w:tcPr>
            <w:tcW w:w="1417" w:type="dxa"/>
            <w:tcBorders>
              <w:top w:val="nil" w:sz="6" w:space="0" w:color="auto"/>
              <w:left w:val="single" w:sz="4" w:space="0" w:color="000000"/>
              <w:bottom w:val="single" w:sz="4" w:space="0" w:color="000000"/>
              <w:right w:val="single" w:sz="4" w:space="0" w:color="000000"/>
            </w:tcBorders>
          </w:tcPr>
          <w:p>
            <w:pPr/>
          </w:p>
        </w:tc>
        <w:tc>
          <w:tcPr>
            <w:tcW w:w="62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之发行对象关于所认购股份限售的承诺函及股份锁定申</w:t>
            </w:r>
            <w:r>
              <w:rPr>
                <w:rFonts w:ascii="宋体" w:hAnsi="宋体" w:cs="宋体" w:eastAsia="宋体" w:hint="default"/>
                <w:spacing w:val="-1"/>
                <w:sz w:val="18"/>
                <w:szCs w:val="18"/>
              </w:rPr>
              <w:t>请</w:t>
            </w:r>
            <w:r>
              <w:rPr>
                <w:rFonts w:ascii="宋体" w:hAnsi="宋体" w:cs="宋体" w:eastAsia="宋体" w:hint="default"/>
                <w:spacing w:val="-92"/>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主要内容如下</w:t>
            </w:r>
            <w:r>
              <w:rPr>
                <w:rFonts w:ascii="宋体" w:hAnsi="宋体" w:cs="宋体" w:eastAsia="宋体" w:hint="default"/>
                <w:spacing w:val="-15"/>
                <w:sz w:val="18"/>
                <w:szCs w:val="18"/>
              </w:rPr>
              <w:t>：</w:t>
            </w:r>
            <w:r>
              <w:rPr>
                <w:rFonts w:ascii="宋体" w:hAnsi="宋体" w:cs="宋体" w:eastAsia="宋体" w:hint="default"/>
                <w:sz w:val="18"/>
                <w:szCs w:val="18"/>
              </w:rPr>
              <w:t>自</w:t>
            </w:r>
          </w:p>
        </w:tc>
        <w:tc>
          <w:tcPr>
            <w:tcW w:w="1134"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5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体遵守以上承诺</w:t>
            </w:r>
            <w:r>
              <w:rPr>
                <w:rFonts w:ascii="宋体" w:hAnsi="宋体" w:cs="宋体" w:eastAsia="宋体" w:hint="default"/>
                <w:spacing w:val="-82"/>
                <w:sz w:val="18"/>
                <w:szCs w:val="18"/>
              </w:rPr>
              <w:t>，</w:t>
            </w:r>
            <w:r>
              <w:rPr>
                <w:rFonts w:ascii="宋体" w:hAnsi="宋体" w:cs="宋体" w:eastAsia="宋体" w:hint="default"/>
                <w:sz w:val="18"/>
                <w:szCs w:val="18"/>
              </w:rPr>
              <w:t>未</w:t>
            </w:r>
          </w:p>
        </w:tc>
      </w:tr>
    </w:tbl>
    <w:p>
      <w:pPr>
        <w:spacing w:after="0" w:line="240" w:lineRule="auto"/>
        <w:jc w:val="center"/>
        <w:rPr>
          <w:rFonts w:ascii="宋体" w:hAnsi="宋体" w:cs="宋体" w:eastAsia="宋体" w:hint="default"/>
          <w:sz w:val="18"/>
          <w:szCs w:val="18"/>
        </w:rPr>
        <w:sectPr>
          <w:pgSz w:w="16840" w:h="11910" w:orient="landscape"/>
          <w:pgMar w:header="868" w:footer="978" w:top="1060" w:bottom="1160" w:left="1320" w:right="1240"/>
        </w:sectPr>
      </w:pPr>
    </w:p>
    <w:p>
      <w:pPr>
        <w:spacing w:line="240" w:lineRule="auto" w:before="1"/>
        <w:rPr>
          <w:rFonts w:ascii="Times New Roman" w:hAnsi="Times New Roman" w:cs="Times New Roman" w:eastAsia="Times New Roman" w:hint="default"/>
          <w:sz w:val="3"/>
          <w:szCs w:val="3"/>
        </w:rPr>
      </w:pPr>
      <w:r>
        <w:rPr/>
        <w:pict>
          <v:shape style="position:absolute;margin-left:581.880005pt;margin-top:168.799988pt;width:62.5pt;height:360.95pt;mso-position-horizontal-relative:page;mso-position-vertical-relative:page;z-index:-8624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587.900024pt;margin-top:168.799988pt;width:56.45pt;height:361.05pt;mso-position-horizontal-relative:page;mso-position-vertical-relative:page;z-index:-862384" coordorigin="11758,3376" coordsize="1129,7221">
            <v:shape style="position:absolute;left:11758;top:3376;width:1129;height:7221" coordorigin="11758,3376" coordsize="1129,7221" path="m11758,3376l12887,3376,12887,10597,11758,10597,11758,3376xe" filled="true" fillcolor="#ffffff" stroked="false">
              <v:path arrowok="t"/>
              <v:fill type="solid"/>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1101"/>
        <w:gridCol w:w="1560"/>
        <w:gridCol w:w="1417"/>
        <w:gridCol w:w="6237"/>
        <w:gridCol w:w="1134"/>
        <w:gridCol w:w="992"/>
        <w:gridCol w:w="1593"/>
      </w:tblGrid>
      <w:tr>
        <w:trPr>
          <w:trHeight w:val="336" w:hRule="exact"/>
        </w:trPr>
        <w:tc>
          <w:tcPr>
            <w:tcW w:w="1101" w:type="dxa"/>
            <w:vMerge w:val="restart"/>
            <w:tcBorders>
              <w:top w:val="single" w:sz="16" w:space="0" w:color="000000"/>
              <w:left w:val="single" w:sz="4" w:space="0" w:color="000000"/>
              <w:right w:val="single" w:sz="4" w:space="0" w:color="000000"/>
            </w:tcBorders>
            <w:shd w:val="clear" w:color="auto" w:fill="D2D2D2"/>
          </w:tcPr>
          <w:p>
            <w:pPr/>
          </w:p>
        </w:tc>
        <w:tc>
          <w:tcPr>
            <w:tcW w:w="1560"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国鑫投资发展有限</w:t>
            </w:r>
          </w:p>
        </w:tc>
        <w:tc>
          <w:tcPr>
            <w:tcW w:w="1417" w:type="dxa"/>
            <w:vMerge w:val="restart"/>
            <w:tcBorders>
              <w:top w:val="single" w:sz="16" w:space="0" w:color="000000"/>
              <w:left w:val="single" w:sz="4" w:space="0" w:color="000000"/>
              <w:right w:val="single" w:sz="4" w:space="0" w:color="000000"/>
            </w:tcBorders>
          </w:tcPr>
          <w:p>
            <w:pPr/>
          </w:p>
        </w:tc>
        <w:tc>
          <w:tcPr>
            <w:tcW w:w="6237"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北京华宇软件股份有限公司本次非公开发行的股票上市之日起</w:t>
            </w:r>
            <w:r>
              <w:rPr>
                <w:rFonts w:ascii="宋体" w:hAnsi="宋体" w:cs="宋体" w:eastAsia="宋体" w:hint="default"/>
                <w:spacing w:val="-44"/>
                <w:sz w:val="18"/>
                <w:szCs w:val="18"/>
              </w:rPr>
              <w:t> </w:t>
            </w: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pacing w:val="-9"/>
                <w:sz w:val="18"/>
                <w:szCs w:val="18"/>
              </w:rPr>
              <w:t>个月内，不转</w:t>
            </w:r>
          </w:p>
        </w:tc>
        <w:tc>
          <w:tcPr>
            <w:tcW w:w="1134" w:type="dxa"/>
            <w:vMerge w:val="restart"/>
            <w:tcBorders>
              <w:top w:val="single" w:sz="16" w:space="0" w:color="000000"/>
              <w:left w:val="single" w:sz="4" w:space="0" w:color="000000"/>
              <w:right w:val="single" w:sz="4" w:space="0" w:color="000000"/>
            </w:tcBorders>
          </w:tcPr>
          <w:p>
            <w:pPr/>
          </w:p>
        </w:tc>
        <w:tc>
          <w:tcPr>
            <w:tcW w:w="992" w:type="dxa"/>
            <w:vMerge w:val="restart"/>
            <w:tcBorders>
              <w:top w:val="single" w:sz="16" w:space="0" w:color="000000"/>
              <w:left w:val="single" w:sz="4" w:space="0" w:color="000000"/>
              <w:right w:val="single" w:sz="4" w:space="0" w:color="000000"/>
            </w:tcBorders>
          </w:tcPr>
          <w:p>
            <w:pPr/>
          </w:p>
        </w:tc>
        <w:tc>
          <w:tcPr>
            <w:tcW w:w="1593"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有违反上述承诺的</w:t>
            </w: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7" w:type="dxa"/>
            <w:vMerge/>
            <w:tcBorders>
              <w:left w:val="single" w:sz="4" w:space="0" w:color="000000"/>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2"/>
                <w:sz w:val="18"/>
                <w:szCs w:val="18"/>
              </w:rPr>
              <w:t>让本单位</w:t>
            </w:r>
            <w:r>
              <w:rPr>
                <w:rFonts w:ascii="Arial" w:hAnsi="Arial" w:cs="Arial" w:eastAsia="Arial" w:hint="default"/>
                <w:spacing w:val="-2"/>
                <w:sz w:val="18"/>
                <w:szCs w:val="18"/>
              </w:rPr>
              <w:t>/</w:t>
            </w:r>
            <w:r>
              <w:rPr>
                <w:rFonts w:ascii="宋体" w:hAnsi="宋体" w:cs="宋体" w:eastAsia="宋体" w:hint="default"/>
                <w:spacing w:val="-2"/>
                <w:sz w:val="18"/>
                <w:szCs w:val="18"/>
              </w:rPr>
              <w:t>本人所认购的上述股份。本单位</w:t>
            </w:r>
            <w:r>
              <w:rPr>
                <w:rFonts w:ascii="Arial" w:hAnsi="Arial" w:cs="Arial" w:eastAsia="Arial" w:hint="default"/>
                <w:spacing w:val="-2"/>
                <w:sz w:val="18"/>
                <w:szCs w:val="18"/>
              </w:rPr>
              <w:t>/</w:t>
            </w:r>
            <w:r>
              <w:rPr>
                <w:rFonts w:ascii="宋体" w:hAnsi="宋体" w:cs="宋体" w:eastAsia="宋体" w:hint="default"/>
                <w:spacing w:val="-2"/>
                <w:sz w:val="18"/>
                <w:szCs w:val="18"/>
              </w:rPr>
              <w:t>本人所认购的上述公司股份在锁定期</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308"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vMerge/>
            <w:tcBorders>
              <w:left w:val="single" w:sz="4" w:space="0" w:color="000000"/>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5"/>
              <w:jc w:val="left"/>
              <w:rPr>
                <w:rFonts w:ascii="宋体" w:hAnsi="宋体" w:cs="宋体" w:eastAsia="宋体" w:hint="default"/>
                <w:sz w:val="18"/>
                <w:szCs w:val="18"/>
              </w:rPr>
            </w:pPr>
            <w:r>
              <w:rPr>
                <w:rFonts w:ascii="宋体" w:hAnsi="宋体" w:cs="宋体" w:eastAsia="宋体" w:hint="default"/>
                <w:sz w:val="18"/>
                <w:szCs w:val="18"/>
              </w:rPr>
              <w:t>届满后减持还将遵守《公司法</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《证券法</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《深圳证券交易所股票上市规则</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vMerge/>
            <w:tcBorders>
              <w:left w:val="single" w:sz="4" w:space="0" w:color="000000"/>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《上市公司股东、董监高减持股份的若干规定</w:t>
            </w:r>
            <w:r>
              <w:rPr>
                <w:rFonts w:ascii="宋体" w:hAnsi="宋体" w:cs="宋体" w:eastAsia="宋体" w:hint="default"/>
                <w:spacing w:val="-92"/>
                <w:sz w:val="18"/>
                <w:szCs w:val="18"/>
              </w:rPr>
              <w:t>》</w:t>
            </w:r>
            <w:r>
              <w:rPr>
                <w:rFonts w:ascii="宋体" w:hAnsi="宋体" w:cs="宋体" w:eastAsia="宋体" w:hint="default"/>
                <w:sz w:val="18"/>
                <w:szCs w:val="18"/>
              </w:rPr>
              <w:t>（证监会公告</w:t>
            </w:r>
            <w:r>
              <w:rPr>
                <w:rFonts w:ascii="Arial" w:hAnsi="Arial" w:cs="Arial" w:eastAsia="Arial" w:hint="default"/>
                <w:w w:val="99"/>
                <w:sz w:val="18"/>
                <w:szCs w:val="18"/>
              </w:rPr>
              <w:t>[</w:t>
            </w:r>
            <w:r>
              <w:rPr>
                <w:rFonts w:ascii="Arial" w:hAnsi="Arial" w:cs="Arial" w:eastAsia="Arial" w:hint="default"/>
                <w:w w:val="99"/>
                <w:sz w:val="18"/>
                <w:szCs w:val="18"/>
              </w:rPr>
              <w:t>20</w:t>
            </w:r>
            <w:r>
              <w:rPr>
                <w:rFonts w:ascii="Arial" w:hAnsi="Arial" w:cs="Arial" w:eastAsia="Arial" w:hint="default"/>
                <w:spacing w:val="-2"/>
                <w:w w:val="99"/>
                <w:sz w:val="18"/>
                <w:szCs w:val="18"/>
              </w:rPr>
              <w:t>1</w:t>
            </w:r>
            <w:r>
              <w:rPr>
                <w:rFonts w:ascii="Arial" w:hAnsi="Arial" w:cs="Arial" w:eastAsia="Arial" w:hint="default"/>
                <w:w w:val="99"/>
                <w:sz w:val="18"/>
                <w:szCs w:val="18"/>
              </w:rPr>
              <w:t>7</w:t>
            </w:r>
            <w:r>
              <w:rPr>
                <w:rFonts w:ascii="Arial" w:hAnsi="Arial" w:cs="Arial" w:eastAsia="Arial" w:hint="default"/>
                <w:w w:val="99"/>
                <w:sz w:val="18"/>
                <w:szCs w:val="18"/>
              </w:rPr>
              <w:t>]</w:t>
            </w:r>
            <w:r>
              <w:rPr>
                <w:rFonts w:ascii="Arial" w:hAnsi="Arial" w:cs="Arial" w:eastAsia="Arial" w:hint="default"/>
                <w:w w:val="99"/>
                <w:sz w:val="18"/>
                <w:szCs w:val="18"/>
              </w:rPr>
              <w:t>9</w:t>
            </w:r>
            <w:r>
              <w:rPr>
                <w:rFonts w:ascii="Arial" w:hAnsi="Arial" w:cs="Arial" w:eastAsia="Arial" w:hint="default"/>
                <w:spacing w:val="-7"/>
                <w:sz w:val="18"/>
                <w:szCs w:val="18"/>
              </w:rPr>
              <w:t> </w:t>
            </w:r>
            <w:r>
              <w:rPr>
                <w:rFonts w:ascii="宋体" w:hAnsi="宋体" w:cs="宋体" w:eastAsia="宋体" w:hint="default"/>
                <w:sz w:val="18"/>
                <w:szCs w:val="18"/>
              </w:rPr>
              <w:t>号）等法</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vMerge/>
            <w:tcBorders>
              <w:left w:val="single" w:sz="4" w:space="0" w:color="000000"/>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律</w:t>
            </w:r>
            <w:r>
              <w:rPr>
                <w:rFonts w:ascii="宋体" w:hAnsi="宋体" w:cs="宋体" w:eastAsia="宋体" w:hint="default"/>
                <w:spacing w:val="-8"/>
                <w:sz w:val="18"/>
                <w:szCs w:val="18"/>
              </w:rPr>
              <w:t>、</w:t>
            </w:r>
            <w:r>
              <w:rPr>
                <w:rFonts w:ascii="宋体" w:hAnsi="宋体" w:cs="宋体" w:eastAsia="宋体" w:hint="default"/>
                <w:sz w:val="18"/>
                <w:szCs w:val="18"/>
              </w:rPr>
              <w:t>法规</w:t>
            </w:r>
            <w:r>
              <w:rPr>
                <w:rFonts w:ascii="宋体" w:hAnsi="宋体" w:cs="宋体" w:eastAsia="宋体" w:hint="default"/>
                <w:spacing w:val="-5"/>
                <w:sz w:val="18"/>
                <w:szCs w:val="18"/>
              </w:rPr>
              <w:t>、</w:t>
            </w:r>
            <w:r>
              <w:rPr>
                <w:rFonts w:ascii="宋体" w:hAnsi="宋体" w:cs="宋体" w:eastAsia="宋体" w:hint="default"/>
                <w:sz w:val="18"/>
                <w:szCs w:val="18"/>
              </w:rPr>
              <w:t>规章</w:t>
            </w:r>
            <w:r>
              <w:rPr>
                <w:rFonts w:ascii="宋体" w:hAnsi="宋体" w:cs="宋体" w:eastAsia="宋体" w:hint="default"/>
                <w:spacing w:val="-8"/>
                <w:sz w:val="18"/>
                <w:szCs w:val="18"/>
              </w:rPr>
              <w:t>、</w:t>
            </w:r>
            <w:r>
              <w:rPr>
                <w:rFonts w:ascii="宋体" w:hAnsi="宋体" w:cs="宋体" w:eastAsia="宋体" w:hint="default"/>
                <w:sz w:val="18"/>
                <w:szCs w:val="18"/>
              </w:rPr>
              <w:t>规范性文件</w:t>
            </w:r>
            <w:r>
              <w:rPr>
                <w:rFonts w:ascii="宋体" w:hAnsi="宋体" w:cs="宋体" w:eastAsia="宋体" w:hint="default"/>
                <w:spacing w:val="-5"/>
                <w:sz w:val="18"/>
                <w:szCs w:val="18"/>
              </w:rPr>
              <w:t>、</w:t>
            </w:r>
            <w:r>
              <w:rPr>
                <w:rFonts w:ascii="宋体" w:hAnsi="宋体" w:cs="宋体" w:eastAsia="宋体" w:hint="default"/>
                <w:sz w:val="18"/>
                <w:szCs w:val="18"/>
              </w:rPr>
              <w:t>深圳证券交易所相关规</w:t>
            </w:r>
            <w:r>
              <w:rPr>
                <w:rFonts w:ascii="宋体" w:hAnsi="宋体" w:cs="宋体" w:eastAsia="宋体" w:hint="default"/>
                <w:spacing w:val="-5"/>
                <w:sz w:val="18"/>
                <w:szCs w:val="18"/>
              </w:rPr>
              <w:t>则</w:t>
            </w:r>
            <w:r>
              <w:rPr>
                <w:rFonts w:ascii="宋体" w:hAnsi="宋体" w:cs="宋体" w:eastAsia="宋体" w:hint="default"/>
                <w:spacing w:val="-92"/>
                <w:sz w:val="18"/>
                <w:szCs w:val="18"/>
              </w:rPr>
              <w:t>（</w:t>
            </w:r>
            <w:r>
              <w:rPr>
                <w:rFonts w:ascii="宋体" w:hAnsi="宋体" w:cs="宋体" w:eastAsia="宋体" w:hint="default"/>
                <w:sz w:val="18"/>
                <w:szCs w:val="18"/>
              </w:rPr>
              <w:t>《深圳证券交易所上</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vMerge/>
            <w:tcBorders>
              <w:left w:val="single" w:sz="4" w:space="0" w:color="000000"/>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市公司股东及董事、监事、高级管理人员减持股份实施细则》等）以及《公司</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62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章程》的相关规定。</w:t>
            </w:r>
          </w:p>
        </w:tc>
        <w:tc>
          <w:tcPr>
            <w:tcW w:w="113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593"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101" w:type="dxa"/>
            <w:vMerge/>
            <w:tcBorders>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62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任刚、朱明武关于股份锁定期的承诺函主要内容如</w:t>
            </w:r>
            <w:r>
              <w:rPr>
                <w:rFonts w:ascii="宋体" w:hAnsi="宋体" w:cs="宋体" w:eastAsia="宋体" w:hint="default"/>
                <w:spacing w:val="-1"/>
                <w:sz w:val="18"/>
                <w:szCs w:val="18"/>
              </w:rPr>
              <w:t>下</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Arial" w:hAnsi="Arial" w:cs="Arial" w:eastAsia="Arial" w:hint="default"/>
                <w:w w:val="99"/>
                <w:sz w:val="18"/>
                <w:szCs w:val="18"/>
              </w:rPr>
              <w:t>1</w:t>
            </w:r>
            <w:r>
              <w:rPr>
                <w:rFonts w:ascii="宋体" w:hAnsi="宋体" w:cs="宋体" w:eastAsia="宋体" w:hint="default"/>
                <w:sz w:val="18"/>
                <w:szCs w:val="18"/>
              </w:rPr>
              <w:t>）本人通过本次交易</w:t>
            </w:r>
          </w:p>
        </w:tc>
        <w:tc>
          <w:tcPr>
            <w:tcW w:w="1134"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59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认购的华宇软件发行的股份，本人承诺自该等股份发行结束之日起</w:t>
            </w:r>
            <w:r>
              <w:rPr>
                <w:rFonts w:ascii="宋体" w:hAnsi="宋体" w:cs="宋体" w:eastAsia="宋体" w:hint="default"/>
                <w:spacing w:val="-72"/>
                <w:sz w:val="18"/>
                <w:szCs w:val="18"/>
              </w:rPr>
              <w:t> </w:t>
            </w:r>
            <w:r>
              <w:rPr>
                <w:rFonts w:ascii="Arial" w:hAnsi="Arial" w:cs="Arial" w:eastAsia="Arial" w:hint="default"/>
                <w:sz w:val="18"/>
                <w:szCs w:val="18"/>
              </w:rPr>
              <w:t>12</w:t>
            </w:r>
            <w:r>
              <w:rPr>
                <w:rFonts w:ascii="Arial" w:hAnsi="Arial" w:cs="Arial" w:eastAsia="Arial" w:hint="default"/>
                <w:spacing w:val="-32"/>
                <w:sz w:val="18"/>
                <w:szCs w:val="18"/>
              </w:rPr>
              <w:t> </w:t>
            </w:r>
            <w:r>
              <w:rPr>
                <w:rFonts w:ascii="宋体" w:hAnsi="宋体" w:cs="宋体" w:eastAsia="宋体" w:hint="default"/>
                <w:sz w:val="18"/>
                <w:szCs w:val="18"/>
              </w:rPr>
              <w:t>个月内不</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转让</w:t>
            </w:r>
            <w:r>
              <w:rPr>
                <w:rFonts w:ascii="宋体" w:hAnsi="宋体" w:cs="宋体" w:eastAsia="宋体" w:hint="default"/>
                <w:spacing w:val="-111"/>
                <w:sz w:val="18"/>
                <w:szCs w:val="18"/>
              </w:rPr>
              <w:t>。</w:t>
            </w:r>
            <w:r>
              <w:rPr>
                <w:rFonts w:ascii="宋体" w:hAnsi="宋体" w:cs="宋体" w:eastAsia="宋体" w:hint="default"/>
                <w:sz w:val="18"/>
                <w:szCs w:val="18"/>
              </w:rPr>
              <w:t>（</w:t>
            </w:r>
            <w:r>
              <w:rPr>
                <w:rFonts w:ascii="Arial" w:hAnsi="Arial" w:cs="Arial" w:eastAsia="Arial" w:hint="default"/>
                <w:w w:val="99"/>
                <w:sz w:val="18"/>
                <w:szCs w:val="18"/>
              </w:rPr>
              <w:t>2</w:t>
            </w:r>
            <w:r>
              <w:rPr>
                <w:rFonts w:ascii="宋体" w:hAnsi="宋体" w:cs="宋体" w:eastAsia="宋体" w:hint="default"/>
                <w:spacing w:val="-22"/>
                <w:sz w:val="18"/>
                <w:szCs w:val="18"/>
              </w:rPr>
              <w:t>）</w:t>
            </w:r>
            <w:r>
              <w:rPr>
                <w:rFonts w:ascii="宋体" w:hAnsi="宋体" w:cs="宋体" w:eastAsia="宋体" w:hint="default"/>
                <w:sz w:val="18"/>
                <w:szCs w:val="18"/>
              </w:rPr>
              <w:t>自该等股份发行结束之日起满</w:t>
            </w:r>
            <w:r>
              <w:rPr>
                <w:rFonts w:ascii="宋体" w:hAnsi="宋体" w:cs="宋体" w:eastAsia="宋体" w:hint="default"/>
                <w:spacing w:val="-45"/>
                <w:sz w:val="18"/>
                <w:szCs w:val="18"/>
              </w:rPr>
              <w:t> </w:t>
            </w:r>
            <w:r>
              <w:rPr>
                <w:rFonts w:ascii="Arial" w:hAnsi="Arial" w:cs="Arial" w:eastAsia="Arial" w:hint="default"/>
                <w:w w:val="99"/>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个月后</w:t>
            </w:r>
            <w:r>
              <w:rPr>
                <w:rFonts w:ascii="宋体" w:hAnsi="宋体" w:cs="宋体" w:eastAsia="宋体" w:hint="default"/>
                <w:spacing w:val="-20"/>
                <w:sz w:val="18"/>
                <w:szCs w:val="18"/>
              </w:rPr>
              <w:t>，</w:t>
            </w:r>
            <w:r>
              <w:rPr>
                <w:rFonts w:ascii="宋体" w:hAnsi="宋体" w:cs="宋体" w:eastAsia="宋体" w:hint="default"/>
                <w:sz w:val="18"/>
                <w:szCs w:val="18"/>
              </w:rPr>
              <w:t>本人因本次交易所取得的</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67" w:lineRule="exact"/>
              <w:ind w:left="23" w:right="0"/>
              <w:jc w:val="left"/>
              <w:rPr>
                <w:rFonts w:ascii="宋体" w:hAnsi="宋体" w:cs="宋体" w:eastAsia="宋体" w:hint="default"/>
                <w:sz w:val="18"/>
                <w:szCs w:val="18"/>
              </w:rPr>
            </w:pPr>
            <w:r>
              <w:rPr>
                <w:rFonts w:ascii="宋体" w:hAnsi="宋体" w:cs="宋体" w:eastAsia="宋体" w:hint="default"/>
                <w:sz w:val="18"/>
                <w:szCs w:val="18"/>
              </w:rPr>
              <w:t>华宇软件的股份将分三批解除锁定并在深圳证券交易所上市交易：</w:t>
            </w:r>
            <w:r>
              <w:rPr>
                <w:rFonts w:ascii="微软雅黑" w:hAnsi="微软雅黑" w:cs="微软雅黑" w:eastAsia="微软雅黑" w:hint="default"/>
                <w:sz w:val="18"/>
                <w:szCs w:val="18"/>
              </w:rPr>
              <w:t>①</w:t>
            </w:r>
            <w:r>
              <w:rPr>
                <w:rFonts w:ascii="宋体" w:hAnsi="宋体" w:cs="宋体" w:eastAsia="宋体" w:hint="default"/>
                <w:sz w:val="18"/>
                <w:szCs w:val="18"/>
              </w:rPr>
              <w:t>联奕科技</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09"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36"/>
                <w:sz w:val="18"/>
                <w:szCs w:val="18"/>
              </w:rPr>
              <w:t> </w:t>
            </w:r>
            <w:r>
              <w:rPr>
                <w:rFonts w:ascii="宋体" w:hAnsi="宋体" w:cs="宋体" w:eastAsia="宋体" w:hint="default"/>
                <w:sz w:val="18"/>
                <w:szCs w:val="18"/>
              </w:rPr>
              <w:t>年度《专项审核报告》出具后，联奕科技达到《北京华宇软件股份有限公</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司与任刚、朱明武之盈利预测补偿协议</w:t>
            </w:r>
            <w:r>
              <w:rPr>
                <w:rFonts w:ascii="宋体" w:hAnsi="宋体" w:cs="宋体" w:eastAsia="宋体" w:hint="default"/>
                <w:spacing w:val="-92"/>
                <w:sz w:val="18"/>
                <w:szCs w:val="18"/>
              </w:rPr>
              <w:t>》</w:t>
            </w:r>
            <w:r>
              <w:rPr>
                <w:rFonts w:ascii="宋体" w:hAnsi="宋体" w:cs="宋体" w:eastAsia="宋体" w:hint="default"/>
                <w:sz w:val="18"/>
                <w:szCs w:val="18"/>
              </w:rPr>
              <w:t>（以下简称</w:t>
            </w:r>
            <w:r>
              <w:rPr>
                <w:rFonts w:ascii="Arial" w:hAnsi="Arial" w:cs="Arial" w:eastAsia="Arial" w:hint="default"/>
                <w:sz w:val="18"/>
                <w:szCs w:val="18"/>
              </w:rPr>
              <w:t>“</w:t>
            </w:r>
            <w:r>
              <w:rPr>
                <w:rFonts w:ascii="宋体" w:hAnsi="宋体" w:cs="宋体" w:eastAsia="宋体" w:hint="default"/>
                <w:sz w:val="18"/>
                <w:szCs w:val="18"/>
              </w:rPr>
              <w:t>《盈利预测补偿协议》</w:t>
            </w:r>
            <w:r>
              <w:rPr>
                <w:rFonts w:ascii="Arial" w:hAnsi="Arial" w:cs="Arial" w:eastAsia="Arial" w:hint="default"/>
                <w:sz w:val="18"/>
                <w:szCs w:val="18"/>
              </w:rPr>
              <w:t>”</w:t>
            </w:r>
            <w:r>
              <w:rPr>
                <w:rFonts w:ascii="宋体" w:hAnsi="宋体" w:cs="宋体" w:eastAsia="宋体" w:hint="default"/>
                <w:sz w:val="18"/>
                <w:szCs w:val="18"/>
              </w:rPr>
              <w:t>）</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36"/>
                <w:sz w:val="18"/>
                <w:szCs w:val="18"/>
              </w:rPr>
              <w:t> </w:t>
            </w:r>
            <w:r>
              <w:rPr>
                <w:rFonts w:ascii="宋体" w:hAnsi="宋体" w:cs="宋体" w:eastAsia="宋体" w:hint="default"/>
                <w:sz w:val="18"/>
                <w:szCs w:val="18"/>
              </w:rPr>
              <w:t>年度承诺净利润或本人已按照《盈利预测补偿协议》补偿现金的，本人可</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转让因本次交易所取得的华宇软件的股份的</w:t>
            </w:r>
            <w:r>
              <w:rPr>
                <w:rFonts w:ascii="宋体" w:hAnsi="宋体" w:cs="宋体" w:eastAsia="宋体" w:hint="default"/>
                <w:spacing w:val="-48"/>
                <w:sz w:val="18"/>
                <w:szCs w:val="18"/>
              </w:rPr>
              <w:t> </w:t>
            </w:r>
            <w:r>
              <w:rPr>
                <w:rFonts w:ascii="Arial" w:hAnsi="Arial" w:cs="Arial" w:eastAsia="Arial" w:hint="default"/>
                <w:sz w:val="18"/>
                <w:szCs w:val="18"/>
              </w:rPr>
              <w:t>25%</w:t>
            </w:r>
            <w:r>
              <w:rPr>
                <w:rFonts w:ascii="宋体" w:hAnsi="宋体" w:cs="宋体" w:eastAsia="宋体" w:hint="default"/>
                <w:sz w:val="18"/>
                <w:szCs w:val="18"/>
              </w:rPr>
              <w:t>，但如前述解锁日期早于锁定</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67" w:lineRule="exact"/>
              <w:ind w:left="23" w:right="0"/>
              <w:jc w:val="left"/>
              <w:rPr>
                <w:rFonts w:ascii="宋体" w:hAnsi="宋体" w:cs="宋体" w:eastAsia="宋体" w:hint="default"/>
                <w:sz w:val="18"/>
                <w:szCs w:val="18"/>
              </w:rPr>
            </w:pPr>
            <w:r>
              <w:rPr>
                <w:rFonts w:ascii="宋体" w:hAnsi="宋体" w:cs="宋体" w:eastAsia="宋体" w:hint="default"/>
                <w:sz w:val="18"/>
                <w:szCs w:val="18"/>
              </w:rPr>
              <w:t>期届满之日的，前述解锁日期应延后至锁定期届满之日的次日；</w:t>
            </w:r>
            <w:r>
              <w:rPr>
                <w:rFonts w:ascii="微软雅黑" w:hAnsi="微软雅黑" w:cs="微软雅黑" w:eastAsia="微软雅黑" w:hint="default"/>
                <w:sz w:val="18"/>
                <w:szCs w:val="18"/>
              </w:rPr>
              <w:t>②</w:t>
            </w:r>
            <w:r>
              <w:rPr>
                <w:rFonts w:ascii="宋体" w:hAnsi="宋体" w:cs="宋体" w:eastAsia="宋体" w:hint="default"/>
                <w:sz w:val="18"/>
                <w:szCs w:val="18"/>
              </w:rPr>
              <w:t>联奕科技</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72"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Arial" w:hAnsi="Arial" w:cs="Arial" w:eastAsia="Arial" w:hint="default"/>
                <w:sz w:val="18"/>
                <w:szCs w:val="18"/>
              </w:rPr>
            </w:pPr>
            <w:r>
              <w:rPr>
                <w:rFonts w:ascii="Arial" w:hAnsi="Arial" w:cs="Arial" w:eastAsia="Arial" w:hint="default"/>
                <w:sz w:val="18"/>
                <w:szCs w:val="18"/>
              </w:rPr>
              <w:t>2018</w:t>
            </w:r>
            <w:r>
              <w:rPr>
                <w:rFonts w:ascii="Arial" w:hAnsi="Arial" w:cs="Arial" w:eastAsia="Arial" w:hint="default"/>
                <w:spacing w:val="23"/>
                <w:sz w:val="18"/>
                <w:szCs w:val="18"/>
              </w:rPr>
              <w:t> </w:t>
            </w:r>
            <w:r>
              <w:rPr>
                <w:rFonts w:ascii="宋体" w:hAnsi="宋体" w:cs="宋体" w:eastAsia="宋体" w:hint="default"/>
                <w:spacing w:val="-3"/>
                <w:sz w:val="18"/>
                <w:szCs w:val="18"/>
              </w:rPr>
              <w:t>年度《专项审核报告》出具后，联奕科技达到《盈利预测补偿协议》</w:t>
            </w:r>
            <w:r>
              <w:rPr>
                <w:rFonts w:ascii="Arial" w:hAnsi="Arial" w:cs="Arial" w:eastAsia="Arial" w:hint="default"/>
                <w:spacing w:val="-3"/>
                <w:sz w:val="18"/>
                <w:szCs w:val="18"/>
              </w:rPr>
              <w:t>2018</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Style w:val="TableParagraph"/>
              <w:spacing w:line="240" w:lineRule="auto" w:before="137"/>
              <w:ind w:left="22" w:right="0"/>
              <w:jc w:val="left"/>
              <w:rPr>
                <w:rFonts w:ascii="宋体" w:hAnsi="宋体" w:cs="宋体" w:eastAsia="宋体" w:hint="default"/>
                <w:sz w:val="18"/>
                <w:szCs w:val="18"/>
              </w:rPr>
            </w:pPr>
            <w:r>
              <w:rPr>
                <w:rFonts w:ascii="宋体" w:hAnsi="宋体" w:cs="宋体" w:eastAsia="宋体" w:hint="default"/>
                <w:sz w:val="18"/>
                <w:szCs w:val="18"/>
              </w:rPr>
              <w:t>截至报告期末</w:t>
            </w:r>
            <w:r>
              <w:rPr>
                <w:rFonts w:ascii="宋体" w:hAnsi="宋体" w:cs="宋体" w:eastAsia="宋体" w:hint="default"/>
                <w:spacing w:val="-82"/>
                <w:sz w:val="18"/>
                <w:szCs w:val="18"/>
              </w:rPr>
              <w:t>，</w:t>
            </w:r>
            <w:r>
              <w:rPr>
                <w:rFonts w:ascii="宋体" w:hAnsi="宋体" w:cs="宋体" w:eastAsia="宋体" w:hint="default"/>
                <w:sz w:val="18"/>
                <w:szCs w:val="18"/>
              </w:rPr>
              <w:t>承诺</w:t>
            </w:r>
          </w:p>
        </w:tc>
      </w:tr>
      <w:tr>
        <w:trPr>
          <w:trHeight w:val="936"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任刚</w:t>
            </w:r>
            <w:r>
              <w:rPr>
                <w:rFonts w:ascii="Arial" w:hAnsi="Arial" w:cs="Arial" w:eastAsia="Arial" w:hint="default"/>
                <w:sz w:val="18"/>
                <w:szCs w:val="18"/>
              </w:rPr>
              <w:t>;</w:t>
            </w:r>
            <w:r>
              <w:rPr>
                <w:rFonts w:ascii="宋体" w:hAnsi="宋体" w:cs="宋体" w:eastAsia="宋体" w:hint="default"/>
                <w:sz w:val="18"/>
                <w:szCs w:val="18"/>
              </w:rPr>
              <w:t>朱明武</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年度承诺净利润或本人已按照《盈利预测补偿协议》补偿现金的，本人可转让</w:t>
            </w:r>
          </w:p>
          <w:p>
            <w:pPr>
              <w:pStyle w:val="TableParagraph"/>
              <w:spacing w:line="256" w:lineRule="auto" w:before="76"/>
              <w:ind w:left="23" w:right="21"/>
              <w:jc w:val="left"/>
              <w:rPr>
                <w:rFonts w:ascii="宋体" w:hAnsi="宋体" w:cs="宋体" w:eastAsia="宋体" w:hint="default"/>
                <w:sz w:val="18"/>
                <w:szCs w:val="18"/>
              </w:rPr>
            </w:pPr>
            <w:r>
              <w:rPr>
                <w:rFonts w:ascii="宋体" w:hAnsi="宋体" w:cs="宋体" w:eastAsia="宋体" w:hint="default"/>
                <w:sz w:val="18"/>
                <w:szCs w:val="18"/>
              </w:rPr>
              <w:t>因本次交易所取得的华宇软件的股份的</w:t>
            </w:r>
            <w:r>
              <w:rPr>
                <w:rFonts w:ascii="宋体" w:hAnsi="宋体" w:cs="宋体" w:eastAsia="宋体" w:hint="default"/>
                <w:spacing w:val="-47"/>
                <w:sz w:val="18"/>
                <w:szCs w:val="18"/>
              </w:rPr>
              <w:t> </w:t>
            </w:r>
            <w:r>
              <w:rPr>
                <w:rFonts w:ascii="Arial" w:hAnsi="Arial" w:cs="Arial" w:eastAsia="Arial" w:hint="default"/>
                <w:sz w:val="18"/>
                <w:szCs w:val="18"/>
              </w:rPr>
              <w:t>60%</w:t>
            </w:r>
            <w:r>
              <w:rPr>
                <w:rFonts w:ascii="宋体" w:hAnsi="宋体" w:cs="宋体" w:eastAsia="宋体" w:hint="default"/>
                <w:sz w:val="18"/>
                <w:szCs w:val="18"/>
              </w:rPr>
              <w:t>，但如前述解锁日期早于锁定期届 </w:t>
            </w:r>
            <w:r>
              <w:rPr>
                <w:rFonts w:ascii="宋体" w:hAnsi="宋体" w:cs="宋体" w:eastAsia="宋体" w:hint="default"/>
                <w:spacing w:val="-3"/>
                <w:sz w:val="18"/>
                <w:szCs w:val="18"/>
              </w:rPr>
              <w:t>满之日的，前述解锁日期应延后至锁定期届满之日的次日；</w:t>
            </w:r>
            <w:r>
              <w:rPr>
                <w:rFonts w:ascii="微软雅黑" w:hAnsi="微软雅黑" w:cs="微软雅黑" w:eastAsia="微软雅黑" w:hint="default"/>
                <w:spacing w:val="-3"/>
                <w:sz w:val="18"/>
                <w:szCs w:val="18"/>
              </w:rPr>
              <w:t>③</w:t>
            </w:r>
            <w:r>
              <w:rPr>
                <w:rFonts w:ascii="宋体" w:hAnsi="宋体" w:cs="宋体" w:eastAsia="宋体" w:hint="default"/>
                <w:spacing w:val="-3"/>
                <w:sz w:val="18"/>
                <w:szCs w:val="18"/>
              </w:rPr>
              <w:t>联奕科技 </w:t>
            </w:r>
            <w:r>
              <w:rPr>
                <w:rFonts w:ascii="Arial" w:hAnsi="Arial" w:cs="Arial" w:eastAsia="Arial" w:hint="default"/>
                <w:sz w:val="18"/>
                <w:szCs w:val="18"/>
              </w:rPr>
              <w:t>2019</w:t>
            </w:r>
            <w:r>
              <w:rPr>
                <w:rFonts w:ascii="Arial" w:hAnsi="Arial" w:cs="Arial" w:eastAsia="Arial" w:hint="default"/>
                <w:spacing w:val="-29"/>
                <w:sz w:val="18"/>
                <w:szCs w:val="18"/>
              </w:rPr>
              <w:t> </w:t>
            </w:r>
            <w:r>
              <w:rPr>
                <w:rFonts w:ascii="宋体" w:hAnsi="宋体" w:cs="宋体" w:eastAsia="宋体" w:hint="default"/>
                <w:sz w:val="18"/>
                <w:szCs w:val="18"/>
              </w:rPr>
              <w:t>年</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Arial" w:hAnsi="Arial" w:cs="Arial" w:eastAsia="Arial" w:hint="default"/>
                <w:sz w:val="18"/>
                <w:szCs w:val="18"/>
              </w:rPr>
              <w:t>09</w:t>
            </w:r>
            <w:r>
              <w:rPr>
                <w:rFonts w:ascii="Arial" w:hAnsi="Arial" w:cs="Arial" w:eastAsia="Arial"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Arial" w:hAnsi="Arial" w:cs="Arial" w:eastAsia="Arial" w:hint="default"/>
                <w:sz w:val="18"/>
                <w:szCs w:val="18"/>
              </w:rPr>
              <w:t>07</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2" w:right="0"/>
              <w:jc w:val="left"/>
              <w:rPr>
                <w:rFonts w:ascii="Arial" w:hAnsi="Arial" w:cs="Arial" w:eastAsia="Arial" w:hint="default"/>
                <w:sz w:val="18"/>
                <w:szCs w:val="18"/>
              </w:rPr>
            </w:pPr>
            <w:r>
              <w:rPr>
                <w:rFonts w:ascii="Arial" w:hAnsi="Arial" w:cs="Arial" w:eastAsia="Arial" w:hint="default"/>
                <w:sz w:val="18"/>
                <w:szCs w:val="18"/>
              </w:rPr>
              <w:t>2020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07</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1593" w:type="dxa"/>
            <w:tcBorders>
              <w:top w:val="nil" w:sz="6" w:space="0" w:color="auto"/>
              <w:left w:val="single" w:sz="4" w:space="0" w:color="000000"/>
              <w:bottom w:val="nil" w:sz="6" w:space="0" w:color="auto"/>
              <w:right w:val="single" w:sz="4" w:space="0" w:color="000000"/>
            </w:tcBorders>
          </w:tcPr>
          <w:p>
            <w:pPr>
              <w:pStyle w:val="TableParagraph"/>
              <w:spacing w:line="310" w:lineRule="atLeast" w:before="3"/>
              <w:ind w:left="22" w:right="20"/>
              <w:jc w:val="left"/>
              <w:rPr>
                <w:rFonts w:ascii="宋体" w:hAnsi="宋体" w:cs="宋体" w:eastAsia="宋体" w:hint="default"/>
                <w:sz w:val="18"/>
                <w:szCs w:val="18"/>
              </w:rPr>
            </w:pPr>
            <w:r>
              <w:rPr>
                <w:rFonts w:ascii="宋体" w:hAnsi="宋体" w:cs="宋体" w:eastAsia="宋体" w:hint="default"/>
                <w:spacing w:val="-10"/>
                <w:sz w:val="18"/>
                <w:szCs w:val="18"/>
              </w:rPr>
              <w:t>方遵守以上承诺，未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有违反上述承诺的 情况</w:t>
            </w:r>
          </w:p>
        </w:tc>
      </w:tr>
      <w:tr>
        <w:trPr>
          <w:trHeight w:val="245"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度《专项审核报告》及《减值测试报告》出具后，本人可转让因本次交易所取</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得的华宇软件的股份的</w:t>
            </w:r>
            <w:r>
              <w:rPr>
                <w:rFonts w:ascii="宋体" w:hAnsi="宋体" w:cs="宋体" w:eastAsia="宋体" w:hint="default"/>
                <w:spacing w:val="-42"/>
                <w:sz w:val="18"/>
                <w:szCs w:val="18"/>
              </w:rPr>
              <w:t> </w:t>
            </w:r>
            <w:r>
              <w:rPr>
                <w:rFonts w:ascii="Arial" w:hAnsi="Arial" w:cs="Arial" w:eastAsia="Arial" w:hint="default"/>
                <w:spacing w:val="-7"/>
                <w:sz w:val="18"/>
                <w:szCs w:val="18"/>
              </w:rPr>
              <w:t>100%</w:t>
            </w:r>
            <w:r>
              <w:rPr>
                <w:rFonts w:ascii="宋体" w:hAnsi="宋体" w:cs="宋体" w:eastAsia="宋体" w:hint="default"/>
                <w:spacing w:val="-7"/>
                <w:sz w:val="18"/>
                <w:szCs w:val="18"/>
              </w:rPr>
              <w:t>，若本人按照《盈利预测补偿协议》应补偿股份的</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2"/>
                <w:sz w:val="18"/>
                <w:szCs w:val="18"/>
              </w:rPr>
              <w:t>则解锁股份需扣除该部分补偿股份，即：本人解锁股份数</w:t>
            </w:r>
            <w:r>
              <w:rPr>
                <w:rFonts w:ascii="Arial" w:hAnsi="Arial" w:cs="Arial" w:eastAsia="Arial" w:hint="default"/>
                <w:spacing w:val="-2"/>
                <w:sz w:val="18"/>
                <w:szCs w:val="18"/>
              </w:rPr>
              <w:t>=</w:t>
            </w:r>
            <w:r>
              <w:rPr>
                <w:rFonts w:ascii="宋体" w:hAnsi="宋体" w:cs="宋体" w:eastAsia="宋体" w:hint="default"/>
                <w:spacing w:val="-2"/>
                <w:sz w:val="18"/>
                <w:szCs w:val="18"/>
              </w:rPr>
              <w:t>本人因本次交易所取</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得的华宇软件的股份数</w:t>
            </w:r>
            <w:r>
              <w:rPr>
                <w:rFonts w:ascii="Arial" w:hAnsi="Arial" w:cs="Arial" w:eastAsia="Arial" w:hint="default"/>
                <w:sz w:val="18"/>
                <w:szCs w:val="18"/>
              </w:rPr>
              <w:t>×100%—</w:t>
            </w:r>
            <w:r>
              <w:rPr>
                <w:rFonts w:ascii="宋体" w:hAnsi="宋体" w:cs="宋体" w:eastAsia="宋体" w:hint="default"/>
                <w:sz w:val="18"/>
                <w:szCs w:val="18"/>
              </w:rPr>
              <w:t>本人应补偿股份数。但如前述解锁日期早于锁</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定期届满之日的，前述解锁日期应延后至锁定期届满之日的次日</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Arial" w:hAnsi="Arial" w:cs="Arial" w:eastAsia="Arial" w:hint="default"/>
                <w:w w:val="99"/>
                <w:sz w:val="18"/>
                <w:szCs w:val="18"/>
              </w:rPr>
              <w:t>3</w:t>
            </w:r>
            <w:r>
              <w:rPr>
                <w:rFonts w:ascii="宋体" w:hAnsi="宋体" w:cs="宋体" w:eastAsia="宋体" w:hint="default"/>
                <w:sz w:val="18"/>
                <w:szCs w:val="18"/>
              </w:rPr>
              <w:t>）本人于</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本次交易中取得的华宇软件股份所派生的股份（如因华宇软件分配股票股利、</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资本公积转增股本等原因新增取得的股份</w:t>
            </w:r>
            <w:r>
              <w:rPr>
                <w:rFonts w:ascii="宋体" w:hAnsi="宋体" w:cs="宋体" w:eastAsia="宋体" w:hint="default"/>
                <w:spacing w:val="-92"/>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亦应遵守上述锁定安排</w:t>
            </w:r>
            <w:r>
              <w:rPr>
                <w:rFonts w:ascii="宋体" w:hAnsi="宋体" w:cs="宋体" w:eastAsia="宋体" w:hint="default"/>
                <w:spacing w:val="-101"/>
                <w:sz w:val="18"/>
                <w:szCs w:val="18"/>
              </w:rPr>
              <w:t>。</w:t>
            </w:r>
            <w:r>
              <w:rPr>
                <w:rFonts w:ascii="宋体" w:hAnsi="宋体" w:cs="宋体" w:eastAsia="宋体" w:hint="default"/>
                <w:sz w:val="18"/>
                <w:szCs w:val="18"/>
              </w:rPr>
              <w:t>（</w:t>
            </w:r>
            <w:r>
              <w:rPr>
                <w:rFonts w:ascii="Arial" w:hAnsi="Arial" w:cs="Arial" w:eastAsia="Arial" w:hint="default"/>
                <w:w w:val="99"/>
                <w:sz w:val="18"/>
                <w:szCs w:val="18"/>
              </w:rPr>
              <w:t>4</w:t>
            </w:r>
            <w:r>
              <w:rPr>
                <w:rFonts w:ascii="宋体" w:hAnsi="宋体" w:cs="宋体" w:eastAsia="宋体" w:hint="default"/>
                <w:spacing w:val="-15"/>
                <w:sz w:val="18"/>
                <w:szCs w:val="18"/>
              </w:rPr>
              <w:t>）</w:t>
            </w:r>
            <w:r>
              <w:rPr>
                <w:rFonts w:ascii="宋体" w:hAnsi="宋体" w:cs="宋体" w:eastAsia="宋体" w:hint="default"/>
                <w:sz w:val="18"/>
                <w:szCs w:val="18"/>
              </w:rPr>
              <w:t>如果</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中国证监会及</w:t>
            </w:r>
            <w:r>
              <w:rPr>
                <w:rFonts w:ascii="Arial" w:hAnsi="Arial" w:cs="Arial" w:eastAsia="Arial" w:hint="default"/>
                <w:sz w:val="18"/>
                <w:szCs w:val="18"/>
              </w:rPr>
              <w:t>/</w:t>
            </w:r>
            <w:r>
              <w:rPr>
                <w:rFonts w:ascii="宋体" w:hAnsi="宋体" w:cs="宋体" w:eastAsia="宋体" w:hint="default"/>
                <w:sz w:val="18"/>
                <w:szCs w:val="18"/>
              </w:rPr>
              <w:t>或深圳证券交易所对于上述锁定期安排有不同意见或要求的，本</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人将按照中国证监会及</w:t>
            </w:r>
            <w:r>
              <w:rPr>
                <w:rFonts w:ascii="Arial" w:hAnsi="Arial" w:cs="Arial" w:eastAsia="Arial" w:hint="default"/>
                <w:sz w:val="18"/>
                <w:szCs w:val="18"/>
              </w:rPr>
              <w:t>/</w:t>
            </w:r>
            <w:r>
              <w:rPr>
                <w:rFonts w:ascii="宋体" w:hAnsi="宋体" w:cs="宋体" w:eastAsia="宋体" w:hint="default"/>
                <w:sz w:val="18"/>
                <w:szCs w:val="18"/>
              </w:rPr>
              <w:t>或深圳证券交易所的意见或要求对上述锁定期安排进行</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1101"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62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修订并予执行</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Arial" w:hAnsi="Arial" w:cs="Arial" w:eastAsia="Arial" w:hint="default"/>
                <w:w w:val="99"/>
                <w:sz w:val="18"/>
                <w:szCs w:val="18"/>
              </w:rPr>
              <w:t>5</w:t>
            </w:r>
            <w:r>
              <w:rPr>
                <w:rFonts w:ascii="宋体" w:hAnsi="宋体" w:cs="宋体" w:eastAsia="宋体" w:hint="default"/>
                <w:sz w:val="18"/>
                <w:szCs w:val="18"/>
              </w:rPr>
              <w:t>）本人进一步承诺，上述股份锁定期限届满后，本人因本次</w:t>
            </w:r>
          </w:p>
        </w:tc>
        <w:tc>
          <w:tcPr>
            <w:tcW w:w="1134"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593"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8" w:footer="978" w:top="1060" w:bottom="1160" w:left="1320" w:right="1240"/>
        </w:sectPr>
      </w:pPr>
    </w:p>
    <w:p>
      <w:pPr>
        <w:spacing w:line="240" w:lineRule="auto" w:before="1"/>
        <w:rPr>
          <w:rFonts w:ascii="Times New Roman" w:hAnsi="Times New Roman" w:cs="Times New Roman" w:eastAsia="Times New Roman" w:hint="default"/>
          <w:sz w:val="3"/>
          <w:szCs w:val="3"/>
        </w:rPr>
      </w:pPr>
      <w:r>
        <w:rPr/>
        <w:pict>
          <v:shape style="position:absolute;margin-left:581.880005pt;margin-top:57.099987pt;width:62.5pt;height:95.85pt;mso-position-horizontal-relative:page;mso-position-vertical-relative:page;z-index:-8623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17"/>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81.880005pt;margin-top:391.699982pt;width:62.5pt;height:142.550pt;mso-position-horizontal-relative:page;mso-position-vertical-relative:page;z-index:-8623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587.900024pt;margin-top:391.699982pt;width:56.45pt;height:142.65pt;mso-position-horizontal-relative:page;mso-position-vertical-relative:page;z-index:-862288" coordorigin="11758,7834" coordsize="1129,2853">
            <v:shape style="position:absolute;left:11758;top:7834;width:1129;height:2853" coordorigin="11758,7834" coordsize="1129,2853" path="m11758,7834l12887,7834,12887,10687,11758,10687,11758,7834xe" filled="true" fillcolor="#ffffff" stroked="false">
              <v:path arrowok="t"/>
              <v:fill type="solid"/>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1101"/>
        <w:gridCol w:w="1560"/>
        <w:gridCol w:w="1417"/>
        <w:gridCol w:w="6237"/>
        <w:gridCol w:w="1134"/>
        <w:gridCol w:w="992"/>
        <w:gridCol w:w="1593"/>
      </w:tblGrid>
      <w:tr>
        <w:trPr>
          <w:trHeight w:val="332" w:hRule="exact"/>
        </w:trPr>
        <w:tc>
          <w:tcPr>
            <w:tcW w:w="1101" w:type="dxa"/>
            <w:vMerge w:val="restart"/>
            <w:tcBorders>
              <w:top w:val="single" w:sz="16" w:space="0" w:color="000000"/>
              <w:left w:val="single" w:sz="4" w:space="0" w:color="000000"/>
              <w:right w:val="single" w:sz="4" w:space="0" w:color="000000"/>
            </w:tcBorders>
            <w:shd w:val="clear" w:color="auto" w:fill="D2D2D2"/>
          </w:tcPr>
          <w:p>
            <w:pPr/>
          </w:p>
        </w:tc>
        <w:tc>
          <w:tcPr>
            <w:tcW w:w="1560" w:type="dxa"/>
            <w:vMerge w:val="restart"/>
            <w:tcBorders>
              <w:top w:val="single" w:sz="16" w:space="0" w:color="000000"/>
              <w:left w:val="single" w:sz="4" w:space="0" w:color="000000"/>
              <w:right w:val="single" w:sz="4" w:space="0" w:color="000000"/>
            </w:tcBorders>
          </w:tcPr>
          <w:p>
            <w:pPr/>
          </w:p>
        </w:tc>
        <w:tc>
          <w:tcPr>
            <w:tcW w:w="1417" w:type="dxa"/>
            <w:vMerge w:val="restart"/>
            <w:tcBorders>
              <w:top w:val="single" w:sz="16" w:space="0" w:color="000000"/>
              <w:left w:val="single" w:sz="4" w:space="0" w:color="000000"/>
              <w:right w:val="single" w:sz="4" w:space="0" w:color="000000"/>
            </w:tcBorders>
          </w:tcPr>
          <w:p>
            <w:pPr/>
          </w:p>
        </w:tc>
        <w:tc>
          <w:tcPr>
            <w:tcW w:w="6237"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交易所取得的华宇软件的股份在转让时会同时遵守当时有效的《中华人民共和</w:t>
            </w:r>
          </w:p>
        </w:tc>
        <w:tc>
          <w:tcPr>
            <w:tcW w:w="1134" w:type="dxa"/>
            <w:vMerge w:val="restart"/>
            <w:tcBorders>
              <w:top w:val="single" w:sz="16" w:space="0" w:color="000000"/>
              <w:left w:val="single" w:sz="4" w:space="0" w:color="000000"/>
              <w:right w:val="single" w:sz="4" w:space="0" w:color="000000"/>
            </w:tcBorders>
          </w:tcPr>
          <w:p>
            <w:pPr>
              <w:pStyle w:val="TableParagraph"/>
              <w:spacing w:line="1917"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7"/>
                <w:sz w:val="20"/>
                <w:szCs w:val="20"/>
              </w:rPr>
              <w:pict>
                <v:group style="width:56.45pt;height:95.85pt;mso-position-horizontal-relative:char;mso-position-vertical-relative:line" coordorigin="0,0" coordsize="1129,1917">
                  <v:group style="position:absolute;left:0;top:0;width:1129;height:1917" coordorigin="0,0" coordsize="1129,1917">
                    <v:shape style="position:absolute;left:0;top:0;width:1129;height:1917" coordorigin="0,0" coordsize="1129,1917" path="m0,0l1129,0,1129,1917,0,1917,0,0xe" filled="true" fillcolor="#ffffff" stroked="false">
                      <v:path arrowok="t"/>
                      <v:fill type="solid"/>
                    </v:shape>
                  </v:group>
                </v:group>
              </w:pict>
            </w:r>
            <w:r>
              <w:rPr>
                <w:rFonts w:ascii="Times New Roman" w:hAnsi="Times New Roman" w:cs="Times New Roman" w:eastAsia="Times New Roman" w:hint="default"/>
                <w:position w:val="-37"/>
                <w:sz w:val="20"/>
                <w:szCs w:val="20"/>
              </w:rPr>
            </w:r>
          </w:p>
        </w:tc>
        <w:tc>
          <w:tcPr>
            <w:tcW w:w="992" w:type="dxa"/>
            <w:vMerge w:val="restart"/>
            <w:tcBorders>
              <w:top w:val="single" w:sz="16" w:space="0" w:color="000000"/>
              <w:left w:val="single" w:sz="4" w:space="0" w:color="000000"/>
              <w:right w:val="single" w:sz="4" w:space="0" w:color="000000"/>
            </w:tcBorders>
          </w:tcPr>
          <w:p>
            <w:pPr/>
          </w:p>
        </w:tc>
        <w:tc>
          <w:tcPr>
            <w:tcW w:w="1593" w:type="dxa"/>
            <w:vMerge w:val="restart"/>
            <w:tcBorders>
              <w:top w:val="single" w:sz="16" w:space="0" w:color="000000"/>
              <w:left w:val="single" w:sz="4" w:space="0" w:color="000000"/>
              <w:right w:val="single" w:sz="4" w:space="0" w:color="000000"/>
            </w:tcBorders>
          </w:tcPr>
          <w:p>
            <w:pP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国公司法</w:t>
            </w:r>
            <w:r>
              <w:rPr>
                <w:rFonts w:ascii="宋体" w:hAnsi="宋体" w:cs="宋体" w:eastAsia="宋体" w:hint="default"/>
                <w:spacing w:val="-92"/>
                <w:sz w:val="18"/>
                <w:szCs w:val="18"/>
              </w:rPr>
              <w:t>》</w:t>
            </w:r>
            <w:r>
              <w:rPr>
                <w:rFonts w:ascii="宋体" w:hAnsi="宋体" w:cs="宋体" w:eastAsia="宋体" w:hint="default"/>
                <w:spacing w:val="-104"/>
                <w:sz w:val="18"/>
                <w:szCs w:val="18"/>
              </w:rPr>
              <w:t>、</w:t>
            </w:r>
            <w:r>
              <w:rPr>
                <w:rFonts w:ascii="宋体" w:hAnsi="宋体" w:cs="宋体" w:eastAsia="宋体" w:hint="default"/>
                <w:sz w:val="18"/>
                <w:szCs w:val="18"/>
              </w:rPr>
              <w:t>《中华人民共和国证券法</w:t>
            </w:r>
            <w:r>
              <w:rPr>
                <w:rFonts w:ascii="宋体" w:hAnsi="宋体" w:cs="宋体" w:eastAsia="宋体" w:hint="default"/>
                <w:spacing w:val="-92"/>
                <w:sz w:val="18"/>
                <w:szCs w:val="18"/>
              </w:rPr>
              <w:t>》</w:t>
            </w:r>
            <w:r>
              <w:rPr>
                <w:rFonts w:ascii="宋体" w:hAnsi="宋体" w:cs="宋体" w:eastAsia="宋体" w:hint="default"/>
                <w:spacing w:val="-104"/>
                <w:sz w:val="18"/>
                <w:szCs w:val="18"/>
              </w:rPr>
              <w:t>、</w:t>
            </w:r>
            <w:r>
              <w:rPr>
                <w:rFonts w:ascii="宋体" w:hAnsi="宋体" w:cs="宋体" w:eastAsia="宋体" w:hint="default"/>
                <w:sz w:val="18"/>
                <w:szCs w:val="18"/>
              </w:rPr>
              <w:t>《深圳证券交易所创业板股票上市规则</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93" w:type="dxa"/>
            <w:vMerge/>
            <w:tcBorders>
              <w:left w:val="single" w:sz="4" w:space="0" w:color="000000"/>
              <w:right w:val="single" w:sz="4" w:space="0" w:color="000000"/>
            </w:tcBorders>
          </w:tcPr>
          <w:p>
            <w:pPr/>
          </w:p>
        </w:tc>
      </w:tr>
      <w:tr>
        <w:trPr>
          <w:trHeight w:val="316" w:hRule="exact"/>
        </w:trPr>
        <w:tc>
          <w:tcPr>
            <w:tcW w:w="1101"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等法律、法规、规章和规范性文件以及华宇软件章程的相关规定</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Arial" w:hAnsi="Arial" w:cs="Arial" w:eastAsia="Arial" w:hint="default"/>
                <w:w w:val="99"/>
                <w:sz w:val="18"/>
                <w:szCs w:val="18"/>
              </w:rPr>
              <w:t>6</w:t>
            </w:r>
            <w:r>
              <w:rPr>
                <w:rFonts w:ascii="宋体" w:hAnsi="宋体" w:cs="宋体" w:eastAsia="宋体" w:hint="default"/>
                <w:sz w:val="18"/>
                <w:szCs w:val="18"/>
              </w:rPr>
              <w:t>）本承诺</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93" w:type="dxa"/>
            <w:vMerge/>
            <w:tcBorders>
              <w:left w:val="single" w:sz="4" w:space="0" w:color="000000"/>
              <w:right w:val="single" w:sz="4" w:space="0" w:color="000000"/>
            </w:tcBorders>
          </w:tcPr>
          <w:p>
            <w:pPr/>
          </w:p>
        </w:tc>
      </w:tr>
      <w:tr>
        <w:trPr>
          <w:trHeight w:val="308" w:hRule="exact"/>
        </w:trPr>
        <w:tc>
          <w:tcPr>
            <w:tcW w:w="1101"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函一经本人签署即对本人构成有效的、合法的、具有约束力的责任；本人保证</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93" w:type="dxa"/>
            <w:vMerge/>
            <w:tcBorders>
              <w:left w:val="single" w:sz="4" w:space="0" w:color="000000"/>
              <w:right w:val="single" w:sz="4" w:space="0" w:color="000000"/>
            </w:tcBorders>
          </w:tcPr>
          <w:p>
            <w:pP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严格履行本承诺函中的各项承诺，如因违反相关承诺并因此给他人造成损失的</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93" w:type="dxa"/>
            <w:vMerge/>
            <w:tcBorders>
              <w:left w:val="single" w:sz="4" w:space="0" w:color="000000"/>
              <w:right w:val="single" w:sz="4" w:space="0" w:color="000000"/>
            </w:tcBorders>
          </w:tcPr>
          <w:p>
            <w:pPr/>
          </w:p>
        </w:tc>
      </w:tr>
      <w:tr>
        <w:trPr>
          <w:trHeight w:val="357" w:hRule="exact"/>
        </w:trPr>
        <w:tc>
          <w:tcPr>
            <w:tcW w:w="1101"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62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本人将承担相应的法律责任。</w:t>
            </w:r>
          </w:p>
        </w:tc>
        <w:tc>
          <w:tcPr>
            <w:tcW w:w="113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593" w:type="dxa"/>
            <w:vMerge/>
            <w:tcBorders>
              <w:left w:val="single" w:sz="4" w:space="0" w:color="000000"/>
              <w:bottom w:val="single" w:sz="4" w:space="0" w:color="000000"/>
              <w:right w:val="single" w:sz="4" w:space="0" w:color="000000"/>
            </w:tcBorders>
          </w:tcPr>
          <w:p>
            <w:pPr/>
          </w:p>
        </w:tc>
      </w:tr>
      <w:tr>
        <w:trPr>
          <w:trHeight w:val="362" w:hRule="exact"/>
        </w:trPr>
        <w:tc>
          <w:tcPr>
            <w:tcW w:w="1101" w:type="dxa"/>
            <w:vMerge/>
            <w:tcBorders>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62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王莉丽关于股份锁定期的承诺函主要内容如下</w:t>
            </w:r>
            <w:r>
              <w:rPr>
                <w:rFonts w:ascii="宋体" w:hAnsi="宋体" w:cs="宋体" w:eastAsia="宋体" w:hint="default"/>
                <w:spacing w:val="-94"/>
                <w:sz w:val="18"/>
                <w:szCs w:val="18"/>
              </w:rPr>
              <w:t>：</w:t>
            </w:r>
            <w:r>
              <w:rPr>
                <w:rFonts w:ascii="宋体" w:hAnsi="宋体" w:cs="宋体" w:eastAsia="宋体" w:hint="default"/>
                <w:spacing w:val="-3"/>
                <w:sz w:val="18"/>
                <w:szCs w:val="18"/>
              </w:rPr>
              <w:t>（</w:t>
            </w:r>
            <w:r>
              <w:rPr>
                <w:rFonts w:ascii="Arial" w:hAnsi="Arial" w:cs="Arial" w:eastAsia="Arial" w:hint="default"/>
                <w:w w:val="99"/>
                <w:sz w:val="18"/>
                <w:szCs w:val="18"/>
              </w:rPr>
              <w:t>1</w:t>
            </w:r>
            <w:r>
              <w:rPr>
                <w:rFonts w:ascii="宋体" w:hAnsi="宋体" w:cs="宋体" w:eastAsia="宋体" w:hint="default"/>
                <w:spacing w:val="-5"/>
                <w:sz w:val="18"/>
                <w:szCs w:val="18"/>
              </w:rPr>
              <w:t>）</w:t>
            </w:r>
            <w:r>
              <w:rPr>
                <w:rFonts w:ascii="宋体" w:hAnsi="宋体" w:cs="宋体" w:eastAsia="宋体" w:hint="default"/>
                <w:sz w:val="18"/>
                <w:szCs w:val="18"/>
              </w:rPr>
              <w:t>本人于</w:t>
            </w:r>
            <w:r>
              <w:rPr>
                <w:rFonts w:ascii="宋体" w:hAnsi="宋体" w:cs="宋体" w:eastAsia="宋体" w:hint="default"/>
                <w:spacing w:val="-45"/>
                <w:sz w:val="18"/>
                <w:szCs w:val="18"/>
              </w:rPr>
              <w:t> </w:t>
            </w:r>
            <w:r>
              <w:rPr>
                <w:rFonts w:ascii="Arial" w:hAnsi="Arial" w:cs="Arial" w:eastAsia="Arial" w:hint="default"/>
                <w:w w:val="99"/>
                <w:sz w:val="18"/>
                <w:szCs w:val="18"/>
              </w:rPr>
              <w:t>20</w:t>
            </w:r>
            <w:r>
              <w:rPr>
                <w:rFonts w:ascii="Arial" w:hAnsi="Arial" w:cs="Arial" w:eastAsia="Arial" w:hint="default"/>
                <w:spacing w:val="-2"/>
                <w:w w:val="99"/>
                <w:sz w:val="18"/>
                <w:szCs w:val="18"/>
              </w:rPr>
              <w:t>1</w:t>
            </w:r>
            <w:r>
              <w:rPr>
                <w:rFonts w:ascii="Arial" w:hAnsi="Arial" w:cs="Arial" w:eastAsia="Arial" w:hint="default"/>
                <w:w w:val="99"/>
                <w:sz w:val="18"/>
                <w:szCs w:val="18"/>
              </w:rPr>
              <w:t>6</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w w:val="99"/>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月取得</w:t>
            </w:r>
          </w:p>
        </w:tc>
        <w:tc>
          <w:tcPr>
            <w:tcW w:w="1134"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59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联奕科技</w:t>
            </w:r>
            <w:r>
              <w:rPr>
                <w:rFonts w:ascii="宋体" w:hAnsi="宋体" w:cs="宋体" w:eastAsia="宋体" w:hint="default"/>
                <w:spacing w:val="-50"/>
                <w:sz w:val="18"/>
                <w:szCs w:val="18"/>
              </w:rPr>
              <w:t> </w:t>
            </w:r>
            <w:r>
              <w:rPr>
                <w:rFonts w:ascii="Arial" w:hAnsi="Arial" w:cs="Arial" w:eastAsia="Arial" w:hint="default"/>
                <w:sz w:val="18"/>
                <w:szCs w:val="18"/>
              </w:rPr>
              <w:t>19.8%</w:t>
            </w:r>
            <w:r>
              <w:rPr>
                <w:rFonts w:ascii="宋体" w:hAnsi="宋体" w:cs="宋体" w:eastAsia="宋体" w:hint="default"/>
                <w:sz w:val="18"/>
                <w:szCs w:val="18"/>
              </w:rPr>
              <w:t>的股份，考虑到本人持续拥有联奕科技前述股份的时间尚不满</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14"/>
                <w:sz w:val="18"/>
                <w:szCs w:val="18"/>
              </w:rPr>
              <w:t> </w:t>
            </w:r>
            <w:r>
              <w:rPr>
                <w:rFonts w:ascii="宋体" w:hAnsi="宋体" w:cs="宋体" w:eastAsia="宋体" w:hint="default"/>
                <w:sz w:val="18"/>
                <w:szCs w:val="18"/>
              </w:rPr>
              <w:t>个月，因此，对于本人通过本次交易以前述联奕科技股份认购取得的华宇软</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件发行的股份，本人承诺自华宇软件该等股份发行结束之日起</w:t>
            </w:r>
            <w:r>
              <w:rPr>
                <w:rFonts w:ascii="宋体" w:hAnsi="宋体" w:cs="宋体" w:eastAsia="宋体" w:hint="default"/>
                <w:spacing w:val="-46"/>
                <w:sz w:val="18"/>
                <w:szCs w:val="18"/>
              </w:rPr>
              <w:t> </w:t>
            </w:r>
            <w:r>
              <w:rPr>
                <w:rFonts w:ascii="Arial" w:hAnsi="Arial" w:cs="Arial" w:eastAsia="Arial" w:hint="default"/>
                <w:sz w:val="18"/>
                <w:szCs w:val="18"/>
              </w:rPr>
              <w:t>36</w:t>
            </w:r>
            <w:r>
              <w:rPr>
                <w:rFonts w:ascii="Arial" w:hAnsi="Arial" w:cs="Arial" w:eastAsia="Arial" w:hint="default"/>
                <w:spacing w:val="-7"/>
                <w:sz w:val="18"/>
                <w:szCs w:val="18"/>
              </w:rPr>
              <w:t> </w:t>
            </w:r>
            <w:r>
              <w:rPr>
                <w:rFonts w:ascii="宋体" w:hAnsi="宋体" w:cs="宋体" w:eastAsia="宋体" w:hint="default"/>
                <w:sz w:val="18"/>
                <w:szCs w:val="18"/>
              </w:rPr>
              <w:t>个月内不转</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让</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Arial" w:hAnsi="Arial" w:cs="Arial" w:eastAsia="Arial" w:hint="default"/>
                <w:w w:val="99"/>
                <w:sz w:val="18"/>
                <w:szCs w:val="18"/>
              </w:rPr>
              <w:t>2</w:t>
            </w:r>
            <w:r>
              <w:rPr>
                <w:rFonts w:ascii="宋体" w:hAnsi="宋体" w:cs="宋体" w:eastAsia="宋体" w:hint="default"/>
                <w:sz w:val="18"/>
                <w:szCs w:val="18"/>
              </w:rPr>
              <w:t>）本人于本次交易中取得的华宇软件股份所派生的股份（如因华宇软件</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1556"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王莉丽</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304" w:lineRule="auto" w:before="6"/>
              <w:ind w:left="23" w:right="21"/>
              <w:jc w:val="both"/>
              <w:rPr>
                <w:rFonts w:ascii="宋体" w:hAnsi="宋体" w:cs="宋体" w:eastAsia="宋体" w:hint="default"/>
                <w:sz w:val="18"/>
                <w:szCs w:val="18"/>
              </w:rPr>
            </w:pPr>
            <w:r>
              <w:rPr>
                <w:rFonts w:ascii="宋体" w:hAnsi="宋体" w:cs="宋体" w:eastAsia="宋体" w:hint="default"/>
                <w:spacing w:val="-4"/>
                <w:sz w:val="18"/>
                <w:szCs w:val="18"/>
              </w:rPr>
              <w:t>分配股票股利、资本公积转增股本等原因新增取得的股份），亦应遵守上述锁定</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w w:val="99"/>
                <w:sz w:val="18"/>
                <w:szCs w:val="18"/>
              </w:rPr>
              <w:t>安排。（</w:t>
            </w:r>
            <w:r>
              <w:rPr>
                <w:rFonts w:ascii="Arial" w:hAnsi="Arial" w:cs="Arial" w:eastAsia="Arial" w:hint="default"/>
                <w:spacing w:val="-3"/>
                <w:w w:val="99"/>
                <w:sz w:val="18"/>
                <w:szCs w:val="18"/>
              </w:rPr>
              <w:t>3</w:t>
            </w:r>
            <w:r>
              <w:rPr>
                <w:rFonts w:ascii="宋体" w:hAnsi="宋体" w:cs="宋体" w:eastAsia="宋体" w:hint="default"/>
                <w:spacing w:val="-3"/>
                <w:w w:val="99"/>
                <w:sz w:val="18"/>
                <w:szCs w:val="18"/>
              </w:rPr>
              <w:t>）如果中国证监会及</w:t>
            </w:r>
            <w:r>
              <w:rPr>
                <w:rFonts w:ascii="Arial" w:hAnsi="Arial" w:cs="Arial" w:eastAsia="Arial" w:hint="default"/>
                <w:spacing w:val="-3"/>
                <w:w w:val="99"/>
                <w:sz w:val="18"/>
                <w:szCs w:val="18"/>
              </w:rPr>
              <w:t>/</w:t>
            </w:r>
            <w:r>
              <w:rPr>
                <w:rFonts w:ascii="宋体" w:hAnsi="宋体" w:cs="宋体" w:eastAsia="宋体" w:hint="default"/>
                <w:spacing w:val="-3"/>
                <w:w w:val="99"/>
                <w:sz w:val="18"/>
                <w:szCs w:val="18"/>
              </w:rPr>
              <w:t>或深圳证券交易所对于上述锁定期安排有不同意</w:t>
            </w:r>
            <w:r>
              <w:rPr>
                <w:rFonts w:ascii="宋体" w:hAnsi="宋体" w:cs="宋体" w:eastAsia="宋体" w:hint="default"/>
                <w:spacing w:val="-74"/>
                <w:w w:val="99"/>
                <w:sz w:val="18"/>
                <w:szCs w:val="18"/>
              </w:rPr>
              <w:t> </w:t>
            </w:r>
            <w:r>
              <w:rPr>
                <w:rFonts w:ascii="宋体" w:hAnsi="宋体" w:cs="宋体" w:eastAsia="宋体" w:hint="default"/>
                <w:sz w:val="18"/>
                <w:szCs w:val="18"/>
              </w:rPr>
              <w:t>见或要求的，本人将按照中国证监会及</w:t>
            </w:r>
            <w:r>
              <w:rPr>
                <w:rFonts w:ascii="Arial" w:hAnsi="Arial" w:cs="Arial" w:eastAsia="Arial" w:hint="default"/>
                <w:sz w:val="18"/>
                <w:szCs w:val="18"/>
              </w:rPr>
              <w:t>/</w:t>
            </w:r>
            <w:r>
              <w:rPr>
                <w:rFonts w:ascii="宋体" w:hAnsi="宋体" w:cs="宋体" w:eastAsia="宋体" w:hint="default"/>
                <w:sz w:val="18"/>
                <w:szCs w:val="18"/>
              </w:rPr>
              <w:t>或深圳证券交易所的意见或要求对上述 </w:t>
            </w:r>
            <w:r>
              <w:rPr>
                <w:rFonts w:ascii="宋体" w:hAnsi="宋体" w:cs="宋体" w:eastAsia="宋体" w:hint="default"/>
                <w:spacing w:val="-3"/>
                <w:w w:val="99"/>
                <w:sz w:val="18"/>
                <w:szCs w:val="18"/>
              </w:rPr>
              <w:t>锁定期安排进行修订并予执行。（</w:t>
            </w:r>
            <w:r>
              <w:rPr>
                <w:rFonts w:ascii="Arial" w:hAnsi="Arial" w:cs="Arial" w:eastAsia="Arial" w:hint="default"/>
                <w:spacing w:val="-3"/>
                <w:w w:val="99"/>
                <w:sz w:val="18"/>
                <w:szCs w:val="18"/>
              </w:rPr>
              <w:t>4</w:t>
            </w:r>
            <w:r>
              <w:rPr>
                <w:rFonts w:ascii="宋体" w:hAnsi="宋体" w:cs="宋体" w:eastAsia="宋体" w:hint="default"/>
                <w:spacing w:val="-3"/>
                <w:w w:val="99"/>
                <w:sz w:val="18"/>
                <w:szCs w:val="18"/>
              </w:rPr>
              <w:t>）本人进一步承诺，上述股份锁定期限届满</w:t>
            </w:r>
            <w:r>
              <w:rPr>
                <w:rFonts w:ascii="宋体" w:hAnsi="宋体" w:cs="宋体" w:eastAsia="宋体" w:hint="default"/>
                <w:spacing w:val="-77"/>
                <w:w w:val="99"/>
                <w:sz w:val="18"/>
                <w:szCs w:val="18"/>
              </w:rPr>
              <w:t> </w:t>
            </w:r>
            <w:r>
              <w:rPr>
                <w:rFonts w:ascii="宋体" w:hAnsi="宋体" w:cs="宋体" w:eastAsia="宋体" w:hint="default"/>
                <w:sz w:val="18"/>
                <w:szCs w:val="18"/>
              </w:rPr>
              <w:t>后，本人因本次交易所取得的华宇软件的股份在转让时会同时遵守当时有效的</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Arial" w:hAnsi="Arial" w:cs="Arial" w:eastAsia="Arial" w:hint="default"/>
                <w:sz w:val="18"/>
                <w:szCs w:val="18"/>
              </w:rPr>
              <w:t>09</w:t>
            </w:r>
            <w:r>
              <w:rPr>
                <w:rFonts w:ascii="Arial" w:hAnsi="Arial" w:cs="Arial" w:eastAsia="Arial"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Arial" w:hAnsi="Arial" w:cs="Arial" w:eastAsia="Arial" w:hint="default"/>
                <w:sz w:val="18"/>
                <w:szCs w:val="18"/>
              </w:rPr>
              <w:t>07</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27"/>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Arial" w:hAnsi="Arial" w:cs="Arial" w:eastAsia="Arial" w:hint="default"/>
                <w:sz w:val="18"/>
                <w:szCs w:val="18"/>
              </w:rPr>
              <w:t>9</w:t>
            </w:r>
            <w:r>
              <w:rPr>
                <w:rFonts w:ascii="Arial" w:hAnsi="Arial" w:cs="Arial" w:eastAsia="Arial" w:hint="default"/>
                <w:spacing w:val="-2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Arial" w:hAnsi="Arial" w:cs="Arial" w:eastAsia="Arial" w:hint="default"/>
                <w:sz w:val="18"/>
                <w:szCs w:val="18"/>
              </w:rPr>
              <w:t>7</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59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0"/>
                <w:sz w:val="18"/>
                <w:szCs w:val="18"/>
              </w:rPr>
              <w:t>截至报告期末，承诺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方遵守以上承诺，未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有违反上述承诺的 情况。</w:t>
            </w: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《中华人民共和国证券</w:t>
            </w:r>
            <w:r>
              <w:rPr>
                <w:rFonts w:ascii="宋体" w:hAnsi="宋体" w:cs="宋体" w:eastAsia="宋体" w:hint="default"/>
                <w:spacing w:val="-1"/>
                <w:sz w:val="18"/>
                <w:szCs w:val="18"/>
              </w:rPr>
              <w:t>法</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《深圳证券交易所创业</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板股票上市规则》等法律、法规、规章和规范性文件以及华宇软件章程的相关</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规定</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Arial" w:hAnsi="Arial" w:cs="Arial" w:eastAsia="Arial" w:hint="default"/>
                <w:w w:val="99"/>
                <w:sz w:val="18"/>
                <w:szCs w:val="18"/>
              </w:rPr>
              <w:t>5</w:t>
            </w:r>
            <w:r>
              <w:rPr>
                <w:rFonts w:ascii="宋体" w:hAnsi="宋体" w:cs="宋体" w:eastAsia="宋体" w:hint="default"/>
                <w:sz w:val="18"/>
                <w:szCs w:val="18"/>
              </w:rPr>
              <w:t>）本承诺函一经本人签署即对本人构成有效的、合法的、具有约束力</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的责任；本人保证严格履行本承诺函中的各项承诺，如因违反相关承诺并因此</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62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给他人造成损失的，本人将承担相应的法律责任。</w:t>
            </w:r>
          </w:p>
        </w:tc>
        <w:tc>
          <w:tcPr>
            <w:tcW w:w="1134"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593" w:type="dxa"/>
            <w:tcBorders>
              <w:top w:val="nil" w:sz="6" w:space="0" w:color="auto"/>
              <w:left w:val="single" w:sz="4" w:space="0" w:color="000000"/>
              <w:bottom w:val="single" w:sz="4" w:space="0" w:color="000000"/>
              <w:right w:val="single" w:sz="4" w:space="0" w:color="000000"/>
            </w:tcBorders>
          </w:tcPr>
          <w:p>
            <w:pPr/>
          </w:p>
        </w:tc>
      </w:tr>
      <w:tr>
        <w:trPr>
          <w:trHeight w:val="2856" w:hRule="exact"/>
        </w:trPr>
        <w:tc>
          <w:tcPr>
            <w:tcW w:w="1101"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07" w:lineRule="auto"/>
              <w:ind w:left="22" w:right="21"/>
              <w:jc w:val="left"/>
              <w:rPr>
                <w:rFonts w:ascii="宋体" w:hAnsi="宋体" w:cs="宋体" w:eastAsia="宋体" w:hint="default"/>
                <w:sz w:val="18"/>
                <w:szCs w:val="18"/>
              </w:rPr>
            </w:pPr>
            <w:r>
              <w:rPr>
                <w:rFonts w:ascii="宋体" w:hAnsi="宋体" w:cs="宋体" w:eastAsia="宋体" w:hint="default"/>
                <w:sz w:val="18"/>
                <w:szCs w:val="18"/>
              </w:rPr>
              <w:t>戴力毅</w:t>
            </w:r>
            <w:r>
              <w:rPr>
                <w:rFonts w:ascii="Arial" w:hAnsi="Arial" w:cs="Arial" w:eastAsia="Arial" w:hint="default"/>
                <w:sz w:val="18"/>
                <w:szCs w:val="18"/>
              </w:rPr>
              <w:t>;</w:t>
            </w:r>
            <w:r>
              <w:rPr>
                <w:rFonts w:ascii="宋体" w:hAnsi="宋体" w:cs="宋体" w:eastAsia="宋体" w:hint="default"/>
                <w:sz w:val="18"/>
                <w:szCs w:val="18"/>
              </w:rPr>
              <w:t>广州奕力腾 投资企业（有限合 </w:t>
            </w:r>
            <w:r>
              <w:rPr>
                <w:rFonts w:ascii="宋体" w:hAnsi="宋体" w:cs="宋体" w:eastAsia="宋体" w:hint="default"/>
                <w:spacing w:val="-8"/>
                <w:w w:val="99"/>
                <w:sz w:val="18"/>
                <w:szCs w:val="18"/>
              </w:rPr>
              <w:t>伙）</w:t>
            </w:r>
            <w:r>
              <w:rPr>
                <w:rFonts w:ascii="Arial" w:hAnsi="Arial" w:cs="Arial" w:eastAsia="Arial" w:hint="default"/>
                <w:spacing w:val="-8"/>
                <w:w w:val="99"/>
                <w:sz w:val="18"/>
                <w:szCs w:val="18"/>
              </w:rPr>
              <w:t>;</w:t>
            </w:r>
            <w:r>
              <w:rPr>
                <w:rFonts w:ascii="宋体" w:hAnsi="宋体" w:cs="宋体" w:eastAsia="宋体" w:hint="default"/>
                <w:spacing w:val="-8"/>
                <w:w w:val="99"/>
                <w:sz w:val="18"/>
                <w:szCs w:val="18"/>
              </w:rPr>
              <w:t>金玉萍</w:t>
            </w:r>
            <w:r>
              <w:rPr>
                <w:rFonts w:ascii="Arial" w:hAnsi="Arial" w:cs="Arial" w:eastAsia="Arial" w:hint="default"/>
                <w:spacing w:val="-8"/>
                <w:w w:val="99"/>
                <w:sz w:val="18"/>
                <w:szCs w:val="18"/>
              </w:rPr>
              <w:t>;</w:t>
            </w:r>
            <w:r>
              <w:rPr>
                <w:rFonts w:ascii="宋体" w:hAnsi="宋体" w:cs="宋体" w:eastAsia="宋体" w:hint="default"/>
                <w:spacing w:val="-8"/>
                <w:w w:val="99"/>
                <w:sz w:val="18"/>
                <w:szCs w:val="18"/>
              </w:rPr>
              <w:t>瞿启云</w:t>
            </w:r>
            <w:r>
              <w:rPr>
                <w:rFonts w:ascii="Arial" w:hAnsi="Arial" w:cs="Arial" w:eastAsia="Arial" w:hint="default"/>
                <w:spacing w:val="-8"/>
                <w:w w:val="99"/>
                <w:sz w:val="18"/>
                <w:szCs w:val="18"/>
              </w:rPr>
              <w:t>;</w:t>
            </w:r>
            <w:r>
              <w:rPr>
                <w:rFonts w:ascii="Arial" w:hAnsi="Arial" w:cs="Arial" w:eastAsia="Arial" w:hint="default"/>
                <w:w w:val="99"/>
                <w:sz w:val="18"/>
                <w:szCs w:val="18"/>
              </w:rPr>
              <w:t> </w:t>
            </w:r>
            <w:r>
              <w:rPr>
                <w:rFonts w:ascii="宋体" w:hAnsi="宋体" w:cs="宋体" w:eastAsia="宋体" w:hint="default"/>
                <w:sz w:val="18"/>
                <w:szCs w:val="18"/>
              </w:rPr>
              <w:t>刘丽华</w:t>
            </w:r>
            <w:r>
              <w:rPr>
                <w:rFonts w:ascii="Arial" w:hAnsi="Arial" w:cs="Arial" w:eastAsia="Arial" w:hint="default"/>
                <w:sz w:val="18"/>
                <w:szCs w:val="18"/>
              </w:rPr>
              <w:t>;</w:t>
            </w:r>
            <w:r>
              <w:rPr>
                <w:rFonts w:ascii="宋体" w:hAnsi="宋体" w:cs="宋体" w:eastAsia="宋体" w:hint="default"/>
                <w:sz w:val="18"/>
                <w:szCs w:val="18"/>
              </w:rPr>
              <w:t>齐嘉瞻</w:t>
            </w:r>
            <w:r>
              <w:rPr>
                <w:rFonts w:ascii="Arial" w:hAnsi="Arial" w:cs="Arial" w:eastAsia="Arial" w:hint="default"/>
                <w:sz w:val="18"/>
                <w:szCs w:val="18"/>
              </w:rPr>
              <w:t>;</w:t>
            </w:r>
            <w:r>
              <w:rPr>
                <w:rFonts w:ascii="宋体" w:hAnsi="宋体" w:cs="宋体" w:eastAsia="宋体" w:hint="default"/>
                <w:sz w:val="18"/>
                <w:szCs w:val="18"/>
              </w:rPr>
              <w:t>石 河子鼎诺投资管理 有限公司</w:t>
            </w:r>
            <w:r>
              <w:rPr>
                <w:rFonts w:ascii="Arial" w:hAnsi="Arial" w:cs="Arial" w:eastAsia="Arial" w:hint="default"/>
                <w:sz w:val="18"/>
                <w:szCs w:val="18"/>
              </w:rPr>
              <w:t>;</w:t>
            </w:r>
            <w:r>
              <w:rPr>
                <w:rFonts w:ascii="宋体" w:hAnsi="宋体" w:cs="宋体" w:eastAsia="宋体" w:hint="default"/>
                <w:sz w:val="18"/>
                <w:szCs w:val="18"/>
              </w:rPr>
              <w:t>西藏思科 瑞股权投资中心</w:t>
            </w:r>
          </w:p>
          <w:p>
            <w:pPr>
              <w:pStyle w:val="TableParagraph"/>
              <w:spacing w:line="240" w:lineRule="auto" w:before="26"/>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3" w:right="21"/>
              <w:jc w:val="left"/>
              <w:rPr>
                <w:rFonts w:ascii="宋体" w:hAnsi="宋体" w:cs="宋体" w:eastAsia="宋体" w:hint="default"/>
                <w:sz w:val="18"/>
                <w:szCs w:val="18"/>
              </w:rPr>
            </w:pPr>
            <w:r>
              <w:rPr>
                <w:rFonts w:ascii="宋体" w:hAnsi="宋体" w:cs="宋体" w:eastAsia="宋体" w:hint="default"/>
                <w:sz w:val="18"/>
                <w:szCs w:val="18"/>
              </w:rPr>
              <w:t>除任刚、朱明武、横琴瀚鼎、王莉丽之外其他交易对方关于股份锁定期的承诺 </w:t>
            </w:r>
            <w:r>
              <w:rPr>
                <w:rFonts w:ascii="宋体" w:hAnsi="宋体" w:cs="宋体" w:eastAsia="宋体" w:hint="default"/>
                <w:spacing w:val="-3"/>
                <w:w w:val="99"/>
                <w:sz w:val="18"/>
                <w:szCs w:val="18"/>
              </w:rPr>
              <w:t>函主要内容如下：（</w:t>
            </w:r>
            <w:r>
              <w:rPr>
                <w:rFonts w:ascii="Arial" w:hAnsi="Arial" w:cs="Arial" w:eastAsia="Arial" w:hint="default"/>
                <w:spacing w:val="-3"/>
                <w:w w:val="99"/>
                <w:sz w:val="18"/>
                <w:szCs w:val="18"/>
              </w:rPr>
              <w:t>1</w:t>
            </w:r>
            <w:r>
              <w:rPr>
                <w:rFonts w:ascii="宋体" w:hAnsi="宋体" w:cs="宋体" w:eastAsia="宋体" w:hint="default"/>
                <w:spacing w:val="-3"/>
                <w:w w:val="99"/>
                <w:sz w:val="18"/>
                <w:szCs w:val="18"/>
              </w:rPr>
              <w:t>）本人通过本次交易认购的华宇软件发行的股份，本人承</w:t>
            </w:r>
            <w:r>
              <w:rPr>
                <w:rFonts w:ascii="宋体" w:hAnsi="宋体" w:cs="宋体" w:eastAsia="宋体" w:hint="default"/>
                <w:spacing w:val="-77"/>
                <w:w w:val="99"/>
                <w:sz w:val="18"/>
                <w:szCs w:val="18"/>
              </w:rPr>
              <w:t> </w:t>
            </w:r>
            <w:r>
              <w:rPr>
                <w:rFonts w:ascii="宋体" w:hAnsi="宋体" w:cs="宋体" w:eastAsia="宋体" w:hint="default"/>
                <w:sz w:val="18"/>
                <w:szCs w:val="18"/>
              </w:rPr>
              <w:t>诺自该等股份发行结束之日起</w:t>
            </w:r>
            <w:r>
              <w:rPr>
                <w:rFonts w:ascii="宋体" w:hAnsi="宋体" w:cs="宋体" w:eastAsia="宋体" w:hint="default"/>
                <w:spacing w:val="-38"/>
                <w:sz w:val="18"/>
                <w:szCs w:val="18"/>
              </w:rPr>
              <w:t> </w:t>
            </w:r>
            <w:r>
              <w:rPr>
                <w:rFonts w:ascii="Arial" w:hAnsi="Arial" w:cs="Arial" w:eastAsia="Arial" w:hint="default"/>
                <w:w w:val="99"/>
                <w:sz w:val="18"/>
                <w:szCs w:val="18"/>
              </w:rPr>
              <w:t>12 </w:t>
            </w:r>
            <w:r>
              <w:rPr>
                <w:rFonts w:ascii="宋体" w:hAnsi="宋体" w:cs="宋体" w:eastAsia="宋体" w:hint="default"/>
                <w:spacing w:val="-8"/>
                <w:w w:val="99"/>
                <w:sz w:val="18"/>
                <w:szCs w:val="18"/>
              </w:rPr>
              <w:t>个月内不转让。（</w:t>
            </w:r>
            <w:r>
              <w:rPr>
                <w:rFonts w:ascii="Arial" w:hAnsi="Arial" w:cs="Arial" w:eastAsia="Arial" w:hint="default"/>
                <w:spacing w:val="-8"/>
                <w:w w:val="99"/>
                <w:sz w:val="18"/>
                <w:szCs w:val="18"/>
              </w:rPr>
              <w:t>2</w:t>
            </w:r>
            <w:r>
              <w:rPr>
                <w:rFonts w:ascii="宋体" w:hAnsi="宋体" w:cs="宋体" w:eastAsia="宋体" w:hint="default"/>
                <w:spacing w:val="-8"/>
                <w:w w:val="99"/>
                <w:sz w:val="18"/>
                <w:szCs w:val="18"/>
              </w:rPr>
              <w:t>）本人于本次交易中取得的</w:t>
            </w:r>
            <w:r>
              <w:rPr>
                <w:rFonts w:ascii="宋体" w:hAnsi="宋体" w:cs="宋体" w:eastAsia="宋体" w:hint="default"/>
                <w:spacing w:val="-88"/>
                <w:w w:val="99"/>
                <w:sz w:val="18"/>
                <w:szCs w:val="18"/>
              </w:rPr>
              <w:t> </w:t>
            </w:r>
            <w:r>
              <w:rPr>
                <w:rFonts w:ascii="宋体" w:hAnsi="宋体" w:cs="宋体" w:eastAsia="宋体" w:hint="default"/>
                <w:spacing w:val="-88"/>
                <w:w w:val="99"/>
                <w:sz w:val="18"/>
                <w:szCs w:val="18"/>
              </w:rPr>
            </w:r>
            <w:r>
              <w:rPr>
                <w:rFonts w:ascii="宋体" w:hAnsi="宋体" w:cs="宋体" w:eastAsia="宋体" w:hint="default"/>
                <w:sz w:val="18"/>
                <w:szCs w:val="18"/>
              </w:rPr>
              <w:t>华宇软件股份所派生的股份（如因华宇软件分配股票股利、资本公积转增股本 </w:t>
            </w:r>
            <w:r>
              <w:rPr>
                <w:rFonts w:ascii="宋体" w:hAnsi="宋体" w:cs="宋体" w:eastAsia="宋体" w:hint="default"/>
                <w:spacing w:val="-8"/>
                <w:w w:val="99"/>
                <w:sz w:val="18"/>
                <w:szCs w:val="18"/>
              </w:rPr>
              <w:t>等原因新增取得的股份），亦应遵守上述锁定安排。（</w:t>
            </w:r>
            <w:r>
              <w:rPr>
                <w:rFonts w:ascii="Arial" w:hAnsi="Arial" w:cs="Arial" w:eastAsia="Arial" w:hint="default"/>
                <w:spacing w:val="-8"/>
                <w:w w:val="99"/>
                <w:sz w:val="18"/>
                <w:szCs w:val="18"/>
              </w:rPr>
              <w:t>3</w:t>
            </w:r>
            <w:r>
              <w:rPr>
                <w:rFonts w:ascii="宋体" w:hAnsi="宋体" w:cs="宋体" w:eastAsia="宋体" w:hint="default"/>
                <w:spacing w:val="-8"/>
                <w:w w:val="99"/>
                <w:sz w:val="18"/>
                <w:szCs w:val="18"/>
              </w:rPr>
              <w:t>）如果中国证监会及</w:t>
            </w:r>
            <w:r>
              <w:rPr>
                <w:rFonts w:ascii="Arial" w:hAnsi="Arial" w:cs="Arial" w:eastAsia="Arial" w:hint="default"/>
                <w:spacing w:val="-8"/>
                <w:w w:val="99"/>
                <w:sz w:val="18"/>
                <w:szCs w:val="18"/>
              </w:rPr>
              <w:t>/</w:t>
            </w:r>
            <w:r>
              <w:rPr>
                <w:rFonts w:ascii="宋体" w:hAnsi="宋体" w:cs="宋体" w:eastAsia="宋体" w:hint="default"/>
                <w:spacing w:val="-8"/>
                <w:w w:val="99"/>
                <w:sz w:val="18"/>
                <w:szCs w:val="18"/>
              </w:rPr>
              <w:t>或深</w:t>
            </w:r>
            <w:r>
              <w:rPr>
                <w:rFonts w:ascii="宋体" w:hAnsi="宋体" w:cs="宋体" w:eastAsia="宋体" w:hint="default"/>
                <w:spacing w:val="-67"/>
                <w:w w:val="99"/>
                <w:sz w:val="18"/>
                <w:szCs w:val="18"/>
              </w:rPr>
              <w:t> </w:t>
            </w:r>
            <w:r>
              <w:rPr>
                <w:rFonts w:ascii="宋体" w:hAnsi="宋体" w:cs="宋体" w:eastAsia="宋体" w:hint="default"/>
                <w:sz w:val="18"/>
                <w:szCs w:val="18"/>
              </w:rPr>
              <w:t>圳证券交易所对于上述锁定期安排有不同意见或要求的，本人将按照中国证监 </w:t>
            </w:r>
            <w:r>
              <w:rPr>
                <w:rFonts w:ascii="宋体" w:hAnsi="宋体" w:cs="宋体" w:eastAsia="宋体" w:hint="default"/>
                <w:spacing w:val="-5"/>
                <w:w w:val="99"/>
                <w:sz w:val="18"/>
                <w:szCs w:val="18"/>
              </w:rPr>
              <w:t>会及</w:t>
            </w:r>
            <w:r>
              <w:rPr>
                <w:rFonts w:ascii="Arial" w:hAnsi="Arial" w:cs="Arial" w:eastAsia="Arial" w:hint="default"/>
                <w:spacing w:val="-5"/>
                <w:w w:val="99"/>
                <w:sz w:val="18"/>
                <w:szCs w:val="18"/>
              </w:rPr>
              <w:t>/</w:t>
            </w:r>
            <w:r>
              <w:rPr>
                <w:rFonts w:ascii="宋体" w:hAnsi="宋体" w:cs="宋体" w:eastAsia="宋体" w:hint="default"/>
                <w:spacing w:val="-5"/>
                <w:w w:val="99"/>
                <w:sz w:val="18"/>
                <w:szCs w:val="18"/>
              </w:rPr>
              <w:t>或深圳证券交易所的意见或要求对上述锁定期安排进行修订并予执行。（</w:t>
            </w:r>
            <w:r>
              <w:rPr>
                <w:rFonts w:ascii="Arial" w:hAnsi="Arial" w:cs="Arial" w:eastAsia="Arial" w:hint="default"/>
                <w:spacing w:val="-5"/>
                <w:w w:val="99"/>
                <w:sz w:val="18"/>
                <w:szCs w:val="18"/>
              </w:rPr>
              <w:t>4</w:t>
            </w:r>
            <w:r>
              <w:rPr>
                <w:rFonts w:ascii="Arial" w:hAnsi="Arial" w:cs="Arial" w:eastAsia="Arial" w:hint="default"/>
                <w:w w:val="99"/>
                <w:sz w:val="18"/>
                <w:szCs w:val="18"/>
              </w:rPr>
              <w:t> </w:t>
            </w:r>
            <w:r>
              <w:rPr>
                <w:rFonts w:ascii="宋体" w:hAnsi="宋体" w:cs="宋体" w:eastAsia="宋体" w:hint="default"/>
                <w:sz w:val="18"/>
                <w:szCs w:val="18"/>
              </w:rPr>
              <w:t>本人进一步承诺，上述股份锁定期限届满后，本人因本次交易所取得的华宇软 </w:t>
            </w:r>
            <w:r>
              <w:rPr>
                <w:rFonts w:ascii="宋体" w:hAnsi="宋体" w:cs="宋体" w:eastAsia="宋体" w:hint="default"/>
                <w:spacing w:val="-6"/>
                <w:sz w:val="18"/>
                <w:szCs w:val="18"/>
              </w:rPr>
              <w:t>件的股份在转让时会同时遵守当时有效的《中华人民共和国公司法》、《中华人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Arial" w:hAnsi="Arial" w:cs="Arial" w:eastAsia="Arial" w:hint="default"/>
                <w:sz w:val="18"/>
                <w:szCs w:val="18"/>
              </w:rPr>
              <w:t>09</w:t>
            </w:r>
            <w:r>
              <w:rPr>
                <w:rFonts w:ascii="Arial" w:hAnsi="Arial" w:cs="Arial" w:eastAsia="Arial"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Arial" w:hAnsi="Arial" w:cs="Arial" w:eastAsia="Arial" w:hint="default"/>
                <w:sz w:val="18"/>
                <w:szCs w:val="18"/>
              </w:rPr>
              <w:t>07</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27"/>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Arial" w:hAnsi="Arial" w:cs="Arial" w:eastAsia="Arial" w:hint="default"/>
                <w:sz w:val="18"/>
                <w:szCs w:val="18"/>
              </w:rPr>
              <w:t>9</w:t>
            </w:r>
            <w:r>
              <w:rPr>
                <w:rFonts w:ascii="Arial" w:hAnsi="Arial" w:cs="Arial" w:eastAsia="Arial" w:hint="default"/>
                <w:spacing w:val="-2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Arial" w:hAnsi="Arial" w:cs="Arial" w:eastAsia="Arial" w:hint="default"/>
                <w:sz w:val="18"/>
                <w:szCs w:val="18"/>
              </w:rPr>
              <w:t>7</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0"/>
                <w:sz w:val="18"/>
                <w:szCs w:val="18"/>
              </w:rPr>
              <w:t>截至报告期末，该承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诺项目已经履行完 </w:t>
            </w:r>
            <w:r>
              <w:rPr>
                <w:rFonts w:ascii="宋体" w:hAnsi="宋体" w:cs="宋体" w:eastAsia="宋体" w:hint="default"/>
                <w:spacing w:val="-10"/>
                <w:sz w:val="18"/>
                <w:szCs w:val="18"/>
              </w:rPr>
              <w:t>毕，承诺期间承诺主</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体遵守以上承诺，未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有违反上述承诺的 情况。</w:t>
            </w:r>
          </w:p>
        </w:tc>
      </w:tr>
    </w:tbl>
    <w:p>
      <w:pPr>
        <w:spacing w:after="0" w:line="316" w:lineRule="auto"/>
        <w:jc w:val="left"/>
        <w:rPr>
          <w:rFonts w:ascii="宋体" w:hAnsi="宋体" w:cs="宋体" w:eastAsia="宋体" w:hint="default"/>
          <w:sz w:val="18"/>
          <w:szCs w:val="18"/>
        </w:rPr>
        <w:sectPr>
          <w:pgSz w:w="16840" w:h="11910" w:orient="landscape"/>
          <w:pgMar w:header="868" w:footer="978" w:top="1060" w:bottom="1200" w:left="1320" w:right="1240"/>
        </w:sectPr>
      </w:pPr>
    </w:p>
    <w:p>
      <w:pPr>
        <w:spacing w:line="240" w:lineRule="auto" w:before="1"/>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101"/>
        <w:gridCol w:w="1560"/>
        <w:gridCol w:w="1417"/>
        <w:gridCol w:w="6237"/>
        <w:gridCol w:w="1134"/>
        <w:gridCol w:w="992"/>
        <w:gridCol w:w="1593"/>
      </w:tblGrid>
      <w:tr>
        <w:trPr>
          <w:trHeight w:val="332" w:hRule="exact"/>
        </w:trPr>
        <w:tc>
          <w:tcPr>
            <w:tcW w:w="1101" w:type="dxa"/>
            <w:vMerge w:val="restart"/>
            <w:tcBorders>
              <w:top w:val="single" w:sz="16" w:space="0" w:color="000000"/>
              <w:left w:val="single" w:sz="4" w:space="0" w:color="000000"/>
              <w:right w:val="single" w:sz="4" w:space="0" w:color="000000"/>
            </w:tcBorders>
            <w:shd w:val="clear" w:color="auto" w:fill="D2D2D2"/>
          </w:tcPr>
          <w:p>
            <w:pPr/>
          </w:p>
        </w:tc>
        <w:tc>
          <w:tcPr>
            <w:tcW w:w="1560" w:type="dxa"/>
            <w:vMerge w:val="restart"/>
            <w:tcBorders>
              <w:top w:val="single" w:sz="16" w:space="0" w:color="000000"/>
              <w:left w:val="single" w:sz="4" w:space="0" w:color="000000"/>
              <w:right w:val="single" w:sz="4" w:space="0" w:color="000000"/>
            </w:tcBorders>
          </w:tcPr>
          <w:p>
            <w:pPr/>
          </w:p>
        </w:tc>
        <w:tc>
          <w:tcPr>
            <w:tcW w:w="1417" w:type="dxa"/>
            <w:vMerge w:val="restart"/>
            <w:tcBorders>
              <w:top w:val="single" w:sz="16" w:space="0" w:color="000000"/>
              <w:left w:val="single" w:sz="4" w:space="0" w:color="000000"/>
              <w:right w:val="single" w:sz="4" w:space="0" w:color="000000"/>
            </w:tcBorders>
          </w:tcPr>
          <w:p>
            <w:pPr/>
          </w:p>
        </w:tc>
        <w:tc>
          <w:tcPr>
            <w:tcW w:w="6237"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民共和国证券法</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《深圳证券交易所创业板股票上市规则》等法律、法规、规</w:t>
            </w:r>
          </w:p>
        </w:tc>
        <w:tc>
          <w:tcPr>
            <w:tcW w:w="1134" w:type="dxa"/>
            <w:vMerge w:val="restart"/>
            <w:tcBorders>
              <w:top w:val="single" w:sz="16" w:space="0" w:color="000000"/>
              <w:left w:val="single" w:sz="4" w:space="0" w:color="000000"/>
              <w:right w:val="single" w:sz="4" w:space="0" w:color="000000"/>
            </w:tcBorders>
          </w:tcPr>
          <w:p>
            <w:pPr/>
          </w:p>
        </w:tc>
        <w:tc>
          <w:tcPr>
            <w:tcW w:w="992" w:type="dxa"/>
            <w:vMerge w:val="restart"/>
            <w:tcBorders>
              <w:top w:val="single" w:sz="16" w:space="0" w:color="000000"/>
              <w:left w:val="single" w:sz="4" w:space="0" w:color="000000"/>
              <w:right w:val="single" w:sz="4" w:space="0" w:color="000000"/>
            </w:tcBorders>
          </w:tcPr>
          <w:p>
            <w:pPr/>
          </w:p>
        </w:tc>
        <w:tc>
          <w:tcPr>
            <w:tcW w:w="1593" w:type="dxa"/>
            <w:vMerge w:val="restart"/>
            <w:tcBorders>
              <w:top w:val="single" w:sz="16" w:space="0" w:color="000000"/>
              <w:left w:val="single" w:sz="4" w:space="0" w:color="000000"/>
              <w:right w:val="single" w:sz="4" w:space="0" w:color="000000"/>
            </w:tcBorders>
          </w:tcPr>
          <w:p>
            <w:pPr/>
          </w:p>
        </w:tc>
      </w:tr>
      <w:tr>
        <w:trPr>
          <w:trHeight w:val="316" w:hRule="exact"/>
        </w:trPr>
        <w:tc>
          <w:tcPr>
            <w:tcW w:w="1101"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章和规范性文件以及华宇软件章程的相关规定</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Arial" w:hAnsi="Arial" w:cs="Arial" w:eastAsia="Arial" w:hint="default"/>
                <w:w w:val="99"/>
                <w:sz w:val="18"/>
                <w:szCs w:val="18"/>
              </w:rPr>
              <w:t>5</w:t>
            </w:r>
            <w:r>
              <w:rPr>
                <w:rFonts w:ascii="宋体" w:hAnsi="宋体" w:cs="宋体" w:eastAsia="宋体" w:hint="default"/>
                <w:sz w:val="18"/>
                <w:szCs w:val="18"/>
              </w:rPr>
              <w:t>）本承诺函一经本人签署即</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93" w:type="dxa"/>
            <w:vMerge/>
            <w:tcBorders>
              <w:left w:val="single" w:sz="4" w:space="0" w:color="000000"/>
              <w:right w:val="single" w:sz="4" w:space="0" w:color="000000"/>
            </w:tcBorders>
          </w:tcPr>
          <w:p>
            <w:pPr/>
          </w:p>
        </w:tc>
      </w:tr>
      <w:tr>
        <w:trPr>
          <w:trHeight w:val="308" w:hRule="exact"/>
        </w:trPr>
        <w:tc>
          <w:tcPr>
            <w:tcW w:w="1101"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对本人构成有效的、合法的、具有约束力的责任；本人保证严格履行本承诺函</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93" w:type="dxa"/>
            <w:vMerge/>
            <w:tcBorders>
              <w:left w:val="single" w:sz="4" w:space="0" w:color="000000"/>
              <w:right w:val="single" w:sz="4" w:space="0" w:color="000000"/>
            </w:tcBorders>
          </w:tcPr>
          <w:p>
            <w:pP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中的各项承诺，如因违反相关承诺并因此给他人造成损失的，本人将承担相应</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93" w:type="dxa"/>
            <w:vMerge/>
            <w:tcBorders>
              <w:left w:val="single" w:sz="4" w:space="0" w:color="000000"/>
              <w:right w:val="single" w:sz="4" w:space="0" w:color="000000"/>
            </w:tcBorders>
          </w:tcPr>
          <w:p>
            <w:pPr/>
          </w:p>
        </w:tc>
      </w:tr>
      <w:tr>
        <w:trPr>
          <w:trHeight w:val="357" w:hRule="exact"/>
        </w:trPr>
        <w:tc>
          <w:tcPr>
            <w:tcW w:w="1101"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62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的法律责任。</w:t>
            </w:r>
          </w:p>
        </w:tc>
        <w:tc>
          <w:tcPr>
            <w:tcW w:w="113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593" w:type="dxa"/>
            <w:vMerge/>
            <w:tcBorders>
              <w:left w:val="single" w:sz="4" w:space="0" w:color="000000"/>
              <w:bottom w:val="single" w:sz="4" w:space="0" w:color="000000"/>
              <w:right w:val="single" w:sz="4" w:space="0" w:color="000000"/>
            </w:tcBorders>
          </w:tcPr>
          <w:p>
            <w:pPr/>
          </w:p>
        </w:tc>
      </w:tr>
      <w:tr>
        <w:trPr>
          <w:trHeight w:val="362" w:hRule="exact"/>
        </w:trPr>
        <w:tc>
          <w:tcPr>
            <w:tcW w:w="1101" w:type="dxa"/>
            <w:vMerge/>
            <w:tcBorders>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62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任刚、朱明武承诺联奕科技：</w:t>
            </w:r>
            <w:r>
              <w:rPr>
                <w:rFonts w:ascii="Arial" w:hAnsi="Arial" w:cs="Arial" w:eastAsia="Arial" w:hint="default"/>
                <w:sz w:val="18"/>
                <w:szCs w:val="18"/>
              </w:rPr>
              <w:t>2017</w:t>
            </w:r>
            <w:r>
              <w:rPr>
                <w:rFonts w:ascii="Arial" w:hAnsi="Arial" w:cs="Arial" w:eastAsia="Arial" w:hint="default"/>
                <w:spacing w:val="-14"/>
                <w:sz w:val="18"/>
                <w:szCs w:val="18"/>
              </w:rPr>
              <w:t> </w:t>
            </w:r>
            <w:r>
              <w:rPr>
                <w:rFonts w:ascii="宋体" w:hAnsi="宋体" w:cs="宋体" w:eastAsia="宋体" w:hint="default"/>
                <w:sz w:val="18"/>
                <w:szCs w:val="18"/>
              </w:rPr>
              <w:t>年度、</w:t>
            </w:r>
            <w:r>
              <w:rPr>
                <w:rFonts w:ascii="Arial" w:hAnsi="Arial" w:cs="Arial" w:eastAsia="Arial" w:hint="default"/>
                <w:sz w:val="18"/>
                <w:szCs w:val="18"/>
              </w:rPr>
              <w:t>2018</w:t>
            </w:r>
            <w:r>
              <w:rPr>
                <w:rFonts w:ascii="Arial" w:hAnsi="Arial" w:cs="Arial" w:eastAsia="Arial" w:hint="default"/>
                <w:spacing w:val="-14"/>
                <w:sz w:val="18"/>
                <w:szCs w:val="18"/>
              </w:rPr>
              <w:t> </w:t>
            </w:r>
            <w:r>
              <w:rPr>
                <w:rFonts w:ascii="宋体" w:hAnsi="宋体" w:cs="宋体" w:eastAsia="宋体" w:hint="default"/>
                <w:sz w:val="18"/>
                <w:szCs w:val="18"/>
              </w:rPr>
              <w:t>年度、</w:t>
            </w:r>
            <w:r>
              <w:rPr>
                <w:rFonts w:ascii="Arial" w:hAnsi="Arial" w:cs="Arial" w:eastAsia="Arial" w:hint="default"/>
                <w:sz w:val="18"/>
                <w:szCs w:val="18"/>
              </w:rPr>
              <w:t>2019</w:t>
            </w:r>
            <w:r>
              <w:rPr>
                <w:rFonts w:ascii="Arial" w:hAnsi="Arial" w:cs="Arial" w:eastAsia="Arial" w:hint="default"/>
                <w:spacing w:val="-14"/>
                <w:sz w:val="18"/>
                <w:szCs w:val="18"/>
              </w:rPr>
              <w:t> </w:t>
            </w:r>
            <w:r>
              <w:rPr>
                <w:rFonts w:ascii="宋体" w:hAnsi="宋体" w:cs="宋体" w:eastAsia="宋体" w:hint="default"/>
                <w:sz w:val="18"/>
                <w:szCs w:val="18"/>
              </w:rPr>
              <w:t>年度实现的经上市</w:t>
            </w:r>
          </w:p>
        </w:tc>
        <w:tc>
          <w:tcPr>
            <w:tcW w:w="1134"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593" w:type="dxa"/>
            <w:tcBorders>
              <w:top w:val="single" w:sz="4" w:space="0" w:color="000000"/>
              <w:left w:val="single" w:sz="4" w:space="0" w:color="000000"/>
              <w:bottom w:val="nil" w:sz="6" w:space="0" w:color="auto"/>
              <w:right w:val="single" w:sz="4" w:space="0" w:color="000000"/>
            </w:tcBorders>
          </w:tcPr>
          <w:p>
            <w:pPr/>
          </w:p>
        </w:tc>
      </w:tr>
      <w:tr>
        <w:trPr>
          <w:trHeight w:val="1556"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任刚</w:t>
            </w:r>
            <w:r>
              <w:rPr>
                <w:rFonts w:ascii="Arial" w:hAnsi="Arial" w:cs="Arial" w:eastAsia="Arial" w:hint="default"/>
                <w:sz w:val="18"/>
                <w:szCs w:val="18"/>
              </w:rPr>
              <w:t>;</w:t>
            </w:r>
            <w:r>
              <w:rPr>
                <w:rFonts w:ascii="宋体" w:hAnsi="宋体" w:cs="宋体" w:eastAsia="宋体" w:hint="default"/>
                <w:sz w:val="18"/>
                <w:szCs w:val="18"/>
              </w:rPr>
              <w:t>朱明武</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123"/>
              <w:jc w:val="left"/>
              <w:rPr>
                <w:rFonts w:ascii="宋体" w:hAnsi="宋体" w:cs="宋体" w:eastAsia="宋体" w:hint="default"/>
                <w:sz w:val="18"/>
                <w:szCs w:val="18"/>
              </w:rPr>
            </w:pPr>
            <w:r>
              <w:rPr>
                <w:rFonts w:ascii="宋体" w:hAnsi="宋体" w:cs="宋体" w:eastAsia="宋体" w:hint="default"/>
                <w:sz w:val="18"/>
                <w:szCs w:val="18"/>
              </w:rPr>
              <w:t>业绩承诺及补偿 安排</w:t>
            </w: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309" w:lineRule="auto" w:before="6"/>
              <w:ind w:left="23" w:right="21"/>
              <w:jc w:val="both"/>
              <w:rPr>
                <w:rFonts w:ascii="宋体" w:hAnsi="宋体" w:cs="宋体" w:eastAsia="宋体" w:hint="default"/>
                <w:sz w:val="18"/>
                <w:szCs w:val="18"/>
              </w:rPr>
            </w:pPr>
            <w:r>
              <w:rPr>
                <w:rFonts w:ascii="宋体" w:hAnsi="宋体" w:cs="宋体" w:eastAsia="宋体" w:hint="default"/>
                <w:sz w:val="18"/>
                <w:szCs w:val="18"/>
              </w:rPr>
              <w:t>公司聘请的具有证券、期货业务资格的会计师事务所审计的净利润（以扣除非 </w:t>
            </w:r>
            <w:r>
              <w:rPr>
                <w:rFonts w:ascii="宋体" w:hAnsi="宋体" w:cs="宋体" w:eastAsia="宋体" w:hint="default"/>
                <w:spacing w:val="-7"/>
                <w:sz w:val="18"/>
                <w:szCs w:val="18"/>
              </w:rPr>
              <w:t>经常损益（扣除股份支付影响））分别不低于人民币</w:t>
            </w:r>
            <w:r>
              <w:rPr>
                <w:rFonts w:ascii="宋体" w:hAnsi="宋体" w:cs="宋体" w:eastAsia="宋体" w:hint="default"/>
                <w:spacing w:val="-36"/>
                <w:sz w:val="18"/>
                <w:szCs w:val="18"/>
              </w:rPr>
              <w:t> </w:t>
            </w:r>
            <w:r>
              <w:rPr>
                <w:rFonts w:ascii="Arial" w:hAnsi="Arial" w:cs="Arial" w:eastAsia="Arial" w:hint="default"/>
                <w:spacing w:val="-1"/>
                <w:w w:val="99"/>
                <w:sz w:val="18"/>
                <w:szCs w:val="18"/>
              </w:rPr>
              <w:t>7,600</w:t>
            </w:r>
            <w:r>
              <w:rPr>
                <w:rFonts w:ascii="Arial" w:hAnsi="Arial" w:cs="Arial" w:eastAsia="Arial" w:hint="default"/>
                <w:spacing w:val="2"/>
                <w:w w:val="99"/>
                <w:sz w:val="18"/>
                <w:szCs w:val="18"/>
              </w:rPr>
              <w:t> </w:t>
            </w:r>
            <w:r>
              <w:rPr>
                <w:rFonts w:ascii="宋体" w:hAnsi="宋体" w:cs="宋体" w:eastAsia="宋体" w:hint="default"/>
                <w:spacing w:val="-5"/>
                <w:w w:val="99"/>
                <w:sz w:val="18"/>
                <w:szCs w:val="18"/>
              </w:rPr>
              <w:t>万元、</w:t>
            </w:r>
            <w:r>
              <w:rPr>
                <w:rFonts w:ascii="Arial" w:hAnsi="Arial" w:cs="Arial" w:eastAsia="Arial" w:hint="default"/>
                <w:spacing w:val="-5"/>
                <w:w w:val="99"/>
                <w:sz w:val="18"/>
                <w:szCs w:val="18"/>
              </w:rPr>
              <w:t>11,000</w:t>
            </w:r>
            <w:r>
              <w:rPr>
                <w:rFonts w:ascii="Arial" w:hAnsi="Arial" w:cs="Arial" w:eastAsia="Arial" w:hint="default"/>
                <w:spacing w:val="2"/>
                <w:w w:val="99"/>
                <w:sz w:val="18"/>
                <w:szCs w:val="18"/>
              </w:rPr>
              <w:t> </w:t>
            </w:r>
            <w:r>
              <w:rPr>
                <w:rFonts w:ascii="宋体" w:hAnsi="宋体" w:cs="宋体" w:eastAsia="宋体" w:hint="default"/>
                <w:sz w:val="18"/>
                <w:szCs w:val="18"/>
              </w:rPr>
              <w:t>万元和</w:t>
            </w:r>
            <w:r>
              <w:rPr>
                <w:rFonts w:ascii="宋体" w:hAnsi="宋体" w:cs="宋体" w:eastAsia="宋体" w:hint="default"/>
                <w:spacing w:val="-86"/>
                <w:sz w:val="18"/>
                <w:szCs w:val="18"/>
              </w:rPr>
              <w:t> </w:t>
            </w:r>
            <w:r>
              <w:rPr>
                <w:rFonts w:ascii="Arial" w:hAnsi="Arial" w:cs="Arial" w:eastAsia="Arial" w:hint="default"/>
                <w:sz w:val="18"/>
                <w:szCs w:val="18"/>
              </w:rPr>
              <w:t>14,400</w:t>
            </w:r>
            <w:r>
              <w:rPr>
                <w:rFonts w:ascii="Arial" w:hAnsi="Arial" w:cs="Arial" w:eastAsia="Arial" w:hint="default"/>
                <w:spacing w:val="-8"/>
                <w:sz w:val="18"/>
                <w:szCs w:val="18"/>
              </w:rPr>
              <w:t> </w:t>
            </w:r>
            <w:r>
              <w:rPr>
                <w:rFonts w:ascii="宋体" w:hAnsi="宋体" w:cs="宋体" w:eastAsia="宋体" w:hint="default"/>
                <w:sz w:val="18"/>
                <w:szCs w:val="18"/>
              </w:rPr>
              <w:t>万元。如联奕科技于</w:t>
            </w:r>
            <w:r>
              <w:rPr>
                <w:rFonts w:ascii="宋体" w:hAnsi="宋体" w:cs="宋体" w:eastAsia="宋体" w:hint="default"/>
                <w:spacing w:val="-48"/>
                <w:sz w:val="18"/>
                <w:szCs w:val="18"/>
              </w:rPr>
              <w:t> </w:t>
            </w: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年和</w:t>
            </w:r>
            <w:r>
              <w:rPr>
                <w:rFonts w:ascii="宋体" w:hAnsi="宋体" w:cs="宋体" w:eastAsia="宋体" w:hint="default"/>
                <w:spacing w:val="-48"/>
                <w:sz w:val="18"/>
                <w:szCs w:val="18"/>
              </w:rPr>
              <w:t> </w:t>
            </w: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年经审计的归属母公司 </w:t>
            </w:r>
            <w:r>
              <w:rPr>
                <w:rFonts w:ascii="宋体" w:hAnsi="宋体" w:cs="宋体" w:eastAsia="宋体" w:hint="default"/>
                <w:spacing w:val="-4"/>
                <w:sz w:val="18"/>
                <w:szCs w:val="18"/>
              </w:rPr>
              <w:t>股东的净利润（以扣除非经常损益（扣除股份支付影响））未达到承诺业绩，则</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业绩承诺方应按照签署的《盈利预测补偿协议》的具体约定向上市公司进行补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Arial" w:hAnsi="Arial" w:cs="Arial" w:eastAsia="Arial" w:hint="default"/>
                <w:sz w:val="18"/>
                <w:szCs w:val="18"/>
              </w:rPr>
              <w:t>08</w:t>
            </w:r>
            <w:r>
              <w:rPr>
                <w:rFonts w:ascii="Arial" w:hAnsi="Arial" w:cs="Arial" w:eastAsia="Arial"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Arial" w:hAnsi="Arial" w:cs="Arial" w:eastAsia="Arial" w:hint="default"/>
                <w:sz w:val="18"/>
                <w:szCs w:val="18"/>
              </w:rPr>
              <w:t>21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27"/>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Arial" w:hAnsi="Arial" w:cs="Arial" w:eastAsia="Arial" w:hint="default"/>
                <w:sz w:val="18"/>
                <w:szCs w:val="18"/>
              </w:rPr>
              <w:t>4</w:t>
            </w:r>
            <w:r>
              <w:rPr>
                <w:rFonts w:ascii="Arial" w:hAnsi="Arial" w:cs="Arial" w:eastAsia="Arial" w:hint="default"/>
                <w:spacing w:val="-2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Arial" w:hAnsi="Arial" w:cs="Arial" w:eastAsia="Arial" w:hint="default"/>
                <w:sz w:val="18"/>
                <w:szCs w:val="18"/>
              </w:rPr>
              <w:t>30</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59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0"/>
                <w:sz w:val="18"/>
                <w:szCs w:val="18"/>
              </w:rPr>
              <w:t>截至报告期末，承诺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方遵守以上承诺，未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有违反上述承诺的 情况。</w:t>
            </w:r>
          </w:p>
        </w:tc>
      </w:tr>
      <w:tr>
        <w:trPr>
          <w:trHeight w:val="356"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62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偿。</w:t>
            </w:r>
          </w:p>
        </w:tc>
        <w:tc>
          <w:tcPr>
            <w:tcW w:w="1134"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593"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101" w:type="dxa"/>
            <w:vMerge/>
            <w:tcBorders>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戴力毅</w:t>
            </w:r>
            <w:r>
              <w:rPr>
                <w:rFonts w:ascii="Arial" w:hAnsi="Arial" w:cs="Arial" w:eastAsia="Arial" w:hint="default"/>
                <w:sz w:val="18"/>
                <w:szCs w:val="18"/>
              </w:rPr>
              <w:t>;</w:t>
            </w:r>
            <w:r>
              <w:rPr>
                <w:rFonts w:ascii="宋体" w:hAnsi="宋体" w:cs="宋体" w:eastAsia="宋体" w:hint="default"/>
                <w:sz w:val="18"/>
                <w:szCs w:val="18"/>
              </w:rPr>
              <w:t>广州奕力腾</w:t>
            </w:r>
          </w:p>
        </w:tc>
        <w:tc>
          <w:tcPr>
            <w:tcW w:w="1417" w:type="dxa"/>
            <w:tcBorders>
              <w:top w:val="single" w:sz="4" w:space="0" w:color="000000"/>
              <w:left w:val="single" w:sz="4" w:space="0" w:color="000000"/>
              <w:bottom w:val="nil" w:sz="6" w:space="0" w:color="auto"/>
              <w:right w:val="single" w:sz="4" w:space="0" w:color="000000"/>
            </w:tcBorders>
          </w:tcPr>
          <w:p>
            <w:pPr/>
          </w:p>
        </w:tc>
        <w:tc>
          <w:tcPr>
            <w:tcW w:w="62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pacing w:val="-2"/>
                <w:sz w:val="18"/>
                <w:szCs w:val="18"/>
              </w:rPr>
              <w:t>重大资产重组交易对方关于避免同业竞争的承诺：</w:t>
            </w:r>
            <w:r>
              <w:rPr>
                <w:rFonts w:ascii="Arial" w:hAnsi="Arial" w:cs="Arial" w:eastAsia="Arial" w:hint="default"/>
                <w:spacing w:val="-2"/>
                <w:sz w:val="18"/>
                <w:szCs w:val="18"/>
              </w:rPr>
              <w:t>1</w:t>
            </w:r>
            <w:r>
              <w:rPr>
                <w:rFonts w:ascii="宋体" w:hAnsi="宋体" w:cs="宋体" w:eastAsia="宋体" w:hint="default"/>
                <w:spacing w:val="-2"/>
                <w:sz w:val="18"/>
                <w:szCs w:val="18"/>
              </w:rPr>
              <w:t>、除非经华宇软件同意，在</w:t>
            </w:r>
          </w:p>
        </w:tc>
        <w:tc>
          <w:tcPr>
            <w:tcW w:w="1134"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593" w:type="dxa"/>
            <w:tcBorders>
              <w:top w:val="single" w:sz="4" w:space="0" w:color="000000"/>
              <w:left w:val="single" w:sz="4" w:space="0" w:color="000000"/>
              <w:bottom w:val="nil" w:sz="6" w:space="0" w:color="auto"/>
              <w:right w:val="single" w:sz="4" w:space="0" w:color="000000"/>
            </w:tcBorders>
          </w:tcPr>
          <w:p>
            <w:pPr/>
          </w:p>
        </w:tc>
      </w:tr>
      <w:tr>
        <w:trPr>
          <w:trHeight w:val="308"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投资企业（有限合</w:t>
            </w: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联奕科技任职或作为华宇软件股东期间，除在华宇软件及联奕科技外，本承诺</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Arial" w:hAnsi="Arial" w:cs="Arial" w:eastAsia="Arial" w:hint="default"/>
                <w:sz w:val="18"/>
                <w:szCs w:val="18"/>
              </w:rPr>
            </w:pPr>
            <w:r>
              <w:rPr>
                <w:rFonts w:ascii="宋体" w:hAnsi="宋体" w:cs="宋体" w:eastAsia="宋体" w:hint="default"/>
                <w:sz w:val="18"/>
                <w:szCs w:val="18"/>
              </w:rPr>
              <w:t>伙</w:t>
            </w:r>
            <w:r>
              <w:rPr>
                <w:rFonts w:ascii="宋体" w:hAnsi="宋体" w:cs="宋体" w:eastAsia="宋体" w:hint="default"/>
                <w:spacing w:val="-87"/>
                <w:sz w:val="18"/>
                <w:szCs w:val="18"/>
              </w:rPr>
              <w:t>）</w:t>
            </w:r>
            <w:r>
              <w:rPr>
                <w:rFonts w:ascii="Arial" w:hAnsi="Arial" w:cs="Arial" w:eastAsia="Arial" w:hint="default"/>
                <w:w w:val="99"/>
                <w:sz w:val="18"/>
                <w:szCs w:val="18"/>
              </w:rPr>
              <w:t>;</w:t>
            </w:r>
            <w:r>
              <w:rPr>
                <w:rFonts w:ascii="宋体" w:hAnsi="宋体" w:cs="宋体" w:eastAsia="宋体" w:hint="default"/>
                <w:sz w:val="18"/>
                <w:szCs w:val="18"/>
              </w:rPr>
              <w:t>金玉萍</w:t>
            </w:r>
            <w:r>
              <w:rPr>
                <w:rFonts w:ascii="Arial" w:hAnsi="Arial" w:cs="Arial" w:eastAsia="Arial" w:hint="default"/>
                <w:w w:val="99"/>
                <w:sz w:val="18"/>
                <w:szCs w:val="18"/>
              </w:rPr>
              <w:t>;</w:t>
            </w:r>
            <w:r>
              <w:rPr>
                <w:rFonts w:ascii="宋体" w:hAnsi="宋体" w:cs="宋体" w:eastAsia="宋体" w:hint="default"/>
                <w:sz w:val="18"/>
                <w:szCs w:val="18"/>
              </w:rPr>
              <w:t>瞿启云</w:t>
            </w:r>
            <w:r>
              <w:rPr>
                <w:rFonts w:ascii="Arial" w:hAnsi="Arial" w:cs="Arial" w:eastAsia="Arial" w:hint="default"/>
                <w:w w:val="99"/>
                <w:sz w:val="18"/>
                <w:szCs w:val="18"/>
              </w:rPr>
              <w:t>;</w:t>
            </w:r>
            <w:r>
              <w:rPr>
                <w:rFonts w:ascii="Arial" w:hAnsi="Arial" w:cs="Arial" w:eastAsia="Arial" w:hint="default"/>
                <w:sz w:val="18"/>
                <w:szCs w:val="18"/>
              </w:rPr>
            </w: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人不会直接从事或直接或间接通过其他经营实体从事与华宇软件及联奕科技相</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刘丽华</w:t>
            </w:r>
            <w:r>
              <w:rPr>
                <w:rFonts w:ascii="Arial" w:hAnsi="Arial" w:cs="Arial" w:eastAsia="Arial" w:hint="default"/>
                <w:sz w:val="18"/>
                <w:szCs w:val="18"/>
              </w:rPr>
              <w:t>;</w:t>
            </w:r>
            <w:r>
              <w:rPr>
                <w:rFonts w:ascii="宋体" w:hAnsi="宋体" w:cs="宋体" w:eastAsia="宋体" w:hint="default"/>
                <w:sz w:val="18"/>
                <w:szCs w:val="18"/>
              </w:rPr>
              <w:t>齐嘉瞻</w:t>
            </w:r>
            <w:r>
              <w:rPr>
                <w:rFonts w:ascii="Arial" w:hAnsi="Arial" w:cs="Arial" w:eastAsia="Arial" w:hint="default"/>
                <w:sz w:val="18"/>
                <w:szCs w:val="18"/>
              </w:rPr>
              <w:t>;</w:t>
            </w:r>
            <w:r>
              <w:rPr>
                <w:rFonts w:ascii="宋体" w:hAnsi="宋体" w:cs="宋体" w:eastAsia="宋体" w:hint="default"/>
                <w:sz w:val="18"/>
                <w:szCs w:val="18"/>
              </w:rPr>
              <w:t>任</w:t>
            </w: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同或类似的业务；不会在与华宇软件或联奕科技存在相同或者类似业务的公司</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302" w:lineRule="auto" w:before="6"/>
              <w:ind w:left="22" w:right="35"/>
              <w:jc w:val="both"/>
              <w:rPr>
                <w:rFonts w:ascii="宋体" w:hAnsi="宋体" w:cs="宋体" w:eastAsia="宋体" w:hint="default"/>
                <w:sz w:val="18"/>
                <w:szCs w:val="18"/>
              </w:rPr>
            </w:pPr>
            <w:r>
              <w:rPr>
                <w:rFonts w:ascii="宋体" w:hAnsi="宋体" w:cs="宋体" w:eastAsia="宋体" w:hint="default"/>
                <w:sz w:val="18"/>
                <w:szCs w:val="18"/>
              </w:rPr>
              <w:t>刚</w:t>
            </w:r>
            <w:r>
              <w:rPr>
                <w:rFonts w:ascii="Arial" w:hAnsi="Arial" w:cs="Arial" w:eastAsia="Arial" w:hint="default"/>
                <w:sz w:val="18"/>
                <w:szCs w:val="18"/>
              </w:rPr>
              <w:t>;</w:t>
            </w:r>
            <w:r>
              <w:rPr>
                <w:rFonts w:ascii="宋体" w:hAnsi="宋体" w:cs="宋体" w:eastAsia="宋体" w:hint="default"/>
                <w:sz w:val="18"/>
                <w:szCs w:val="18"/>
              </w:rPr>
              <w:t>石河子鼎诺投资 管理有限公司</w:t>
            </w:r>
            <w:r>
              <w:rPr>
                <w:rFonts w:ascii="Arial" w:hAnsi="Arial" w:cs="Arial" w:eastAsia="Arial" w:hint="default"/>
                <w:sz w:val="18"/>
                <w:szCs w:val="18"/>
              </w:rPr>
              <w:t>;</w:t>
            </w:r>
            <w:r>
              <w:rPr>
                <w:rFonts w:ascii="宋体" w:hAnsi="宋体" w:cs="宋体" w:eastAsia="宋体" w:hint="default"/>
                <w:sz w:val="18"/>
                <w:szCs w:val="18"/>
              </w:rPr>
              <w:t>王莉 丽</w:t>
            </w:r>
            <w:r>
              <w:rPr>
                <w:rFonts w:ascii="Arial" w:hAnsi="Arial" w:cs="Arial" w:eastAsia="Arial" w:hint="default"/>
                <w:sz w:val="18"/>
                <w:szCs w:val="18"/>
              </w:rPr>
              <w:t>;</w:t>
            </w:r>
            <w:r>
              <w:rPr>
                <w:rFonts w:ascii="宋体" w:hAnsi="宋体" w:cs="宋体" w:eastAsia="宋体" w:hint="default"/>
                <w:sz w:val="18"/>
                <w:szCs w:val="18"/>
              </w:rPr>
              <w:t>西藏思科瑞股权 投资中心（有限合</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2" w:right="22"/>
              <w:jc w:val="both"/>
              <w:rPr>
                <w:rFonts w:ascii="宋体" w:hAnsi="宋体" w:cs="宋体" w:eastAsia="宋体" w:hint="default"/>
                <w:sz w:val="18"/>
                <w:szCs w:val="18"/>
              </w:rPr>
            </w:pPr>
            <w:r>
              <w:rPr>
                <w:rFonts w:ascii="宋体" w:hAnsi="宋体" w:cs="宋体" w:eastAsia="宋体" w:hint="default"/>
                <w:spacing w:val="-10"/>
                <w:sz w:val="18"/>
                <w:szCs w:val="18"/>
              </w:rPr>
              <w:t>关于同业竞争、关</w:t>
            </w:r>
            <w:r>
              <w:rPr>
                <w:rFonts w:ascii="宋体" w:hAnsi="宋体" w:cs="宋体" w:eastAsia="宋体" w:hint="default"/>
                <w:sz w:val="18"/>
                <w:szCs w:val="18"/>
              </w:rPr>
              <w:t> </w:t>
            </w:r>
            <w:r>
              <w:rPr>
                <w:rFonts w:ascii="宋体" w:hAnsi="宋体" w:cs="宋体" w:eastAsia="宋体" w:hint="default"/>
                <w:spacing w:val="-10"/>
                <w:sz w:val="18"/>
                <w:szCs w:val="18"/>
              </w:rPr>
              <w:t>联交易、资金占用</w:t>
            </w:r>
            <w:r>
              <w:rPr>
                <w:rFonts w:ascii="宋体" w:hAnsi="宋体" w:cs="宋体" w:eastAsia="宋体" w:hint="default"/>
                <w:sz w:val="18"/>
                <w:szCs w:val="18"/>
              </w:rPr>
              <w:t> 方面的承诺</w:t>
            </w: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312" w:lineRule="auto" w:before="6"/>
              <w:ind w:left="23" w:right="21"/>
              <w:jc w:val="both"/>
              <w:rPr>
                <w:rFonts w:ascii="宋体" w:hAnsi="宋体" w:cs="宋体" w:eastAsia="宋体" w:hint="default"/>
                <w:sz w:val="18"/>
                <w:szCs w:val="18"/>
              </w:rPr>
            </w:pPr>
            <w:r>
              <w:rPr>
                <w:rFonts w:ascii="宋体" w:hAnsi="宋体" w:cs="宋体" w:eastAsia="宋体" w:hint="default"/>
                <w:sz w:val="18"/>
                <w:szCs w:val="18"/>
              </w:rPr>
              <w:t>任职或者担任任何形式的顾问；不会以华宇软件及联奕科技以外的名义为华宇 软件及联奕科技现有客户提供相同或类似服务。本承诺人违反上述承诺的经营 </w:t>
            </w:r>
            <w:r>
              <w:rPr>
                <w:rFonts w:ascii="宋体" w:hAnsi="宋体" w:cs="宋体" w:eastAsia="宋体" w:hint="default"/>
                <w:spacing w:val="-2"/>
                <w:sz w:val="18"/>
                <w:szCs w:val="18"/>
              </w:rPr>
              <w:t>利润归华宇软件所有。</w:t>
            </w:r>
            <w:r>
              <w:rPr>
                <w:rFonts w:ascii="Arial" w:hAnsi="Arial" w:cs="Arial" w:eastAsia="Arial" w:hint="default"/>
                <w:spacing w:val="-2"/>
                <w:sz w:val="18"/>
                <w:szCs w:val="18"/>
              </w:rPr>
              <w:t>2</w:t>
            </w:r>
            <w:r>
              <w:rPr>
                <w:rFonts w:ascii="宋体" w:hAnsi="宋体" w:cs="宋体" w:eastAsia="宋体" w:hint="default"/>
                <w:spacing w:val="-2"/>
                <w:sz w:val="18"/>
                <w:szCs w:val="18"/>
              </w:rPr>
              <w:t>、对于因政策调整、市场变化、监管部门要求等客观原</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因确需调整本承诺函相应内容的，本承诺人将积极配合。</w:t>
            </w:r>
            <w:r>
              <w:rPr>
                <w:rFonts w:ascii="Arial" w:hAnsi="Arial" w:cs="Arial" w:eastAsia="Arial" w:hint="default"/>
                <w:spacing w:val="-2"/>
                <w:sz w:val="18"/>
                <w:szCs w:val="18"/>
              </w:rPr>
              <w:t>3</w:t>
            </w:r>
            <w:r>
              <w:rPr>
                <w:rFonts w:ascii="宋体" w:hAnsi="宋体" w:cs="宋体" w:eastAsia="宋体" w:hint="default"/>
                <w:spacing w:val="-2"/>
                <w:sz w:val="18"/>
                <w:szCs w:val="18"/>
              </w:rPr>
              <w:t>、本承诺函自签署之</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4"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Arial" w:hAnsi="Arial" w:cs="Arial" w:eastAsia="Arial" w:hint="default"/>
                <w:sz w:val="18"/>
                <w:szCs w:val="18"/>
              </w:rPr>
              <w:t>08</w:t>
            </w:r>
            <w:r>
              <w:rPr>
                <w:rFonts w:ascii="Arial" w:hAnsi="Arial" w:cs="Arial" w:eastAsia="Arial"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Arial" w:hAnsi="Arial" w:cs="Arial" w:eastAsia="Arial" w:hint="default"/>
                <w:sz w:val="18"/>
                <w:szCs w:val="18"/>
              </w:rPr>
              <w:t>21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93"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20"/>
              <w:jc w:val="left"/>
              <w:rPr>
                <w:rFonts w:ascii="宋体" w:hAnsi="宋体" w:cs="宋体" w:eastAsia="宋体" w:hint="default"/>
                <w:sz w:val="18"/>
                <w:szCs w:val="18"/>
              </w:rPr>
            </w:pPr>
            <w:r>
              <w:rPr>
                <w:rFonts w:ascii="宋体" w:hAnsi="宋体" w:cs="宋体" w:eastAsia="宋体" w:hint="default"/>
                <w:spacing w:val="-10"/>
                <w:sz w:val="18"/>
                <w:szCs w:val="18"/>
              </w:rPr>
              <w:t>截至报告期末，承诺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方遵守以上承诺，未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有违反上述承诺的 情况。</w:t>
            </w: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4"/>
                <w:sz w:val="18"/>
                <w:szCs w:val="18"/>
              </w:rPr>
              <w:t>伙）</w:t>
            </w:r>
            <w:r>
              <w:rPr>
                <w:rFonts w:ascii="Arial" w:hAnsi="Arial" w:cs="Arial" w:eastAsia="Arial" w:hint="default"/>
                <w:spacing w:val="-4"/>
                <w:sz w:val="18"/>
                <w:szCs w:val="18"/>
              </w:rPr>
              <w:t>;</w:t>
            </w:r>
            <w:r>
              <w:rPr>
                <w:rFonts w:ascii="宋体" w:hAnsi="宋体" w:cs="宋体" w:eastAsia="宋体" w:hint="default"/>
                <w:spacing w:val="-4"/>
                <w:sz w:val="18"/>
                <w:szCs w:val="18"/>
              </w:rPr>
              <w:t>朱明武</w:t>
            </w:r>
            <w:r>
              <w:rPr>
                <w:rFonts w:ascii="Arial" w:hAnsi="Arial" w:cs="Arial" w:eastAsia="Arial" w:hint="default"/>
                <w:spacing w:val="-4"/>
                <w:sz w:val="18"/>
                <w:szCs w:val="18"/>
              </w:rPr>
              <w:t>;</w:t>
            </w:r>
            <w:r>
              <w:rPr>
                <w:rFonts w:ascii="宋体" w:hAnsi="宋体" w:cs="宋体" w:eastAsia="宋体" w:hint="default"/>
                <w:spacing w:val="-4"/>
                <w:sz w:val="18"/>
                <w:szCs w:val="18"/>
              </w:rPr>
              <w:t>珠海横</w:t>
            </w: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日起生效，并在本承诺人联奕科技任职或作为华宇软件股东期间持续有效，不</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琴瀚鼎壹号股权投</w:t>
            </w: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可撤销。本承诺人保证严格履行本承诺函中的各项承诺，如因违反相关承诺，</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资合伙企业（有限</w:t>
            </w: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本承诺人将按照实际发生交易所得金额的</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7"/>
                <w:sz w:val="18"/>
                <w:szCs w:val="18"/>
              </w:rPr>
              <w:t> </w:t>
            </w:r>
            <w:r>
              <w:rPr>
                <w:rFonts w:ascii="宋体" w:hAnsi="宋体" w:cs="宋体" w:eastAsia="宋体" w:hint="default"/>
                <w:sz w:val="18"/>
                <w:szCs w:val="18"/>
              </w:rPr>
              <w:t>倍或华宇软件核算的实际损失的</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1417" w:type="dxa"/>
            <w:tcBorders>
              <w:top w:val="nil" w:sz="6" w:space="0" w:color="auto"/>
              <w:left w:val="single" w:sz="4" w:space="0" w:color="000000"/>
              <w:bottom w:val="single" w:sz="4" w:space="0" w:color="000000"/>
              <w:right w:val="single" w:sz="4" w:space="0" w:color="000000"/>
            </w:tcBorders>
          </w:tcPr>
          <w:p>
            <w:pPr/>
          </w:p>
        </w:tc>
        <w:tc>
          <w:tcPr>
            <w:tcW w:w="62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倍向华宇软件承担赔偿责任。</w:t>
            </w:r>
          </w:p>
        </w:tc>
        <w:tc>
          <w:tcPr>
            <w:tcW w:w="1134"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593" w:type="dxa"/>
            <w:tcBorders>
              <w:top w:val="nil" w:sz="6" w:space="0" w:color="auto"/>
              <w:left w:val="single" w:sz="4" w:space="0" w:color="000000"/>
              <w:bottom w:val="single" w:sz="4" w:space="0" w:color="000000"/>
              <w:right w:val="single" w:sz="4" w:space="0" w:color="000000"/>
            </w:tcBorders>
          </w:tcPr>
          <w:p>
            <w:pPr/>
          </w:p>
        </w:tc>
      </w:tr>
      <w:tr>
        <w:trPr>
          <w:trHeight w:val="1361" w:hRule="exact"/>
        </w:trPr>
        <w:tc>
          <w:tcPr>
            <w:tcW w:w="1101" w:type="dxa"/>
            <w:vMerge/>
            <w:tcBorders>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307"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戴力毅</w:t>
            </w:r>
            <w:r>
              <w:rPr>
                <w:rFonts w:ascii="Arial" w:hAnsi="Arial" w:cs="Arial" w:eastAsia="Arial" w:hint="default"/>
                <w:sz w:val="18"/>
                <w:szCs w:val="18"/>
              </w:rPr>
              <w:t>;</w:t>
            </w:r>
            <w:r>
              <w:rPr>
                <w:rFonts w:ascii="宋体" w:hAnsi="宋体" w:cs="宋体" w:eastAsia="宋体" w:hint="default"/>
                <w:sz w:val="18"/>
                <w:szCs w:val="18"/>
              </w:rPr>
              <w:t>广州奕力腾 投资企业（有限合 </w:t>
            </w:r>
            <w:r>
              <w:rPr>
                <w:rFonts w:ascii="宋体" w:hAnsi="宋体" w:cs="宋体" w:eastAsia="宋体" w:hint="default"/>
                <w:spacing w:val="-8"/>
                <w:w w:val="99"/>
                <w:sz w:val="18"/>
                <w:szCs w:val="18"/>
              </w:rPr>
              <w:t>伙）</w:t>
            </w:r>
            <w:r>
              <w:rPr>
                <w:rFonts w:ascii="Arial" w:hAnsi="Arial" w:cs="Arial" w:eastAsia="Arial" w:hint="default"/>
                <w:spacing w:val="-8"/>
                <w:w w:val="99"/>
                <w:sz w:val="18"/>
                <w:szCs w:val="18"/>
              </w:rPr>
              <w:t>;</w:t>
            </w:r>
            <w:r>
              <w:rPr>
                <w:rFonts w:ascii="宋体" w:hAnsi="宋体" w:cs="宋体" w:eastAsia="宋体" w:hint="default"/>
                <w:spacing w:val="-8"/>
                <w:w w:val="99"/>
                <w:sz w:val="18"/>
                <w:szCs w:val="18"/>
              </w:rPr>
              <w:t>金玉萍</w:t>
            </w:r>
            <w:r>
              <w:rPr>
                <w:rFonts w:ascii="Arial" w:hAnsi="Arial" w:cs="Arial" w:eastAsia="Arial" w:hint="default"/>
                <w:spacing w:val="-8"/>
                <w:w w:val="99"/>
                <w:sz w:val="18"/>
                <w:szCs w:val="18"/>
              </w:rPr>
              <w:t>;</w:t>
            </w:r>
            <w:r>
              <w:rPr>
                <w:rFonts w:ascii="宋体" w:hAnsi="宋体" w:cs="宋体" w:eastAsia="宋体" w:hint="default"/>
                <w:spacing w:val="-8"/>
                <w:w w:val="99"/>
                <w:sz w:val="18"/>
                <w:szCs w:val="18"/>
              </w:rPr>
              <w:t>瞿启云</w:t>
            </w:r>
            <w:r>
              <w:rPr>
                <w:rFonts w:ascii="Arial" w:hAnsi="Arial" w:cs="Arial" w:eastAsia="Arial" w:hint="default"/>
                <w:spacing w:val="-8"/>
                <w:w w:val="99"/>
                <w:sz w:val="18"/>
                <w:szCs w:val="18"/>
              </w:rPr>
              <w:t>;</w:t>
            </w:r>
            <w:r>
              <w:rPr>
                <w:rFonts w:ascii="Arial" w:hAnsi="Arial" w:cs="Arial" w:eastAsia="Arial" w:hint="default"/>
                <w:w w:val="99"/>
                <w:sz w:val="18"/>
                <w:szCs w:val="18"/>
              </w:rPr>
              <w:t> </w:t>
            </w:r>
            <w:r>
              <w:rPr>
                <w:rFonts w:ascii="宋体" w:hAnsi="宋体" w:cs="宋体" w:eastAsia="宋体" w:hint="default"/>
                <w:sz w:val="18"/>
                <w:szCs w:val="18"/>
              </w:rPr>
              <w:t>刘丽华</w:t>
            </w:r>
            <w:r>
              <w:rPr>
                <w:rFonts w:ascii="Arial" w:hAnsi="Arial" w:cs="Arial" w:eastAsia="Arial" w:hint="default"/>
                <w:sz w:val="18"/>
                <w:szCs w:val="18"/>
              </w:rPr>
              <w:t>;</w:t>
            </w:r>
            <w:r>
              <w:rPr>
                <w:rFonts w:ascii="宋体" w:hAnsi="宋体" w:cs="宋体" w:eastAsia="宋体" w:hint="default"/>
                <w:sz w:val="18"/>
                <w:szCs w:val="18"/>
              </w:rPr>
              <w:t>齐嘉瞻</w:t>
            </w:r>
            <w:r>
              <w:rPr>
                <w:rFonts w:ascii="Arial" w:hAnsi="Arial" w:cs="Arial" w:eastAsia="Arial" w:hint="default"/>
                <w:sz w:val="18"/>
                <w:szCs w:val="18"/>
              </w:rPr>
              <w:t>;</w:t>
            </w:r>
            <w:r>
              <w:rPr>
                <w:rFonts w:ascii="宋体" w:hAnsi="宋体" w:cs="宋体" w:eastAsia="宋体" w:hint="default"/>
                <w:sz w:val="18"/>
                <w:szCs w:val="18"/>
              </w:rPr>
              <w:t>任</w:t>
            </w:r>
          </w:p>
        </w:tc>
        <w:tc>
          <w:tcPr>
            <w:tcW w:w="141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5"/>
              <w:ind w:left="22" w:right="22"/>
              <w:jc w:val="both"/>
              <w:rPr>
                <w:rFonts w:ascii="宋体" w:hAnsi="宋体" w:cs="宋体" w:eastAsia="宋体" w:hint="default"/>
                <w:sz w:val="18"/>
                <w:szCs w:val="18"/>
              </w:rPr>
            </w:pPr>
            <w:r>
              <w:rPr>
                <w:rFonts w:ascii="宋体" w:hAnsi="宋体" w:cs="宋体" w:eastAsia="宋体" w:hint="default"/>
                <w:spacing w:val="-10"/>
                <w:sz w:val="18"/>
                <w:szCs w:val="18"/>
              </w:rPr>
              <w:t>关于同业竞争、关</w:t>
            </w:r>
            <w:r>
              <w:rPr>
                <w:rFonts w:ascii="宋体" w:hAnsi="宋体" w:cs="宋体" w:eastAsia="宋体" w:hint="default"/>
                <w:sz w:val="18"/>
                <w:szCs w:val="18"/>
              </w:rPr>
              <w:t> </w:t>
            </w:r>
            <w:r>
              <w:rPr>
                <w:rFonts w:ascii="宋体" w:hAnsi="宋体" w:cs="宋体" w:eastAsia="宋体" w:hint="default"/>
                <w:spacing w:val="-10"/>
                <w:sz w:val="18"/>
                <w:szCs w:val="18"/>
              </w:rPr>
              <w:t>联交易、资金占用</w:t>
            </w:r>
            <w:r>
              <w:rPr>
                <w:rFonts w:ascii="宋体" w:hAnsi="宋体" w:cs="宋体" w:eastAsia="宋体" w:hint="default"/>
                <w:sz w:val="18"/>
                <w:szCs w:val="18"/>
              </w:rPr>
              <w:t> 方面的承诺</w:t>
            </w:r>
          </w:p>
        </w:tc>
        <w:tc>
          <w:tcPr>
            <w:tcW w:w="6237" w:type="dxa"/>
            <w:tcBorders>
              <w:top w:val="single" w:sz="4" w:space="0" w:color="000000"/>
              <w:left w:val="single" w:sz="4" w:space="0" w:color="000000"/>
              <w:bottom w:val="nil" w:sz="6" w:space="0" w:color="auto"/>
              <w:right w:val="single" w:sz="4" w:space="0" w:color="000000"/>
            </w:tcBorders>
          </w:tcPr>
          <w:p>
            <w:pPr>
              <w:pStyle w:val="TableParagraph"/>
              <w:spacing w:line="316" w:lineRule="auto" w:before="51"/>
              <w:ind w:left="23" w:right="81"/>
              <w:jc w:val="both"/>
              <w:rPr>
                <w:rFonts w:ascii="宋体" w:hAnsi="宋体" w:cs="宋体" w:eastAsia="宋体" w:hint="default"/>
                <w:sz w:val="18"/>
                <w:szCs w:val="18"/>
              </w:rPr>
            </w:pPr>
            <w:r>
              <w:rPr>
                <w:rFonts w:ascii="宋体" w:hAnsi="宋体" w:cs="宋体" w:eastAsia="宋体" w:hint="default"/>
                <w:sz w:val="18"/>
                <w:szCs w:val="18"/>
              </w:rPr>
              <w:t>重大资产重组交易对方关于规范关联交易的承诺：在本次交易完成后，本承诺 人及本承诺人控制的企业将尽可能避免和减少与华宇软件的关联交易，对于无 法避免或有合理理由存在的关联交易，本承诺人及本承诺人控制的企业将与华 宇软件按照公平、公允、等价有偿等原则依法签订协议，并由华宇软件按照有</w:t>
            </w:r>
          </w:p>
        </w:tc>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Arial" w:hAnsi="Arial" w:cs="Arial" w:eastAsia="Arial" w:hint="default"/>
                <w:sz w:val="18"/>
                <w:szCs w:val="18"/>
              </w:rPr>
              <w:t>08</w:t>
            </w:r>
            <w:r>
              <w:rPr>
                <w:rFonts w:ascii="Arial" w:hAnsi="Arial" w:cs="Arial" w:eastAsia="Arial"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Arial" w:hAnsi="Arial" w:cs="Arial" w:eastAsia="Arial" w:hint="default"/>
                <w:sz w:val="18"/>
                <w:szCs w:val="18"/>
              </w:rPr>
              <w:t>21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93" w:type="dxa"/>
            <w:tcBorders>
              <w:top w:val="single" w:sz="4" w:space="0" w:color="000000"/>
              <w:left w:val="single" w:sz="4" w:space="0" w:color="000000"/>
              <w:bottom w:val="nil" w:sz="6" w:space="0" w:color="auto"/>
              <w:right w:val="single" w:sz="4" w:space="0" w:color="000000"/>
            </w:tcBorders>
          </w:tcPr>
          <w:p>
            <w:pPr>
              <w:pStyle w:val="TableParagraph"/>
              <w:spacing w:line="310" w:lineRule="atLeast" w:before="111"/>
              <w:ind w:left="22" w:right="20"/>
              <w:jc w:val="left"/>
              <w:rPr>
                <w:rFonts w:ascii="宋体" w:hAnsi="宋体" w:cs="宋体" w:eastAsia="宋体" w:hint="default"/>
                <w:sz w:val="18"/>
                <w:szCs w:val="18"/>
              </w:rPr>
            </w:pPr>
            <w:r>
              <w:rPr>
                <w:rFonts w:ascii="宋体" w:hAnsi="宋体" w:cs="宋体" w:eastAsia="宋体" w:hint="default"/>
                <w:spacing w:val="-10"/>
                <w:sz w:val="18"/>
                <w:szCs w:val="18"/>
              </w:rPr>
              <w:t>截至报告期末，承诺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方遵守以上承诺，未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有违反上述承诺的 情况。</w:t>
            </w:r>
          </w:p>
        </w:tc>
      </w:tr>
      <w:tr>
        <w:trPr>
          <w:trHeight w:val="247" w:hRule="exact"/>
        </w:trPr>
        <w:tc>
          <w:tcPr>
            <w:tcW w:w="1101"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192" w:lineRule="exact"/>
              <w:ind w:left="22" w:right="0"/>
              <w:jc w:val="left"/>
              <w:rPr>
                <w:rFonts w:ascii="宋体" w:hAnsi="宋体" w:cs="宋体" w:eastAsia="宋体" w:hint="default"/>
                <w:sz w:val="18"/>
                <w:szCs w:val="18"/>
              </w:rPr>
            </w:pPr>
            <w:r>
              <w:rPr>
                <w:rFonts w:ascii="宋体" w:hAnsi="宋体" w:cs="宋体" w:eastAsia="宋体" w:hint="default"/>
                <w:sz w:val="18"/>
                <w:szCs w:val="18"/>
              </w:rPr>
              <w:t>刚</w:t>
            </w:r>
            <w:r>
              <w:rPr>
                <w:rFonts w:ascii="Arial" w:hAnsi="Arial" w:cs="Arial" w:eastAsia="Arial" w:hint="default"/>
                <w:sz w:val="18"/>
                <w:szCs w:val="18"/>
              </w:rPr>
              <w:t>;</w:t>
            </w:r>
            <w:r>
              <w:rPr>
                <w:rFonts w:ascii="宋体" w:hAnsi="宋体" w:cs="宋体" w:eastAsia="宋体" w:hint="default"/>
                <w:sz w:val="18"/>
                <w:szCs w:val="18"/>
              </w:rPr>
              <w:t>石河子鼎诺投资</w:t>
            </w:r>
          </w:p>
        </w:tc>
        <w:tc>
          <w:tcPr>
            <w:tcW w:w="1417" w:type="dxa"/>
            <w:tcBorders>
              <w:top w:val="nil" w:sz="6" w:space="0" w:color="auto"/>
              <w:left w:val="single" w:sz="4" w:space="0" w:color="000000"/>
              <w:bottom w:val="single" w:sz="4" w:space="0" w:color="000000"/>
              <w:right w:val="single" w:sz="4" w:space="0" w:color="000000"/>
            </w:tcBorders>
          </w:tcPr>
          <w:p>
            <w:pPr/>
          </w:p>
        </w:tc>
        <w:tc>
          <w:tcPr>
            <w:tcW w:w="6237" w:type="dxa"/>
            <w:tcBorders>
              <w:top w:val="nil" w:sz="6" w:space="0" w:color="auto"/>
              <w:left w:val="single" w:sz="4" w:space="0" w:color="000000"/>
              <w:bottom w:val="single" w:sz="4" w:space="0" w:color="000000"/>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关法律、法规、其他规范性文件以及华宇软件章程等的规定，依法履行相关内</w:t>
            </w:r>
          </w:p>
        </w:tc>
        <w:tc>
          <w:tcPr>
            <w:tcW w:w="1134"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593"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8" w:footer="978" w:top="1060" w:bottom="1160" w:left="1320" w:right="1240"/>
        </w:sectPr>
      </w:pPr>
    </w:p>
    <w:p>
      <w:pPr>
        <w:spacing w:line="240" w:lineRule="auto" w:before="1"/>
        <w:rPr>
          <w:rFonts w:ascii="Times New Roman" w:hAnsi="Times New Roman" w:cs="Times New Roman" w:eastAsia="Times New Roman" w:hint="default"/>
          <w:sz w:val="3"/>
          <w:szCs w:val="3"/>
        </w:rPr>
      </w:pPr>
      <w:r>
        <w:rPr/>
        <w:pict>
          <v:shape style="position:absolute;margin-left:581.880005pt;margin-top:57.099987pt;width:62.5pt;height:111.45pt;mso-position-horizontal-relative:page;mso-position-vertical-relative:page;z-index:-8622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199.199997pt;margin-top:438.5pt;width:76.6pt;height:95.75pt;mso-position-horizontal-relative:page;mso-position-vertical-relative:page;z-index:-8622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81.880005pt;margin-top:438.5pt;width:62.5pt;height:95.75pt;mso-position-horizontal-relative:page;mso-position-vertical-relative:page;z-index:-8621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05.199997pt;margin-top:438.5pt;width:70.6pt;height:95.85pt;mso-position-horizontal-relative:page;mso-position-vertical-relative:page;z-index:-862168" coordorigin="4104,8770" coordsize="1412,1917">
            <v:shape style="position:absolute;left:4104;top:8770;width:1412;height:1917" coordorigin="4104,8770" coordsize="1412,1917" path="m4104,8770l5516,8770,5516,10687,4104,10687,4104,8770xe" filled="true" fillcolor="#ffffff" stroked="false">
              <v:path arrowok="t"/>
              <v:fill type="solid"/>
            </v:shape>
            <w10:wrap type="none"/>
          </v:group>
        </w:pict>
      </w:r>
      <w:r>
        <w:rPr/>
        <w:pict>
          <v:group style="position:absolute;margin-left:587.900024pt;margin-top:438.5pt;width:56.45pt;height:95.85pt;mso-position-horizontal-relative:page;mso-position-vertical-relative:page;z-index:-862144" coordorigin="11758,8770" coordsize="1129,1917">
            <v:shape style="position:absolute;left:11758;top:8770;width:1129;height:1917" coordorigin="11758,8770" coordsize="1129,1917" path="m11758,8770l12887,8770,12887,10687,11758,10687,11758,8770xe" filled="true" fillcolor="#ffffff" stroked="false">
              <v:path arrowok="t"/>
              <v:fill type="solid"/>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1101"/>
        <w:gridCol w:w="1560"/>
        <w:gridCol w:w="1417"/>
        <w:gridCol w:w="6237"/>
        <w:gridCol w:w="1134"/>
        <w:gridCol w:w="992"/>
        <w:gridCol w:w="1593"/>
      </w:tblGrid>
      <w:tr>
        <w:trPr>
          <w:trHeight w:val="336" w:hRule="exact"/>
        </w:trPr>
        <w:tc>
          <w:tcPr>
            <w:tcW w:w="1101" w:type="dxa"/>
            <w:vMerge w:val="restart"/>
            <w:tcBorders>
              <w:top w:val="single" w:sz="16" w:space="0" w:color="000000"/>
              <w:left w:val="single" w:sz="4" w:space="0" w:color="000000"/>
              <w:right w:val="single" w:sz="4" w:space="0" w:color="000000"/>
            </w:tcBorders>
            <w:shd w:val="clear" w:color="auto" w:fill="D2D2D2"/>
          </w:tcPr>
          <w:p>
            <w:pPr/>
          </w:p>
        </w:tc>
        <w:tc>
          <w:tcPr>
            <w:tcW w:w="1560"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管理有限公司</w:t>
            </w:r>
            <w:r>
              <w:rPr>
                <w:rFonts w:ascii="Arial" w:hAnsi="Arial" w:cs="Arial" w:eastAsia="Arial" w:hint="default"/>
                <w:sz w:val="18"/>
                <w:szCs w:val="18"/>
              </w:rPr>
              <w:t>;</w:t>
            </w:r>
            <w:r>
              <w:rPr>
                <w:rFonts w:ascii="宋体" w:hAnsi="宋体" w:cs="宋体" w:eastAsia="宋体" w:hint="default"/>
                <w:sz w:val="18"/>
                <w:szCs w:val="18"/>
              </w:rPr>
              <w:t>王莉</w:t>
            </w:r>
          </w:p>
        </w:tc>
        <w:tc>
          <w:tcPr>
            <w:tcW w:w="1417" w:type="dxa"/>
            <w:vMerge w:val="restart"/>
            <w:tcBorders>
              <w:top w:val="single" w:sz="16" w:space="0" w:color="000000"/>
              <w:left w:val="single" w:sz="4" w:space="0" w:color="000000"/>
              <w:right w:val="single" w:sz="4" w:space="0" w:color="000000"/>
            </w:tcBorders>
          </w:tcPr>
          <w:p>
            <w:pPr/>
          </w:p>
        </w:tc>
        <w:tc>
          <w:tcPr>
            <w:tcW w:w="6237"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部决策批准程序并及时履行信息披露义务；本承诺人保证本承诺人及本承诺人</w:t>
            </w:r>
          </w:p>
        </w:tc>
        <w:tc>
          <w:tcPr>
            <w:tcW w:w="1134" w:type="dxa"/>
            <w:vMerge w:val="restart"/>
            <w:tcBorders>
              <w:top w:val="single" w:sz="16" w:space="0" w:color="000000"/>
              <w:left w:val="single" w:sz="4" w:space="0" w:color="000000"/>
              <w:right w:val="single" w:sz="4" w:space="0" w:color="000000"/>
            </w:tcBorders>
          </w:tcPr>
          <w:p>
            <w:pPr>
              <w:pStyle w:val="TableParagraph"/>
              <w:spacing w:line="2229"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4"/>
                <w:sz w:val="20"/>
                <w:szCs w:val="20"/>
              </w:rPr>
              <w:pict>
                <v:group style="width:56.45pt;height:111.45pt;mso-position-horizontal-relative:char;mso-position-vertical-relative:line" coordorigin="0,0" coordsize="1129,2229">
                  <v:group style="position:absolute;left:0;top:0;width:1129;height:2229" coordorigin="0,0" coordsize="1129,2229">
                    <v:shape style="position:absolute;left:0;top:0;width:1129;height:2229" coordorigin="0,0" coordsize="1129,2229" path="m0,0l1129,0,1129,2229,0,2229,0,0xe" filled="true" fillcolor="#ffffff" stroked="false">
                      <v:path arrowok="t"/>
                      <v:fill type="solid"/>
                    </v:shape>
                  </v:group>
                </v:group>
              </w:pict>
            </w:r>
            <w:r>
              <w:rPr>
                <w:rFonts w:ascii="Times New Roman" w:hAnsi="Times New Roman" w:cs="Times New Roman" w:eastAsia="Times New Roman" w:hint="default"/>
                <w:position w:val="-44"/>
                <w:sz w:val="20"/>
                <w:szCs w:val="20"/>
              </w:rPr>
            </w:r>
          </w:p>
        </w:tc>
        <w:tc>
          <w:tcPr>
            <w:tcW w:w="992" w:type="dxa"/>
            <w:vMerge w:val="restart"/>
            <w:tcBorders>
              <w:top w:val="single" w:sz="16" w:space="0" w:color="000000"/>
              <w:left w:val="single" w:sz="4" w:space="0" w:color="000000"/>
              <w:right w:val="single" w:sz="4" w:space="0" w:color="000000"/>
            </w:tcBorders>
          </w:tcPr>
          <w:p>
            <w:pPr/>
          </w:p>
        </w:tc>
        <w:tc>
          <w:tcPr>
            <w:tcW w:w="1593" w:type="dxa"/>
            <w:vMerge w:val="restart"/>
            <w:tcBorders>
              <w:top w:val="single" w:sz="16" w:space="0" w:color="000000"/>
              <w:left w:val="single" w:sz="4" w:space="0" w:color="000000"/>
              <w:right w:val="single" w:sz="4" w:space="0" w:color="000000"/>
            </w:tcBorders>
          </w:tcPr>
          <w:p>
            <w:pP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丽</w:t>
            </w:r>
            <w:r>
              <w:rPr>
                <w:rFonts w:ascii="Arial" w:hAnsi="Arial" w:cs="Arial" w:eastAsia="Arial" w:hint="default"/>
                <w:sz w:val="18"/>
                <w:szCs w:val="18"/>
              </w:rPr>
              <w:t>;</w:t>
            </w:r>
            <w:r>
              <w:rPr>
                <w:rFonts w:ascii="宋体" w:hAnsi="宋体" w:cs="宋体" w:eastAsia="宋体" w:hint="default"/>
                <w:sz w:val="18"/>
                <w:szCs w:val="18"/>
              </w:rPr>
              <w:t>西藏思科瑞股权</w:t>
            </w:r>
          </w:p>
        </w:tc>
        <w:tc>
          <w:tcPr>
            <w:tcW w:w="1417" w:type="dxa"/>
            <w:vMerge/>
            <w:tcBorders>
              <w:left w:val="single" w:sz="4" w:space="0" w:color="000000"/>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控制的企业不以与市场价格相比显失公允的条件与华宇软件进行交易，不利用</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93" w:type="dxa"/>
            <w:vMerge/>
            <w:tcBorders>
              <w:left w:val="single" w:sz="4" w:space="0" w:color="000000"/>
              <w:right w:val="single" w:sz="4" w:space="0" w:color="000000"/>
            </w:tcBorders>
          </w:tcPr>
          <w:p>
            <w:pPr/>
          </w:p>
        </w:tc>
      </w:tr>
      <w:tr>
        <w:trPr>
          <w:trHeight w:val="308"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投资中心（有限合</w:t>
            </w:r>
          </w:p>
        </w:tc>
        <w:tc>
          <w:tcPr>
            <w:tcW w:w="1417" w:type="dxa"/>
            <w:vMerge/>
            <w:tcBorders>
              <w:left w:val="single" w:sz="4" w:space="0" w:color="000000"/>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关联交易非法转移华宇软件的资金、利润，亦不利用该类交易从事任何损害华</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93" w:type="dxa"/>
            <w:vMerge/>
            <w:tcBorders>
              <w:left w:val="single" w:sz="4" w:space="0" w:color="000000"/>
              <w:right w:val="single" w:sz="4" w:space="0" w:color="000000"/>
            </w:tcBorders>
          </w:tcPr>
          <w:p>
            <w:pPr/>
          </w:p>
        </w:tc>
      </w:tr>
      <w:tr>
        <w:trPr>
          <w:trHeight w:val="316"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伙）</w:t>
            </w:r>
            <w:r>
              <w:rPr>
                <w:rFonts w:ascii="Arial" w:hAnsi="Arial" w:cs="Arial" w:eastAsia="Arial" w:hint="default"/>
                <w:spacing w:val="-4"/>
                <w:sz w:val="18"/>
                <w:szCs w:val="18"/>
              </w:rPr>
              <w:t>;</w:t>
            </w:r>
            <w:r>
              <w:rPr>
                <w:rFonts w:ascii="宋体" w:hAnsi="宋体" w:cs="宋体" w:eastAsia="宋体" w:hint="default"/>
                <w:spacing w:val="-4"/>
                <w:sz w:val="18"/>
                <w:szCs w:val="18"/>
              </w:rPr>
              <w:t>朱明武</w:t>
            </w:r>
            <w:r>
              <w:rPr>
                <w:rFonts w:ascii="Arial" w:hAnsi="Arial" w:cs="Arial" w:eastAsia="Arial" w:hint="default"/>
                <w:spacing w:val="-4"/>
                <w:sz w:val="18"/>
                <w:szCs w:val="18"/>
              </w:rPr>
              <w:t>;</w:t>
            </w:r>
            <w:r>
              <w:rPr>
                <w:rFonts w:ascii="宋体" w:hAnsi="宋体" w:cs="宋体" w:eastAsia="宋体" w:hint="default"/>
                <w:spacing w:val="-4"/>
                <w:sz w:val="18"/>
                <w:szCs w:val="18"/>
              </w:rPr>
              <w:t>珠海横</w:t>
            </w:r>
          </w:p>
        </w:tc>
        <w:tc>
          <w:tcPr>
            <w:tcW w:w="1417" w:type="dxa"/>
            <w:vMerge/>
            <w:tcBorders>
              <w:left w:val="single" w:sz="4" w:space="0" w:color="000000"/>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宇软件及其他股东合法权益的行为。若出现违反上述承诺而损害华宇软件利益</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93" w:type="dxa"/>
            <w:vMerge/>
            <w:tcBorders>
              <w:left w:val="single" w:sz="4" w:space="0" w:color="000000"/>
              <w:right w:val="single" w:sz="4" w:space="0" w:color="000000"/>
            </w:tcBorders>
          </w:tcPr>
          <w:p>
            <w:pPr/>
          </w:p>
        </w:tc>
      </w:tr>
      <w:tr>
        <w:trPr>
          <w:trHeight w:val="308"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琴瀚鼎壹号股权投</w:t>
            </w:r>
          </w:p>
        </w:tc>
        <w:tc>
          <w:tcPr>
            <w:tcW w:w="1417" w:type="dxa"/>
            <w:vMerge/>
            <w:tcBorders>
              <w:left w:val="single" w:sz="4" w:space="0" w:color="000000"/>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的情形，本承诺人将对前述行为而给华宇软件造成的损失向华宇软件进行赔偿</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93" w:type="dxa"/>
            <w:vMerge/>
            <w:tcBorders>
              <w:left w:val="single" w:sz="4" w:space="0" w:color="000000"/>
              <w:right w:val="single" w:sz="4" w:space="0" w:color="000000"/>
            </w:tcBorders>
          </w:tcPr>
          <w:p>
            <w:pP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资合伙企业（有限</w:t>
            </w:r>
          </w:p>
        </w:tc>
        <w:tc>
          <w:tcPr>
            <w:tcW w:w="1417" w:type="dxa"/>
            <w:vMerge/>
            <w:tcBorders>
              <w:left w:val="single" w:sz="4" w:space="0" w:color="000000"/>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93" w:type="dxa"/>
            <w:vMerge/>
            <w:tcBorders>
              <w:left w:val="single" w:sz="4" w:space="0" w:color="000000"/>
              <w:right w:val="single" w:sz="4" w:space="0" w:color="000000"/>
            </w:tcBorders>
          </w:tcPr>
          <w:p>
            <w:pPr/>
          </w:p>
        </w:tc>
      </w:tr>
      <w:tr>
        <w:trPr>
          <w:trHeight w:val="357"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1417" w:type="dxa"/>
            <w:vMerge/>
            <w:tcBorders>
              <w:left w:val="single" w:sz="4" w:space="0" w:color="000000"/>
              <w:bottom w:val="single" w:sz="4" w:space="0" w:color="000000"/>
              <w:right w:val="single" w:sz="4" w:space="0" w:color="000000"/>
            </w:tcBorders>
          </w:tcPr>
          <w:p>
            <w:pPr/>
          </w:p>
        </w:tc>
        <w:tc>
          <w:tcPr>
            <w:tcW w:w="6237" w:type="dxa"/>
            <w:tcBorders>
              <w:top w:val="nil" w:sz="6" w:space="0" w:color="auto"/>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593" w:type="dxa"/>
            <w:vMerge/>
            <w:tcBorders>
              <w:left w:val="single" w:sz="4" w:space="0" w:color="000000"/>
              <w:bottom w:val="single" w:sz="4" w:space="0" w:color="000000"/>
              <w:right w:val="single" w:sz="4" w:space="0" w:color="000000"/>
            </w:tcBorders>
          </w:tcPr>
          <w:p>
            <w:pPr/>
          </w:p>
        </w:tc>
      </w:tr>
      <w:tr>
        <w:trPr>
          <w:trHeight w:val="362" w:hRule="exact"/>
        </w:trPr>
        <w:tc>
          <w:tcPr>
            <w:tcW w:w="1101" w:type="dxa"/>
            <w:vMerge/>
            <w:tcBorders>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62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2"/>
                <w:sz w:val="18"/>
                <w:szCs w:val="18"/>
              </w:rPr>
              <w:t>任刚、朱明武关于竞业禁止的承诺：</w:t>
            </w:r>
            <w:r>
              <w:rPr>
                <w:rFonts w:ascii="Arial" w:hAnsi="Arial" w:cs="Arial" w:eastAsia="Arial" w:hint="default"/>
                <w:spacing w:val="-2"/>
                <w:sz w:val="18"/>
                <w:szCs w:val="18"/>
              </w:rPr>
              <w:t>1</w:t>
            </w:r>
            <w:r>
              <w:rPr>
                <w:rFonts w:ascii="宋体" w:hAnsi="宋体" w:cs="宋体" w:eastAsia="宋体" w:hint="default"/>
                <w:spacing w:val="-2"/>
                <w:sz w:val="18"/>
                <w:szCs w:val="18"/>
              </w:rPr>
              <w:t>、本承诺人并将促使其他联奕科技管理层</w:t>
            </w:r>
          </w:p>
        </w:tc>
        <w:tc>
          <w:tcPr>
            <w:tcW w:w="1134"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593" w:type="dxa"/>
            <w:tcBorders>
              <w:top w:val="single" w:sz="4" w:space="0" w:color="000000"/>
              <w:left w:val="single" w:sz="4" w:space="0" w:color="000000"/>
              <w:bottom w:val="nil" w:sz="6" w:space="0" w:color="auto"/>
              <w:right w:val="single" w:sz="4" w:space="0" w:color="000000"/>
            </w:tcBorders>
          </w:tcPr>
          <w:p>
            <w:pPr/>
          </w:p>
        </w:tc>
      </w:tr>
      <w:tr>
        <w:trPr>
          <w:trHeight w:val="308"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人员（即，于《北京华宇软件股份有限公司与任刚、王莉丽、石河子鼎诺投资</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管理有限公司</w:t>
            </w:r>
            <w:r>
              <w:rPr>
                <w:rFonts w:ascii="宋体" w:hAnsi="宋体" w:cs="宋体" w:eastAsia="宋体" w:hint="default"/>
                <w:spacing w:val="-8"/>
                <w:sz w:val="18"/>
                <w:szCs w:val="18"/>
              </w:rPr>
              <w:t>、</w:t>
            </w:r>
            <w:r>
              <w:rPr>
                <w:rFonts w:ascii="宋体" w:hAnsi="宋体" w:cs="宋体" w:eastAsia="宋体" w:hint="default"/>
                <w:sz w:val="18"/>
                <w:szCs w:val="18"/>
              </w:rPr>
              <w:t>广州奕力腾投资企</w:t>
            </w:r>
            <w:r>
              <w:rPr>
                <w:rFonts w:ascii="宋体" w:hAnsi="宋体" w:cs="宋体" w:eastAsia="宋体" w:hint="default"/>
                <w:spacing w:val="-5"/>
                <w:sz w:val="18"/>
                <w:szCs w:val="18"/>
              </w:rPr>
              <w:t>业</w:t>
            </w:r>
            <w:r>
              <w:rPr>
                <w:rFonts w:ascii="宋体" w:hAnsi="宋体" w:cs="宋体" w:eastAsia="宋体" w:hint="default"/>
                <w:sz w:val="18"/>
                <w:szCs w:val="18"/>
              </w:rPr>
              <w:t>（有限合伙</w:t>
            </w:r>
            <w:r>
              <w:rPr>
                <w:rFonts w:ascii="宋体" w:hAnsi="宋体" w:cs="宋体" w:eastAsia="宋体" w:hint="default"/>
                <w:spacing w:val="-92"/>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朱明武</w:t>
            </w:r>
            <w:r>
              <w:rPr>
                <w:rFonts w:ascii="宋体" w:hAnsi="宋体" w:cs="宋体" w:eastAsia="宋体" w:hint="default"/>
                <w:spacing w:val="-8"/>
                <w:sz w:val="18"/>
                <w:szCs w:val="18"/>
              </w:rPr>
              <w:t>、</w:t>
            </w:r>
            <w:r>
              <w:rPr>
                <w:rFonts w:ascii="宋体" w:hAnsi="宋体" w:cs="宋体" w:eastAsia="宋体" w:hint="default"/>
                <w:sz w:val="18"/>
                <w:szCs w:val="18"/>
              </w:rPr>
              <w:t>瞿启云</w:t>
            </w:r>
            <w:r>
              <w:rPr>
                <w:rFonts w:ascii="宋体" w:hAnsi="宋体" w:cs="宋体" w:eastAsia="宋体" w:hint="default"/>
                <w:spacing w:val="-5"/>
                <w:sz w:val="18"/>
                <w:szCs w:val="18"/>
              </w:rPr>
              <w:t>、</w:t>
            </w:r>
            <w:r>
              <w:rPr>
                <w:rFonts w:ascii="宋体" w:hAnsi="宋体" w:cs="宋体" w:eastAsia="宋体" w:hint="default"/>
                <w:sz w:val="18"/>
                <w:szCs w:val="18"/>
              </w:rPr>
              <w:t>西藏思科</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瑞股权投资中</w:t>
            </w:r>
            <w:r>
              <w:rPr>
                <w:rFonts w:ascii="宋体" w:hAnsi="宋体" w:cs="宋体" w:eastAsia="宋体" w:hint="default"/>
                <w:spacing w:val="-53"/>
                <w:sz w:val="18"/>
                <w:szCs w:val="18"/>
              </w:rPr>
              <w:t>心</w:t>
            </w:r>
            <w:r>
              <w:rPr>
                <w:rFonts w:ascii="宋体" w:hAnsi="宋体" w:cs="宋体" w:eastAsia="宋体" w:hint="default"/>
                <w:spacing w:val="-3"/>
                <w:sz w:val="18"/>
                <w:szCs w:val="18"/>
              </w:rPr>
              <w:t>（</w:t>
            </w:r>
            <w:r>
              <w:rPr>
                <w:rFonts w:ascii="宋体" w:hAnsi="宋体" w:cs="宋体" w:eastAsia="宋体" w:hint="default"/>
                <w:sz w:val="18"/>
                <w:szCs w:val="18"/>
              </w:rPr>
              <w:t>有限合伙</w:t>
            </w:r>
            <w:r>
              <w:rPr>
                <w:rFonts w:ascii="宋体" w:hAnsi="宋体" w:cs="宋体" w:eastAsia="宋体" w:hint="default"/>
                <w:spacing w:val="-89"/>
                <w:sz w:val="18"/>
                <w:szCs w:val="18"/>
              </w:rPr>
              <w:t>）</w:t>
            </w:r>
            <w:r>
              <w:rPr>
                <w:rFonts w:ascii="宋体" w:hAnsi="宋体" w:cs="宋体" w:eastAsia="宋体" w:hint="default"/>
                <w:spacing w:val="-53"/>
                <w:sz w:val="18"/>
                <w:szCs w:val="18"/>
              </w:rPr>
              <w:t>、</w:t>
            </w:r>
            <w:r>
              <w:rPr>
                <w:rFonts w:ascii="宋体" w:hAnsi="宋体" w:cs="宋体" w:eastAsia="宋体" w:hint="default"/>
                <w:sz w:val="18"/>
                <w:szCs w:val="18"/>
              </w:rPr>
              <w:t>戴力毅</w:t>
            </w:r>
            <w:r>
              <w:rPr>
                <w:rFonts w:ascii="宋体" w:hAnsi="宋体" w:cs="宋体" w:eastAsia="宋体" w:hint="default"/>
                <w:spacing w:val="-56"/>
                <w:sz w:val="18"/>
                <w:szCs w:val="18"/>
              </w:rPr>
              <w:t>、</w:t>
            </w:r>
            <w:r>
              <w:rPr>
                <w:rFonts w:ascii="宋体" w:hAnsi="宋体" w:cs="宋体" w:eastAsia="宋体" w:hint="default"/>
                <w:sz w:val="18"/>
                <w:szCs w:val="18"/>
              </w:rPr>
              <w:t>珠海横琴瀚鼎壹号股权投资合伙企</w:t>
            </w:r>
            <w:r>
              <w:rPr>
                <w:rFonts w:ascii="宋体" w:hAnsi="宋体" w:cs="宋体" w:eastAsia="宋体" w:hint="default"/>
                <w:spacing w:val="-48"/>
                <w:sz w:val="18"/>
                <w:szCs w:val="18"/>
              </w:rPr>
              <w:t>业</w:t>
            </w:r>
            <w:r>
              <w:rPr>
                <w:rFonts w:ascii="宋体" w:hAnsi="宋体" w:cs="宋体" w:eastAsia="宋体" w:hint="default"/>
                <w:sz w:val="18"/>
                <w:szCs w:val="18"/>
              </w:rPr>
              <w:t>（有</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限合伙</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金玉萍</w:t>
            </w:r>
            <w:r>
              <w:rPr>
                <w:rFonts w:ascii="宋体" w:hAnsi="宋体" w:cs="宋体" w:eastAsia="宋体" w:hint="default"/>
                <w:spacing w:val="-8"/>
                <w:sz w:val="18"/>
                <w:szCs w:val="18"/>
              </w:rPr>
              <w:t>、</w:t>
            </w:r>
            <w:r>
              <w:rPr>
                <w:rFonts w:ascii="宋体" w:hAnsi="宋体" w:cs="宋体" w:eastAsia="宋体" w:hint="default"/>
                <w:sz w:val="18"/>
                <w:szCs w:val="18"/>
              </w:rPr>
              <w:t>刘丽华</w:t>
            </w:r>
            <w:r>
              <w:rPr>
                <w:rFonts w:ascii="宋体" w:hAnsi="宋体" w:cs="宋体" w:eastAsia="宋体" w:hint="default"/>
                <w:spacing w:val="-8"/>
                <w:sz w:val="18"/>
                <w:szCs w:val="18"/>
              </w:rPr>
              <w:t>、</w:t>
            </w:r>
            <w:r>
              <w:rPr>
                <w:rFonts w:ascii="宋体" w:hAnsi="宋体" w:cs="宋体" w:eastAsia="宋体" w:hint="default"/>
                <w:sz w:val="18"/>
                <w:szCs w:val="18"/>
              </w:rPr>
              <w:t>齐嘉瞻之发行股份及支付现金购买资产协议</w:t>
            </w:r>
            <w:r>
              <w:rPr>
                <w:rFonts w:ascii="宋体" w:hAnsi="宋体" w:cs="宋体" w:eastAsia="宋体" w:hint="default"/>
                <w:spacing w:val="-8"/>
                <w:sz w:val="18"/>
                <w:szCs w:val="18"/>
              </w:rPr>
              <w:t>》</w:t>
            </w:r>
            <w:r>
              <w:rPr>
                <w:rFonts w:ascii="宋体" w:hAnsi="宋体" w:cs="宋体" w:eastAsia="宋体" w:hint="default"/>
                <w:sz w:val="18"/>
                <w:szCs w:val="18"/>
              </w:rPr>
              <w:t>签署</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日，担任联奕科技董事、监事、高级管理人员（包括总经理、副总经理、财务</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任刚</w:t>
            </w:r>
            <w:r>
              <w:rPr>
                <w:rFonts w:ascii="Arial" w:hAnsi="Arial" w:cs="Arial" w:eastAsia="Arial" w:hint="default"/>
                <w:sz w:val="18"/>
                <w:szCs w:val="18"/>
              </w:rPr>
              <w:t>;</w:t>
            </w:r>
            <w:r>
              <w:rPr>
                <w:rFonts w:ascii="宋体" w:hAnsi="宋体" w:cs="宋体" w:eastAsia="宋体" w:hint="default"/>
                <w:sz w:val="18"/>
                <w:szCs w:val="18"/>
              </w:rPr>
              <w:t>朱明武</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22"/>
              <w:jc w:val="both"/>
              <w:rPr>
                <w:rFonts w:ascii="宋体" w:hAnsi="宋体" w:cs="宋体" w:eastAsia="宋体" w:hint="default"/>
                <w:sz w:val="18"/>
                <w:szCs w:val="18"/>
              </w:rPr>
            </w:pPr>
            <w:r>
              <w:rPr>
                <w:rFonts w:ascii="宋体" w:hAnsi="宋体" w:cs="宋体" w:eastAsia="宋体" w:hint="default"/>
                <w:spacing w:val="-10"/>
                <w:sz w:val="18"/>
                <w:szCs w:val="18"/>
              </w:rPr>
              <w:t>关于同业竞争、关</w:t>
            </w:r>
            <w:r>
              <w:rPr>
                <w:rFonts w:ascii="宋体" w:hAnsi="宋体" w:cs="宋体" w:eastAsia="宋体" w:hint="default"/>
                <w:sz w:val="18"/>
                <w:szCs w:val="18"/>
              </w:rPr>
              <w:t> </w:t>
            </w:r>
            <w:r>
              <w:rPr>
                <w:rFonts w:ascii="宋体" w:hAnsi="宋体" w:cs="宋体" w:eastAsia="宋体" w:hint="default"/>
                <w:spacing w:val="-10"/>
                <w:sz w:val="18"/>
                <w:szCs w:val="18"/>
              </w:rPr>
              <w:t>联交易、资金占用</w:t>
            </w:r>
            <w:r>
              <w:rPr>
                <w:rFonts w:ascii="宋体" w:hAnsi="宋体" w:cs="宋体" w:eastAsia="宋体" w:hint="default"/>
                <w:sz w:val="18"/>
                <w:szCs w:val="18"/>
              </w:rPr>
              <w:t> 方面的承诺</w:t>
            </w: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both"/>
              <w:rPr>
                <w:rFonts w:ascii="宋体" w:hAnsi="宋体" w:cs="宋体" w:eastAsia="宋体" w:hint="default"/>
                <w:sz w:val="18"/>
                <w:szCs w:val="18"/>
              </w:rPr>
            </w:pPr>
            <w:r>
              <w:rPr>
                <w:rFonts w:ascii="宋体" w:hAnsi="宋体" w:cs="宋体" w:eastAsia="宋体" w:hint="default"/>
                <w:sz w:val="18"/>
                <w:szCs w:val="18"/>
              </w:rPr>
              <w:t>负责人</w:t>
            </w:r>
            <w:r>
              <w:rPr>
                <w:rFonts w:ascii="宋体" w:hAnsi="宋体" w:cs="宋体" w:eastAsia="宋体" w:hint="default"/>
                <w:spacing w:val="-15"/>
                <w:sz w:val="18"/>
                <w:szCs w:val="18"/>
              </w:rPr>
              <w:t>、</w:t>
            </w:r>
            <w:r>
              <w:rPr>
                <w:rFonts w:ascii="宋体" w:hAnsi="宋体" w:cs="宋体" w:eastAsia="宋体" w:hint="default"/>
                <w:sz w:val="18"/>
                <w:szCs w:val="18"/>
              </w:rPr>
              <w:t>董事会秘书</w:t>
            </w:r>
            <w:r>
              <w:rPr>
                <w:rFonts w:ascii="宋体" w:hAnsi="宋体" w:cs="宋体" w:eastAsia="宋体" w:hint="default"/>
                <w:spacing w:val="-92"/>
                <w:sz w:val="18"/>
                <w:szCs w:val="18"/>
              </w:rPr>
              <w:t>）</w:t>
            </w:r>
            <w:r>
              <w:rPr>
                <w:rFonts w:ascii="宋体" w:hAnsi="宋体" w:cs="宋体" w:eastAsia="宋体" w:hint="default"/>
                <w:spacing w:val="-12"/>
                <w:sz w:val="18"/>
                <w:szCs w:val="18"/>
              </w:rPr>
              <w:t>、</w:t>
            </w:r>
            <w:r>
              <w:rPr>
                <w:rFonts w:ascii="宋体" w:hAnsi="宋体" w:cs="宋体" w:eastAsia="宋体" w:hint="default"/>
                <w:sz w:val="18"/>
                <w:szCs w:val="18"/>
              </w:rPr>
              <w:t>技术总监等人员</w:t>
            </w:r>
            <w:r>
              <w:rPr>
                <w:rFonts w:ascii="宋体" w:hAnsi="宋体" w:cs="宋体" w:eastAsia="宋体" w:hint="default"/>
                <w:spacing w:val="-12"/>
                <w:sz w:val="18"/>
                <w:szCs w:val="18"/>
              </w:rPr>
              <w:t>）</w:t>
            </w:r>
            <w:r>
              <w:rPr>
                <w:rFonts w:ascii="宋体" w:hAnsi="宋体" w:cs="宋体" w:eastAsia="宋体" w:hint="default"/>
                <w:sz w:val="18"/>
                <w:szCs w:val="18"/>
              </w:rPr>
              <w:t>于本次交易资产交割日起</w:t>
            </w:r>
            <w:r>
              <w:rPr>
                <w:rFonts w:ascii="宋体" w:hAnsi="宋体" w:cs="宋体" w:eastAsia="宋体" w:hint="default"/>
                <w:spacing w:val="-47"/>
                <w:sz w:val="18"/>
                <w:szCs w:val="18"/>
              </w:rPr>
              <w:t> </w:t>
            </w:r>
            <w:r>
              <w:rPr>
                <w:rFonts w:ascii="Arial" w:hAnsi="Arial" w:cs="Arial" w:eastAsia="Arial" w:hint="default"/>
                <w:w w:val="99"/>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个工作日</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内，与联奕科技签署有效期至少截至</w:t>
            </w:r>
            <w:r>
              <w:rPr>
                <w:rFonts w:ascii="宋体" w:hAnsi="宋体" w:cs="宋体" w:eastAsia="宋体" w:hint="default"/>
                <w:spacing w:val="-46"/>
                <w:sz w:val="18"/>
                <w:szCs w:val="18"/>
              </w:rPr>
              <w:t> </w:t>
            </w: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日的劳动合同。劳动合</w:t>
            </w:r>
          </w:p>
          <w:p>
            <w:pPr>
              <w:pStyle w:val="TableParagraph"/>
              <w:spacing w:line="309" w:lineRule="auto" w:before="63"/>
              <w:ind w:left="23" w:right="81"/>
              <w:jc w:val="both"/>
              <w:rPr>
                <w:rFonts w:ascii="宋体" w:hAnsi="宋体" w:cs="宋体" w:eastAsia="宋体" w:hint="default"/>
                <w:sz w:val="18"/>
                <w:szCs w:val="18"/>
              </w:rPr>
            </w:pPr>
            <w:r>
              <w:rPr>
                <w:rFonts w:ascii="宋体" w:hAnsi="宋体" w:cs="宋体" w:eastAsia="宋体" w:hint="default"/>
                <w:sz w:val="18"/>
                <w:szCs w:val="18"/>
              </w:rPr>
              <w:t>同将约定上述任职期限及相关限制的事项，并约定至</w:t>
            </w:r>
            <w:r>
              <w:rPr>
                <w:rFonts w:ascii="宋体" w:hAnsi="宋体" w:cs="宋体" w:eastAsia="宋体" w:hint="default"/>
                <w:spacing w:val="-46"/>
                <w:sz w:val="18"/>
                <w:szCs w:val="18"/>
              </w:rPr>
              <w:t> </w:t>
            </w: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日前， 除非因法定事由或经华宇软件书面同意，前述联奕科技管理层人员不得离职， 且在联奕科技任职期间，不得在与华宇软件、联奕科技及其控制的企业从事相</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Arial" w:hAnsi="Arial" w:cs="Arial" w:eastAsia="Arial" w:hint="default"/>
                <w:sz w:val="18"/>
                <w:szCs w:val="18"/>
              </w:rPr>
              <w:t>08</w:t>
            </w:r>
            <w:r>
              <w:rPr>
                <w:rFonts w:ascii="Arial" w:hAnsi="Arial" w:cs="Arial" w:eastAsia="Arial"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Arial" w:hAnsi="Arial" w:cs="Arial" w:eastAsia="Arial" w:hint="default"/>
                <w:sz w:val="18"/>
                <w:szCs w:val="18"/>
              </w:rPr>
              <w:t>21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Arial" w:hAnsi="Arial" w:cs="Arial" w:eastAsia="Arial" w:hint="default"/>
                <w:sz w:val="18"/>
                <w:szCs w:val="18"/>
              </w:rPr>
            </w:pPr>
            <w:r>
              <w:rPr>
                <w:rFonts w:ascii="Arial" w:hAnsi="Arial" w:cs="Arial" w:eastAsia="Arial"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15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0"/>
                <w:sz w:val="18"/>
                <w:szCs w:val="18"/>
              </w:rPr>
              <w:t>截至报告期末，承诺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方遵守以上承诺，未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有违反上述承诺的 情况。</w:t>
            </w: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同或相似业务的公司任职，不得直接或间接从事、经营、投资与华宇软件、联</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奕科技及其控制的企业相同或相似的业务，不得以华宇软件及联奕科技以外的</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名义为华宇软件及联奕科技现有客户提供相同或类似服务，若违反前述任职期</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限及相关限制等事项，其应按照本承诺函第</w:t>
            </w:r>
            <w:r>
              <w:rPr>
                <w:rFonts w:ascii="宋体" w:hAnsi="宋体" w:cs="宋体" w:eastAsia="宋体" w:hint="default"/>
                <w:spacing w:val="-50"/>
                <w:sz w:val="18"/>
                <w:szCs w:val="18"/>
              </w:rPr>
              <w:t> </w:t>
            </w:r>
            <w:r>
              <w:rPr>
                <w:rFonts w:ascii="Arial" w:hAnsi="Arial" w:cs="Arial" w:eastAsia="Arial" w:hint="default"/>
                <w:sz w:val="18"/>
                <w:szCs w:val="18"/>
              </w:rPr>
              <w:t>2</w:t>
            </w:r>
            <w:r>
              <w:rPr>
                <w:rFonts w:ascii="Arial" w:hAnsi="Arial" w:cs="Arial" w:eastAsia="Arial" w:hint="default"/>
                <w:spacing w:val="-8"/>
                <w:sz w:val="18"/>
                <w:szCs w:val="18"/>
              </w:rPr>
              <w:t> </w:t>
            </w:r>
            <w:r>
              <w:rPr>
                <w:rFonts w:ascii="宋体" w:hAnsi="宋体" w:cs="宋体" w:eastAsia="宋体" w:hint="default"/>
                <w:spacing w:val="-3"/>
                <w:sz w:val="18"/>
                <w:szCs w:val="18"/>
              </w:rPr>
              <w:t>条的约定承担违约责任。</w:t>
            </w:r>
            <w:r>
              <w:rPr>
                <w:rFonts w:ascii="Arial" w:hAnsi="Arial" w:cs="Arial" w:eastAsia="Arial" w:hint="default"/>
                <w:spacing w:val="-3"/>
                <w:sz w:val="18"/>
                <w:szCs w:val="18"/>
              </w:rPr>
              <w:t>2</w:t>
            </w:r>
            <w:r>
              <w:rPr>
                <w:rFonts w:ascii="宋体" w:hAnsi="宋体" w:cs="宋体" w:eastAsia="宋体" w:hint="default"/>
                <w:spacing w:val="-3"/>
                <w:sz w:val="18"/>
                <w:szCs w:val="18"/>
              </w:rPr>
              <w:t>、若违</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反上述承诺，本承诺人将按照实际发生交易所得金额的 </w:t>
            </w:r>
            <w:r>
              <w:rPr>
                <w:rFonts w:ascii="Arial" w:hAnsi="Arial" w:cs="Arial" w:eastAsia="Arial" w:hint="default"/>
                <w:sz w:val="18"/>
                <w:szCs w:val="18"/>
              </w:rPr>
              <w:t>10</w:t>
            </w:r>
            <w:r>
              <w:rPr>
                <w:rFonts w:ascii="Arial" w:hAnsi="Arial" w:cs="Arial" w:eastAsia="Arial" w:hint="default"/>
                <w:spacing w:val="-29"/>
                <w:sz w:val="18"/>
                <w:szCs w:val="18"/>
              </w:rPr>
              <w:t> </w:t>
            </w:r>
            <w:r>
              <w:rPr>
                <w:rFonts w:ascii="宋体" w:hAnsi="宋体" w:cs="宋体" w:eastAsia="宋体" w:hint="default"/>
                <w:sz w:val="18"/>
                <w:szCs w:val="18"/>
              </w:rPr>
              <w:t>倍或华宇软件核算的</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101"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62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实际损失的</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7"/>
                <w:sz w:val="18"/>
                <w:szCs w:val="18"/>
              </w:rPr>
              <w:t> </w:t>
            </w:r>
            <w:r>
              <w:rPr>
                <w:rFonts w:ascii="宋体" w:hAnsi="宋体" w:cs="宋体" w:eastAsia="宋体" w:hint="default"/>
                <w:sz w:val="18"/>
                <w:szCs w:val="18"/>
              </w:rPr>
              <w:t>倍向华宇软件承担赔偿责任。</w:t>
            </w:r>
          </w:p>
        </w:tc>
        <w:tc>
          <w:tcPr>
            <w:tcW w:w="1134"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593" w:type="dxa"/>
            <w:tcBorders>
              <w:top w:val="nil" w:sz="6" w:space="0" w:color="auto"/>
              <w:left w:val="single" w:sz="4" w:space="0" w:color="000000"/>
              <w:bottom w:val="single" w:sz="4" w:space="0" w:color="000000"/>
              <w:right w:val="single" w:sz="4" w:space="0" w:color="000000"/>
            </w:tcBorders>
          </w:tcPr>
          <w:p>
            <w:pPr/>
          </w:p>
        </w:tc>
      </w:tr>
      <w:tr>
        <w:trPr>
          <w:trHeight w:val="1920" w:hRule="exact"/>
        </w:trPr>
        <w:tc>
          <w:tcPr>
            <w:tcW w:w="1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6" w:lineRule="auto"/>
              <w:ind w:left="24" w:right="165"/>
              <w:jc w:val="both"/>
              <w:rPr>
                <w:rFonts w:ascii="宋体" w:hAnsi="宋体" w:cs="宋体" w:eastAsia="宋体" w:hint="default"/>
                <w:sz w:val="18"/>
                <w:szCs w:val="18"/>
              </w:rPr>
            </w:pPr>
            <w:r>
              <w:rPr>
                <w:rFonts w:ascii="宋体" w:hAnsi="宋体" w:cs="宋体" w:eastAsia="宋体" w:hint="default"/>
                <w:sz w:val="18"/>
                <w:szCs w:val="18"/>
              </w:rPr>
              <w:t>首次公开发 行或再融资 时所作承诺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4" w:lineRule="auto"/>
              <w:ind w:left="22" w:right="86"/>
              <w:jc w:val="both"/>
              <w:rPr>
                <w:rFonts w:ascii="宋体" w:hAnsi="宋体" w:cs="宋体" w:eastAsia="宋体" w:hint="default"/>
                <w:sz w:val="18"/>
                <w:szCs w:val="18"/>
              </w:rPr>
            </w:pPr>
            <w:r>
              <w:rPr>
                <w:rFonts w:ascii="宋体" w:hAnsi="宋体" w:cs="宋体" w:eastAsia="宋体" w:hint="default"/>
                <w:sz w:val="18"/>
                <w:szCs w:val="18"/>
              </w:rPr>
              <w:t>公司控股股东及实 际控制人邵学、发 行前持股</w:t>
            </w:r>
            <w:r>
              <w:rPr>
                <w:rFonts w:ascii="宋体" w:hAnsi="宋体" w:cs="宋体" w:eastAsia="宋体" w:hint="default"/>
                <w:spacing w:val="-46"/>
                <w:sz w:val="18"/>
                <w:szCs w:val="18"/>
              </w:rPr>
              <w:t> </w:t>
            </w:r>
            <w:r>
              <w:rPr>
                <w:rFonts w:ascii="Arial" w:hAnsi="Arial" w:cs="Arial" w:eastAsia="Arial" w:hint="default"/>
                <w:sz w:val="18"/>
                <w:szCs w:val="18"/>
              </w:rPr>
              <w:t>5%</w:t>
            </w:r>
            <w:r>
              <w:rPr>
                <w:rFonts w:ascii="宋体" w:hAnsi="宋体" w:cs="宋体" w:eastAsia="宋体" w:hint="default"/>
                <w:sz w:val="18"/>
                <w:szCs w:val="18"/>
              </w:rPr>
              <w:t>的股 </w:t>
            </w:r>
            <w:r>
              <w:rPr>
                <w:rFonts w:ascii="宋体" w:hAnsi="宋体" w:cs="宋体" w:eastAsia="宋体" w:hint="default"/>
                <w:spacing w:val="-3"/>
                <w:sz w:val="18"/>
                <w:szCs w:val="18"/>
              </w:rPr>
              <w:t>东孟庆有、刘文惠</w:t>
            </w:r>
            <w:r>
              <w:rPr>
                <w:rFonts w:ascii="宋体" w:hAnsi="宋体" w:cs="宋体" w:eastAsia="宋体" w:hint="default"/>
                <w:sz w:val="18"/>
                <w:szCs w:val="18"/>
              </w:rPr>
              <w:t> 任涛</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6" w:lineRule="auto"/>
              <w:ind w:left="22" w:right="123"/>
              <w:jc w:val="left"/>
              <w:rPr>
                <w:rFonts w:ascii="宋体" w:hAnsi="宋体" w:cs="宋体" w:eastAsia="宋体" w:hint="default"/>
                <w:sz w:val="18"/>
                <w:szCs w:val="18"/>
              </w:rPr>
            </w:pPr>
            <w:r>
              <w:rPr>
                <w:rFonts w:ascii="宋体" w:hAnsi="宋体" w:cs="宋体" w:eastAsia="宋体" w:hint="default"/>
                <w:sz w:val="18"/>
                <w:szCs w:val="18"/>
              </w:rPr>
              <w:t>避免同业竞争承 诺</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23" w:right="21"/>
              <w:jc w:val="left"/>
              <w:rPr>
                <w:rFonts w:ascii="宋体" w:hAnsi="宋体" w:cs="宋体" w:eastAsia="宋体" w:hint="default"/>
                <w:sz w:val="18"/>
                <w:szCs w:val="18"/>
              </w:rPr>
            </w:pPr>
            <w:r>
              <w:rPr>
                <w:rFonts w:ascii="宋体" w:hAnsi="宋体" w:cs="宋体" w:eastAsia="宋体" w:hint="default"/>
                <w:sz w:val="18"/>
                <w:szCs w:val="18"/>
              </w:rPr>
              <w:t>公司控股股东及实际控制人邵学、发行前持股</w:t>
            </w:r>
            <w:r>
              <w:rPr>
                <w:rFonts w:ascii="宋体" w:hAnsi="宋体" w:cs="宋体" w:eastAsia="宋体" w:hint="default"/>
                <w:spacing w:val="-63"/>
                <w:sz w:val="18"/>
                <w:szCs w:val="18"/>
              </w:rPr>
              <w:t> </w:t>
            </w:r>
            <w:r>
              <w:rPr>
                <w:rFonts w:ascii="Arial" w:hAnsi="Arial" w:cs="Arial" w:eastAsia="Arial" w:hint="default"/>
                <w:spacing w:val="-3"/>
                <w:sz w:val="18"/>
                <w:szCs w:val="18"/>
              </w:rPr>
              <w:t>5%</w:t>
            </w:r>
            <w:r>
              <w:rPr>
                <w:rFonts w:ascii="宋体" w:hAnsi="宋体" w:cs="宋体" w:eastAsia="宋体" w:hint="default"/>
                <w:spacing w:val="-3"/>
                <w:sz w:val="18"/>
                <w:szCs w:val="18"/>
              </w:rPr>
              <w:t>的股东孟庆有、刘文惠、任涛</w:t>
            </w:r>
            <w:r>
              <w:rPr>
                <w:rFonts w:ascii="宋体" w:hAnsi="宋体" w:cs="宋体" w:eastAsia="宋体" w:hint="default"/>
                <w:sz w:val="18"/>
                <w:szCs w:val="18"/>
              </w:rPr>
              <w:t> 承诺：本人不存在直接或间接从事与公司相同、相似或在商业上构成任何竞争 的业务及活动的情形，并未拥有从事与公司可能产生同业竞争企业的任何股份 股权或在任何竞争企业有任何权益；本人将不会以任何方式直接或间接从事或 参与任何与公司相同、相似或在商业上构成任何竞争的业务及活动，或拥有与 公司存在竞争关系的任何经济实体的权益，或以其他任何形式取得该经济实体</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10</w:t>
            </w:r>
            <w:r>
              <w:rPr>
                <w:rFonts w:ascii="Arial" w:hAnsi="Arial" w:cs="Arial" w:eastAsia="Arial" w:hint="default"/>
                <w:spacing w:val="-7"/>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Arial" w:hAnsi="Arial" w:cs="Arial" w:eastAsia="Arial" w:hint="default"/>
                <w:sz w:val="18"/>
                <w:szCs w:val="18"/>
              </w:rPr>
              <w:t>26</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6"/>
              <w:ind w:left="22" w:right="57"/>
              <w:jc w:val="both"/>
              <w:rPr>
                <w:rFonts w:ascii="宋体" w:hAnsi="宋体" w:cs="宋体" w:eastAsia="宋体" w:hint="default"/>
                <w:sz w:val="18"/>
                <w:szCs w:val="18"/>
              </w:rPr>
            </w:pPr>
            <w:r>
              <w:rPr>
                <w:rFonts w:ascii="宋体" w:hAnsi="宋体" w:cs="宋体" w:eastAsia="宋体" w:hint="default"/>
                <w:sz w:val="18"/>
                <w:szCs w:val="18"/>
              </w:rPr>
              <w:t>以上承诺有 效期为持有 华宇软件股 票期间。</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6"/>
              <w:ind w:left="22" w:right="20"/>
              <w:jc w:val="left"/>
              <w:rPr>
                <w:rFonts w:ascii="宋体" w:hAnsi="宋体" w:cs="宋体" w:eastAsia="宋体" w:hint="default"/>
                <w:sz w:val="18"/>
                <w:szCs w:val="18"/>
              </w:rPr>
            </w:pPr>
            <w:r>
              <w:rPr>
                <w:rFonts w:ascii="宋体" w:hAnsi="宋体" w:cs="宋体" w:eastAsia="宋体" w:hint="default"/>
                <w:spacing w:val="-10"/>
                <w:sz w:val="18"/>
                <w:szCs w:val="18"/>
              </w:rPr>
              <w:t>截至报告期末，承诺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方遵守以上承诺，未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有违反上述承诺的 情况。</w:t>
            </w:r>
          </w:p>
        </w:tc>
      </w:tr>
    </w:tbl>
    <w:p>
      <w:pPr>
        <w:spacing w:after="0" w:line="316" w:lineRule="auto"/>
        <w:jc w:val="left"/>
        <w:rPr>
          <w:rFonts w:ascii="宋体" w:hAnsi="宋体" w:cs="宋体" w:eastAsia="宋体" w:hint="default"/>
          <w:sz w:val="18"/>
          <w:szCs w:val="18"/>
        </w:rPr>
        <w:sectPr>
          <w:footerReference w:type="default" r:id="rId26"/>
          <w:pgSz w:w="16840" w:h="11910" w:orient="landscape"/>
          <w:pgMar w:footer="978" w:header="868" w:top="1060" w:bottom="1200" w:left="1320" w:right="1240"/>
          <w:pgNumType w:start="50"/>
        </w:sectPr>
      </w:pPr>
    </w:p>
    <w:p>
      <w:pPr>
        <w:spacing w:line="240" w:lineRule="auto" w:before="1"/>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101"/>
        <w:gridCol w:w="1560"/>
        <w:gridCol w:w="1417"/>
        <w:gridCol w:w="6237"/>
        <w:gridCol w:w="1134"/>
        <w:gridCol w:w="992"/>
        <w:gridCol w:w="1593"/>
      </w:tblGrid>
      <w:tr>
        <w:trPr>
          <w:trHeight w:val="332" w:hRule="exact"/>
        </w:trPr>
        <w:tc>
          <w:tcPr>
            <w:tcW w:w="1101" w:type="dxa"/>
            <w:vMerge w:val="restart"/>
            <w:tcBorders>
              <w:top w:val="single" w:sz="16" w:space="0" w:color="000000"/>
              <w:left w:val="single" w:sz="4" w:space="0" w:color="000000"/>
              <w:right w:val="single" w:sz="4" w:space="0" w:color="000000"/>
            </w:tcBorders>
            <w:shd w:val="clear" w:color="auto" w:fill="D2D2D2"/>
          </w:tcPr>
          <w:p>
            <w:pPr/>
          </w:p>
        </w:tc>
        <w:tc>
          <w:tcPr>
            <w:tcW w:w="1560" w:type="dxa"/>
            <w:vMerge w:val="restart"/>
            <w:tcBorders>
              <w:top w:val="single" w:sz="16" w:space="0" w:color="000000"/>
              <w:left w:val="single" w:sz="4" w:space="0" w:color="000000"/>
              <w:right w:val="single" w:sz="4" w:space="0" w:color="000000"/>
            </w:tcBorders>
          </w:tcPr>
          <w:p>
            <w:pPr/>
          </w:p>
        </w:tc>
        <w:tc>
          <w:tcPr>
            <w:tcW w:w="1417" w:type="dxa"/>
            <w:vMerge w:val="restart"/>
            <w:tcBorders>
              <w:top w:val="single" w:sz="16" w:space="0" w:color="000000"/>
              <w:left w:val="single" w:sz="4" w:space="0" w:color="000000"/>
              <w:right w:val="single" w:sz="4" w:space="0" w:color="000000"/>
            </w:tcBorders>
          </w:tcPr>
          <w:p>
            <w:pPr/>
          </w:p>
        </w:tc>
        <w:tc>
          <w:tcPr>
            <w:tcW w:w="6237"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的控制权，或在该经济实体中担任高级管理人员或核心技术人员；本人将促使</w:t>
            </w:r>
          </w:p>
        </w:tc>
        <w:tc>
          <w:tcPr>
            <w:tcW w:w="1134" w:type="dxa"/>
            <w:vMerge w:val="restart"/>
            <w:tcBorders>
              <w:top w:val="single" w:sz="16" w:space="0" w:color="000000"/>
              <w:left w:val="single" w:sz="4" w:space="0" w:color="000000"/>
              <w:right w:val="single" w:sz="4" w:space="0" w:color="000000"/>
            </w:tcBorders>
          </w:tcPr>
          <w:p>
            <w:pPr/>
          </w:p>
        </w:tc>
        <w:tc>
          <w:tcPr>
            <w:tcW w:w="992" w:type="dxa"/>
            <w:vMerge w:val="restart"/>
            <w:tcBorders>
              <w:top w:val="single" w:sz="16" w:space="0" w:color="000000"/>
              <w:left w:val="single" w:sz="4" w:space="0" w:color="000000"/>
              <w:right w:val="single" w:sz="4" w:space="0" w:color="000000"/>
            </w:tcBorders>
          </w:tcPr>
          <w:p>
            <w:pPr/>
          </w:p>
        </w:tc>
        <w:tc>
          <w:tcPr>
            <w:tcW w:w="1593" w:type="dxa"/>
            <w:vMerge w:val="restart"/>
            <w:tcBorders>
              <w:top w:val="single" w:sz="16" w:space="0" w:color="000000"/>
              <w:left w:val="single" w:sz="4" w:space="0" w:color="000000"/>
              <w:right w:val="single" w:sz="4" w:space="0" w:color="000000"/>
            </w:tcBorders>
          </w:tcPr>
          <w:p>
            <w:pP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本人除公司外的其他控股企业不直接或间接从事、参与或进行与公司的生产经</w:t>
            </w:r>
          </w:p>
        </w:tc>
        <w:tc>
          <w:tcPr>
            <w:tcW w:w="113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593" w:type="dxa"/>
            <w:vMerge/>
            <w:tcBorders>
              <w:left w:val="single" w:sz="4" w:space="0" w:color="000000"/>
              <w:right w:val="single" w:sz="4" w:space="0" w:color="000000"/>
            </w:tcBorders>
          </w:tcPr>
          <w:p>
            <w:pPr/>
          </w:p>
        </w:tc>
      </w:tr>
      <w:tr>
        <w:trPr>
          <w:trHeight w:val="357" w:hRule="exact"/>
        </w:trPr>
        <w:tc>
          <w:tcPr>
            <w:tcW w:w="1101"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62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营相竞争的任何经营活动。</w:t>
            </w:r>
          </w:p>
        </w:tc>
        <w:tc>
          <w:tcPr>
            <w:tcW w:w="113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593" w:type="dxa"/>
            <w:vMerge/>
            <w:tcBorders>
              <w:left w:val="single" w:sz="4" w:space="0" w:color="000000"/>
              <w:bottom w:val="single" w:sz="4" w:space="0" w:color="000000"/>
              <w:right w:val="single" w:sz="4" w:space="0" w:color="000000"/>
            </w:tcBorders>
          </w:tcPr>
          <w:p>
            <w:pPr/>
          </w:p>
        </w:tc>
      </w:tr>
      <w:tr>
        <w:trPr>
          <w:trHeight w:val="358" w:hRule="exact"/>
        </w:trPr>
        <w:tc>
          <w:tcPr>
            <w:tcW w:w="1101" w:type="dxa"/>
            <w:vMerge/>
            <w:tcBorders>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62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股东邵学作为公司控股股东及实际控制人、董事长兼总经理，股东吕宾、赵晓</w:t>
            </w:r>
          </w:p>
        </w:tc>
        <w:tc>
          <w:tcPr>
            <w:tcW w:w="1134"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59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明、任涛、王静、王川、冯显扬、黄福林、朱相宇、闻连茹、余晴燕作为公司</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的董事、监事、高级管理人员，承诺：自公司股票上市之日起三十六个月内，</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不转让或者委托他人管理其本次发行之前直接或间接持有的公司股份，也不由</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公司回购此部分股份。前述承诺期满后，在其任职期间每年转让的股份不超过</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邵学、吕宾、赵晓</w:t>
            </w: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其所持公司股份总数的百分之二十五；离职后半年内不转让其所持有的公司股</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86"/>
              <w:jc w:val="both"/>
              <w:rPr>
                <w:rFonts w:ascii="宋体" w:hAnsi="宋体" w:cs="宋体" w:eastAsia="宋体" w:hint="default"/>
                <w:sz w:val="18"/>
                <w:szCs w:val="18"/>
              </w:rPr>
            </w:pPr>
            <w:r>
              <w:rPr>
                <w:rFonts w:ascii="宋体" w:hAnsi="宋体" w:cs="宋体" w:eastAsia="宋体" w:hint="default"/>
                <w:sz w:val="18"/>
                <w:szCs w:val="18"/>
              </w:rPr>
              <w:t>明、任涛、王静、 王川、冯显扬、黄 福林、朱相宇、闻 连茹、余晴燕、王 秀花、王凯、黄天</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股份锁定承诺</w:t>
            </w: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81"/>
              <w:jc w:val="both"/>
              <w:rPr>
                <w:rFonts w:ascii="宋体" w:hAnsi="宋体" w:cs="宋体" w:eastAsia="宋体" w:hint="default"/>
                <w:sz w:val="18"/>
                <w:szCs w:val="18"/>
              </w:rPr>
            </w:pPr>
            <w:r>
              <w:rPr>
                <w:rFonts w:ascii="宋体" w:hAnsi="宋体" w:cs="宋体" w:eastAsia="宋体" w:hint="default"/>
                <w:sz w:val="18"/>
                <w:szCs w:val="18"/>
              </w:rPr>
              <w:t>份；在申报离任六个月后的十二个月内通过证券交易所挂牌交易出售公司股票 数量占其持有公司股票总数的比例不超过百分之五十。股东王秀花、王凯、黄 天菊分别作为吕宾、王静、黄福林的直系亲属，承诺：自发行人股票上市之日 起三十六个月内，不转让或者委托他人管理其本次发行之前直接或间接持有的 公司股份，也不由公司回购此部分股份。前述承诺期满后，在各自亲属任职期</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10</w:t>
            </w:r>
            <w:r>
              <w:rPr>
                <w:rFonts w:ascii="Arial" w:hAnsi="Arial" w:cs="Arial" w:eastAsia="Arial" w:hint="default"/>
                <w:spacing w:val="-7"/>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Arial" w:hAnsi="Arial" w:cs="Arial" w:eastAsia="Arial" w:hint="default"/>
                <w:sz w:val="18"/>
                <w:szCs w:val="18"/>
              </w:rPr>
              <w:t>26</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57"/>
              <w:jc w:val="both"/>
              <w:rPr>
                <w:rFonts w:ascii="宋体" w:hAnsi="宋体" w:cs="宋体" w:eastAsia="宋体" w:hint="default"/>
                <w:sz w:val="18"/>
                <w:szCs w:val="18"/>
              </w:rPr>
            </w:pPr>
            <w:r>
              <w:rPr>
                <w:rFonts w:ascii="宋体" w:hAnsi="宋体" w:cs="宋体" w:eastAsia="宋体" w:hint="default"/>
                <w:sz w:val="18"/>
                <w:szCs w:val="18"/>
              </w:rPr>
              <w:t>以上承诺有 效期为持有 华宇软件股 票期间。</w:t>
            </w:r>
          </w:p>
        </w:tc>
        <w:tc>
          <w:tcPr>
            <w:tcW w:w="15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0"/>
                <w:sz w:val="18"/>
                <w:szCs w:val="18"/>
              </w:rPr>
              <w:t>截至报告期末，承诺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方遵守以上承诺，未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有违反上述承诺的 情况。</w:t>
            </w: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菊等</w:t>
            </w: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间每年转让的股份不超过其所持公司股份总数的百分之二十五；在各自亲属离</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职后半年内不转让其所持有的公司股份；在各自亲属申报离任六个月后的十二</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个月内通过证券交易所挂牌交易出售公司股票数量占其持有公司股票总数的比</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例不超过百分之五十。其他股东承诺：自公司股票上市之日起十二个月内，不</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01"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转让或者委托他人管理本次发行之前持有的公司股份，也不由公司回购此部分</w:t>
            </w:r>
          </w:p>
        </w:tc>
        <w:tc>
          <w:tcPr>
            <w:tcW w:w="1134"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101"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62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w:t>
            </w:r>
          </w:p>
        </w:tc>
        <w:tc>
          <w:tcPr>
            <w:tcW w:w="1134"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593"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417" w:type="dxa"/>
            <w:vMerge w:val="restart"/>
            <w:tcBorders>
              <w:top w:val="single" w:sz="4" w:space="0" w:color="000000"/>
              <w:left w:val="single" w:sz="4" w:space="0" w:color="000000"/>
              <w:right w:val="single" w:sz="4" w:space="0" w:color="000000"/>
            </w:tcBorders>
          </w:tcPr>
          <w:p>
            <w:pPr/>
          </w:p>
        </w:tc>
        <w:tc>
          <w:tcPr>
            <w:tcW w:w="623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27"/>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Arial" w:hAnsi="Arial" w:cs="Arial" w:eastAsia="Arial" w:hint="default"/>
                <w:sz w:val="18"/>
                <w:szCs w:val="18"/>
              </w:rPr>
              <w:t>1</w:t>
            </w:r>
            <w:r>
              <w:rPr>
                <w:rFonts w:ascii="Arial" w:hAnsi="Arial" w:cs="Arial" w:eastAsia="Arial" w:hint="default"/>
                <w:spacing w:val="-27"/>
                <w:sz w:val="18"/>
                <w:szCs w:val="18"/>
              </w:rPr>
              <w:t> </w:t>
            </w:r>
            <w:r>
              <w:rPr>
                <w:rFonts w:ascii="宋体" w:hAnsi="宋体" w:cs="宋体" w:eastAsia="宋体" w:hint="default"/>
                <w:sz w:val="18"/>
                <w:szCs w:val="18"/>
              </w:rPr>
              <w:t>月</w:t>
            </w:r>
          </w:p>
        </w:tc>
        <w:tc>
          <w:tcPr>
            <w:tcW w:w="1593" w:type="dxa"/>
            <w:tcBorders>
              <w:top w:val="single" w:sz="4" w:space="0" w:color="000000"/>
              <w:left w:val="single" w:sz="4" w:space="0" w:color="000000"/>
              <w:bottom w:val="nil" w:sz="6" w:space="0" w:color="auto"/>
              <w:right w:val="single" w:sz="4" w:space="0" w:color="000000"/>
            </w:tcBorders>
          </w:tcPr>
          <w:p>
            <w:pPr/>
          </w:p>
        </w:tc>
      </w:tr>
      <w:tr>
        <w:trPr>
          <w:trHeight w:val="1179" w:hRule="exact"/>
        </w:trPr>
        <w:tc>
          <w:tcPr>
            <w:tcW w:w="1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股权激励承</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7" w:type="dxa"/>
            <w:vMerge/>
            <w:tcBorders>
              <w:left w:val="single" w:sz="4" w:space="0" w:color="000000"/>
              <w:right w:val="single" w:sz="4" w:space="0" w:color="000000"/>
            </w:tcBorders>
          </w:tcPr>
          <w:p>
            <w:pPr/>
          </w:p>
        </w:tc>
        <w:tc>
          <w:tcPr>
            <w:tcW w:w="623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09" w:lineRule="auto"/>
              <w:ind w:left="23" w:right="21"/>
              <w:jc w:val="left"/>
              <w:rPr>
                <w:rFonts w:ascii="宋体" w:hAnsi="宋体" w:cs="宋体" w:eastAsia="宋体" w:hint="default"/>
                <w:sz w:val="18"/>
                <w:szCs w:val="18"/>
              </w:rPr>
            </w:pPr>
            <w:r>
              <w:rPr>
                <w:rFonts w:ascii="宋体" w:hAnsi="宋体" w:cs="宋体" w:eastAsia="宋体" w:hint="default"/>
                <w:sz w:val="18"/>
                <w:szCs w:val="18"/>
              </w:rPr>
              <w:t>公司承诺持股</w:t>
            </w:r>
            <w:r>
              <w:rPr>
                <w:rFonts w:ascii="宋体" w:hAnsi="宋体" w:cs="宋体" w:eastAsia="宋体" w:hint="default"/>
                <w:spacing w:val="-30"/>
                <w:sz w:val="18"/>
                <w:szCs w:val="18"/>
              </w:rPr>
              <w:t> </w:t>
            </w:r>
            <w:r>
              <w:rPr>
                <w:rFonts w:ascii="Arial" w:hAnsi="Arial" w:cs="Arial" w:eastAsia="Arial" w:hint="default"/>
                <w:spacing w:val="-3"/>
                <w:sz w:val="18"/>
                <w:szCs w:val="18"/>
              </w:rPr>
              <w:t>5%</w:t>
            </w:r>
            <w:r>
              <w:rPr>
                <w:rFonts w:ascii="宋体" w:hAnsi="宋体" w:cs="宋体" w:eastAsia="宋体" w:hint="default"/>
                <w:spacing w:val="-3"/>
                <w:sz w:val="18"/>
                <w:szCs w:val="18"/>
              </w:rPr>
              <w:t>以上的主要股东或实际控制人及其配偶、直系近亲属未参与本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计划；公司承诺不为激励对象依本计划获取有关限制性股票提供贷款以及其他 任何形式的财务资助，包括为其贷款提供担保。</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4"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Arial" w:hAnsi="Arial" w:cs="Arial" w:eastAsia="Arial" w:hint="default"/>
                <w:sz w:val="18"/>
                <w:szCs w:val="18"/>
              </w:rPr>
              <w:t>01</w:t>
            </w:r>
            <w:r>
              <w:rPr>
                <w:rFonts w:ascii="Arial" w:hAnsi="Arial" w:cs="Arial" w:eastAsia="Arial"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Arial" w:hAnsi="Arial" w:cs="Arial" w:eastAsia="Arial" w:hint="default"/>
                <w:sz w:val="18"/>
                <w:szCs w:val="18"/>
              </w:rPr>
              <w:t>14</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12" w:lineRule="auto" w:before="6"/>
              <w:ind w:left="22" w:right="57"/>
              <w:jc w:val="left"/>
              <w:rPr>
                <w:rFonts w:ascii="宋体" w:hAnsi="宋体" w:cs="宋体" w:eastAsia="宋体" w:hint="default"/>
                <w:sz w:val="18"/>
                <w:szCs w:val="18"/>
              </w:rPr>
            </w:pPr>
            <w:r>
              <w:rPr>
                <w:rFonts w:ascii="Arial" w:hAnsi="Arial" w:cs="Arial" w:eastAsia="Arial" w:hint="default"/>
                <w:sz w:val="18"/>
                <w:szCs w:val="18"/>
              </w:rPr>
              <w:t>14</w:t>
            </w:r>
            <w:r>
              <w:rPr>
                <w:rFonts w:ascii="Arial" w:hAnsi="Arial" w:cs="Arial" w:eastAsia="Arial" w:hint="default"/>
                <w:spacing w:val="-7"/>
                <w:sz w:val="18"/>
                <w:szCs w:val="18"/>
              </w:rPr>
              <w:t> </w:t>
            </w:r>
            <w:r>
              <w:rPr>
                <w:rFonts w:ascii="宋体" w:hAnsi="宋体" w:cs="宋体" w:eastAsia="宋体" w:hint="default"/>
                <w:sz w:val="18"/>
                <w:szCs w:val="18"/>
              </w:rPr>
              <w:t>日至本 次限制性股 票激励计划 终止或有效</w:t>
            </w:r>
          </w:p>
        </w:tc>
        <w:tc>
          <w:tcPr>
            <w:tcW w:w="1593"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20"/>
              <w:jc w:val="both"/>
              <w:rPr>
                <w:rFonts w:ascii="宋体" w:hAnsi="宋体" w:cs="宋体" w:eastAsia="宋体" w:hint="default"/>
                <w:sz w:val="18"/>
                <w:szCs w:val="18"/>
              </w:rPr>
            </w:pPr>
            <w:r>
              <w:rPr>
                <w:rFonts w:ascii="宋体" w:hAnsi="宋体" w:cs="宋体" w:eastAsia="宋体" w:hint="default"/>
                <w:spacing w:val="-10"/>
                <w:sz w:val="18"/>
                <w:szCs w:val="18"/>
              </w:rPr>
              <w:t>截至报告期末，承诺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方遵守以上承诺，未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有违反上述承诺的</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情况。</w:t>
            </w:r>
          </w:p>
        </w:tc>
      </w:tr>
      <w:tr>
        <w:trPr>
          <w:trHeight w:val="422" w:hRule="exact"/>
        </w:trPr>
        <w:tc>
          <w:tcPr>
            <w:tcW w:w="1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81" w:lineRule="exact"/>
              <w:ind w:left="24"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623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期结束</w:t>
            </w:r>
          </w:p>
        </w:tc>
        <w:tc>
          <w:tcPr>
            <w:tcW w:w="1593" w:type="dxa"/>
            <w:tcBorders>
              <w:top w:val="nil" w:sz="6" w:space="0" w:color="auto"/>
              <w:left w:val="single" w:sz="4" w:space="0" w:color="000000"/>
              <w:bottom w:val="single" w:sz="4" w:space="0" w:color="000000"/>
              <w:right w:val="single" w:sz="4" w:space="0" w:color="000000"/>
            </w:tcBorders>
          </w:tcPr>
          <w:p>
            <w:pPr/>
          </w:p>
        </w:tc>
      </w:tr>
      <w:tr>
        <w:trPr>
          <w:trHeight w:val="984" w:hRule="exact"/>
        </w:trPr>
        <w:tc>
          <w:tcPr>
            <w:tcW w:w="1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7" w:type="dxa"/>
            <w:tcBorders>
              <w:top w:val="single" w:sz="4" w:space="0" w:color="000000"/>
              <w:left w:val="single" w:sz="4" w:space="0" w:color="000000"/>
              <w:bottom w:val="single" w:sz="4" w:space="0" w:color="000000"/>
              <w:right w:val="single" w:sz="4" w:space="0" w:color="000000"/>
            </w:tcBorders>
          </w:tcPr>
          <w:p>
            <w:pP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3" w:right="81"/>
              <w:jc w:val="left"/>
              <w:rPr>
                <w:rFonts w:ascii="宋体" w:hAnsi="宋体" w:cs="宋体" w:eastAsia="宋体" w:hint="default"/>
                <w:sz w:val="18"/>
                <w:szCs w:val="18"/>
              </w:rPr>
            </w:pPr>
            <w:r>
              <w:rPr>
                <w:rFonts w:ascii="宋体" w:hAnsi="宋体" w:cs="宋体" w:eastAsia="宋体" w:hint="default"/>
                <w:sz w:val="18"/>
                <w:szCs w:val="18"/>
              </w:rPr>
              <w:t>公司承诺不为激励对象依本计划获取有关限制性股票提供贷款以及其他任何形 式的财务资助，包括为其贷款提供担保。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Arial" w:hAnsi="Arial" w:cs="Arial" w:eastAsia="Arial" w:hint="default"/>
                <w:sz w:val="18"/>
                <w:szCs w:val="18"/>
              </w:rPr>
              <w:t>12</w:t>
            </w:r>
            <w:r>
              <w:rPr>
                <w:rFonts w:ascii="Arial" w:hAnsi="Arial" w:cs="Arial" w:eastAsia="Arial"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Arial" w:hAnsi="Arial" w:cs="Arial" w:eastAsia="Arial" w:hint="default"/>
                <w:sz w:val="18"/>
                <w:szCs w:val="18"/>
              </w:rPr>
              <w:t>01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Arial" w:hAnsi="Arial" w:cs="Arial" w:eastAsia="Arial" w:hint="default"/>
                <w:sz w:val="18"/>
                <w:szCs w:val="18"/>
              </w:rPr>
            </w:pPr>
            <w:r>
              <w:rPr>
                <w:rFonts w:ascii="Arial" w:hAnsi="Arial" w:cs="Arial" w:eastAsia="Arial" w:hint="default"/>
                <w:sz w:val="18"/>
                <w:szCs w:val="18"/>
              </w:rPr>
              <w:t>2016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12</w:t>
            </w:r>
          </w:p>
          <w:p>
            <w:pPr>
              <w:pStyle w:val="TableParagraph"/>
              <w:spacing w:line="302" w:lineRule="auto" w:before="63"/>
              <w:ind w:left="22" w:right="4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日至本 次限制性股</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10"/>
                <w:sz w:val="18"/>
                <w:szCs w:val="18"/>
              </w:rPr>
              <w:t>截至报告期末，承诺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方遵守以上承诺，未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有违反上述承诺的</w:t>
            </w:r>
          </w:p>
        </w:tc>
      </w:tr>
    </w:tbl>
    <w:p>
      <w:pPr>
        <w:spacing w:after="0" w:line="316" w:lineRule="auto"/>
        <w:jc w:val="both"/>
        <w:rPr>
          <w:rFonts w:ascii="宋体" w:hAnsi="宋体" w:cs="宋体" w:eastAsia="宋体" w:hint="default"/>
          <w:sz w:val="18"/>
          <w:szCs w:val="18"/>
        </w:rPr>
        <w:sectPr>
          <w:pgSz w:w="16840" w:h="11910" w:orient="landscape"/>
          <w:pgMar w:header="868" w:footer="978" w:top="1060" w:bottom="1160" w:left="1320" w:right="1240"/>
        </w:sectPr>
      </w:pPr>
    </w:p>
    <w:p>
      <w:pPr>
        <w:spacing w:line="240" w:lineRule="auto" w:before="1"/>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101"/>
        <w:gridCol w:w="1560"/>
        <w:gridCol w:w="1417"/>
        <w:gridCol w:w="6237"/>
        <w:gridCol w:w="1134"/>
        <w:gridCol w:w="992"/>
        <w:gridCol w:w="1593"/>
      </w:tblGrid>
      <w:tr>
        <w:trPr>
          <w:trHeight w:val="1001" w:hRule="exact"/>
        </w:trPr>
        <w:tc>
          <w:tcPr>
            <w:tcW w:w="1101" w:type="dxa"/>
            <w:vMerge w:val="restart"/>
            <w:tcBorders>
              <w:top w:val="single" w:sz="16" w:space="0" w:color="000000"/>
              <w:left w:val="single" w:sz="4" w:space="0" w:color="000000"/>
              <w:right w:val="single" w:sz="4" w:space="0" w:color="000000"/>
            </w:tcBorders>
            <w:shd w:val="clear" w:color="auto" w:fill="D2D2D2"/>
          </w:tcPr>
          <w:p>
            <w:pPr/>
          </w:p>
        </w:tc>
        <w:tc>
          <w:tcPr>
            <w:tcW w:w="1560" w:type="dxa"/>
            <w:tcBorders>
              <w:top w:val="single" w:sz="16" w:space="0" w:color="000000"/>
              <w:left w:val="single" w:sz="4" w:space="0" w:color="000000"/>
              <w:bottom w:val="single" w:sz="4" w:space="0" w:color="000000"/>
              <w:right w:val="single" w:sz="4" w:space="0" w:color="000000"/>
            </w:tcBorders>
          </w:tcPr>
          <w:p>
            <w:pPr/>
          </w:p>
        </w:tc>
        <w:tc>
          <w:tcPr>
            <w:tcW w:w="1417" w:type="dxa"/>
            <w:tcBorders>
              <w:top w:val="single" w:sz="16" w:space="0" w:color="000000"/>
              <w:left w:val="single" w:sz="4" w:space="0" w:color="000000"/>
              <w:bottom w:val="single" w:sz="4" w:space="0" w:color="000000"/>
              <w:right w:val="single" w:sz="4" w:space="0" w:color="000000"/>
            </w:tcBorders>
          </w:tcPr>
          <w:p>
            <w:pPr/>
          </w:p>
        </w:tc>
        <w:tc>
          <w:tcPr>
            <w:tcW w:w="6237" w:type="dxa"/>
            <w:tcBorders>
              <w:top w:val="single" w:sz="16" w:space="0" w:color="000000"/>
              <w:left w:val="single" w:sz="4" w:space="0" w:color="000000"/>
              <w:bottom w:val="single" w:sz="4" w:space="0" w:color="000000"/>
              <w:right w:val="single" w:sz="4" w:space="0" w:color="000000"/>
            </w:tcBorders>
          </w:tcPr>
          <w:p>
            <w:pPr/>
          </w:p>
        </w:tc>
        <w:tc>
          <w:tcPr>
            <w:tcW w:w="1134" w:type="dxa"/>
            <w:tcBorders>
              <w:top w:val="single" w:sz="16" w:space="0" w:color="000000"/>
              <w:left w:val="single" w:sz="4" w:space="0" w:color="000000"/>
              <w:bottom w:val="single" w:sz="4" w:space="0" w:color="000000"/>
              <w:right w:val="single" w:sz="4" w:space="0" w:color="000000"/>
            </w:tcBorders>
          </w:tcPr>
          <w:p>
            <w:pPr/>
          </w:p>
        </w:tc>
        <w:tc>
          <w:tcPr>
            <w:tcW w:w="992" w:type="dxa"/>
            <w:tcBorders>
              <w:top w:val="single" w:sz="16" w:space="0" w:color="000000"/>
              <w:left w:val="single" w:sz="4" w:space="0" w:color="000000"/>
              <w:bottom w:val="single" w:sz="4" w:space="0" w:color="000000"/>
              <w:right w:val="single" w:sz="4" w:space="0" w:color="000000"/>
            </w:tcBorders>
          </w:tcPr>
          <w:p>
            <w:pPr>
              <w:pStyle w:val="TableParagraph"/>
              <w:spacing w:line="316" w:lineRule="auto" w:before="10"/>
              <w:ind w:left="22" w:right="57"/>
              <w:jc w:val="both"/>
              <w:rPr>
                <w:rFonts w:ascii="宋体" w:hAnsi="宋体" w:cs="宋体" w:eastAsia="宋体" w:hint="default"/>
                <w:sz w:val="18"/>
                <w:szCs w:val="18"/>
              </w:rPr>
            </w:pPr>
            <w:r>
              <w:rPr>
                <w:rFonts w:ascii="宋体" w:hAnsi="宋体" w:cs="宋体" w:eastAsia="宋体" w:hint="default"/>
                <w:sz w:val="18"/>
                <w:szCs w:val="18"/>
              </w:rPr>
              <w:t>票激励计划 终止或有效 期结束</w:t>
            </w:r>
          </w:p>
        </w:tc>
        <w:tc>
          <w:tcPr>
            <w:tcW w:w="1593"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1962" w:hRule="exact"/>
        </w:trPr>
        <w:tc>
          <w:tcPr>
            <w:tcW w:w="1101"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7" w:type="dxa"/>
            <w:tcBorders>
              <w:top w:val="single" w:sz="4" w:space="0" w:color="000000"/>
              <w:left w:val="single" w:sz="4" w:space="0" w:color="000000"/>
              <w:bottom w:val="single" w:sz="4" w:space="0" w:color="000000"/>
              <w:right w:val="single" w:sz="4" w:space="0" w:color="000000"/>
            </w:tcBorders>
          </w:tcPr>
          <w:p>
            <w:pP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81"/>
              <w:jc w:val="left"/>
              <w:rPr>
                <w:rFonts w:ascii="宋体" w:hAnsi="宋体" w:cs="宋体" w:eastAsia="宋体" w:hint="default"/>
                <w:sz w:val="18"/>
                <w:szCs w:val="18"/>
              </w:rPr>
            </w:pPr>
            <w:r>
              <w:rPr>
                <w:rFonts w:ascii="宋体" w:hAnsi="宋体" w:cs="宋体" w:eastAsia="宋体" w:hint="default"/>
                <w:sz w:val="18"/>
                <w:szCs w:val="18"/>
              </w:rPr>
              <w:t>公司承诺不为激励对象依本计划获取的股票期权行权提供贷款以及其他任何形 式的财务资助，包括为其贷款提供担保。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Arial" w:hAnsi="Arial" w:cs="Arial" w:eastAsia="Arial" w:hint="default"/>
                <w:sz w:val="18"/>
                <w:szCs w:val="18"/>
              </w:rPr>
              <w:t>12</w:t>
            </w:r>
            <w:r>
              <w:rPr>
                <w:rFonts w:ascii="Arial" w:hAnsi="Arial" w:cs="Arial" w:eastAsia="Arial"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Arial" w:hAnsi="Arial" w:cs="Arial" w:eastAsia="Arial" w:hint="default"/>
                <w:sz w:val="18"/>
                <w:szCs w:val="18"/>
              </w:rPr>
              <w:t>04</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Arial" w:hAnsi="Arial" w:cs="Arial" w:eastAsia="Arial" w:hint="default"/>
                <w:sz w:val="18"/>
                <w:szCs w:val="18"/>
              </w:rPr>
            </w:pPr>
            <w:r>
              <w:rPr>
                <w:rFonts w:ascii="Arial" w:hAnsi="Arial" w:cs="Arial" w:eastAsia="Arial" w:hint="default"/>
                <w:sz w:val="18"/>
                <w:szCs w:val="18"/>
              </w:rPr>
              <w:t>2018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12</w:t>
            </w:r>
          </w:p>
          <w:p>
            <w:pPr>
              <w:pStyle w:val="TableParagraph"/>
              <w:spacing w:line="314" w:lineRule="auto" w:before="63"/>
              <w:ind w:left="22" w:right="47"/>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7"/>
                <w:sz w:val="18"/>
                <w:szCs w:val="18"/>
              </w:rPr>
              <w:t> </w:t>
            </w:r>
            <w:r>
              <w:rPr>
                <w:rFonts w:ascii="宋体" w:hAnsi="宋体" w:cs="宋体" w:eastAsia="宋体" w:hint="default"/>
                <w:sz w:val="18"/>
                <w:szCs w:val="18"/>
              </w:rPr>
              <w:t>日至本 次股票期权 激励计划终 止或有效期 结束</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0"/>
              <w:jc w:val="left"/>
              <w:rPr>
                <w:rFonts w:ascii="宋体" w:hAnsi="宋体" w:cs="宋体" w:eastAsia="宋体" w:hint="default"/>
                <w:sz w:val="18"/>
                <w:szCs w:val="18"/>
              </w:rPr>
            </w:pPr>
            <w:r>
              <w:rPr>
                <w:rFonts w:ascii="宋体" w:hAnsi="宋体" w:cs="宋体" w:eastAsia="宋体" w:hint="default"/>
                <w:spacing w:val="-10"/>
                <w:sz w:val="18"/>
                <w:szCs w:val="18"/>
              </w:rPr>
              <w:t>截至报告期末，承诺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方遵守以上承诺，未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有违反上述承诺的 情况。</w:t>
            </w:r>
          </w:p>
        </w:tc>
      </w:tr>
      <w:tr>
        <w:trPr>
          <w:trHeight w:val="714" w:hRule="exact"/>
        </w:trPr>
        <w:tc>
          <w:tcPr>
            <w:tcW w:w="1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4" w:right="165"/>
              <w:jc w:val="left"/>
              <w:rPr>
                <w:rFonts w:ascii="宋体" w:hAnsi="宋体" w:cs="宋体" w:eastAsia="宋体" w:hint="default"/>
                <w:sz w:val="18"/>
                <w:szCs w:val="18"/>
              </w:rPr>
            </w:pPr>
            <w:r>
              <w:rPr>
                <w:rFonts w:ascii="宋体" w:hAnsi="宋体" w:cs="宋体" w:eastAsia="宋体" w:hint="default"/>
                <w:sz w:val="18"/>
                <w:szCs w:val="18"/>
              </w:rPr>
              <w:t>承诺是否按 时履行</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6840" w:h="11910" w:orient="landscape"/>
          <w:pgMar w:header="868" w:footer="978" w:top="1060" w:bottom="1160" w:left="1320" w:right="1240"/>
        </w:sectPr>
      </w:pPr>
    </w:p>
    <w:p>
      <w:pPr>
        <w:spacing w:line="240" w:lineRule="auto" w:before="9"/>
        <w:rPr>
          <w:rFonts w:ascii="Times New Roman" w:hAnsi="Times New Roman" w:cs="Times New Roman" w:eastAsia="Times New Roman" w:hint="default"/>
          <w:sz w:val="23"/>
          <w:szCs w:val="23"/>
        </w:rPr>
      </w:pPr>
    </w:p>
    <w:p>
      <w:pPr>
        <w:pStyle w:val="Heading4"/>
        <w:spacing w:line="259" w:lineRule="auto" w:before="34"/>
        <w:ind w:right="996"/>
        <w:jc w:val="left"/>
        <w:rPr>
          <w:b w:val="0"/>
          <w:bCs w:val="0"/>
        </w:rPr>
      </w:pPr>
      <w:bookmarkStart w:name="2、公司资产或项目存在盈利预测，且报告期仍处在盈利预测期间，公司就资产或项目达到" w:id="65"/>
      <w:bookmarkEnd w:id="65"/>
      <w:r>
        <w:rPr>
          <w:b w:val="0"/>
          <w:bCs w:val="0"/>
        </w:rPr>
      </w:r>
      <w:r>
        <w:rPr>
          <w:rFonts w:ascii="Arial" w:hAnsi="Arial" w:cs="Arial" w:eastAsia="Arial" w:hint="default"/>
          <w:spacing w:val="2"/>
          <w:w w:val="95"/>
        </w:rPr>
        <w:t>2</w:t>
      </w:r>
      <w:r>
        <w:rPr>
          <w:spacing w:val="2"/>
          <w:w w:val="95"/>
        </w:rPr>
        <w:t>、公司资产或项目存在盈利预测，且报告期仍处在盈利预测期间，公司就资产或项目达到原盈利预测及</w:t>
      </w:r>
      <w:r>
        <w:rPr>
          <w:spacing w:val="31"/>
          <w:w w:val="95"/>
        </w:rPr>
        <w:t> </w:t>
      </w:r>
      <w:r>
        <w:rPr>
          <w:spacing w:val="31"/>
          <w:w w:val="95"/>
        </w:rPr>
      </w:r>
      <w:r>
        <w:rPr/>
        <w:t>其原因做出说明</w:t>
      </w:r>
      <w:r>
        <w:rPr>
          <w:b w:val="0"/>
          <w:bCs w:val="0"/>
        </w:rPr>
      </w:r>
    </w:p>
    <w:p>
      <w:pPr>
        <w:spacing w:line="240" w:lineRule="auto" w:before="9"/>
        <w:rPr>
          <w:rFonts w:ascii="宋体" w:hAnsi="宋体" w:cs="宋体" w:eastAsia="宋体" w:hint="default"/>
          <w:b/>
          <w:bCs/>
          <w:sz w:val="22"/>
          <w:szCs w:val="22"/>
        </w:rPr>
      </w:pPr>
    </w:p>
    <w:p>
      <w:pPr>
        <w:pStyle w:val="Heading3"/>
        <w:spacing w:line="240" w:lineRule="auto"/>
        <w:ind w:right="996"/>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6"/>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1276"/>
        <w:gridCol w:w="1276"/>
        <w:gridCol w:w="1034"/>
        <w:gridCol w:w="1196"/>
        <w:gridCol w:w="1139"/>
        <w:gridCol w:w="1276"/>
        <w:gridCol w:w="1175"/>
        <w:gridCol w:w="1196"/>
      </w:tblGrid>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4"/>
              <w:ind w:left="109" w:right="106"/>
              <w:jc w:val="center"/>
              <w:rPr>
                <w:rFonts w:ascii="宋体" w:hAnsi="宋体" w:cs="宋体" w:eastAsia="宋体" w:hint="default"/>
                <w:sz w:val="21"/>
                <w:szCs w:val="21"/>
              </w:rPr>
            </w:pPr>
            <w:r>
              <w:rPr>
                <w:rFonts w:ascii="宋体" w:hAnsi="宋体" w:cs="宋体" w:eastAsia="宋体" w:hint="default"/>
                <w:sz w:val="21"/>
                <w:szCs w:val="21"/>
              </w:rPr>
              <w:t>盈利预测资</w:t>
            </w:r>
            <w:r>
              <w:rPr>
                <w:rFonts w:ascii="宋体" w:hAnsi="宋体" w:cs="宋体" w:eastAsia="宋体" w:hint="default"/>
                <w:w w:val="99"/>
                <w:sz w:val="21"/>
                <w:szCs w:val="21"/>
              </w:rPr>
              <w:t> </w:t>
            </w:r>
            <w:r>
              <w:rPr>
                <w:rFonts w:ascii="宋体" w:hAnsi="宋体" w:cs="宋体" w:eastAsia="宋体" w:hint="default"/>
                <w:sz w:val="21"/>
                <w:szCs w:val="21"/>
              </w:rPr>
              <w:t>产或项目名</w:t>
            </w:r>
            <w:r>
              <w:rPr>
                <w:rFonts w:ascii="宋体" w:hAnsi="宋体" w:cs="宋体" w:eastAsia="宋体" w:hint="default"/>
                <w:w w:val="99"/>
                <w:sz w:val="21"/>
                <w:szCs w:val="21"/>
              </w:rPr>
              <w:t> </w:t>
            </w:r>
            <w:r>
              <w:rPr>
                <w:rFonts w:ascii="宋体" w:hAnsi="宋体" w:cs="宋体" w:eastAsia="宋体" w:hint="default"/>
                <w:sz w:val="21"/>
                <w:szCs w:val="21"/>
              </w:rPr>
              <w:t>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3"/>
                <w:szCs w:val="13"/>
              </w:rPr>
            </w:pPr>
          </w:p>
          <w:p>
            <w:pPr>
              <w:pStyle w:val="TableParagraph"/>
              <w:spacing w:line="273" w:lineRule="auto"/>
              <w:ind w:left="527" w:right="107" w:hanging="420"/>
              <w:jc w:val="left"/>
              <w:rPr>
                <w:rFonts w:ascii="宋体" w:hAnsi="宋体" w:cs="宋体" w:eastAsia="宋体" w:hint="default"/>
                <w:sz w:val="21"/>
                <w:szCs w:val="21"/>
              </w:rPr>
            </w:pPr>
            <w:r>
              <w:rPr>
                <w:rFonts w:ascii="宋体" w:hAnsi="宋体" w:cs="宋体" w:eastAsia="宋体" w:hint="default"/>
                <w:sz w:val="21"/>
                <w:szCs w:val="21"/>
              </w:rPr>
              <w:t>预测起始时</w:t>
            </w:r>
            <w:r>
              <w:rPr>
                <w:rFonts w:ascii="宋体" w:hAnsi="宋体" w:cs="宋体" w:eastAsia="宋体" w:hint="default"/>
                <w:w w:val="99"/>
                <w:sz w:val="21"/>
                <w:szCs w:val="21"/>
              </w:rPr>
              <w:t> </w:t>
            </w:r>
            <w:r>
              <w:rPr>
                <w:rFonts w:ascii="宋体" w:hAnsi="宋体" w:cs="宋体" w:eastAsia="宋体" w:hint="default"/>
                <w:sz w:val="21"/>
                <w:szCs w:val="21"/>
              </w:rPr>
              <w:t>间</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3"/>
                <w:szCs w:val="13"/>
              </w:rPr>
            </w:pPr>
          </w:p>
          <w:p>
            <w:pPr>
              <w:pStyle w:val="TableParagraph"/>
              <w:spacing w:line="273" w:lineRule="auto"/>
              <w:ind w:left="302" w:right="93" w:hanging="212"/>
              <w:jc w:val="left"/>
              <w:rPr>
                <w:rFonts w:ascii="宋体" w:hAnsi="宋体" w:cs="宋体" w:eastAsia="宋体" w:hint="default"/>
                <w:sz w:val="21"/>
                <w:szCs w:val="21"/>
              </w:rPr>
            </w:pPr>
            <w:r>
              <w:rPr>
                <w:rFonts w:ascii="宋体" w:hAnsi="宋体" w:cs="宋体" w:eastAsia="宋体" w:hint="default"/>
                <w:sz w:val="21"/>
                <w:szCs w:val="21"/>
              </w:rPr>
              <w:t>预测终止</w:t>
            </w:r>
            <w:r>
              <w:rPr>
                <w:rFonts w:ascii="宋体" w:hAnsi="宋体" w:cs="宋体" w:eastAsia="宋体" w:hint="default"/>
                <w:w w:val="99"/>
                <w:sz w:val="21"/>
                <w:szCs w:val="21"/>
              </w:rPr>
              <w:t> </w:t>
            </w:r>
            <w:r>
              <w:rPr>
                <w:rFonts w:ascii="宋体" w:hAnsi="宋体" w:cs="宋体" w:eastAsia="宋体" w:hint="default"/>
                <w:sz w:val="21"/>
                <w:szCs w:val="21"/>
              </w:rPr>
              <w:t>时间</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3"/>
                <w:szCs w:val="13"/>
              </w:rPr>
            </w:pPr>
          </w:p>
          <w:p>
            <w:pPr>
              <w:pStyle w:val="TableParagraph"/>
              <w:spacing w:line="273" w:lineRule="auto"/>
              <w:ind w:left="67" w:right="67"/>
              <w:jc w:val="left"/>
              <w:rPr>
                <w:rFonts w:ascii="宋体" w:hAnsi="宋体" w:cs="宋体" w:eastAsia="宋体" w:hint="default"/>
                <w:sz w:val="21"/>
                <w:szCs w:val="21"/>
              </w:rPr>
            </w:pPr>
            <w:r>
              <w:rPr>
                <w:rFonts w:ascii="宋体" w:hAnsi="宋体" w:cs="宋体" w:eastAsia="宋体" w:hint="default"/>
                <w:sz w:val="21"/>
                <w:szCs w:val="21"/>
              </w:rPr>
              <w:t>当期预测业</w:t>
            </w:r>
            <w:r>
              <w:rPr>
                <w:rFonts w:ascii="宋体" w:hAnsi="宋体" w:cs="宋体" w:eastAsia="宋体" w:hint="default"/>
                <w:w w:val="99"/>
                <w:sz w:val="21"/>
                <w:szCs w:val="21"/>
              </w:rPr>
              <w:t> </w:t>
            </w:r>
            <w:r>
              <w:rPr>
                <w:rFonts w:ascii="宋体" w:hAnsi="宋体" w:cs="宋体" w:eastAsia="宋体" w:hint="default"/>
                <w:sz w:val="21"/>
                <w:szCs w:val="21"/>
              </w:rPr>
              <w:t>绩（万元）</w:t>
            </w:r>
          </w:p>
        </w:tc>
        <w:tc>
          <w:tcPr>
            <w:tcW w:w="1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3"/>
                <w:szCs w:val="13"/>
              </w:rPr>
            </w:pPr>
          </w:p>
          <w:p>
            <w:pPr>
              <w:pStyle w:val="TableParagraph"/>
              <w:spacing w:line="273" w:lineRule="auto"/>
              <w:ind w:left="38" w:right="40"/>
              <w:jc w:val="left"/>
              <w:rPr>
                <w:rFonts w:ascii="宋体" w:hAnsi="宋体" w:cs="宋体" w:eastAsia="宋体" w:hint="default"/>
                <w:sz w:val="21"/>
                <w:szCs w:val="21"/>
              </w:rPr>
            </w:pPr>
            <w:r>
              <w:rPr>
                <w:rFonts w:ascii="宋体" w:hAnsi="宋体" w:cs="宋体" w:eastAsia="宋体" w:hint="default"/>
                <w:sz w:val="21"/>
                <w:szCs w:val="21"/>
              </w:rPr>
              <w:t>当期实际业</w:t>
            </w:r>
            <w:r>
              <w:rPr>
                <w:rFonts w:ascii="宋体" w:hAnsi="宋体" w:cs="宋体" w:eastAsia="宋体" w:hint="default"/>
                <w:w w:val="99"/>
                <w:sz w:val="21"/>
                <w:szCs w:val="21"/>
              </w:rPr>
              <w:t> </w:t>
            </w:r>
            <w:r>
              <w:rPr>
                <w:rFonts w:ascii="宋体" w:hAnsi="宋体" w:cs="宋体" w:eastAsia="宋体" w:hint="default"/>
                <w:sz w:val="21"/>
                <w:szCs w:val="21"/>
              </w:rPr>
              <w:t>绩（万元）</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4"/>
              <w:ind w:left="109" w:right="106"/>
              <w:jc w:val="center"/>
              <w:rPr>
                <w:rFonts w:ascii="宋体" w:hAnsi="宋体" w:cs="宋体" w:eastAsia="宋体" w:hint="default"/>
                <w:sz w:val="21"/>
                <w:szCs w:val="21"/>
              </w:rPr>
            </w:pPr>
            <w:r>
              <w:rPr>
                <w:rFonts w:ascii="宋体" w:hAnsi="宋体" w:cs="宋体" w:eastAsia="宋体" w:hint="default"/>
                <w:sz w:val="21"/>
                <w:szCs w:val="21"/>
              </w:rPr>
              <w:t>未达预测的</w:t>
            </w:r>
            <w:r>
              <w:rPr>
                <w:rFonts w:ascii="宋体" w:hAnsi="宋体" w:cs="宋体" w:eastAsia="宋体" w:hint="default"/>
                <w:w w:val="99"/>
                <w:sz w:val="21"/>
                <w:szCs w:val="21"/>
              </w:rPr>
              <w:t> </w:t>
            </w:r>
            <w:r>
              <w:rPr>
                <w:rFonts w:ascii="宋体" w:hAnsi="宋体" w:cs="宋体" w:eastAsia="宋体" w:hint="default"/>
                <w:sz w:val="21"/>
                <w:szCs w:val="21"/>
              </w:rPr>
              <w:t>原因（如适</w:t>
            </w:r>
            <w:r>
              <w:rPr>
                <w:rFonts w:ascii="宋体" w:hAnsi="宋体" w:cs="宋体" w:eastAsia="宋体" w:hint="default"/>
                <w:w w:val="99"/>
                <w:sz w:val="21"/>
                <w:szCs w:val="21"/>
              </w:rPr>
              <w:t> </w:t>
            </w:r>
            <w:r>
              <w:rPr>
                <w:rFonts w:ascii="宋体" w:hAnsi="宋体" w:cs="宋体" w:eastAsia="宋体" w:hint="default"/>
                <w:sz w:val="21"/>
                <w:szCs w:val="21"/>
              </w:rPr>
              <w:t>用）</w:t>
            </w:r>
          </w:p>
        </w:tc>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3"/>
                <w:szCs w:val="13"/>
              </w:rPr>
            </w:pPr>
          </w:p>
          <w:p>
            <w:pPr>
              <w:pStyle w:val="TableParagraph"/>
              <w:spacing w:line="273" w:lineRule="auto"/>
              <w:ind w:left="371" w:right="57" w:hanging="315"/>
              <w:jc w:val="left"/>
              <w:rPr>
                <w:rFonts w:ascii="宋体" w:hAnsi="宋体" w:cs="宋体" w:eastAsia="宋体" w:hint="default"/>
                <w:sz w:val="21"/>
                <w:szCs w:val="21"/>
              </w:rPr>
            </w:pPr>
            <w:r>
              <w:rPr>
                <w:rFonts w:ascii="宋体" w:hAnsi="宋体" w:cs="宋体" w:eastAsia="宋体" w:hint="default"/>
                <w:sz w:val="21"/>
                <w:szCs w:val="21"/>
              </w:rPr>
              <w:t>原预测披露</w:t>
            </w:r>
            <w:r>
              <w:rPr>
                <w:rFonts w:ascii="宋体" w:hAnsi="宋体" w:cs="宋体" w:eastAsia="宋体" w:hint="default"/>
                <w:w w:val="99"/>
                <w:sz w:val="21"/>
                <w:szCs w:val="21"/>
              </w:rPr>
              <w:t> </w:t>
            </w:r>
            <w:r>
              <w:rPr>
                <w:rFonts w:ascii="宋体" w:hAnsi="宋体" w:cs="宋体" w:eastAsia="宋体" w:hint="default"/>
                <w:sz w:val="21"/>
                <w:szCs w:val="21"/>
              </w:rPr>
              <w:t>日期</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3"/>
                <w:szCs w:val="13"/>
              </w:rPr>
            </w:pPr>
          </w:p>
          <w:p>
            <w:pPr>
              <w:pStyle w:val="TableParagraph"/>
              <w:spacing w:line="273" w:lineRule="auto"/>
              <w:ind w:left="381" w:right="67" w:hanging="315"/>
              <w:jc w:val="left"/>
              <w:rPr>
                <w:rFonts w:ascii="宋体" w:hAnsi="宋体" w:cs="宋体" w:eastAsia="宋体" w:hint="default"/>
                <w:sz w:val="21"/>
                <w:szCs w:val="21"/>
              </w:rPr>
            </w:pPr>
            <w:r>
              <w:rPr>
                <w:rFonts w:ascii="宋体" w:hAnsi="宋体" w:cs="宋体" w:eastAsia="宋体" w:hint="default"/>
                <w:sz w:val="21"/>
                <w:szCs w:val="21"/>
              </w:rPr>
              <w:t>原预测披露</w:t>
            </w:r>
            <w:r>
              <w:rPr>
                <w:rFonts w:ascii="宋体" w:hAnsi="宋体" w:cs="宋体" w:eastAsia="宋体" w:hint="default"/>
                <w:w w:val="99"/>
                <w:sz w:val="21"/>
                <w:szCs w:val="21"/>
              </w:rPr>
              <w:t> </w:t>
            </w:r>
            <w:r>
              <w:rPr>
                <w:rFonts w:ascii="宋体" w:hAnsi="宋体" w:cs="宋体" w:eastAsia="宋体" w:hint="default"/>
                <w:sz w:val="21"/>
                <w:szCs w:val="21"/>
              </w:rPr>
              <w:t>索引</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4"/>
              <w:jc w:val="left"/>
              <w:rPr>
                <w:rFonts w:ascii="宋体" w:hAnsi="宋体" w:cs="宋体" w:eastAsia="宋体" w:hint="default"/>
                <w:sz w:val="21"/>
                <w:szCs w:val="21"/>
              </w:rPr>
            </w:pPr>
            <w:r>
              <w:rPr>
                <w:rFonts w:ascii="宋体" w:hAnsi="宋体" w:cs="宋体" w:eastAsia="宋体" w:hint="default"/>
                <w:sz w:val="21"/>
                <w:szCs w:val="21"/>
              </w:rPr>
              <w:t>收购联奕科</w:t>
            </w:r>
            <w:r>
              <w:rPr>
                <w:rFonts w:ascii="宋体" w:hAnsi="宋体" w:cs="宋体" w:eastAsia="宋体" w:hint="default"/>
                <w:w w:val="99"/>
                <w:sz w:val="21"/>
                <w:szCs w:val="21"/>
              </w:rPr>
              <w:t> </w:t>
            </w:r>
            <w:r>
              <w:rPr>
                <w:rFonts w:ascii="宋体" w:hAnsi="宋体" w:cs="宋体" w:eastAsia="宋体" w:hint="default"/>
                <w:sz w:val="21"/>
                <w:szCs w:val="21"/>
              </w:rPr>
              <w:t>技</w:t>
            </w:r>
            <w:r>
              <w:rPr>
                <w:rFonts w:ascii="宋体" w:hAnsi="宋体" w:cs="宋体" w:eastAsia="宋体" w:hint="default"/>
                <w:spacing w:val="-58"/>
                <w:sz w:val="21"/>
                <w:szCs w:val="21"/>
              </w:rPr>
              <w:t> </w:t>
            </w:r>
            <w:r>
              <w:rPr>
                <w:rFonts w:ascii="Arial" w:hAnsi="Arial" w:cs="Arial" w:eastAsia="Arial" w:hint="default"/>
                <w:sz w:val="21"/>
                <w:szCs w:val="21"/>
              </w:rPr>
              <w:t>100%</w:t>
            </w:r>
            <w:r>
              <w:rPr>
                <w:rFonts w:ascii="宋体" w:hAnsi="宋体" w:cs="宋体" w:eastAsia="宋体" w:hint="default"/>
                <w:sz w:val="21"/>
                <w:szCs w:val="21"/>
              </w:rPr>
              <w:t>股权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28"/>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Arial" w:hAnsi="Arial" w:cs="Arial" w:eastAsia="Arial" w:hint="default"/>
                <w:sz w:val="21"/>
                <w:szCs w:val="21"/>
              </w:rPr>
              <w:t>01</w:t>
            </w:r>
            <w:r>
              <w:rPr>
                <w:rFonts w:ascii="Arial" w:hAnsi="Arial" w:cs="Arial" w:eastAsia="Arial" w:hint="default"/>
                <w:spacing w:val="-26"/>
                <w:sz w:val="21"/>
                <w:szCs w:val="21"/>
              </w:rPr>
              <w:t> </w:t>
            </w:r>
            <w:r>
              <w:rPr>
                <w:rFonts w:ascii="宋体" w:hAnsi="宋体" w:cs="宋体" w:eastAsia="宋体" w:hint="default"/>
                <w:sz w:val="21"/>
                <w:szCs w:val="21"/>
              </w:rPr>
              <w:t>月</w:t>
            </w:r>
          </w:p>
          <w:p>
            <w:pPr>
              <w:pStyle w:val="TableParagraph"/>
              <w:spacing w:line="240" w:lineRule="auto" w:before="22"/>
              <w:ind w:left="23" w:right="0"/>
              <w:jc w:val="left"/>
              <w:rPr>
                <w:rFonts w:ascii="宋体" w:hAnsi="宋体" w:cs="宋体" w:eastAsia="宋体" w:hint="default"/>
                <w:sz w:val="21"/>
                <w:szCs w:val="21"/>
              </w:rPr>
            </w:pPr>
            <w:r>
              <w:rPr>
                <w:rFonts w:ascii="Arial" w:hAnsi="Arial" w:cs="Arial" w:eastAsia="Arial" w:hint="default"/>
                <w:sz w:val="21"/>
                <w:szCs w:val="21"/>
              </w:rPr>
              <w:t>01</w:t>
            </w:r>
            <w:r>
              <w:rPr>
                <w:rFonts w:ascii="Arial" w:hAnsi="Arial" w:cs="Arial" w:eastAsia="Arial" w:hint="default"/>
                <w:spacing w:val="-9"/>
                <w:sz w:val="21"/>
                <w:szCs w:val="21"/>
              </w:rPr>
              <w:t> </w:t>
            </w:r>
            <w:r>
              <w:rPr>
                <w:rFonts w:ascii="宋体" w:hAnsi="宋体" w:cs="宋体" w:eastAsia="宋体" w:hint="default"/>
                <w:sz w:val="21"/>
                <w:szCs w:val="21"/>
              </w:rPr>
              <w:t>日</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1" w:right="0"/>
              <w:jc w:val="left"/>
              <w:rPr>
                <w:rFonts w:ascii="Arial" w:hAnsi="Arial" w:cs="Arial" w:eastAsia="Arial" w:hint="default"/>
                <w:sz w:val="21"/>
                <w:szCs w:val="21"/>
              </w:rPr>
            </w:pPr>
            <w:r>
              <w:rPr>
                <w:rFonts w:ascii="Arial" w:hAnsi="Arial" w:cs="Arial" w:eastAsia="Arial" w:hint="default"/>
                <w:sz w:val="21"/>
                <w:szCs w:val="21"/>
              </w:rPr>
              <w:t>2018</w:t>
            </w:r>
            <w:r>
              <w:rPr>
                <w:rFonts w:ascii="Arial" w:hAnsi="Arial" w:cs="Arial" w:eastAsia="Arial" w:hint="default"/>
                <w:spacing w:val="-26"/>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Arial" w:hAnsi="Arial" w:cs="Arial" w:eastAsia="Arial" w:hint="default"/>
                <w:sz w:val="21"/>
                <w:szCs w:val="21"/>
              </w:rPr>
              <w:t>12</w:t>
            </w:r>
          </w:p>
          <w:p>
            <w:pPr>
              <w:pStyle w:val="TableParagraph"/>
              <w:spacing w:line="240" w:lineRule="auto" w:before="22"/>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81" w:right="0"/>
              <w:jc w:val="left"/>
              <w:rPr>
                <w:rFonts w:ascii="Arial" w:hAnsi="Arial" w:cs="Arial" w:eastAsia="Arial" w:hint="default"/>
                <w:sz w:val="21"/>
                <w:szCs w:val="21"/>
              </w:rPr>
            </w:pPr>
            <w:r>
              <w:rPr>
                <w:rFonts w:ascii="Arial"/>
                <w:spacing w:val="-3"/>
                <w:sz w:val="21"/>
              </w:rPr>
              <w:t>11,000</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07" w:right="0"/>
              <w:jc w:val="left"/>
              <w:rPr>
                <w:rFonts w:ascii="Arial" w:hAnsi="Arial" w:cs="Arial" w:eastAsia="Arial" w:hint="default"/>
                <w:sz w:val="21"/>
                <w:szCs w:val="21"/>
              </w:rPr>
            </w:pPr>
            <w:r>
              <w:rPr>
                <w:rFonts w:ascii="Arial"/>
                <w:sz w:val="21"/>
              </w:rPr>
              <w:t>11,072.94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Arial" w:hAnsi="Arial" w:cs="Arial" w:eastAsia="Arial" w:hint="default"/>
                <w:sz w:val="21"/>
                <w:szCs w:val="21"/>
              </w:rPr>
            </w:pPr>
            <w:r>
              <w:rPr>
                <w:rFonts w:ascii="Arial" w:hAnsi="Arial" w:cs="Arial" w:eastAsia="Arial" w:hint="default"/>
                <w:sz w:val="21"/>
                <w:szCs w:val="21"/>
              </w:rPr>
              <w:t>2017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Arial" w:hAnsi="Arial" w:cs="Arial" w:eastAsia="Arial" w:hint="default"/>
                <w:sz w:val="21"/>
                <w:szCs w:val="21"/>
              </w:rPr>
              <w:t>03</w:t>
            </w:r>
          </w:p>
          <w:p>
            <w:pPr>
              <w:pStyle w:val="TableParagraph"/>
              <w:spacing w:line="240" w:lineRule="auto" w:before="22"/>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20</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74"/>
              <w:ind w:left="21" w:right="43"/>
              <w:jc w:val="left"/>
              <w:rPr>
                <w:rFonts w:ascii="Arial" w:hAnsi="Arial" w:cs="Arial" w:eastAsia="Arial" w:hint="default"/>
                <w:sz w:val="21"/>
                <w:szCs w:val="21"/>
              </w:rPr>
            </w:pPr>
            <w:r>
              <w:rPr>
                <w:rFonts w:ascii="Arial"/>
                <w:w w:val="95"/>
                <w:sz w:val="21"/>
              </w:rPr>
              <w:t>www.cninfo.</w:t>
            </w:r>
            <w:r>
              <w:rPr>
                <w:rFonts w:ascii="Arial"/>
                <w:spacing w:val="-15"/>
                <w:w w:val="95"/>
                <w:sz w:val="21"/>
              </w:rPr>
              <w:t> </w:t>
            </w:r>
            <w:r>
              <w:rPr>
                <w:rFonts w:ascii="Arial"/>
                <w:spacing w:val="-15"/>
                <w:w w:val="95"/>
                <w:sz w:val="21"/>
              </w:rPr>
            </w:r>
            <w:r>
              <w:rPr>
                <w:rFonts w:ascii="Arial"/>
                <w:sz w:val="21"/>
              </w:rPr>
              <w:t>com.cn</w:t>
            </w:r>
          </w:p>
        </w:tc>
      </w:tr>
    </w:tbl>
    <w:p>
      <w:pPr>
        <w:pStyle w:val="Heading3"/>
        <w:spacing w:line="240" w:lineRule="auto" w:before="1"/>
        <w:ind w:right="996"/>
        <w:jc w:val="left"/>
      </w:pPr>
      <w:r>
        <w:rPr/>
        <w:t>公司股东、交易对手方对公司或相关资产年度经营业绩作出的承诺情况</w:t>
      </w:r>
    </w:p>
    <w:p>
      <w:pPr>
        <w:pStyle w:val="Heading3"/>
        <w:spacing w:line="271" w:lineRule="auto" w:before="38"/>
        <w:ind w:left="592" w:right="3180" w:hanging="48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公司收购联奕科技</w:t>
      </w:r>
      <w:r>
        <w:rPr>
          <w:rFonts w:ascii="Arial" w:hAnsi="Arial" w:cs="Arial" w:eastAsia="Arial" w:hint="default"/>
        </w:rPr>
        <w:t>100%</w:t>
      </w:r>
      <w:r>
        <w:rPr/>
        <w:t>股权中，交易对方任刚、朱明武业绩承诺：</w:t>
      </w:r>
    </w:p>
    <w:p>
      <w:pPr>
        <w:pStyle w:val="Heading3"/>
        <w:spacing w:line="264" w:lineRule="auto"/>
        <w:ind w:right="1120" w:firstLine="480"/>
        <w:jc w:val="both"/>
      </w:pPr>
      <w:r>
        <w:rPr/>
        <w:t>根据公司于</w:t>
      </w:r>
      <w:r>
        <w:rPr>
          <w:rFonts w:ascii="Arial" w:hAnsi="Arial" w:cs="Arial" w:eastAsia="Arial" w:hint="default"/>
        </w:rPr>
        <w:t>2017</w:t>
      </w:r>
      <w:r>
        <w:rPr/>
        <w:t>年</w:t>
      </w:r>
      <w:r>
        <w:rPr>
          <w:rFonts w:ascii="Arial" w:hAnsi="Arial" w:cs="Arial" w:eastAsia="Arial" w:hint="default"/>
        </w:rPr>
        <w:t>7</w:t>
      </w:r>
      <w:r>
        <w:rPr/>
        <w:t>月</w:t>
      </w:r>
      <w:r>
        <w:rPr>
          <w:rFonts w:ascii="Arial" w:hAnsi="Arial" w:cs="Arial" w:eastAsia="Arial" w:hint="default"/>
        </w:rPr>
        <w:t>31</w:t>
      </w:r>
      <w:r>
        <w:rPr/>
        <w:t>日发布的《发行股份及支付现金购买资产并募集配套资金暨关 </w:t>
      </w:r>
      <w:r>
        <w:rPr>
          <w:spacing w:val="2"/>
        </w:rPr>
        <w:t>联交易报告书（修订稿）》，标的公司原股东承诺</w:t>
      </w:r>
      <w:r>
        <w:rPr>
          <w:rFonts w:ascii="Arial" w:hAnsi="Arial" w:cs="Arial" w:eastAsia="Arial" w:hint="default"/>
          <w:spacing w:val="2"/>
        </w:rPr>
        <w:t>2017</w:t>
      </w:r>
      <w:r>
        <w:rPr>
          <w:spacing w:val="2"/>
        </w:rPr>
        <w:t>年度、</w:t>
      </w:r>
      <w:r>
        <w:rPr>
          <w:rFonts w:ascii="Arial" w:hAnsi="Arial" w:cs="Arial" w:eastAsia="Arial" w:hint="default"/>
          <w:spacing w:val="2"/>
        </w:rPr>
        <w:t>2018</w:t>
      </w:r>
      <w:r>
        <w:rPr>
          <w:spacing w:val="2"/>
        </w:rPr>
        <w:t>年度、</w:t>
      </w:r>
      <w:r>
        <w:rPr>
          <w:rFonts w:ascii="Arial" w:hAnsi="Arial" w:cs="Arial" w:eastAsia="Arial" w:hint="default"/>
          <w:spacing w:val="2"/>
        </w:rPr>
        <w:t>2019</w:t>
      </w:r>
      <w:r>
        <w:rPr>
          <w:spacing w:val="2"/>
        </w:rPr>
        <w:t>年度实现的</w:t>
      </w:r>
      <w:r>
        <w:rPr>
          <w:spacing w:val="-114"/>
        </w:rPr>
        <w:t> </w:t>
      </w:r>
      <w:r>
        <w:rPr>
          <w:spacing w:val="-114"/>
        </w:rPr>
      </w:r>
      <w:r>
        <w:rPr/>
        <w:t>经上市公司聘请的具有证券、期货业务资格的会计师事务所审计的净利润（以扣除非经常损</w:t>
      </w:r>
      <w:r>
        <w:rPr>
          <w:spacing w:val="-89"/>
        </w:rPr>
        <w:t> </w:t>
      </w:r>
      <w:r>
        <w:rPr>
          <w:spacing w:val="-89"/>
        </w:rPr>
      </w:r>
      <w:r>
        <w:rPr>
          <w:spacing w:val="-3"/>
        </w:rPr>
        <w:t>益（扣除股份支付影响））分别不低于人民币</w:t>
      </w:r>
      <w:r>
        <w:rPr>
          <w:rFonts w:ascii="Arial" w:hAnsi="Arial" w:cs="Arial" w:eastAsia="Arial" w:hint="default"/>
          <w:spacing w:val="-3"/>
        </w:rPr>
        <w:t>7,600</w:t>
      </w:r>
      <w:r>
        <w:rPr>
          <w:spacing w:val="-3"/>
        </w:rPr>
        <w:t>万元、</w:t>
      </w:r>
      <w:r>
        <w:rPr>
          <w:rFonts w:ascii="Arial" w:hAnsi="Arial" w:cs="Arial" w:eastAsia="Arial" w:hint="default"/>
          <w:spacing w:val="-3"/>
        </w:rPr>
        <w:t>11,000</w:t>
      </w:r>
      <w:r>
        <w:rPr>
          <w:spacing w:val="-3"/>
        </w:rPr>
        <w:t>万元和</w:t>
      </w:r>
      <w:r>
        <w:rPr>
          <w:rFonts w:ascii="Arial" w:hAnsi="Arial" w:cs="Arial" w:eastAsia="Arial" w:hint="default"/>
          <w:spacing w:val="-3"/>
        </w:rPr>
        <w:t>14,400</w:t>
      </w:r>
      <w:r>
        <w:rPr>
          <w:spacing w:val="-3"/>
        </w:rPr>
        <w:t>万元。如联奕</w:t>
      </w:r>
      <w:r>
        <w:rPr>
          <w:spacing w:val="-89"/>
        </w:rPr>
        <w:t> </w:t>
      </w:r>
      <w:r>
        <w:rPr>
          <w:spacing w:val="-89"/>
        </w:rPr>
      </w:r>
      <w:r>
        <w:rPr>
          <w:spacing w:val="-3"/>
        </w:rPr>
        <w:t>科技于</w:t>
      </w:r>
      <w:r>
        <w:rPr>
          <w:rFonts w:ascii="Arial" w:hAnsi="Arial" w:cs="Arial" w:eastAsia="Arial" w:hint="default"/>
          <w:spacing w:val="-3"/>
        </w:rPr>
        <w:t>2017</w:t>
      </w:r>
      <w:r>
        <w:rPr>
          <w:spacing w:val="-3"/>
        </w:rPr>
        <w:t>年、</w:t>
      </w:r>
      <w:r>
        <w:rPr>
          <w:rFonts w:ascii="Arial" w:hAnsi="Arial" w:cs="Arial" w:eastAsia="Arial" w:hint="default"/>
          <w:spacing w:val="-3"/>
        </w:rPr>
        <w:t>2018</w:t>
      </w:r>
      <w:r>
        <w:rPr>
          <w:spacing w:val="-3"/>
        </w:rPr>
        <w:t>年和</w:t>
      </w:r>
      <w:r>
        <w:rPr>
          <w:rFonts w:ascii="Arial" w:hAnsi="Arial" w:cs="Arial" w:eastAsia="Arial" w:hint="default"/>
          <w:spacing w:val="-3"/>
        </w:rPr>
        <w:t>2019</w:t>
      </w:r>
      <w:r>
        <w:rPr>
          <w:spacing w:val="-3"/>
        </w:rPr>
        <w:t>年经审计的归属母公司股东的净利润（以扣除非经常损益（扣</w:t>
      </w:r>
      <w:r>
        <w:rPr>
          <w:spacing w:val="-107"/>
        </w:rPr>
        <w:t> </w:t>
      </w:r>
      <w:r>
        <w:rPr>
          <w:spacing w:val="-107"/>
        </w:rPr>
      </w:r>
      <w:r>
        <w:rPr/>
        <w:t>除股份支付影响））未达到承诺业绩，则业绩承诺方应按照签署的《盈利预测补偿协议》的</w:t>
      </w:r>
      <w:r>
        <w:rPr>
          <w:spacing w:val="-89"/>
        </w:rPr>
        <w:t> </w:t>
      </w:r>
      <w:r>
        <w:rPr>
          <w:spacing w:val="-89"/>
        </w:rPr>
      </w:r>
      <w:r>
        <w:rPr/>
        <w:t>具体约定向上市公司进行补偿。</w:t>
      </w:r>
    </w:p>
    <w:p>
      <w:pPr>
        <w:pStyle w:val="Heading3"/>
        <w:spacing w:line="273" w:lineRule="auto" w:before="19"/>
        <w:ind w:left="592" w:right="1232"/>
        <w:jc w:val="left"/>
      </w:pPr>
      <w:r>
        <w:rPr/>
        <w:t>业绩承诺的完成情况及其对商誉减值测试的影响 联奕科技</w:t>
      </w:r>
      <w:r>
        <w:rPr>
          <w:rFonts w:ascii="Arial" w:hAnsi="Arial" w:cs="Arial" w:eastAsia="Arial" w:hint="default"/>
        </w:rPr>
        <w:t>2018</w:t>
      </w:r>
      <w:r>
        <w:rPr/>
        <w:t>年度实际净利润为</w:t>
      </w:r>
      <w:r>
        <w:rPr>
          <w:rFonts w:ascii="Arial" w:hAnsi="Arial" w:cs="Arial" w:eastAsia="Arial" w:hint="default"/>
        </w:rPr>
        <w:t>11,072.94</w:t>
      </w:r>
      <w:r>
        <w:rPr/>
        <w:t>万元，实现业绩承诺。未来年度预计经营情</w:t>
      </w:r>
    </w:p>
    <w:p>
      <w:pPr>
        <w:spacing w:line="487" w:lineRule="auto" w:before="0"/>
        <w:ind w:left="112" w:right="4248" w:firstLine="0"/>
        <w:jc w:val="left"/>
        <w:rPr>
          <w:rFonts w:ascii="宋体" w:hAnsi="宋体" w:cs="宋体" w:eastAsia="宋体" w:hint="default"/>
          <w:sz w:val="24"/>
          <w:szCs w:val="24"/>
        </w:rPr>
      </w:pPr>
      <w:r>
        <w:rPr>
          <w:rFonts w:ascii="宋体" w:hAnsi="宋体" w:cs="宋体" w:eastAsia="宋体" w:hint="default"/>
          <w:sz w:val="24"/>
          <w:szCs w:val="24"/>
        </w:rPr>
        <w:t>况可达并购时点的业绩预测，未发生商誉减值。 </w:t>
      </w:r>
      <w:bookmarkStart w:name="三、控股股东及其关联方对上市公司的非经营性占用资金情况" w:id="66"/>
      <w:bookmarkEnd w:id="66"/>
      <w:r>
        <w:rPr>
          <w:rFonts w:ascii="宋体" w:hAnsi="宋体" w:cs="宋体" w:eastAsia="宋体" w:hint="default"/>
          <w:sz w:val="24"/>
          <w:szCs w:val="24"/>
        </w:rPr>
      </w:r>
      <w:r>
        <w:rPr>
          <w:rFonts w:ascii="宋体" w:hAnsi="宋体" w:cs="宋体" w:eastAsia="宋体" w:hint="default"/>
          <w:b/>
          <w:bCs/>
          <w:sz w:val="24"/>
          <w:szCs w:val="24"/>
        </w:rPr>
        <w:t>三、控股股东及其关联方对上市公司的非经营性占用资金情况</w:t>
      </w:r>
      <w:r>
        <w:rPr>
          <w:rFonts w:ascii="宋体" w:hAnsi="宋体" w:cs="宋体" w:eastAsia="宋体" w:hint="default"/>
          <w:sz w:val="24"/>
          <w:szCs w:val="24"/>
        </w:rPr>
      </w:r>
    </w:p>
    <w:p>
      <w:pPr>
        <w:pStyle w:val="Heading3"/>
        <w:spacing w:line="288" w:lineRule="auto" w:before="74"/>
        <w:ind w:right="307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公司报告期不存在控股股东及其关联方对上市公司的非经营性占用资金。</w:t>
      </w:r>
    </w:p>
    <w:p>
      <w:pPr>
        <w:spacing w:line="240" w:lineRule="auto" w:before="12"/>
        <w:rPr>
          <w:rFonts w:ascii="宋体" w:hAnsi="宋体" w:cs="宋体" w:eastAsia="宋体" w:hint="default"/>
          <w:sz w:val="20"/>
          <w:szCs w:val="20"/>
        </w:rPr>
      </w:pPr>
    </w:p>
    <w:p>
      <w:pPr>
        <w:pStyle w:val="Heading2"/>
        <w:spacing w:line="240" w:lineRule="auto" w:before="0"/>
        <w:ind w:right="996"/>
        <w:jc w:val="left"/>
        <w:rPr>
          <w:b w:val="0"/>
          <w:bCs w:val="0"/>
        </w:rPr>
      </w:pPr>
      <w:bookmarkStart w:name="四、董事会对最近一期“非标准审计报告”相关情况的说明" w:id="67"/>
      <w:bookmarkEnd w:id="67"/>
      <w:r>
        <w:rPr>
          <w:b w:val="0"/>
          <w:bCs w:val="0"/>
        </w:rPr>
      </w:r>
      <w:r>
        <w:rPr/>
        <w:t>四、董事会对最近一期</w:t>
      </w:r>
      <w:r>
        <w:rPr>
          <w:rFonts w:ascii="Arial" w:hAnsi="Arial" w:cs="Arial" w:eastAsia="Arial" w:hint="default"/>
        </w:rPr>
        <w:t>“</w:t>
      </w:r>
      <w:r>
        <w:rPr/>
        <w:t>非标准审计报告</w:t>
      </w:r>
      <w:r>
        <w:rPr>
          <w:rFonts w:ascii="Arial" w:hAnsi="Arial" w:cs="Arial" w:eastAsia="Arial" w:hint="default"/>
        </w:rPr>
        <w:t>”</w:t>
      </w:r>
      <w:r>
        <w:rPr/>
        <w:t>相关情况的说明</w:t>
      </w:r>
      <w:r>
        <w:rPr>
          <w:b w:val="0"/>
          <w:bCs w:val="0"/>
        </w:rPr>
      </w:r>
    </w:p>
    <w:p>
      <w:pPr>
        <w:spacing w:line="240" w:lineRule="auto" w:before="8"/>
        <w:rPr>
          <w:rFonts w:ascii="宋体" w:hAnsi="宋体" w:cs="宋体" w:eastAsia="宋体" w:hint="default"/>
          <w:b/>
          <w:bCs/>
          <w:sz w:val="21"/>
          <w:szCs w:val="21"/>
        </w:rPr>
      </w:pPr>
    </w:p>
    <w:p>
      <w:pPr>
        <w:spacing w:line="444" w:lineRule="auto" w:before="0"/>
        <w:ind w:left="112" w:right="1117"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w:t>
      </w:r>
      <w:bookmarkStart w:name="五、董事会、监事会、独立董事（如有）对会计师事务所本报告期“非标准审计报告”的说" w:id="68"/>
      <w:bookmarkEnd w:id="68"/>
      <w:r>
        <w:rPr>
          <w:rFonts w:ascii="宋体" w:hAnsi="宋体" w:cs="宋体" w:eastAsia="宋体" w:hint="default"/>
          <w:sz w:val="24"/>
          <w:szCs w:val="24"/>
        </w:rPr>
      </w:r>
      <w:r>
        <w:rPr>
          <w:rFonts w:ascii="宋体" w:hAnsi="宋体" w:cs="宋体" w:eastAsia="宋体" w:hint="default"/>
          <w:b/>
          <w:bCs/>
          <w:sz w:val="24"/>
          <w:szCs w:val="24"/>
        </w:rPr>
        <w:t>五、董事会、监事会、独立董事（如有）对会计师事务所本报告期</w:t>
      </w:r>
      <w:r>
        <w:rPr>
          <w:rFonts w:ascii="Arial" w:hAnsi="Arial" w:cs="Arial" w:eastAsia="Arial" w:hint="default"/>
          <w:b/>
          <w:bCs/>
          <w:sz w:val="24"/>
          <w:szCs w:val="24"/>
        </w:rPr>
        <w:t>“</w:t>
      </w:r>
      <w:r>
        <w:rPr>
          <w:rFonts w:ascii="宋体" w:hAnsi="宋体" w:cs="宋体" w:eastAsia="宋体" w:hint="default"/>
          <w:b/>
          <w:bCs/>
          <w:sz w:val="24"/>
          <w:szCs w:val="24"/>
        </w:rPr>
        <w:t>非标准审计报告</w:t>
      </w:r>
      <w:r>
        <w:rPr>
          <w:rFonts w:ascii="Arial" w:hAnsi="Arial" w:cs="Arial" w:eastAsia="Arial" w:hint="default"/>
          <w:b/>
          <w:bCs/>
          <w:sz w:val="24"/>
          <w:szCs w:val="24"/>
        </w:rPr>
        <w:t>”</w:t>
      </w:r>
      <w:r>
        <w:rPr>
          <w:rFonts w:ascii="宋体" w:hAnsi="宋体" w:cs="宋体" w:eastAsia="宋体" w:hint="default"/>
          <w:b/>
          <w:bCs/>
          <w:sz w:val="24"/>
          <w:szCs w:val="24"/>
        </w:rPr>
        <w:t>的说明</w:t>
      </w:r>
      <w:r>
        <w:rPr>
          <w:rFonts w:ascii="宋体" w:hAnsi="宋体" w:cs="宋体" w:eastAsia="宋体" w:hint="default"/>
          <w:sz w:val="24"/>
          <w:szCs w:val="24"/>
        </w:rPr>
      </w:r>
    </w:p>
    <w:p>
      <w:pPr>
        <w:spacing w:line="444" w:lineRule="auto" w:before="53"/>
        <w:ind w:left="112" w:right="2803"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w:t>
      </w:r>
      <w:bookmarkStart w:name="六、董事会关于报告期会计政策、会计估计变更或重大会计差错更正的说明" w:id="69"/>
      <w:bookmarkEnd w:id="69"/>
      <w:r>
        <w:rPr>
          <w:rFonts w:ascii="宋体" w:hAnsi="宋体" w:cs="宋体" w:eastAsia="宋体" w:hint="default"/>
          <w:sz w:val="24"/>
          <w:szCs w:val="24"/>
        </w:rPr>
      </w:r>
      <w:r>
        <w:rPr>
          <w:rFonts w:ascii="宋体" w:hAnsi="宋体" w:cs="宋体" w:eastAsia="宋体" w:hint="default"/>
          <w:b/>
          <w:bCs/>
          <w:sz w:val="24"/>
          <w:szCs w:val="24"/>
        </w:rPr>
        <w:t>六、董事会关于报告期会计政策、会计估计变更或重大会计差错更正的说明</w:t>
      </w:r>
      <w:r>
        <w:rPr>
          <w:rFonts w:ascii="宋体" w:hAnsi="宋体" w:cs="宋体" w:eastAsia="宋体" w:hint="default"/>
          <w:sz w:val="24"/>
          <w:szCs w:val="24"/>
        </w:rPr>
      </w:r>
    </w:p>
    <w:p>
      <w:pPr>
        <w:pStyle w:val="Heading3"/>
        <w:spacing w:line="256" w:lineRule="auto" w:before="96"/>
        <w:ind w:right="859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会计政策变更说明：</w:t>
      </w:r>
    </w:p>
    <w:p>
      <w:pPr>
        <w:pStyle w:val="Heading3"/>
        <w:spacing w:line="240" w:lineRule="auto" w:before="19"/>
        <w:ind w:right="0"/>
        <w:jc w:val="left"/>
      </w:pPr>
      <w:r>
        <w:rPr/>
        <w:t>①根据财政</w:t>
      </w:r>
      <w:r>
        <w:rPr>
          <w:spacing w:val="-10"/>
        </w:rPr>
        <w:t>部</w:t>
      </w:r>
      <w:r>
        <w:rPr/>
        <w:t>《关于修订印发</w:t>
      </w:r>
      <w:r>
        <w:rPr>
          <w:spacing w:val="-60"/>
        </w:rPr>
        <w:t> </w:t>
      </w:r>
      <w:r>
        <w:rPr/>
        <w:t>2018</w:t>
      </w:r>
      <w:r>
        <w:rPr>
          <w:spacing w:val="-60"/>
        </w:rPr>
        <w:t> </w:t>
      </w:r>
      <w:r>
        <w:rPr/>
        <w:t>年度一般企业财务报表格式的通知</w:t>
      </w:r>
      <w:r>
        <w:rPr>
          <w:spacing w:val="-132"/>
        </w:rPr>
        <w:t>》</w:t>
      </w:r>
      <w:r>
        <w:rPr/>
        <w:t>（财会[2018]15</w:t>
      </w:r>
      <w:r>
        <w:rPr>
          <w:spacing w:val="-60"/>
        </w:rPr>
        <w:t> </w:t>
      </w:r>
      <w:r>
        <w:rPr/>
        <w:t>号</w:t>
      </w:r>
      <w:r>
        <w:rPr>
          <w:spacing w:val="-120"/>
        </w:rPr>
        <w:t>）</w:t>
      </w:r>
      <w:r>
        <w:rPr/>
        <w:t>，</w:t>
      </w:r>
    </w:p>
    <w:p>
      <w:pPr>
        <w:spacing w:after="0" w:line="240" w:lineRule="auto"/>
        <w:jc w:val="left"/>
        <w:sectPr>
          <w:headerReference w:type="default" r:id="rId27"/>
          <w:footerReference w:type="default" r:id="rId28"/>
          <w:pgSz w:w="11910" w:h="16840"/>
          <w:pgMar w:header="878" w:footer="978" w:top="1100" w:bottom="1160" w:left="1020" w:right="0"/>
          <w:pgNumType w:start="53"/>
        </w:sectPr>
      </w:pPr>
    </w:p>
    <w:p>
      <w:pPr>
        <w:spacing w:line="240" w:lineRule="auto" w:before="8"/>
        <w:rPr>
          <w:rFonts w:ascii="宋体" w:hAnsi="宋体" w:cs="宋体" w:eastAsia="宋体" w:hint="default"/>
          <w:sz w:val="19"/>
          <w:szCs w:val="19"/>
        </w:rPr>
      </w:pPr>
    </w:p>
    <w:p>
      <w:pPr>
        <w:pStyle w:val="Heading3"/>
        <w:spacing w:line="273" w:lineRule="auto" w:before="26"/>
        <w:ind w:right="6434"/>
        <w:jc w:val="left"/>
      </w:pPr>
      <w:r>
        <w:rPr/>
        <w:t>本集团对财务报表格式进行了以下修订： A、资产负债表</w:t>
      </w:r>
    </w:p>
    <w:p>
      <w:pPr>
        <w:pStyle w:val="Heading3"/>
        <w:spacing w:line="273" w:lineRule="auto" w:before="10"/>
        <w:ind w:right="2354"/>
        <w:jc w:val="left"/>
      </w:pPr>
      <w:r>
        <w:rPr>
          <w:spacing w:val="-4"/>
        </w:rPr>
        <w:t>将原“应收票据”及“应收账款”行项目整合为“应收票据及应收账款”；</w:t>
      </w:r>
      <w:r>
        <w:rPr>
          <w:spacing w:val="-108"/>
        </w:rPr>
        <w:t> </w:t>
      </w:r>
      <w:r>
        <w:rPr>
          <w:spacing w:val="-108"/>
        </w:rPr>
      </w:r>
      <w:r>
        <w:rPr>
          <w:spacing w:val="-5"/>
        </w:rPr>
        <w:t>将原“应收利息”及“应收股利”行项目归并至“其他应收款”；</w:t>
      </w:r>
      <w:r>
        <w:rPr>
          <w:spacing w:val="-95"/>
        </w:rPr>
        <w:t> </w:t>
      </w:r>
      <w:r>
        <w:rPr>
          <w:spacing w:val="-95"/>
        </w:rPr>
      </w:r>
      <w:r>
        <w:rPr>
          <w:spacing w:val="-6"/>
        </w:rPr>
        <w:t>将原“固定资产清理”行项目归并至“固定资产”；</w:t>
      </w:r>
      <w:r>
        <w:rPr>
          <w:spacing w:val="-102"/>
        </w:rPr>
        <w:t> </w:t>
      </w:r>
      <w:r>
        <w:rPr>
          <w:spacing w:val="-102"/>
        </w:rPr>
      </w:r>
      <w:r>
        <w:rPr>
          <w:spacing w:val="-6"/>
        </w:rPr>
        <w:t>将原“工程物资”行项目归并至“在建工程”；</w:t>
      </w:r>
      <w:r>
        <w:rPr>
          <w:spacing w:val="-114"/>
        </w:rPr>
        <w:t> </w:t>
      </w:r>
      <w:r>
        <w:rPr>
          <w:spacing w:val="-114"/>
        </w:rPr>
      </w:r>
      <w:r>
        <w:rPr/>
        <w:t>将原“应付票据”及“应付账款”行项目整合为“应付票据及应付账款”项目； </w:t>
      </w:r>
      <w:r>
        <w:rPr>
          <w:spacing w:val="-5"/>
        </w:rPr>
        <w:t>将原“应付利息”及“应付股利”行项目归并至“其他应付款”；</w:t>
      </w:r>
      <w:r>
        <w:rPr>
          <w:spacing w:val="-95"/>
        </w:rPr>
        <w:t> </w:t>
      </w:r>
      <w:r>
        <w:rPr>
          <w:spacing w:val="-95"/>
        </w:rPr>
      </w:r>
      <w:r>
        <w:rPr>
          <w:spacing w:val="-6"/>
        </w:rPr>
        <w:t>将原“专项应付款”行项目归并至“长期应付款”。</w:t>
      </w:r>
    </w:p>
    <w:p>
      <w:pPr>
        <w:pStyle w:val="Heading3"/>
        <w:spacing w:line="276" w:lineRule="auto" w:before="10"/>
        <w:ind w:right="6327"/>
        <w:jc w:val="left"/>
      </w:pPr>
      <w:r>
        <w:rPr/>
        <w:t>B、利润表 </w:t>
      </w:r>
      <w:r>
        <w:rPr>
          <w:spacing w:val="-7"/>
        </w:rPr>
        <w:t>从原“管理费用”中分拆出“研发费用”；</w:t>
      </w:r>
    </w:p>
    <w:p>
      <w:pPr>
        <w:pStyle w:val="Heading3"/>
        <w:spacing w:line="271" w:lineRule="auto" w:before="7"/>
        <w:ind w:right="996"/>
        <w:jc w:val="left"/>
      </w:pPr>
      <w:r>
        <w:rPr/>
        <w:t>在“财务费用”行项目下分别列示“利息费用”和“利息收入”明细项目； C、股东权益变动表 在“股东权益内部结转”行项目下，将原“结转重新计量设定受益计划净负债或净资产所产</w:t>
      </w:r>
      <w:r>
        <w:rPr>
          <w:spacing w:val="-89"/>
        </w:rPr>
        <w:t> </w:t>
      </w:r>
      <w:r>
        <w:rPr>
          <w:spacing w:val="-89"/>
        </w:rPr>
      </w:r>
      <w:r>
        <w:rPr>
          <w:spacing w:val="-5"/>
        </w:rPr>
        <w:t>生的变动”改为“设定受益计划变动额结转留存收益”。</w:t>
      </w:r>
      <w:r>
        <w:rPr>
          <w:spacing w:val="-115"/>
        </w:rPr>
        <w:t> </w:t>
      </w:r>
      <w:r>
        <w:rPr>
          <w:spacing w:val="-115"/>
        </w:rPr>
      </w:r>
      <w:r>
        <w:rPr/>
        <w:t>本集团对可比期间的比较数据按照财会</w:t>
      </w:r>
      <w:r>
        <w:rPr>
          <w:rFonts w:ascii="Arial" w:hAnsi="Arial" w:cs="Arial" w:eastAsia="Arial" w:hint="default"/>
        </w:rPr>
        <w:t>[2018]15</w:t>
      </w:r>
      <w:r>
        <w:rPr>
          <w:rFonts w:ascii="Arial" w:hAnsi="Arial" w:cs="Arial" w:eastAsia="Arial" w:hint="default"/>
          <w:spacing w:val="-7"/>
        </w:rPr>
        <w:t> </w:t>
      </w:r>
      <w:r>
        <w:rPr/>
        <w:t>号文进行调整。 财务报表格式的修订对本集团的资产总额、负债总额、净利润、其他综合收益等无影响。</w:t>
      </w:r>
    </w:p>
    <w:p>
      <w:pPr>
        <w:pStyle w:val="Heading3"/>
        <w:spacing w:line="259" w:lineRule="auto" w:before="10"/>
        <w:ind w:right="1120"/>
        <w:jc w:val="both"/>
      </w:pPr>
      <w:r>
        <w:rPr>
          <w:spacing w:val="-1"/>
        </w:rPr>
        <w:t>②根据财政部《关于</w:t>
      </w:r>
      <w:r>
        <w:rPr>
          <w:spacing w:val="-52"/>
        </w:rPr>
        <w:t> </w:t>
      </w:r>
      <w:r>
        <w:rPr>
          <w:rFonts w:ascii="Arial" w:hAnsi="Arial" w:cs="Arial" w:eastAsia="Arial" w:hint="default"/>
          <w:spacing w:val="-1"/>
          <w:w w:val="99"/>
        </w:rPr>
        <w:t>2018</w:t>
      </w:r>
      <w:r>
        <w:rPr>
          <w:rFonts w:ascii="Arial" w:hAnsi="Arial" w:cs="Arial" w:eastAsia="Arial" w:hint="default"/>
          <w:spacing w:val="2"/>
          <w:w w:val="99"/>
        </w:rPr>
        <w:t> </w:t>
      </w:r>
      <w:r>
        <w:rPr>
          <w:spacing w:val="-5"/>
        </w:rPr>
        <w:t>年度一般企业财务报表格式有关问题的解读》，本集团作为个人所</w:t>
      </w:r>
      <w:r>
        <w:rPr>
          <w:spacing w:val="-117"/>
        </w:rPr>
        <w:t> </w:t>
      </w:r>
      <w:r>
        <w:rPr>
          <w:spacing w:val="-117"/>
        </w:rPr>
      </w:r>
      <w:r>
        <w:rPr>
          <w:spacing w:val="-2"/>
        </w:rPr>
        <w:t>得税的扣缴义务人，根据《中华人民共和国个人所得税法》收到的扣缴税款手续费在</w:t>
      </w:r>
      <w:r>
        <w:rPr>
          <w:rFonts w:ascii="Arial" w:hAnsi="Arial" w:cs="Arial" w:eastAsia="Arial" w:hint="default"/>
          <w:spacing w:val="-2"/>
        </w:rPr>
        <w:t>“</w:t>
      </w:r>
      <w:r>
        <w:rPr>
          <w:spacing w:val="-2"/>
        </w:rPr>
        <w:t>其他收</w:t>
      </w:r>
      <w:r>
        <w:rPr>
          <w:spacing w:val="-81"/>
        </w:rPr>
        <w:t> </w:t>
      </w:r>
      <w:r>
        <w:rPr/>
        <w:t>益</w:t>
      </w:r>
      <w:r>
        <w:rPr>
          <w:rFonts w:ascii="Arial" w:hAnsi="Arial" w:cs="Arial" w:eastAsia="Arial" w:hint="default"/>
        </w:rPr>
        <w:t>”</w:t>
      </w:r>
      <w:r>
        <w:rPr/>
        <w:t>中填列，对可比期间的比较数据进行调整，调增</w:t>
      </w:r>
      <w:r>
        <w:rPr>
          <w:spacing w:val="-70"/>
        </w:rPr>
        <w:t> </w:t>
      </w:r>
      <w:r>
        <w:rPr>
          <w:rFonts w:ascii="Arial" w:hAnsi="Arial" w:cs="Arial" w:eastAsia="Arial" w:hint="default"/>
        </w:rPr>
        <w:t>2017</w:t>
      </w:r>
      <w:r>
        <w:rPr>
          <w:rFonts w:ascii="Arial" w:hAnsi="Arial" w:cs="Arial" w:eastAsia="Arial" w:hint="default"/>
          <w:spacing w:val="-17"/>
        </w:rPr>
        <w:t> </w:t>
      </w:r>
      <w:r>
        <w:rPr/>
        <w:t>年度其他收益</w:t>
      </w:r>
      <w:r>
        <w:rPr>
          <w:spacing w:val="-70"/>
        </w:rPr>
        <w:t> </w:t>
      </w:r>
      <w:r>
        <w:rPr>
          <w:rFonts w:ascii="Arial" w:hAnsi="Arial" w:cs="Arial" w:eastAsia="Arial" w:hint="default"/>
        </w:rPr>
        <w:t>1,270,454.70</w:t>
      </w:r>
      <w:r>
        <w:rPr>
          <w:rFonts w:ascii="Arial" w:hAnsi="Arial" w:cs="Arial" w:eastAsia="Arial" w:hint="default"/>
          <w:spacing w:val="-17"/>
        </w:rPr>
        <w:t> </w:t>
      </w:r>
      <w:r>
        <w:rPr>
          <w:spacing w:val="-7"/>
        </w:rPr>
        <w:t>元，调</w:t>
      </w:r>
    </w:p>
    <w:p>
      <w:pPr>
        <w:pStyle w:val="Heading3"/>
        <w:spacing w:line="266" w:lineRule="auto" w:before="5"/>
        <w:ind w:right="996"/>
        <w:jc w:val="left"/>
      </w:pPr>
      <w:r>
        <w:rPr/>
        <w:t>增</w:t>
      </w:r>
      <w:r>
        <w:rPr>
          <w:spacing w:val="-61"/>
        </w:rPr>
        <w:t> </w:t>
      </w:r>
      <w:r>
        <w:rPr>
          <w:rFonts w:ascii="Arial" w:hAnsi="Arial" w:cs="Arial" w:eastAsia="Arial" w:hint="default"/>
        </w:rPr>
        <w:t>2017</w:t>
      </w:r>
      <w:r>
        <w:rPr>
          <w:rFonts w:ascii="Arial" w:hAnsi="Arial" w:cs="Arial" w:eastAsia="Arial" w:hint="default"/>
          <w:spacing w:val="-7"/>
        </w:rPr>
        <w:t> </w:t>
      </w:r>
      <w:r>
        <w:rPr/>
        <w:t>年度管理费用</w:t>
      </w:r>
      <w:r>
        <w:rPr>
          <w:spacing w:val="-61"/>
        </w:rPr>
        <w:t> </w:t>
      </w:r>
      <w:r>
        <w:rPr>
          <w:rFonts w:ascii="Arial" w:hAnsi="Arial" w:cs="Arial" w:eastAsia="Arial" w:hint="default"/>
        </w:rPr>
        <w:t>1,208,794.45</w:t>
      </w:r>
      <w:r>
        <w:rPr>
          <w:rFonts w:ascii="Arial" w:hAnsi="Arial" w:cs="Arial" w:eastAsia="Arial" w:hint="default"/>
          <w:spacing w:val="-7"/>
        </w:rPr>
        <w:t> </w:t>
      </w:r>
      <w:r>
        <w:rPr/>
        <w:t>元，调减</w:t>
      </w:r>
      <w:r>
        <w:rPr>
          <w:spacing w:val="-61"/>
        </w:rPr>
        <w:t> </w:t>
      </w:r>
      <w:r>
        <w:rPr>
          <w:rFonts w:ascii="Arial" w:hAnsi="Arial" w:cs="Arial" w:eastAsia="Arial" w:hint="default"/>
        </w:rPr>
        <w:t>2017</w:t>
      </w:r>
      <w:r>
        <w:rPr>
          <w:rFonts w:ascii="Arial" w:hAnsi="Arial" w:cs="Arial" w:eastAsia="Arial" w:hint="default"/>
          <w:spacing w:val="-10"/>
        </w:rPr>
        <w:t> </w:t>
      </w:r>
      <w:r>
        <w:rPr/>
        <w:t>年度营业外收入</w:t>
      </w:r>
      <w:r>
        <w:rPr>
          <w:spacing w:val="-61"/>
        </w:rPr>
        <w:t> </w:t>
      </w:r>
      <w:r>
        <w:rPr>
          <w:rFonts w:ascii="Arial" w:hAnsi="Arial" w:cs="Arial" w:eastAsia="Arial" w:hint="default"/>
        </w:rPr>
        <w:t>61,660.25</w:t>
      </w:r>
      <w:r>
        <w:rPr>
          <w:rFonts w:ascii="Arial" w:hAnsi="Arial" w:cs="Arial" w:eastAsia="Arial" w:hint="default"/>
          <w:spacing w:val="-10"/>
        </w:rPr>
        <w:t> </w:t>
      </w:r>
      <w:r>
        <w:rPr/>
        <w:t>元。 本集团实际收到的政府补助，无论是与资产相关还是与收益相关，在编制现金流量表时均作</w:t>
      </w:r>
      <w:r>
        <w:rPr>
          <w:spacing w:val="-89"/>
        </w:rPr>
        <w:t> </w:t>
      </w:r>
      <w:r>
        <w:rPr>
          <w:spacing w:val="-89"/>
        </w:rPr>
      </w:r>
      <w:r>
        <w:rPr/>
        <w:t>为经营活动产生的现金流量列报，对可比期间的比较数据无需调整。</w:t>
      </w:r>
    </w:p>
    <w:p>
      <w:pPr>
        <w:pStyle w:val="Heading3"/>
        <w:spacing w:line="240" w:lineRule="auto" w:before="17"/>
        <w:ind w:right="996"/>
        <w:jc w:val="left"/>
      </w:pPr>
      <w:r>
        <w:rPr/>
        <w:t>③根</w:t>
      </w:r>
      <w:r>
        <w:rPr>
          <w:spacing w:val="-3"/>
        </w:rPr>
        <w:t>据</w:t>
      </w:r>
      <w:r>
        <w:rPr/>
        <w:t>《企业会计准则</w:t>
      </w:r>
      <w:r>
        <w:rPr>
          <w:spacing w:val="2"/>
        </w:rPr>
        <w:t>解</w:t>
      </w:r>
      <w:r>
        <w:rPr/>
        <w:t>释第</w:t>
      </w:r>
      <w:r>
        <w:rPr>
          <w:spacing w:val="-60"/>
        </w:rPr>
        <w:t> </w:t>
      </w:r>
      <w:r>
        <w:rPr>
          <w:rFonts w:ascii="Arial" w:hAnsi="Arial" w:cs="Arial" w:eastAsia="Arial" w:hint="default"/>
          <w:spacing w:val="-16"/>
          <w:w w:val="99"/>
        </w:rPr>
        <w:t>1</w:t>
      </w:r>
      <w:r>
        <w:rPr>
          <w:rFonts w:ascii="Arial" w:hAnsi="Arial" w:cs="Arial" w:eastAsia="Arial" w:hint="default"/>
          <w:w w:val="99"/>
        </w:rPr>
        <w:t>1</w:t>
      </w:r>
      <w:r>
        <w:rPr>
          <w:rFonts w:ascii="Arial" w:hAnsi="Arial" w:cs="Arial" w:eastAsia="Arial" w:hint="default"/>
          <w:spacing w:val="-9"/>
        </w:rPr>
        <w:t> </w:t>
      </w:r>
      <w:r>
        <w:rPr/>
        <w:t>号</w:t>
      </w:r>
      <w:r>
        <w:rPr>
          <w:spacing w:val="-123"/>
        </w:rPr>
        <w:t>》</w:t>
      </w:r>
      <w:r>
        <w:rPr>
          <w:spacing w:val="-3"/>
        </w:rPr>
        <w:t>（</w:t>
      </w:r>
      <w:r>
        <w:rPr/>
        <w:t>财</w:t>
      </w:r>
      <w:r>
        <w:rPr>
          <w:spacing w:val="2"/>
        </w:rPr>
        <w:t>会</w:t>
      </w:r>
      <w:r>
        <w:rPr>
          <w:rFonts w:ascii="Arial" w:hAnsi="Arial" w:cs="Arial" w:eastAsia="Arial" w:hint="default"/>
          <w:w w:val="99"/>
        </w:rPr>
        <w:t>[</w:t>
      </w:r>
      <w:r>
        <w:rPr>
          <w:rFonts w:ascii="Arial" w:hAnsi="Arial" w:cs="Arial" w:eastAsia="Arial" w:hint="default"/>
          <w:spacing w:val="-2"/>
          <w:w w:val="99"/>
        </w:rPr>
        <w:t>2</w:t>
      </w:r>
      <w:r>
        <w:rPr>
          <w:rFonts w:ascii="Arial" w:hAnsi="Arial" w:cs="Arial" w:eastAsia="Arial" w:hint="default"/>
          <w:w w:val="99"/>
        </w:rPr>
        <w:t>01</w:t>
      </w:r>
      <w:r>
        <w:rPr>
          <w:rFonts w:ascii="Arial" w:hAnsi="Arial" w:cs="Arial" w:eastAsia="Arial" w:hint="default"/>
          <w:spacing w:val="-2"/>
          <w:w w:val="99"/>
        </w:rPr>
        <w:t>7</w:t>
      </w:r>
      <w:r>
        <w:rPr>
          <w:rFonts w:ascii="Arial" w:hAnsi="Arial" w:cs="Arial" w:eastAsia="Arial" w:hint="default"/>
          <w:w w:val="99"/>
        </w:rPr>
        <w:t>]</w:t>
      </w:r>
      <w:r>
        <w:rPr>
          <w:rFonts w:ascii="Arial" w:hAnsi="Arial" w:cs="Arial" w:eastAsia="Arial" w:hint="default"/>
          <w:w w:val="99"/>
        </w:rPr>
        <w:t>18</w:t>
      </w:r>
      <w:r>
        <w:rPr>
          <w:rFonts w:ascii="Arial" w:hAnsi="Arial" w:cs="Arial" w:eastAsia="Arial" w:hint="default"/>
          <w:spacing w:val="-9"/>
        </w:rPr>
        <w:t> </w:t>
      </w:r>
      <w:r>
        <w:rPr/>
        <w:t>号</w:t>
      </w:r>
      <w:r>
        <w:rPr>
          <w:spacing w:val="-5"/>
        </w:rPr>
        <w:t>）</w:t>
      </w:r>
      <w:r>
        <w:rPr/>
        <w:t>规定</w:t>
      </w:r>
      <w:r>
        <w:rPr>
          <w:spacing w:val="-3"/>
        </w:rPr>
        <w:t>，</w:t>
      </w:r>
      <w:r>
        <w:rPr/>
        <w:t>按</w:t>
      </w:r>
      <w:r>
        <w:rPr>
          <w:spacing w:val="-3"/>
        </w:rPr>
        <w:t>照</w:t>
      </w:r>
      <w:r>
        <w:rPr/>
        <w:t>《企业会计准则第</w:t>
      </w:r>
      <w:r>
        <w:rPr>
          <w:spacing w:val="-60"/>
        </w:rPr>
        <w:t> </w:t>
      </w:r>
      <w:r>
        <w:rPr>
          <w:rFonts w:ascii="Arial" w:hAnsi="Arial" w:cs="Arial" w:eastAsia="Arial" w:hint="default"/>
          <w:w w:val="99"/>
        </w:rPr>
        <w:t>6</w:t>
      </w:r>
      <w:r>
        <w:rPr>
          <w:rFonts w:ascii="Arial" w:hAnsi="Arial" w:cs="Arial" w:eastAsia="Arial" w:hint="default"/>
          <w:spacing w:val="-6"/>
        </w:rPr>
        <w:t> </w:t>
      </w:r>
      <w:r>
        <w:rPr/>
        <w:t>号</w:t>
      </w:r>
    </w:p>
    <w:p>
      <w:pPr>
        <w:pStyle w:val="Heading3"/>
        <w:spacing w:line="259" w:lineRule="auto" w:before="29"/>
        <w:ind w:right="1122"/>
        <w:jc w:val="left"/>
      </w:pPr>
      <w:r>
        <w:rPr>
          <w:rFonts w:ascii="Arial" w:hAnsi="Arial" w:cs="Arial" w:eastAsia="Arial" w:hint="default"/>
        </w:rPr>
        <w:t>——</w:t>
      </w:r>
      <w:r>
        <w:rPr/>
        <w:t>无形资产》选择无形资产摊销方法的要求，</w:t>
      </w:r>
      <w:r>
        <w:rPr>
          <w:rFonts w:ascii="Arial" w:hAnsi="Arial" w:cs="Arial" w:eastAsia="Arial" w:hint="default"/>
        </w:rPr>
        <w:t>2018</w:t>
      </w:r>
      <w:r>
        <w:rPr>
          <w:rFonts w:ascii="Arial" w:hAnsi="Arial" w:cs="Arial" w:eastAsia="Arial" w:hint="default"/>
          <w:spacing w:val="-3"/>
        </w:rPr>
        <w:t> </w:t>
      </w:r>
      <w:r>
        <w:rPr/>
        <w:t>年</w:t>
      </w:r>
      <w:r>
        <w:rPr>
          <w:spacing w:val="-57"/>
        </w:rPr>
        <w:t> </w:t>
      </w:r>
      <w:r>
        <w:rPr>
          <w:rFonts w:ascii="Arial" w:hAnsi="Arial" w:cs="Arial" w:eastAsia="Arial" w:hint="default"/>
          <w:spacing w:val="-7"/>
        </w:rPr>
        <w:t>11</w:t>
      </w:r>
      <w:r>
        <w:rPr>
          <w:rFonts w:ascii="Arial" w:hAnsi="Arial" w:cs="Arial" w:eastAsia="Arial" w:hint="default"/>
          <w:spacing w:val="-9"/>
        </w:rPr>
        <w:t> </w:t>
      </w:r>
      <w:r>
        <w:rPr/>
        <w:t>月</w:t>
      </w:r>
      <w:r>
        <w:rPr>
          <w:spacing w:val="-57"/>
        </w:rPr>
        <w:t> </w:t>
      </w:r>
      <w:r>
        <w:rPr>
          <w:rFonts w:ascii="Arial" w:hAnsi="Arial" w:cs="Arial" w:eastAsia="Arial" w:hint="default"/>
        </w:rPr>
        <w:t>5</w:t>
      </w:r>
      <w:r>
        <w:rPr>
          <w:rFonts w:ascii="Arial" w:hAnsi="Arial" w:cs="Arial" w:eastAsia="Arial" w:hint="default"/>
          <w:spacing w:val="-3"/>
        </w:rPr>
        <w:t> </w:t>
      </w:r>
      <w:r>
        <w:rPr/>
        <w:t>日，公司召开第六届董事会 第三十五次会议审议通过将无形资产摊销方式变更为直线法摊销。</w:t>
      </w:r>
    </w:p>
    <w:p>
      <w:pPr>
        <w:spacing w:line="240" w:lineRule="auto" w:before="10"/>
        <w:rPr>
          <w:rFonts w:ascii="宋体" w:hAnsi="宋体" w:cs="宋体" w:eastAsia="宋体" w:hint="default"/>
          <w:sz w:val="24"/>
          <w:szCs w:val="24"/>
        </w:rPr>
      </w:pPr>
    </w:p>
    <w:p>
      <w:pPr>
        <w:pStyle w:val="Heading2"/>
        <w:spacing w:line="240" w:lineRule="auto" w:before="0"/>
        <w:ind w:right="996"/>
        <w:jc w:val="left"/>
        <w:rPr>
          <w:b w:val="0"/>
          <w:bCs w:val="0"/>
        </w:rPr>
      </w:pPr>
      <w:bookmarkStart w:name="七、与上年度财务报告相比，合并报表范围发生变化的情况说明" w:id="70"/>
      <w:bookmarkEnd w:id="70"/>
      <w:r>
        <w:rPr>
          <w:b w:val="0"/>
          <w:bCs w:val="0"/>
        </w:rPr>
      </w:r>
      <w:r>
        <w:rPr/>
        <w:t>七、与上年度财务报告相比，合并报表范围发生变化的情况说明</w:t>
      </w:r>
      <w:r>
        <w:rPr>
          <w:b w:val="0"/>
          <w:bCs w:val="0"/>
        </w:rPr>
      </w:r>
    </w:p>
    <w:p>
      <w:pPr>
        <w:spacing w:line="240" w:lineRule="auto" w:before="12"/>
        <w:rPr>
          <w:rFonts w:ascii="宋体" w:hAnsi="宋体" w:cs="宋体" w:eastAsia="宋体" w:hint="default"/>
          <w:b/>
          <w:bCs/>
          <w:sz w:val="22"/>
          <w:szCs w:val="22"/>
        </w:rPr>
      </w:pPr>
    </w:p>
    <w:p>
      <w:pPr>
        <w:pStyle w:val="Heading3"/>
        <w:spacing w:line="254" w:lineRule="auto"/>
        <w:ind w:right="259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本公司根据集团经营需要，新设二级控股子公司北京华宇九品科技有限公司。</w:t>
      </w:r>
    </w:p>
    <w:p>
      <w:pPr>
        <w:spacing w:line="240" w:lineRule="auto" w:before="9"/>
        <w:rPr>
          <w:rFonts w:ascii="宋体" w:hAnsi="宋体" w:cs="宋体" w:eastAsia="宋体" w:hint="default"/>
          <w:sz w:val="21"/>
          <w:szCs w:val="21"/>
        </w:rPr>
      </w:pPr>
    </w:p>
    <w:p>
      <w:pPr>
        <w:spacing w:line="470" w:lineRule="auto" w:before="0"/>
        <w:ind w:left="112" w:right="7139" w:firstLine="0"/>
        <w:jc w:val="left"/>
        <w:rPr>
          <w:rFonts w:ascii="宋体" w:hAnsi="宋体" w:cs="宋体" w:eastAsia="宋体" w:hint="default"/>
          <w:sz w:val="24"/>
          <w:szCs w:val="24"/>
        </w:rPr>
      </w:pPr>
      <w:r>
        <w:rPr/>
        <w:pict>
          <v:shape style="position:absolute;margin-left:56.459999pt;margin-top:50.215618pt;width:479.15pt;height:80.8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91"/>
                    <w:gridCol w:w="4777"/>
                  </w:tblGrid>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1"/>
                            <w:szCs w:val="21"/>
                          </w:rPr>
                        </w:pPr>
                        <w:r>
                          <w:rPr>
                            <w:rFonts w:ascii="宋体" w:hAnsi="宋体" w:cs="宋体" w:eastAsia="宋体" w:hint="default"/>
                            <w:sz w:val="21"/>
                            <w:szCs w:val="21"/>
                          </w:rPr>
                          <w:t>致同会计师事务所（特殊普通合伙）</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Arial" w:hAnsi="Arial" w:cs="Arial" w:eastAsia="Arial" w:hint="default"/>
                            <w:sz w:val="21"/>
                            <w:szCs w:val="21"/>
                          </w:rPr>
                        </w:pPr>
                        <w:r>
                          <w:rPr>
                            <w:rFonts w:ascii="Arial"/>
                            <w:sz w:val="21"/>
                          </w:rPr>
                          <w:t>100</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Arial" w:hAnsi="Arial" w:cs="Arial" w:eastAsia="Arial" w:hint="default"/>
                            <w:sz w:val="21"/>
                            <w:szCs w:val="21"/>
                          </w:rPr>
                        </w:pPr>
                        <w:r>
                          <w:rPr>
                            <w:rFonts w:ascii="Arial"/>
                            <w:w w:val="99"/>
                            <w:sz w:val="21"/>
                          </w:rPr>
                          <w:t>3</w:t>
                        </w:r>
                        <w:r>
                          <w:rPr>
                            <w:rFonts w:ascii="Arial"/>
                            <w:sz w:val="21"/>
                          </w:rPr>
                        </w:r>
                      </w:p>
                    </w:tc>
                  </w:tr>
                  <w:tr>
                    <w:trPr>
                      <w:trHeight w:val="400"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陈平、吴亮</w:t>
                        </w:r>
                      </w:p>
                    </w:tc>
                  </w:tr>
                </w:tbl>
                <w:p>
                  <w:pPr/>
                </w:p>
              </w:txbxContent>
            </v:textbox>
            <w10:wrap type="none"/>
          </v:shape>
        </w:pict>
      </w:r>
      <w:bookmarkStart w:name="八、聘任、解聘会计师事务所情况" w:id="71"/>
      <w:bookmarkEnd w:id="71"/>
      <w:r>
        <w:rPr/>
      </w:r>
      <w:r>
        <w:rPr>
          <w:rFonts w:ascii="宋体" w:hAnsi="宋体" w:cs="宋体" w:eastAsia="宋体" w:hint="default"/>
          <w:b/>
          <w:bCs/>
          <w:sz w:val="24"/>
          <w:szCs w:val="24"/>
        </w:rPr>
        <w:t>八、聘任、解聘会计师事务所情况</w:t>
      </w:r>
      <w:r>
        <w:rPr>
          <w:rFonts w:ascii="宋体" w:hAnsi="宋体" w:cs="宋体" w:eastAsia="宋体" w:hint="default"/>
          <w:b/>
          <w:bCs/>
          <w:w w:val="99"/>
          <w:sz w:val="24"/>
          <w:szCs w:val="24"/>
        </w:rPr>
        <w:t> </w:t>
      </w:r>
      <w:r>
        <w:rPr>
          <w:rFonts w:ascii="宋体" w:hAnsi="宋体" w:cs="宋体" w:eastAsia="宋体" w:hint="default"/>
          <w:sz w:val="24"/>
          <w:szCs w:val="24"/>
        </w:rPr>
        <w:t>现聘任的会计事务所</w:t>
      </w:r>
    </w:p>
    <w:p>
      <w:pPr>
        <w:spacing w:after="0" w:line="470" w:lineRule="auto"/>
        <w:jc w:val="left"/>
        <w:rPr>
          <w:rFonts w:ascii="宋体" w:hAnsi="宋体" w:cs="宋体" w:eastAsia="宋体" w:hint="default"/>
          <w:sz w:val="24"/>
          <w:szCs w:val="24"/>
        </w:rPr>
        <w:sectPr>
          <w:pgSz w:w="11910" w:h="16840"/>
          <w:pgMar w:header="878" w:footer="978" w:top="1100" w:bottom="1160" w:left="1020" w:right="0"/>
        </w:sectPr>
      </w:pPr>
    </w:p>
    <w:p>
      <w:pPr>
        <w:spacing w:line="240" w:lineRule="auto" w:before="3"/>
        <w:rPr>
          <w:rFonts w:ascii="宋体" w:hAnsi="宋体" w:cs="宋体" w:eastAsia="宋体" w:hint="default"/>
          <w:sz w:val="24"/>
          <w:szCs w:val="24"/>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86;height:397" coordorigin="13,13" coordsize="4786,397">
              <v:shape style="position:absolute;left:13;top:13;width:4786;height:397" coordorigin="13,13" coordsize="4786,397" path="m13,13l4799,13,4799,410,13,410,13,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801;top:5;width:2;height:402" coordorigin="4801,5" coordsize="2,402">
              <v:shape style="position:absolute;left:4801;top:5;width:2;height:402" coordorigin="4801,5" coordsize="0,402" path="m4801,5l4801,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91;height:402" type="#_x0000_t202" filled="false" stroked="false">
                <v:textbox inset="0,0,0,0">
                  <w:txbxContent>
                    <w:p>
                      <w:pPr>
                        <w:spacing w:before="31"/>
                        <w:ind w:left="27" w:right="0" w:firstLine="0"/>
                        <w:jc w:val="left"/>
                        <w:rPr>
                          <w:rFonts w:ascii="宋体" w:hAnsi="宋体" w:cs="宋体" w:eastAsia="宋体" w:hint="default"/>
                          <w:sz w:val="21"/>
                          <w:szCs w:val="21"/>
                        </w:rPr>
                      </w:pPr>
                      <w:r>
                        <w:rPr>
                          <w:rFonts w:ascii="宋体" w:hAnsi="宋体" w:cs="宋体" w:eastAsia="宋体" w:hint="default"/>
                          <w:sz w:val="21"/>
                          <w:szCs w:val="21"/>
                        </w:rPr>
                        <w:t>境内会计师事务所注册会计师审计服务的连续年限</w:t>
                      </w:r>
                    </w:p>
                  </w:txbxContent>
                </v:textbox>
                <w10:wrap type="none"/>
              </v:shape>
              <v:shape style="position:absolute;left:7132;top:117;width:117;height:209" type="#_x0000_t202" filled="false" stroked="false">
                <v:textbox inset="0,0,0,0">
                  <w:txbxContent>
                    <w:p>
                      <w:pPr>
                        <w:spacing w:line="209" w:lineRule="exact" w:before="0"/>
                        <w:ind w:left="0" w:right="0" w:firstLine="0"/>
                        <w:jc w:val="left"/>
                        <w:rPr>
                          <w:rFonts w:ascii="Arial" w:hAnsi="Arial" w:cs="Arial" w:eastAsia="Arial" w:hint="default"/>
                          <w:sz w:val="21"/>
                          <w:szCs w:val="21"/>
                        </w:rPr>
                      </w:pPr>
                      <w:r>
                        <w:rPr>
                          <w:rFonts w:ascii="Arial"/>
                          <w:w w:val="99"/>
                          <w:sz w:val="21"/>
                        </w:rPr>
                        <w:t>3</w:t>
                      </w:r>
                      <w:r>
                        <w:rPr>
                          <w:rFonts w:ascii="Arial"/>
                          <w:sz w:val="21"/>
                        </w:rPr>
                      </w:r>
                    </w:p>
                  </w:txbxContent>
                </v:textbox>
                <w10:wrap type="none"/>
              </v:shape>
            </v:group>
          </v:group>
        </w:pict>
      </w:r>
      <w:r>
        <w:rPr>
          <w:rFonts w:ascii="宋体" w:hAnsi="宋体" w:cs="宋体" w:eastAsia="宋体" w:hint="default"/>
          <w:position w:val="-7"/>
          <w:sz w:val="20"/>
          <w:szCs w:val="20"/>
        </w:rPr>
      </w:r>
    </w:p>
    <w:p>
      <w:pPr>
        <w:pStyle w:val="Heading3"/>
        <w:spacing w:line="240" w:lineRule="auto" w:before="3"/>
        <w:ind w:right="996"/>
        <w:jc w:val="left"/>
      </w:pPr>
      <w:r>
        <w:rPr/>
        <w:t>是否改聘会计师事务所</w:t>
      </w:r>
    </w:p>
    <w:p>
      <w:pPr>
        <w:pStyle w:val="Heading3"/>
        <w:spacing w:line="254" w:lineRule="auto" w:before="38"/>
        <w:ind w:right="4754"/>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8"/>
        </w:rPr>
        <w:t> </w:t>
      </w:r>
      <w:r>
        <w:rPr/>
        <w:t>否 聘请内部控制审计会计师事务所、财务顾问或保荐人情况</w:t>
      </w:r>
    </w:p>
    <w:p>
      <w:pPr>
        <w:spacing w:line="444" w:lineRule="auto" w:before="24"/>
        <w:ind w:left="112" w:right="5453"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w:t>
      </w:r>
      <w:bookmarkStart w:name="九、年度报告披露后面临暂停上市和终止上市情况" w:id="72"/>
      <w:bookmarkEnd w:id="72"/>
      <w:r>
        <w:rPr>
          <w:rFonts w:ascii="宋体" w:hAnsi="宋体" w:cs="宋体" w:eastAsia="宋体" w:hint="default"/>
          <w:sz w:val="24"/>
          <w:szCs w:val="24"/>
        </w:rPr>
      </w:r>
      <w:r>
        <w:rPr>
          <w:rFonts w:ascii="宋体" w:hAnsi="宋体" w:cs="宋体" w:eastAsia="宋体" w:hint="default"/>
          <w:b/>
          <w:bCs/>
          <w:sz w:val="24"/>
          <w:szCs w:val="24"/>
        </w:rPr>
        <w:t>九、年度报告披露后面临暂停上市和终止上市情况</w:t>
      </w:r>
      <w:r>
        <w:rPr>
          <w:rFonts w:ascii="宋体" w:hAnsi="宋体" w:cs="宋体" w:eastAsia="宋体" w:hint="default"/>
          <w:sz w:val="24"/>
          <w:szCs w:val="24"/>
        </w:rPr>
      </w:r>
    </w:p>
    <w:p>
      <w:pPr>
        <w:spacing w:line="444" w:lineRule="auto" w:before="96"/>
        <w:ind w:left="112" w:right="8344"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w:t>
      </w:r>
      <w:bookmarkStart w:name="十、破产重整相关事项" w:id="73"/>
      <w:bookmarkEnd w:id="73"/>
      <w:r>
        <w:rPr>
          <w:rFonts w:ascii="宋体" w:hAnsi="宋体" w:cs="宋体" w:eastAsia="宋体" w:hint="default"/>
          <w:sz w:val="24"/>
          <w:szCs w:val="24"/>
        </w:rPr>
      </w:r>
      <w:r>
        <w:rPr>
          <w:rFonts w:ascii="宋体" w:hAnsi="宋体" w:cs="宋体" w:eastAsia="宋体" w:hint="default"/>
          <w:b/>
          <w:bCs/>
          <w:sz w:val="24"/>
          <w:szCs w:val="24"/>
        </w:rPr>
        <w:t>十、破产重整相关事项</w:t>
      </w:r>
      <w:r>
        <w:rPr>
          <w:rFonts w:ascii="宋体" w:hAnsi="宋体" w:cs="宋体" w:eastAsia="宋体" w:hint="default"/>
          <w:sz w:val="24"/>
          <w:szCs w:val="24"/>
        </w:rPr>
      </w:r>
    </w:p>
    <w:p>
      <w:pPr>
        <w:pStyle w:val="Heading3"/>
        <w:spacing w:line="256" w:lineRule="auto" w:before="94"/>
        <w:ind w:right="667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公司报告期未发生破产重整相关事项。</w:t>
      </w:r>
    </w:p>
    <w:p>
      <w:pPr>
        <w:spacing w:line="240" w:lineRule="auto" w:before="6"/>
        <w:rPr>
          <w:rFonts w:ascii="宋体" w:hAnsi="宋体" w:cs="宋体" w:eastAsia="宋体" w:hint="default"/>
          <w:sz w:val="21"/>
          <w:szCs w:val="21"/>
        </w:rPr>
      </w:pPr>
    </w:p>
    <w:p>
      <w:pPr>
        <w:pStyle w:val="Heading2"/>
        <w:spacing w:line="240" w:lineRule="auto" w:before="0"/>
        <w:ind w:right="996"/>
        <w:jc w:val="left"/>
        <w:rPr>
          <w:b w:val="0"/>
          <w:bCs w:val="0"/>
        </w:rPr>
      </w:pPr>
      <w:bookmarkStart w:name="十一、重大诉讼、仲裁事项" w:id="74"/>
      <w:bookmarkEnd w:id="74"/>
      <w:r>
        <w:rPr>
          <w:b w:val="0"/>
          <w:bCs w:val="0"/>
        </w:rPr>
      </w:r>
      <w:r>
        <w:rPr/>
        <w:t>十一、重大诉讼、仲裁事项</w:t>
      </w:r>
      <w:r>
        <w:rPr>
          <w:b w:val="0"/>
          <w:bCs w:val="0"/>
        </w:rPr>
      </w:r>
    </w:p>
    <w:p>
      <w:pPr>
        <w:spacing w:line="240" w:lineRule="auto" w:before="10"/>
        <w:rPr>
          <w:rFonts w:ascii="宋体" w:hAnsi="宋体" w:cs="宋体" w:eastAsia="宋体" w:hint="default"/>
          <w:b/>
          <w:bCs/>
          <w:sz w:val="22"/>
          <w:szCs w:val="22"/>
        </w:rPr>
      </w:pPr>
    </w:p>
    <w:p>
      <w:pPr>
        <w:pStyle w:val="Heading3"/>
        <w:spacing w:line="256" w:lineRule="auto"/>
        <w:ind w:right="691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本年度公司无重大诉讼、仲裁事项。</w:t>
      </w:r>
    </w:p>
    <w:p>
      <w:pPr>
        <w:spacing w:line="240" w:lineRule="auto" w:before="6"/>
        <w:rPr>
          <w:rFonts w:ascii="宋体" w:hAnsi="宋体" w:cs="宋体" w:eastAsia="宋体" w:hint="default"/>
          <w:sz w:val="21"/>
          <w:szCs w:val="21"/>
        </w:rPr>
      </w:pPr>
    </w:p>
    <w:p>
      <w:pPr>
        <w:pStyle w:val="Heading2"/>
        <w:spacing w:line="240" w:lineRule="auto" w:before="0"/>
        <w:ind w:right="996"/>
        <w:jc w:val="left"/>
        <w:rPr>
          <w:b w:val="0"/>
          <w:bCs w:val="0"/>
        </w:rPr>
      </w:pPr>
      <w:bookmarkStart w:name="十二、处罚及整改情况" w:id="75"/>
      <w:bookmarkEnd w:id="75"/>
      <w:r>
        <w:rPr>
          <w:b w:val="0"/>
          <w:bCs w:val="0"/>
        </w:rPr>
      </w:r>
      <w:r>
        <w:rPr/>
        <w:t>十二、处罚及整改情况</w:t>
      </w:r>
      <w:r>
        <w:rPr>
          <w:b w:val="0"/>
          <w:bCs w:val="0"/>
        </w:rPr>
      </w:r>
    </w:p>
    <w:p>
      <w:pPr>
        <w:spacing w:line="240" w:lineRule="auto" w:before="12"/>
        <w:rPr>
          <w:rFonts w:ascii="宋体" w:hAnsi="宋体" w:cs="宋体" w:eastAsia="宋体" w:hint="default"/>
          <w:b/>
          <w:bCs/>
          <w:sz w:val="22"/>
          <w:szCs w:val="22"/>
        </w:rPr>
      </w:pPr>
    </w:p>
    <w:p>
      <w:pPr>
        <w:pStyle w:val="Heading3"/>
        <w:spacing w:line="254" w:lineRule="auto"/>
        <w:ind w:right="547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公司报告期不存在处罚及整改情况。</w:t>
      </w:r>
    </w:p>
    <w:p>
      <w:pPr>
        <w:spacing w:line="240" w:lineRule="auto" w:before="9"/>
        <w:rPr>
          <w:rFonts w:ascii="宋体" w:hAnsi="宋体" w:cs="宋体" w:eastAsia="宋体" w:hint="default"/>
          <w:sz w:val="21"/>
          <w:szCs w:val="21"/>
        </w:rPr>
      </w:pPr>
    </w:p>
    <w:p>
      <w:pPr>
        <w:pStyle w:val="Heading2"/>
        <w:spacing w:line="240" w:lineRule="auto" w:before="0"/>
        <w:ind w:right="996"/>
        <w:jc w:val="left"/>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spacing w:line="240" w:lineRule="auto" w:before="12"/>
        <w:rPr>
          <w:rFonts w:ascii="宋体" w:hAnsi="宋体" w:cs="宋体" w:eastAsia="宋体" w:hint="default"/>
          <w:b/>
          <w:bCs/>
          <w:sz w:val="22"/>
          <w:szCs w:val="22"/>
        </w:rPr>
      </w:pPr>
    </w:p>
    <w:p>
      <w:pPr>
        <w:spacing w:line="444" w:lineRule="auto" w:before="0"/>
        <w:ind w:left="112" w:right="3044"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w:t>
      </w:r>
      <w:bookmarkStart w:name="十四、公司股权激励计划、员工持股计划或其他员工激励措施的实施情况" w:id="77"/>
      <w:bookmarkEnd w:id="77"/>
      <w:r>
        <w:rPr>
          <w:rFonts w:ascii="宋体" w:hAnsi="宋体" w:cs="宋体" w:eastAsia="宋体" w:hint="default"/>
          <w:sz w:val="24"/>
          <w:szCs w:val="24"/>
        </w:rPr>
      </w:r>
      <w:r>
        <w:rPr>
          <w:rFonts w:ascii="宋体" w:hAnsi="宋体" w:cs="宋体" w:eastAsia="宋体" w:hint="default"/>
          <w:b/>
          <w:bCs/>
          <w:sz w:val="24"/>
          <w:szCs w:val="24"/>
        </w:rPr>
        <w:t>十四、公司股权激励计划、员工持股计划或其他员工激励措施的实施情况</w:t>
      </w:r>
      <w:r>
        <w:rPr>
          <w:rFonts w:ascii="宋体" w:hAnsi="宋体" w:cs="宋体" w:eastAsia="宋体" w:hint="default"/>
          <w:sz w:val="24"/>
          <w:szCs w:val="24"/>
        </w:rPr>
      </w:r>
    </w:p>
    <w:p>
      <w:pPr>
        <w:pStyle w:val="Heading3"/>
        <w:spacing w:line="240" w:lineRule="auto" w:before="94"/>
        <w:ind w:right="996"/>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pStyle w:val="Heading3"/>
        <w:spacing w:line="259" w:lineRule="auto" w:before="43"/>
        <w:ind w:right="1100" w:firstLine="480"/>
        <w:jc w:val="left"/>
      </w:pPr>
      <w:r>
        <w:rPr>
          <w:rFonts w:ascii="Arial" w:hAnsi="Arial" w:cs="Arial" w:eastAsia="Arial" w:hint="default"/>
          <w:spacing w:val="-2"/>
        </w:rPr>
        <w:t>2018</w:t>
      </w:r>
      <w:r>
        <w:rPr>
          <w:spacing w:val="-2"/>
        </w:rPr>
        <w:t>年</w:t>
      </w:r>
      <w:r>
        <w:rPr>
          <w:rFonts w:ascii="Arial" w:hAnsi="Arial" w:cs="Arial" w:eastAsia="Arial" w:hint="default"/>
          <w:spacing w:val="-2"/>
        </w:rPr>
        <w:t>4</w:t>
      </w:r>
      <w:r>
        <w:rPr>
          <w:spacing w:val="-2"/>
        </w:rPr>
        <w:t>月</w:t>
      </w:r>
      <w:r>
        <w:rPr>
          <w:rFonts w:ascii="Arial" w:hAnsi="Arial" w:cs="Arial" w:eastAsia="Arial" w:hint="default"/>
          <w:spacing w:val="-2"/>
        </w:rPr>
        <w:t>8</w:t>
      </w:r>
      <w:r>
        <w:rPr>
          <w:spacing w:val="-2"/>
        </w:rPr>
        <w:t>日，公司第六届董事会第二十七次会议和第六届监事会第二十二次会议审议</w:t>
      </w:r>
      <w:r>
        <w:rPr/>
        <w:t> 通过了《关于回购注销部分限制性股票的议案》。公司原激励对象马平等</w:t>
      </w:r>
      <w:r>
        <w:rPr>
          <w:rFonts w:ascii="Arial" w:hAnsi="Arial" w:cs="Arial" w:eastAsia="Arial" w:hint="default"/>
        </w:rPr>
        <w:t>124</w:t>
      </w:r>
      <w:r>
        <w:rPr/>
        <w:t>名激励对象因 辞职、被辞退或个人考核成绩不达标等原因，根据《</w:t>
      </w:r>
      <w:r>
        <w:rPr>
          <w:rFonts w:ascii="Arial" w:hAnsi="Arial" w:cs="Arial" w:eastAsia="Arial" w:hint="default"/>
        </w:rPr>
        <w:t>2016</w:t>
      </w:r>
      <w:r>
        <w:rPr/>
        <w:t>年限制性股票激励计划（草案）》 的规定，公司拟对上述</w:t>
      </w:r>
      <w:r>
        <w:rPr>
          <w:rFonts w:ascii="Arial" w:hAnsi="Arial" w:cs="Arial" w:eastAsia="Arial" w:hint="default"/>
        </w:rPr>
        <w:t>124</w:t>
      </w:r>
      <w:r>
        <w:rPr/>
        <w:t>名激励对象获授予但尚未解锁的</w:t>
      </w:r>
      <w:r>
        <w:rPr>
          <w:rFonts w:ascii="Arial" w:hAnsi="Arial" w:cs="Arial" w:eastAsia="Arial" w:hint="default"/>
        </w:rPr>
        <w:t>1,074,950</w:t>
      </w:r>
      <w:r>
        <w:rPr/>
        <w:t>股限制性股票进行回购 注销。董事会审议通过了《关于公司 </w:t>
      </w:r>
      <w:r>
        <w:rPr>
          <w:rFonts w:ascii="Arial" w:hAnsi="Arial" w:cs="Arial" w:eastAsia="Arial" w:hint="default"/>
        </w:rPr>
        <w:t>2016</w:t>
      </w:r>
      <w:r>
        <w:rPr>
          <w:rFonts w:ascii="Arial" w:hAnsi="Arial" w:cs="Arial" w:eastAsia="Arial" w:hint="default"/>
          <w:spacing w:val="33"/>
        </w:rPr>
        <w:t> </w:t>
      </w:r>
      <w:r>
        <w:rPr/>
        <w:t>年限制性股票激励计划第一个解锁期可解锁的议</w:t>
      </w:r>
    </w:p>
    <w:p>
      <w:pPr>
        <w:pStyle w:val="Heading3"/>
        <w:spacing w:line="240" w:lineRule="auto" w:before="7"/>
        <w:ind w:right="996"/>
        <w:jc w:val="left"/>
        <w:rPr>
          <w:rFonts w:ascii="Arial" w:hAnsi="Arial" w:cs="Arial" w:eastAsia="Arial" w:hint="default"/>
        </w:rPr>
      </w:pPr>
      <w:r>
        <w:rPr>
          <w:spacing w:val="-17"/>
        </w:rPr>
        <w:t>案》，认为公司 </w:t>
      </w:r>
      <w:r>
        <w:rPr>
          <w:rFonts w:ascii="Arial" w:hAnsi="Arial" w:cs="Arial" w:eastAsia="Arial" w:hint="default"/>
        </w:rPr>
        <w:t>2016</w:t>
      </w:r>
      <w:r>
        <w:rPr/>
        <w:t>年限制性股票激励计划第一个解锁期解锁条件已满足，同意公司为</w:t>
      </w:r>
      <w:r>
        <w:rPr>
          <w:spacing w:val="-45"/>
        </w:rPr>
        <w:t> </w:t>
      </w:r>
      <w:r>
        <w:rPr>
          <w:rFonts w:ascii="Arial" w:hAnsi="Arial" w:cs="Arial" w:eastAsia="Arial" w:hint="default"/>
        </w:rPr>
        <w:t>757</w:t>
      </w:r>
    </w:p>
    <w:p>
      <w:pPr>
        <w:pStyle w:val="Heading3"/>
        <w:spacing w:line="261" w:lineRule="auto" w:before="26"/>
        <w:ind w:right="1124"/>
        <w:jc w:val="left"/>
      </w:pPr>
      <w:r>
        <w:rPr/>
        <w:t>名激励对象第一个解锁期 </w:t>
      </w:r>
      <w:r>
        <w:rPr>
          <w:rFonts w:ascii="Arial" w:hAnsi="Arial" w:cs="Arial" w:eastAsia="Arial" w:hint="default"/>
        </w:rPr>
        <w:t>5,789,760</w:t>
      </w:r>
      <w:r>
        <w:rPr>
          <w:rFonts w:ascii="Arial" w:hAnsi="Arial" w:cs="Arial" w:eastAsia="Arial" w:hint="default"/>
          <w:spacing w:val="1"/>
        </w:rPr>
        <w:t> </w:t>
      </w:r>
      <w:r>
        <w:rPr/>
        <w:t>股限制性股票予以解锁。详见</w:t>
      </w:r>
      <w:r>
        <w:rPr>
          <w:rFonts w:ascii="Arial" w:hAnsi="Arial" w:cs="Arial" w:eastAsia="Arial" w:hint="default"/>
        </w:rPr>
        <w:t>2018</w:t>
      </w:r>
      <w:r>
        <w:rPr/>
        <w:t>年</w:t>
      </w:r>
      <w:r>
        <w:rPr>
          <w:rFonts w:ascii="Arial" w:hAnsi="Arial" w:cs="Arial" w:eastAsia="Arial" w:hint="default"/>
        </w:rPr>
        <w:t>4</w:t>
      </w:r>
      <w:r>
        <w:rPr/>
        <w:t>月</w:t>
      </w:r>
      <w:r>
        <w:rPr>
          <w:rFonts w:ascii="Arial" w:hAnsi="Arial" w:cs="Arial" w:eastAsia="Arial" w:hint="default"/>
        </w:rPr>
        <w:t>10</w:t>
      </w:r>
      <w:r>
        <w:rPr/>
        <w:t>日公司在巨 潮资讯网披露的公告。</w:t>
      </w:r>
    </w:p>
    <w:p>
      <w:pPr>
        <w:pStyle w:val="Heading3"/>
        <w:spacing w:line="259" w:lineRule="auto" w:before="24"/>
        <w:ind w:right="1125" w:firstLine="480"/>
        <w:jc w:val="left"/>
      </w:pPr>
      <w:r>
        <w:rPr>
          <w:rFonts w:ascii="Arial" w:hAnsi="Arial" w:cs="Arial" w:eastAsia="Arial" w:hint="default"/>
        </w:rPr>
        <w:t>2018</w:t>
      </w:r>
      <w:r>
        <w:rPr/>
        <w:t>年</w:t>
      </w:r>
      <w:r>
        <w:rPr>
          <w:rFonts w:ascii="Arial" w:hAnsi="Arial" w:cs="Arial" w:eastAsia="Arial" w:hint="default"/>
        </w:rPr>
        <w:t>4</w:t>
      </w:r>
      <w:r>
        <w:rPr/>
        <w:t>月</w:t>
      </w:r>
      <w:r>
        <w:rPr>
          <w:rFonts w:ascii="Arial" w:hAnsi="Arial" w:cs="Arial" w:eastAsia="Arial" w:hint="default"/>
        </w:rPr>
        <w:t>25</w:t>
      </w:r>
      <w:r>
        <w:rPr/>
        <w:t>日，公司发布了《关于</w:t>
      </w:r>
      <w:r>
        <w:rPr>
          <w:rFonts w:ascii="Arial" w:hAnsi="Arial" w:cs="Arial" w:eastAsia="Arial" w:hint="default"/>
        </w:rPr>
        <w:t>2016</w:t>
      </w:r>
      <w:r>
        <w:rPr/>
        <w:t>年限制性股票激励计划授予股票第一期可解锁 </w:t>
      </w:r>
      <w:r>
        <w:rPr>
          <w:spacing w:val="-1"/>
        </w:rPr>
        <w:t>股份上市流通的提示性公告》，本次</w:t>
      </w:r>
      <w:r>
        <w:rPr>
          <w:rFonts w:ascii="Arial" w:hAnsi="Arial" w:cs="Arial" w:eastAsia="Arial" w:hint="default"/>
          <w:spacing w:val="-1"/>
        </w:rPr>
        <w:t>2016</w:t>
      </w:r>
      <w:r>
        <w:rPr>
          <w:spacing w:val="-1"/>
        </w:rPr>
        <w:t>年限制性股票激励计划授予的限制性股票第一个解</w:t>
      </w:r>
    </w:p>
    <w:p>
      <w:pPr>
        <w:spacing w:after="0" w:line="259" w:lineRule="auto"/>
        <w:jc w:val="left"/>
        <w:sectPr>
          <w:pgSz w:w="11910" w:h="16840"/>
          <w:pgMar w:header="878" w:footer="978" w:top="1100" w:bottom="1160" w:left="1020" w:right="0"/>
        </w:sectPr>
      </w:pPr>
    </w:p>
    <w:p>
      <w:pPr>
        <w:spacing w:line="240" w:lineRule="auto" w:before="6"/>
        <w:rPr>
          <w:rFonts w:ascii="宋体" w:hAnsi="宋体" w:cs="宋体" w:eastAsia="宋体" w:hint="default"/>
          <w:sz w:val="21"/>
          <w:szCs w:val="21"/>
        </w:rPr>
      </w:pPr>
    </w:p>
    <w:p>
      <w:pPr>
        <w:pStyle w:val="Heading3"/>
        <w:spacing w:line="259" w:lineRule="auto" w:before="26"/>
        <w:ind w:right="1132"/>
        <w:jc w:val="both"/>
      </w:pPr>
      <w:r>
        <w:rPr>
          <w:spacing w:val="-1"/>
        </w:rPr>
        <w:t>锁期可解锁的股份数量为</w:t>
      </w:r>
      <w:r>
        <w:rPr>
          <w:rFonts w:ascii="Arial" w:hAnsi="Arial" w:cs="Arial" w:eastAsia="Arial" w:hint="default"/>
          <w:spacing w:val="-1"/>
        </w:rPr>
        <w:t>5,789,760</w:t>
      </w:r>
      <w:r>
        <w:rPr>
          <w:spacing w:val="-1"/>
        </w:rPr>
        <w:t>股，占公司目前股本总额的</w:t>
      </w:r>
      <w:r>
        <w:rPr>
          <w:rFonts w:ascii="Arial" w:hAnsi="Arial" w:cs="Arial" w:eastAsia="Arial" w:hint="default"/>
          <w:spacing w:val="-1"/>
        </w:rPr>
        <w:t>0.76%</w:t>
      </w:r>
      <w:r>
        <w:rPr>
          <w:spacing w:val="-1"/>
        </w:rPr>
        <w:t>；实际可上市流通数量</w:t>
      </w:r>
      <w:r>
        <w:rPr>
          <w:spacing w:val="-114"/>
        </w:rPr>
        <w:t> </w:t>
      </w:r>
      <w:r>
        <w:rPr>
          <w:spacing w:val="-114"/>
        </w:rPr>
      </w:r>
      <w:r>
        <w:rPr/>
        <w:t>为</w:t>
      </w:r>
      <w:r>
        <w:rPr>
          <w:rFonts w:ascii="Arial" w:hAnsi="Arial" w:cs="Arial" w:eastAsia="Arial" w:hint="default"/>
        </w:rPr>
        <w:t>5,689,720</w:t>
      </w:r>
      <w:r>
        <w:rPr/>
        <w:t>股，占目前公司总股本的</w:t>
      </w:r>
      <w:r>
        <w:rPr>
          <w:rFonts w:ascii="Arial" w:hAnsi="Arial" w:cs="Arial" w:eastAsia="Arial" w:hint="default"/>
        </w:rPr>
        <w:t>0.75%</w:t>
      </w:r>
      <w:r>
        <w:rPr/>
        <w:t>，上市流通日为</w:t>
      </w:r>
      <w:r>
        <w:rPr>
          <w:rFonts w:ascii="Arial" w:hAnsi="Arial" w:cs="Arial" w:eastAsia="Arial" w:hint="default"/>
        </w:rPr>
        <w:t>2018</w:t>
      </w:r>
      <w:r>
        <w:rPr/>
        <w:t>年</w:t>
      </w:r>
      <w:r>
        <w:rPr>
          <w:rFonts w:ascii="Arial" w:hAnsi="Arial" w:cs="Arial" w:eastAsia="Arial" w:hint="default"/>
        </w:rPr>
        <w:t>4</w:t>
      </w:r>
      <w:r>
        <w:rPr/>
        <w:t>月</w:t>
      </w:r>
      <w:r>
        <w:rPr>
          <w:rFonts w:ascii="Arial" w:hAnsi="Arial" w:cs="Arial" w:eastAsia="Arial" w:hint="default"/>
        </w:rPr>
        <w:t>27</w:t>
      </w:r>
      <w:r>
        <w:rPr/>
        <w:t>日。详见</w:t>
      </w:r>
      <w:r>
        <w:rPr>
          <w:rFonts w:ascii="Arial" w:hAnsi="Arial" w:cs="Arial" w:eastAsia="Arial" w:hint="default"/>
        </w:rPr>
        <w:t>2018</w:t>
      </w:r>
      <w:r>
        <w:rPr/>
        <w:t>年</w:t>
      </w:r>
      <w:r>
        <w:rPr>
          <w:rFonts w:ascii="Arial" w:hAnsi="Arial" w:cs="Arial" w:eastAsia="Arial" w:hint="default"/>
        </w:rPr>
        <w:t>4</w:t>
      </w:r>
      <w:r>
        <w:rPr>
          <w:rFonts w:ascii="Arial" w:hAnsi="Arial" w:cs="Arial" w:eastAsia="Arial" w:hint="default"/>
          <w:w w:val="99"/>
        </w:rPr>
        <w:t> </w:t>
      </w:r>
      <w:r>
        <w:rPr/>
        <w:t>月</w:t>
      </w:r>
      <w:r>
        <w:rPr>
          <w:rFonts w:ascii="Arial" w:hAnsi="Arial" w:cs="Arial" w:eastAsia="Arial" w:hint="default"/>
        </w:rPr>
        <w:t>25</w:t>
      </w:r>
      <w:r>
        <w:rPr/>
        <w:t>日公司在巨潮资讯网披露的公告。</w:t>
      </w:r>
    </w:p>
    <w:p>
      <w:pPr>
        <w:pStyle w:val="Heading3"/>
        <w:spacing w:line="264" w:lineRule="auto" w:before="7"/>
        <w:ind w:right="1131" w:firstLine="480"/>
        <w:jc w:val="left"/>
      </w:pPr>
      <w:r>
        <w:rPr>
          <w:rFonts w:ascii="Arial" w:hAnsi="Arial" w:cs="Arial" w:eastAsia="Arial" w:hint="default"/>
        </w:rPr>
        <w:t>2018</w:t>
      </w:r>
      <w:r>
        <w:rPr/>
        <w:t>年</w:t>
      </w:r>
      <w:r>
        <w:rPr>
          <w:rFonts w:ascii="Arial" w:hAnsi="Arial" w:cs="Arial" w:eastAsia="Arial" w:hint="default"/>
        </w:rPr>
        <w:t>5</w:t>
      </w:r>
      <w:r>
        <w:rPr/>
        <w:t>月</w:t>
      </w:r>
      <w:r>
        <w:rPr>
          <w:rFonts w:ascii="Arial" w:hAnsi="Arial" w:cs="Arial" w:eastAsia="Arial" w:hint="default"/>
        </w:rPr>
        <w:t>15</w:t>
      </w:r>
      <w:r>
        <w:rPr/>
        <w:t>日，公司第六届董事会第二十九次会议和第六届监事会第二十四次会议审 议通过了《关于回购注销部分限制性股票的议案》、《关于公司限制性股票激励计划第三个 解锁期可解锁的议案》，同意回购注销李红等</w:t>
      </w:r>
      <w:r>
        <w:rPr>
          <w:rFonts w:ascii="Arial" w:hAnsi="Arial" w:cs="Arial" w:eastAsia="Arial" w:hint="default"/>
        </w:rPr>
        <w:t>56</w:t>
      </w:r>
      <w:r>
        <w:rPr/>
        <w:t>人已获授但尚未解锁的限制性股票共计 </w:t>
      </w:r>
      <w:r>
        <w:rPr>
          <w:rFonts w:ascii="Arial" w:hAnsi="Arial" w:cs="Arial" w:eastAsia="Arial" w:hint="default"/>
          <w:spacing w:val="-1"/>
        </w:rPr>
        <w:t>658,178</w:t>
      </w:r>
      <w:r>
        <w:rPr>
          <w:spacing w:val="-1"/>
        </w:rPr>
        <w:t>股；同意</w:t>
      </w:r>
      <w:r>
        <w:rPr>
          <w:rFonts w:ascii="Arial" w:hAnsi="Arial" w:cs="Arial" w:eastAsia="Arial" w:hint="default"/>
          <w:spacing w:val="-1"/>
        </w:rPr>
        <w:t>388</w:t>
      </w:r>
      <w:r>
        <w:rPr>
          <w:spacing w:val="-1"/>
        </w:rPr>
        <w:t>名符合条件的激励对象在第三个解锁期解锁，可解锁的限制性股票数量</w:t>
      </w:r>
      <w:r>
        <w:rPr>
          <w:spacing w:val="-113"/>
        </w:rPr>
        <w:t> </w:t>
      </w:r>
      <w:r>
        <w:rPr>
          <w:spacing w:val="-113"/>
        </w:rPr>
      </w:r>
      <w:r>
        <w:rPr/>
        <w:t>为</w:t>
      </w:r>
      <w:r>
        <w:rPr>
          <w:rFonts w:ascii="Arial" w:hAnsi="Arial" w:cs="Arial" w:eastAsia="Arial" w:hint="default"/>
        </w:rPr>
        <w:t>5,417,499</w:t>
      </w:r>
      <w:r>
        <w:rPr/>
        <w:t>股。详见</w:t>
      </w:r>
      <w:r>
        <w:rPr>
          <w:rFonts w:ascii="Arial" w:hAnsi="Arial" w:cs="Arial" w:eastAsia="Arial" w:hint="default"/>
        </w:rPr>
        <w:t>2018</w:t>
      </w:r>
      <w:r>
        <w:rPr/>
        <w:t>年</w:t>
      </w:r>
      <w:r>
        <w:rPr>
          <w:rFonts w:ascii="Arial" w:hAnsi="Arial" w:cs="Arial" w:eastAsia="Arial" w:hint="default"/>
        </w:rPr>
        <w:t>5</w:t>
      </w:r>
      <w:r>
        <w:rPr/>
        <w:t>月</w:t>
      </w:r>
      <w:r>
        <w:rPr>
          <w:rFonts w:ascii="Arial" w:hAnsi="Arial" w:cs="Arial" w:eastAsia="Arial" w:hint="default"/>
        </w:rPr>
        <w:t>16</w:t>
      </w:r>
      <w:r>
        <w:rPr/>
        <w:t>日公司在巨潮资讯网披露的公告。</w:t>
      </w:r>
    </w:p>
    <w:p>
      <w:pPr>
        <w:pStyle w:val="Heading3"/>
        <w:spacing w:line="259" w:lineRule="auto"/>
        <w:ind w:right="1132" w:firstLine="480"/>
        <w:jc w:val="both"/>
      </w:pPr>
      <w:r>
        <w:rPr>
          <w:rFonts w:ascii="Arial" w:hAnsi="Arial" w:cs="Arial" w:eastAsia="Arial" w:hint="default"/>
        </w:rPr>
        <w:t>2018</w:t>
      </w:r>
      <w:r>
        <w:rPr/>
        <w:t>年</w:t>
      </w:r>
      <w:r>
        <w:rPr>
          <w:rFonts w:ascii="Arial" w:hAnsi="Arial" w:cs="Arial" w:eastAsia="Arial" w:hint="default"/>
        </w:rPr>
        <w:t>5</w:t>
      </w:r>
      <w:r>
        <w:rPr/>
        <w:t>月</w:t>
      </w:r>
      <w:r>
        <w:rPr>
          <w:rFonts w:ascii="Arial" w:hAnsi="Arial" w:cs="Arial" w:eastAsia="Arial" w:hint="default"/>
        </w:rPr>
        <w:t>25</w:t>
      </w:r>
      <w:r>
        <w:rPr/>
        <w:t>日，公司第六届董事会第三十次会议和第六届监事会第二十五次会议审议 通过了《关于回购注销部分限制性股票的议案》，公司原激励对象陈强等</w:t>
      </w:r>
      <w:r>
        <w:rPr>
          <w:rFonts w:ascii="Arial" w:hAnsi="Arial" w:cs="Arial" w:eastAsia="Arial" w:hint="default"/>
        </w:rPr>
        <w:t>17</w:t>
      </w:r>
      <w:r>
        <w:rPr/>
        <w:t>名激励对象因个 </w:t>
      </w:r>
      <w:r>
        <w:rPr>
          <w:spacing w:val="-2"/>
        </w:rPr>
        <w:t>人原因离职，根据《</w:t>
      </w:r>
      <w:r>
        <w:rPr>
          <w:rFonts w:ascii="Arial" w:hAnsi="Arial" w:cs="Arial" w:eastAsia="Arial" w:hint="default"/>
          <w:spacing w:val="-2"/>
        </w:rPr>
        <w:t>2016</w:t>
      </w:r>
      <w:r>
        <w:rPr>
          <w:spacing w:val="-2"/>
        </w:rPr>
        <w:t>年限制性股票激励计划（草案）》的规定，同意公司对上述</w:t>
      </w:r>
      <w:r>
        <w:rPr>
          <w:rFonts w:ascii="Arial" w:hAnsi="Arial" w:cs="Arial" w:eastAsia="Arial" w:hint="default"/>
          <w:spacing w:val="-2"/>
        </w:rPr>
        <w:t>17</w:t>
      </w:r>
      <w:r>
        <w:rPr>
          <w:spacing w:val="-2"/>
        </w:rPr>
        <w:t>名激</w:t>
      </w:r>
      <w:r>
        <w:rPr>
          <w:spacing w:val="-87"/>
        </w:rPr>
        <w:t> </w:t>
      </w:r>
      <w:r>
        <w:rPr>
          <w:spacing w:val="-2"/>
        </w:rPr>
        <w:t>励对象获授予但尚未解锁的</w:t>
      </w:r>
      <w:r>
        <w:rPr>
          <w:rFonts w:ascii="Arial" w:hAnsi="Arial" w:cs="Arial" w:eastAsia="Arial" w:hint="default"/>
          <w:spacing w:val="-2"/>
        </w:rPr>
        <w:t>184,800</w:t>
      </w:r>
      <w:r>
        <w:rPr>
          <w:spacing w:val="-2"/>
        </w:rPr>
        <w:t>股限制性股票进行回购注销。详见</w:t>
      </w:r>
      <w:r>
        <w:rPr>
          <w:rFonts w:ascii="Arial" w:hAnsi="Arial" w:cs="Arial" w:eastAsia="Arial" w:hint="default"/>
          <w:spacing w:val="-2"/>
        </w:rPr>
        <w:t>2018</w:t>
      </w:r>
      <w:r>
        <w:rPr>
          <w:spacing w:val="-2"/>
        </w:rPr>
        <w:t>年</w:t>
      </w:r>
      <w:r>
        <w:rPr>
          <w:rFonts w:ascii="Arial" w:hAnsi="Arial" w:cs="Arial" w:eastAsia="Arial" w:hint="default"/>
          <w:spacing w:val="-2"/>
        </w:rPr>
        <w:t>5</w:t>
      </w:r>
      <w:r>
        <w:rPr>
          <w:spacing w:val="-2"/>
        </w:rPr>
        <w:t>月</w:t>
      </w:r>
      <w:r>
        <w:rPr>
          <w:rFonts w:ascii="Arial" w:hAnsi="Arial" w:cs="Arial" w:eastAsia="Arial" w:hint="default"/>
          <w:spacing w:val="-2"/>
        </w:rPr>
        <w:t>26</w:t>
      </w:r>
      <w:r>
        <w:rPr>
          <w:spacing w:val="-2"/>
        </w:rPr>
        <w:t>日公司在</w:t>
      </w:r>
      <w:r>
        <w:rPr/>
        <w:t> 巨潮资讯网披露的公告。</w:t>
      </w:r>
    </w:p>
    <w:p>
      <w:pPr>
        <w:pStyle w:val="Heading3"/>
        <w:spacing w:line="264" w:lineRule="auto" w:before="26"/>
        <w:ind w:right="996" w:firstLine="480"/>
        <w:jc w:val="left"/>
      </w:pPr>
      <w:r>
        <w:rPr>
          <w:rFonts w:ascii="Arial" w:hAnsi="Arial" w:cs="Arial" w:eastAsia="Arial" w:hint="default"/>
        </w:rPr>
        <w:t>2018</w:t>
      </w:r>
      <w:r>
        <w:rPr/>
        <w:t>年</w:t>
      </w:r>
      <w:r>
        <w:rPr>
          <w:rFonts w:ascii="Arial" w:hAnsi="Arial" w:cs="Arial" w:eastAsia="Arial" w:hint="default"/>
        </w:rPr>
        <w:t>6</w:t>
      </w:r>
      <w:r>
        <w:rPr/>
        <w:t>月</w:t>
      </w:r>
      <w:r>
        <w:rPr>
          <w:rFonts w:ascii="Arial" w:hAnsi="Arial" w:cs="Arial" w:eastAsia="Arial" w:hint="default"/>
        </w:rPr>
        <w:t>4</w:t>
      </w:r>
      <w:r>
        <w:rPr/>
        <w:t>日，公司发布了《关于限制性股票激励计划授予股票第三期可解锁股份上市 流通的提示性公告》，本次限制性股票激励计划授予的限制性股票第三个解锁期可解锁的股 </w:t>
      </w:r>
      <w:r>
        <w:rPr>
          <w:spacing w:val="-4"/>
        </w:rPr>
        <w:t>份数量为</w:t>
      </w:r>
      <w:r>
        <w:rPr>
          <w:rFonts w:ascii="Arial" w:hAnsi="Arial" w:cs="Arial" w:eastAsia="Arial" w:hint="default"/>
          <w:spacing w:val="-4"/>
        </w:rPr>
        <w:t>5,417,499</w:t>
      </w:r>
      <w:r>
        <w:rPr>
          <w:spacing w:val="-4"/>
        </w:rPr>
        <w:t>股，占公司目前股本总额的</w:t>
      </w:r>
      <w:r>
        <w:rPr>
          <w:rFonts w:ascii="Arial" w:hAnsi="Arial" w:cs="Arial" w:eastAsia="Arial" w:hint="default"/>
          <w:spacing w:val="-4"/>
        </w:rPr>
        <w:t>0.712%</w:t>
      </w:r>
      <w:r>
        <w:rPr>
          <w:spacing w:val="-4"/>
        </w:rPr>
        <w:t>；实际可上市流通数量为</w:t>
      </w:r>
      <w:r>
        <w:rPr>
          <w:rFonts w:ascii="Arial" w:hAnsi="Arial" w:cs="Arial" w:eastAsia="Arial" w:hint="default"/>
          <w:spacing w:val="-4"/>
        </w:rPr>
        <w:t>5,250,852</w:t>
      </w:r>
      <w:r>
        <w:rPr>
          <w:spacing w:val="-4"/>
        </w:rPr>
        <w:t>股，</w:t>
      </w:r>
      <w:r>
        <w:rPr>
          <w:spacing w:val="-79"/>
        </w:rPr>
        <w:t> </w:t>
      </w:r>
      <w:r>
        <w:rPr/>
        <w:t>占目前公司总股本的</w:t>
      </w:r>
      <w:r>
        <w:rPr>
          <w:rFonts w:ascii="Arial" w:hAnsi="Arial" w:cs="Arial" w:eastAsia="Arial" w:hint="default"/>
        </w:rPr>
        <w:t>0.690%</w:t>
      </w:r>
      <w:r>
        <w:rPr/>
        <w:t>。上市流通日为</w:t>
      </w:r>
      <w:r>
        <w:rPr>
          <w:rFonts w:ascii="Arial" w:hAnsi="Arial" w:cs="Arial" w:eastAsia="Arial" w:hint="default"/>
        </w:rPr>
        <w:t>2018</w:t>
      </w:r>
      <w:r>
        <w:rPr/>
        <w:t>年</w:t>
      </w:r>
      <w:r>
        <w:rPr>
          <w:rFonts w:ascii="Arial" w:hAnsi="Arial" w:cs="Arial" w:eastAsia="Arial" w:hint="default"/>
        </w:rPr>
        <w:t>6</w:t>
      </w:r>
      <w:r>
        <w:rPr/>
        <w:t>月</w:t>
      </w:r>
      <w:r>
        <w:rPr>
          <w:rFonts w:ascii="Arial" w:hAnsi="Arial" w:cs="Arial" w:eastAsia="Arial" w:hint="default"/>
        </w:rPr>
        <w:t>6</w:t>
      </w:r>
      <w:r>
        <w:rPr/>
        <w:t>日。详见</w:t>
      </w:r>
      <w:r>
        <w:rPr>
          <w:rFonts w:ascii="Arial" w:hAnsi="Arial" w:cs="Arial" w:eastAsia="Arial" w:hint="default"/>
        </w:rPr>
        <w:t>2018</w:t>
      </w:r>
      <w:r>
        <w:rPr/>
        <w:t>年</w:t>
      </w:r>
      <w:r>
        <w:rPr>
          <w:rFonts w:ascii="Arial" w:hAnsi="Arial" w:cs="Arial" w:eastAsia="Arial" w:hint="default"/>
        </w:rPr>
        <w:t>6</w:t>
      </w:r>
      <w:r>
        <w:rPr/>
        <w:t>月</w:t>
      </w:r>
      <w:r>
        <w:rPr>
          <w:rFonts w:ascii="Arial" w:hAnsi="Arial" w:cs="Arial" w:eastAsia="Arial" w:hint="default"/>
        </w:rPr>
        <w:t>4</w:t>
      </w:r>
      <w:r>
        <w:rPr/>
        <w:t>日公司在巨潮 资讯网披露的公告。</w:t>
      </w:r>
    </w:p>
    <w:p>
      <w:pPr>
        <w:pStyle w:val="Heading3"/>
        <w:spacing w:line="259" w:lineRule="auto" w:before="19"/>
        <w:ind w:right="996" w:firstLine="480"/>
        <w:jc w:val="left"/>
      </w:pPr>
      <w:r>
        <w:rPr>
          <w:rFonts w:ascii="Arial" w:hAnsi="Arial" w:cs="Arial" w:eastAsia="Arial" w:hint="default"/>
        </w:rPr>
        <w:t>2018</w:t>
      </w:r>
      <w:r>
        <w:rPr/>
        <w:t>年</w:t>
      </w:r>
      <w:r>
        <w:rPr>
          <w:rFonts w:ascii="Arial" w:hAnsi="Arial" w:cs="Arial" w:eastAsia="Arial" w:hint="default"/>
        </w:rPr>
        <w:t>6</w:t>
      </w:r>
      <w:r>
        <w:rPr/>
        <w:t>月</w:t>
      </w:r>
      <w:r>
        <w:rPr>
          <w:rFonts w:ascii="Arial" w:hAnsi="Arial" w:cs="Arial" w:eastAsia="Arial" w:hint="default"/>
        </w:rPr>
        <w:t>19</w:t>
      </w:r>
      <w:r>
        <w:rPr/>
        <w:t>日，公司分别召开了第六届董事会第三十一次会议和第六届监事会第二十 六次会议，审议通过了《关于调整股票期权激励计划行权价格与</w:t>
      </w:r>
      <w:r>
        <w:rPr>
          <w:rFonts w:ascii="Arial" w:hAnsi="Arial" w:cs="Arial" w:eastAsia="Arial" w:hint="default"/>
        </w:rPr>
        <w:t>2016</w:t>
      </w:r>
      <w:r>
        <w:rPr/>
        <w:t>年限制性股票激励计划 </w:t>
      </w:r>
      <w:r>
        <w:rPr>
          <w:spacing w:val="-9"/>
          <w:w w:val="99"/>
        </w:rPr>
        <w:t>回购价格的议案》，同意根据《股票期权激励计划》及《</w:t>
      </w:r>
      <w:r>
        <w:rPr>
          <w:rFonts w:ascii="Arial" w:hAnsi="Arial" w:cs="Arial" w:eastAsia="Arial" w:hint="default"/>
          <w:spacing w:val="-9"/>
          <w:w w:val="99"/>
        </w:rPr>
        <w:t>2016</w:t>
      </w:r>
      <w:r>
        <w:rPr>
          <w:spacing w:val="-9"/>
          <w:w w:val="99"/>
        </w:rPr>
        <w:t>年限制性股票激励计划（草案）》</w:t>
      </w:r>
      <w:r>
        <w:rPr>
          <w:spacing w:val="-106"/>
          <w:w w:val="99"/>
        </w:rPr>
        <w:t> </w:t>
      </w:r>
      <w:r>
        <w:rPr>
          <w:spacing w:val="-106"/>
          <w:w w:val="99"/>
        </w:rPr>
      </w:r>
      <w:r>
        <w:rPr/>
        <w:t>的中关于期权行权价格、限制性股票回购价格调整的规定，以及公司</w:t>
      </w:r>
      <w:r>
        <w:rPr>
          <w:rFonts w:ascii="Arial" w:hAnsi="Arial" w:cs="Arial" w:eastAsia="Arial" w:hint="default"/>
        </w:rPr>
        <w:t>2017</w:t>
      </w:r>
      <w:r>
        <w:rPr/>
        <w:t>年度利润分配方案 的实施情况，公司股票期权激励计划预留期权的行权价格由</w:t>
      </w:r>
      <w:r>
        <w:rPr>
          <w:rFonts w:ascii="Arial" w:hAnsi="Arial" w:cs="Arial" w:eastAsia="Arial" w:hint="default"/>
        </w:rPr>
        <w:t>4.90</w:t>
      </w:r>
      <w:r>
        <w:rPr/>
        <w:t>元调整为</w:t>
      </w:r>
      <w:r>
        <w:rPr>
          <w:rFonts w:ascii="Arial" w:hAnsi="Arial" w:cs="Arial" w:eastAsia="Arial" w:hint="default"/>
        </w:rPr>
        <w:t>4.85</w:t>
      </w:r>
      <w:r>
        <w:rPr/>
        <w:t>元，公司</w:t>
      </w:r>
      <w:r>
        <w:rPr>
          <w:rFonts w:ascii="Arial" w:hAnsi="Arial" w:cs="Arial" w:eastAsia="Arial" w:hint="default"/>
        </w:rPr>
        <w:t>2016</w:t>
      </w:r>
      <w:r>
        <w:rPr>
          <w:rFonts w:ascii="Arial" w:hAnsi="Arial" w:cs="Arial" w:eastAsia="Arial" w:hint="default"/>
          <w:w w:val="99"/>
        </w:rPr>
        <w:t> </w:t>
      </w:r>
      <w:r>
        <w:rPr/>
        <w:t>年限制性股票回购价格由</w:t>
      </w:r>
      <w:r>
        <w:rPr>
          <w:rFonts w:ascii="Arial" w:hAnsi="Arial" w:cs="Arial" w:eastAsia="Arial" w:hint="default"/>
        </w:rPr>
        <w:t>9.98</w:t>
      </w:r>
      <w:r>
        <w:rPr/>
        <w:t>元调整为</w:t>
      </w:r>
      <w:r>
        <w:rPr>
          <w:rFonts w:ascii="Arial" w:hAnsi="Arial" w:cs="Arial" w:eastAsia="Arial" w:hint="default"/>
        </w:rPr>
        <w:t>9.93</w:t>
      </w:r>
      <w:r>
        <w:rPr/>
        <w:t>元。详见</w:t>
      </w:r>
      <w:r>
        <w:rPr>
          <w:rFonts w:ascii="Arial" w:hAnsi="Arial" w:cs="Arial" w:eastAsia="Arial" w:hint="default"/>
        </w:rPr>
        <w:t>2018</w:t>
      </w:r>
      <w:r>
        <w:rPr/>
        <w:t>年</w:t>
      </w:r>
      <w:r>
        <w:rPr>
          <w:rFonts w:ascii="Arial" w:hAnsi="Arial" w:cs="Arial" w:eastAsia="Arial" w:hint="default"/>
        </w:rPr>
        <w:t>6</w:t>
      </w:r>
      <w:r>
        <w:rPr/>
        <w:t>月</w:t>
      </w:r>
      <w:r>
        <w:rPr>
          <w:rFonts w:ascii="Arial" w:hAnsi="Arial" w:cs="Arial" w:eastAsia="Arial" w:hint="default"/>
        </w:rPr>
        <w:t>19</w:t>
      </w:r>
      <w:r>
        <w:rPr/>
        <w:t>日公司在巨潮资讯网披露 的公告。</w:t>
      </w:r>
    </w:p>
    <w:p>
      <w:pPr>
        <w:pStyle w:val="Heading3"/>
        <w:spacing w:line="266" w:lineRule="auto" w:before="24"/>
        <w:ind w:right="1154" w:firstLine="480"/>
        <w:jc w:val="left"/>
      </w:pPr>
      <w:r>
        <w:rPr>
          <w:rFonts w:ascii="Arial" w:hAnsi="Arial" w:cs="Arial" w:eastAsia="Arial" w:hint="default"/>
        </w:rPr>
        <w:t>2018</w:t>
      </w:r>
      <w:r>
        <w:rPr/>
        <w:t>年</w:t>
      </w:r>
      <w:r>
        <w:rPr>
          <w:rFonts w:ascii="Arial" w:hAnsi="Arial" w:cs="Arial" w:eastAsia="Arial" w:hint="default"/>
        </w:rPr>
        <w:t>8</w:t>
      </w:r>
      <w:r>
        <w:rPr/>
        <w:t>月</w:t>
      </w:r>
      <w:r>
        <w:rPr>
          <w:rFonts w:ascii="Arial" w:hAnsi="Arial" w:cs="Arial" w:eastAsia="Arial" w:hint="default"/>
        </w:rPr>
        <w:t>30</w:t>
      </w:r>
      <w:r>
        <w:rPr/>
        <w:t>日，公司召开了第六届董事会第三十三次会议，审议通过了《关于公司限 制性股票激励计划（暂缓授予部分）第三个解锁期可解锁的议案》。公司限制性股票激励计 划（暂缓授予部分）第三个解锁期解锁条件已满足，目前公司限制性股票激励计划（暂缓授 予部分）激励对象第三个解锁期可解锁的限制性股票数量为</w:t>
      </w:r>
      <w:r>
        <w:rPr>
          <w:rFonts w:ascii="Arial" w:hAnsi="Arial" w:cs="Arial" w:eastAsia="Arial" w:hint="default"/>
        </w:rPr>
        <w:t>63,485</w:t>
      </w:r>
      <w:r>
        <w:rPr/>
        <w:t>股。本次限制性股票于 </w:t>
      </w:r>
      <w:r>
        <w:rPr>
          <w:rFonts w:ascii="Arial" w:hAnsi="Arial" w:cs="Arial" w:eastAsia="Arial" w:hint="default"/>
        </w:rPr>
        <w:t>2018</w:t>
      </w:r>
      <w:r>
        <w:rPr/>
        <w:t>年</w:t>
      </w:r>
      <w:r>
        <w:rPr>
          <w:rFonts w:ascii="Arial" w:hAnsi="Arial" w:cs="Arial" w:eastAsia="Arial" w:hint="default"/>
        </w:rPr>
        <w:t>9</w:t>
      </w:r>
      <w:r>
        <w:rPr/>
        <w:t>月</w:t>
      </w:r>
      <w:r>
        <w:rPr>
          <w:rFonts w:ascii="Arial" w:hAnsi="Arial" w:cs="Arial" w:eastAsia="Arial" w:hint="default"/>
        </w:rPr>
        <w:t>10</w:t>
      </w:r>
      <w:r>
        <w:rPr/>
        <w:t>日上市流通。详见</w:t>
      </w:r>
      <w:r>
        <w:rPr>
          <w:rFonts w:ascii="Arial" w:hAnsi="Arial" w:cs="Arial" w:eastAsia="Arial" w:hint="default"/>
        </w:rPr>
        <w:t>2018</w:t>
      </w:r>
      <w:r>
        <w:rPr/>
        <w:t>年</w:t>
      </w:r>
      <w:r>
        <w:rPr>
          <w:rFonts w:ascii="Arial" w:hAnsi="Arial" w:cs="Arial" w:eastAsia="Arial" w:hint="default"/>
        </w:rPr>
        <w:t>8</w:t>
      </w:r>
      <w:r>
        <w:rPr/>
        <w:t>月</w:t>
      </w:r>
      <w:r>
        <w:rPr>
          <w:rFonts w:ascii="Arial" w:hAnsi="Arial" w:cs="Arial" w:eastAsia="Arial" w:hint="default"/>
        </w:rPr>
        <w:t>30</w:t>
      </w:r>
      <w:r>
        <w:rPr/>
        <w:t>日公司在巨潮资讯网披露的公告。</w:t>
      </w:r>
    </w:p>
    <w:p>
      <w:pPr>
        <w:pStyle w:val="Heading3"/>
        <w:spacing w:line="259" w:lineRule="auto"/>
        <w:ind w:right="1132" w:firstLine="480"/>
        <w:jc w:val="both"/>
      </w:pPr>
      <w:r>
        <w:rPr>
          <w:rFonts w:ascii="Arial" w:hAnsi="Arial" w:cs="Arial" w:eastAsia="Arial" w:hint="default"/>
          <w:spacing w:val="-2"/>
        </w:rPr>
        <w:t>2018</w:t>
      </w:r>
      <w:r>
        <w:rPr>
          <w:spacing w:val="-2"/>
        </w:rPr>
        <w:t>年</w:t>
      </w:r>
      <w:r>
        <w:rPr>
          <w:rFonts w:ascii="Arial" w:hAnsi="Arial" w:cs="Arial" w:eastAsia="Arial" w:hint="default"/>
          <w:spacing w:val="-2"/>
        </w:rPr>
        <w:t>10</w:t>
      </w:r>
      <w:r>
        <w:rPr>
          <w:spacing w:val="-2"/>
        </w:rPr>
        <w:t>月</w:t>
      </w:r>
      <w:r>
        <w:rPr>
          <w:rFonts w:ascii="Arial" w:hAnsi="Arial" w:cs="Arial" w:eastAsia="Arial" w:hint="default"/>
          <w:spacing w:val="-2"/>
        </w:rPr>
        <w:t>12</w:t>
      </w:r>
      <w:r>
        <w:rPr>
          <w:spacing w:val="-2"/>
        </w:rPr>
        <w:t>日，公司发布了《关于部分限制性股票回购注销完成公告》，回购原激励</w:t>
      </w:r>
      <w:r>
        <w:rPr/>
        <w:t> 对象李红等</w:t>
      </w:r>
      <w:r>
        <w:rPr>
          <w:rFonts w:ascii="Arial" w:hAnsi="Arial" w:cs="Arial" w:eastAsia="Arial" w:hint="default"/>
        </w:rPr>
        <w:t>56</w:t>
      </w:r>
      <w:r>
        <w:rPr/>
        <w:t>人所获授但尚未解锁的限制性股票共计</w:t>
      </w:r>
      <w:r>
        <w:rPr>
          <w:rFonts w:ascii="Arial" w:hAnsi="Arial" w:cs="Arial" w:eastAsia="Arial" w:hint="default"/>
        </w:rPr>
        <w:t>658,178</w:t>
      </w:r>
      <w:r>
        <w:rPr/>
        <w:t>股。回购价格为</w:t>
      </w:r>
      <w:r>
        <w:rPr>
          <w:rFonts w:ascii="Arial" w:hAnsi="Arial" w:cs="Arial" w:eastAsia="Arial" w:hint="default"/>
        </w:rPr>
        <w:t>5.01</w:t>
      </w:r>
      <w:r>
        <w:rPr/>
        <w:t>元</w:t>
      </w:r>
      <w:r>
        <w:rPr>
          <w:rFonts w:ascii="Arial" w:hAnsi="Arial" w:cs="Arial" w:eastAsia="Arial" w:hint="default"/>
        </w:rPr>
        <w:t>/</w:t>
      </w:r>
      <w:r>
        <w:rPr/>
        <w:t>股。详 见同日公司在巨潮资讯网披露的公告。</w:t>
      </w:r>
    </w:p>
    <w:p>
      <w:pPr>
        <w:pStyle w:val="Heading3"/>
        <w:spacing w:line="259" w:lineRule="auto" w:before="26"/>
        <w:ind w:right="1089" w:firstLine="480"/>
        <w:jc w:val="both"/>
      </w:pPr>
      <w:r>
        <w:rPr>
          <w:rFonts w:ascii="Arial" w:hAnsi="Arial" w:cs="Arial" w:eastAsia="Arial" w:hint="default"/>
          <w:spacing w:val="-2"/>
        </w:rPr>
        <w:t>2018</w:t>
      </w:r>
      <w:r>
        <w:rPr>
          <w:spacing w:val="-2"/>
        </w:rPr>
        <w:t>年</w:t>
      </w:r>
      <w:r>
        <w:rPr>
          <w:rFonts w:ascii="Arial" w:hAnsi="Arial" w:cs="Arial" w:eastAsia="Arial" w:hint="default"/>
          <w:spacing w:val="-2"/>
        </w:rPr>
        <w:t>11</w:t>
      </w:r>
      <w:r>
        <w:rPr>
          <w:spacing w:val="-2"/>
        </w:rPr>
        <w:t>月</w:t>
      </w:r>
      <w:r>
        <w:rPr>
          <w:rFonts w:ascii="Arial" w:hAnsi="Arial" w:cs="Arial" w:eastAsia="Arial" w:hint="default"/>
          <w:spacing w:val="-2"/>
        </w:rPr>
        <w:t>30</w:t>
      </w:r>
      <w:r>
        <w:rPr>
          <w:spacing w:val="-2"/>
        </w:rPr>
        <w:t>日，公司发布了《关于部分限制性股票回购注销完成公告》，回购原激励</w:t>
      </w:r>
      <w:r>
        <w:rPr/>
        <w:t> 对象马平等</w:t>
      </w:r>
      <w:r>
        <w:rPr>
          <w:rFonts w:ascii="Arial" w:hAnsi="Arial" w:cs="Arial" w:eastAsia="Arial" w:hint="default"/>
        </w:rPr>
        <w:t>141</w:t>
      </w:r>
      <w:r>
        <w:rPr/>
        <w:t>人所获授但尚未解锁的限制性股票共计</w:t>
      </w:r>
      <w:r>
        <w:rPr>
          <w:rFonts w:ascii="Arial" w:hAnsi="Arial" w:cs="Arial" w:eastAsia="Arial" w:hint="default"/>
        </w:rPr>
        <w:t>1,259,750</w:t>
      </w:r>
      <w:r>
        <w:rPr/>
        <w:t>股。回购价格为</w:t>
      </w:r>
      <w:r>
        <w:rPr>
          <w:rFonts w:ascii="Arial" w:hAnsi="Arial" w:cs="Arial" w:eastAsia="Arial" w:hint="default"/>
        </w:rPr>
        <w:t>9.93</w:t>
      </w:r>
      <w:r>
        <w:rPr/>
        <w:t>元</w:t>
      </w:r>
      <w:r>
        <w:rPr>
          <w:rFonts w:ascii="Arial" w:hAnsi="Arial" w:cs="Arial" w:eastAsia="Arial" w:hint="default"/>
        </w:rPr>
        <w:t>/</w:t>
      </w:r>
      <w:r>
        <w:rPr/>
        <w:t>股。 详见同日公司在巨潮资讯网披露的公告。</w:t>
      </w:r>
    </w:p>
    <w:p>
      <w:pPr>
        <w:pStyle w:val="Heading3"/>
        <w:spacing w:line="261" w:lineRule="auto" w:before="26"/>
        <w:ind w:right="1120" w:firstLine="480"/>
        <w:jc w:val="left"/>
      </w:pPr>
      <w:r>
        <w:rPr>
          <w:rFonts w:ascii="Arial" w:hAnsi="Arial" w:cs="Arial" w:eastAsia="Arial" w:hint="default"/>
          <w:spacing w:val="-2"/>
        </w:rPr>
        <w:t>2018</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4</w:t>
      </w:r>
      <w:r>
        <w:rPr>
          <w:spacing w:val="-2"/>
        </w:rPr>
        <w:t>日，公司召开的第六届董事会第三十六次会议审议通过了《关于</w:t>
      </w:r>
      <w:r>
        <w:rPr>
          <w:rFonts w:ascii="Arial" w:hAnsi="Arial" w:cs="Arial" w:eastAsia="Arial" w:hint="default"/>
          <w:spacing w:val="-2"/>
        </w:rPr>
        <w:t>&lt;</w:t>
      </w:r>
      <w:r>
        <w:rPr>
          <w:spacing w:val="-2"/>
        </w:rPr>
        <w:t>北京华宇</w:t>
      </w:r>
      <w:r>
        <w:rPr/>
        <w:t> 软件股份有限公司</w:t>
      </w:r>
      <w:r>
        <w:rPr>
          <w:rFonts w:ascii="Arial" w:hAnsi="Arial" w:cs="Arial" w:eastAsia="Arial" w:hint="default"/>
        </w:rPr>
        <w:t>2018</w:t>
      </w:r>
      <w:r>
        <w:rPr/>
        <w:t>年股票期权激励计划（草案）</w:t>
      </w:r>
      <w:r>
        <w:rPr>
          <w:rFonts w:ascii="Arial" w:hAnsi="Arial" w:cs="Arial" w:eastAsia="Arial" w:hint="default"/>
        </w:rPr>
        <w:t>&gt;</w:t>
      </w:r>
      <w:r>
        <w:rPr/>
        <w:t>及其摘要的议案》（以下简称</w:t>
      </w:r>
      <w:r>
        <w:rPr>
          <w:rFonts w:ascii="Arial" w:hAnsi="Arial" w:cs="Arial" w:eastAsia="Arial" w:hint="default"/>
        </w:rPr>
        <w:t>“</w:t>
      </w:r>
      <w:r>
        <w:rPr/>
        <w:t>《激励</w:t>
      </w:r>
    </w:p>
    <w:p>
      <w:pPr>
        <w:spacing w:after="0" w:line="261" w:lineRule="auto"/>
        <w:jc w:val="left"/>
        <w:sectPr>
          <w:pgSz w:w="11910" w:h="16840"/>
          <w:pgMar w:header="878" w:footer="978" w:top="1100" w:bottom="1160" w:left="1020" w:right="0"/>
        </w:sectPr>
      </w:pPr>
    </w:p>
    <w:p>
      <w:pPr>
        <w:spacing w:line="240" w:lineRule="auto" w:before="6"/>
        <w:rPr>
          <w:rFonts w:ascii="宋体" w:hAnsi="宋体" w:cs="宋体" w:eastAsia="宋体" w:hint="default"/>
          <w:sz w:val="21"/>
          <w:szCs w:val="21"/>
        </w:rPr>
      </w:pPr>
    </w:p>
    <w:p>
      <w:pPr>
        <w:pStyle w:val="Heading3"/>
        <w:spacing w:line="264" w:lineRule="auto" w:before="26"/>
        <w:ind w:right="1131"/>
        <w:jc w:val="both"/>
      </w:pPr>
      <w:r>
        <w:rPr/>
        <w:t>计划（草案）》</w:t>
      </w:r>
      <w:r>
        <w:rPr>
          <w:rFonts w:ascii="Arial" w:hAnsi="Arial" w:cs="Arial" w:eastAsia="Arial" w:hint="default"/>
        </w:rPr>
        <w:t>”</w:t>
      </w:r>
      <w:r>
        <w:rPr/>
        <w:t>）。同日，公司召开的第六届监事会第三十次会议审议通过了《关于</w:t>
      </w:r>
      <w:r>
        <w:rPr>
          <w:rFonts w:ascii="Arial" w:hAnsi="Arial" w:cs="Arial" w:eastAsia="Arial" w:hint="default"/>
        </w:rPr>
        <w:t>&lt;</w:t>
      </w:r>
      <w:r>
        <w:rPr/>
        <w:t>北京 华宇软件股份有限公司</w:t>
      </w:r>
      <w:r>
        <w:rPr>
          <w:rFonts w:ascii="Arial" w:hAnsi="Arial" w:cs="Arial" w:eastAsia="Arial" w:hint="default"/>
        </w:rPr>
        <w:t>2018</w:t>
      </w:r>
      <w:r>
        <w:rPr/>
        <w:t>年股票期权激励计划（草案）</w:t>
      </w:r>
      <w:r>
        <w:rPr>
          <w:rFonts w:ascii="Arial" w:hAnsi="Arial" w:cs="Arial" w:eastAsia="Arial" w:hint="default"/>
        </w:rPr>
        <w:t>&gt;</w:t>
      </w:r>
      <w:r>
        <w:rPr/>
        <w:t>及其摘要的议案》，并对本次激 励计划激励对象名单进行了核查。公司独立董事已对该议案发表了明确的同意意见。本计划 </w:t>
      </w:r>
      <w:r>
        <w:rPr>
          <w:spacing w:val="-2"/>
        </w:rPr>
        <w:t>授予的激励对象包括公司及控股子公司的高级管理人员和核心业务（技术）人员，合计</w:t>
      </w:r>
      <w:r>
        <w:rPr>
          <w:rFonts w:ascii="Arial" w:hAnsi="Arial" w:cs="Arial" w:eastAsia="Arial" w:hint="default"/>
          <w:spacing w:val="-2"/>
        </w:rPr>
        <w:t>1,381</w:t>
      </w:r>
      <w:r>
        <w:rPr>
          <w:rFonts w:ascii="Arial" w:hAnsi="Arial" w:cs="Arial" w:eastAsia="Arial" w:hint="default"/>
          <w:w w:val="99"/>
        </w:rPr>
        <w:t> </w:t>
      </w:r>
      <w:r>
        <w:rPr/>
        <w:t>人，授予的股票期权数量共计</w:t>
      </w:r>
      <w:r>
        <w:rPr>
          <w:rFonts w:ascii="Arial" w:hAnsi="Arial" w:cs="Arial" w:eastAsia="Arial" w:hint="default"/>
        </w:rPr>
        <w:t>2,650</w:t>
      </w:r>
      <w:r>
        <w:rPr/>
        <w:t>万份，行权价格为</w:t>
      </w:r>
      <w:r>
        <w:rPr>
          <w:rFonts w:ascii="Arial" w:hAnsi="Arial" w:cs="Arial" w:eastAsia="Arial" w:hint="default"/>
        </w:rPr>
        <w:t>14.90</w:t>
      </w:r>
      <w:r>
        <w:rPr/>
        <w:t>元。详见</w:t>
      </w:r>
      <w:r>
        <w:rPr>
          <w:rFonts w:ascii="Arial" w:hAnsi="Arial" w:cs="Arial" w:eastAsia="Arial" w:hint="default"/>
        </w:rPr>
        <w:t>2018</w:t>
      </w:r>
      <w:r>
        <w:rPr/>
        <w:t>年</w:t>
      </w:r>
      <w:r>
        <w:rPr>
          <w:rFonts w:ascii="Arial" w:hAnsi="Arial" w:cs="Arial" w:eastAsia="Arial" w:hint="default"/>
        </w:rPr>
        <w:t>12</w:t>
      </w:r>
      <w:r>
        <w:rPr/>
        <w:t>月</w:t>
      </w:r>
      <w:r>
        <w:rPr>
          <w:rFonts w:ascii="Arial" w:hAnsi="Arial" w:cs="Arial" w:eastAsia="Arial" w:hint="default"/>
        </w:rPr>
        <w:t>4</w:t>
      </w:r>
      <w:r>
        <w:rPr/>
        <w:t>日公司在 巨潮资讯网披露的公告。</w:t>
      </w:r>
    </w:p>
    <w:p>
      <w:pPr>
        <w:pStyle w:val="Heading3"/>
        <w:spacing w:line="259" w:lineRule="auto" w:before="19"/>
        <w:ind w:right="996" w:firstLine="480"/>
        <w:jc w:val="left"/>
      </w:pPr>
      <w:r>
        <w:rPr>
          <w:rFonts w:ascii="Arial" w:hAnsi="Arial" w:cs="Arial" w:eastAsia="Arial" w:hint="default"/>
          <w:spacing w:val="-2"/>
        </w:rPr>
        <w:t>2018</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4</w:t>
      </w:r>
      <w:r>
        <w:rPr>
          <w:spacing w:val="-2"/>
        </w:rPr>
        <w:t>日至</w:t>
      </w:r>
      <w:r>
        <w:rPr>
          <w:rFonts w:ascii="Arial" w:hAnsi="Arial" w:cs="Arial" w:eastAsia="Arial" w:hint="default"/>
          <w:spacing w:val="-2"/>
        </w:rPr>
        <w:t>2018</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14</w:t>
      </w:r>
      <w:r>
        <w:rPr>
          <w:spacing w:val="-2"/>
        </w:rPr>
        <w:t>日，公司对本次激励计划授予对象的名单在公司内部进</w:t>
      </w:r>
      <w:r>
        <w:rPr/>
        <w:t> 行了公示。</w:t>
      </w:r>
      <w:r>
        <w:rPr>
          <w:rFonts w:ascii="Arial" w:hAnsi="Arial" w:cs="Arial" w:eastAsia="Arial" w:hint="default"/>
        </w:rPr>
        <w:t>2018</w:t>
      </w:r>
      <w:r>
        <w:rPr/>
        <w:t>年</w:t>
      </w:r>
      <w:r>
        <w:rPr>
          <w:rFonts w:ascii="Arial" w:hAnsi="Arial" w:cs="Arial" w:eastAsia="Arial" w:hint="default"/>
        </w:rPr>
        <w:t>12</w:t>
      </w:r>
      <w:r>
        <w:rPr/>
        <w:t>月</w:t>
      </w:r>
      <w:r>
        <w:rPr>
          <w:rFonts w:ascii="Arial" w:hAnsi="Arial" w:cs="Arial" w:eastAsia="Arial" w:hint="default"/>
        </w:rPr>
        <w:t>14</w:t>
      </w:r>
      <w:r>
        <w:rPr/>
        <w:t>日，公司监事会出具了《北京华宇软件股份有限公司监事会关于 </w:t>
      </w:r>
      <w:r>
        <w:rPr>
          <w:rFonts w:ascii="Arial" w:hAnsi="Arial" w:cs="Arial" w:eastAsia="Arial" w:hint="default"/>
        </w:rPr>
        <w:t>2018</w:t>
      </w:r>
      <w:r>
        <w:rPr/>
        <w:t>年股票期权激励计划激励名单审核及公示情况的说明》。详见</w:t>
      </w:r>
      <w:r>
        <w:rPr>
          <w:rFonts w:ascii="Arial" w:hAnsi="Arial" w:cs="Arial" w:eastAsia="Arial" w:hint="default"/>
        </w:rPr>
        <w:t>2018</w:t>
      </w:r>
      <w:r>
        <w:rPr/>
        <w:t>年</w:t>
      </w:r>
      <w:r>
        <w:rPr>
          <w:rFonts w:ascii="Arial" w:hAnsi="Arial" w:cs="Arial" w:eastAsia="Arial" w:hint="default"/>
        </w:rPr>
        <w:t>12</w:t>
      </w:r>
      <w:r>
        <w:rPr/>
        <w:t>月</w:t>
      </w:r>
      <w:r>
        <w:rPr>
          <w:rFonts w:ascii="Arial" w:hAnsi="Arial" w:cs="Arial" w:eastAsia="Arial" w:hint="default"/>
        </w:rPr>
        <w:t>14</w:t>
      </w:r>
      <w:r>
        <w:rPr/>
        <w:t>日公司在 巨潮资讯网披露的公告。</w:t>
      </w:r>
    </w:p>
    <w:p>
      <w:pPr>
        <w:pStyle w:val="Heading3"/>
        <w:spacing w:line="264" w:lineRule="auto" w:before="24"/>
        <w:ind w:right="996" w:firstLine="480"/>
        <w:jc w:val="left"/>
      </w:pPr>
      <w:r>
        <w:rPr>
          <w:rFonts w:ascii="Arial" w:hAnsi="Arial" w:cs="Arial" w:eastAsia="Arial" w:hint="default"/>
          <w:spacing w:val="-1"/>
        </w:rPr>
        <w:t>2018</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20</w:t>
      </w:r>
      <w:r>
        <w:rPr>
          <w:spacing w:val="-1"/>
        </w:rPr>
        <w:t>日，公司召开</w:t>
      </w:r>
      <w:r>
        <w:rPr>
          <w:rFonts w:ascii="Arial" w:hAnsi="Arial" w:cs="Arial" w:eastAsia="Arial" w:hint="default"/>
          <w:spacing w:val="-1"/>
        </w:rPr>
        <w:t>2018</w:t>
      </w:r>
      <w:r>
        <w:rPr>
          <w:spacing w:val="-1"/>
        </w:rPr>
        <w:t>年第二次临时股东大会，审议并通过了《关于</w:t>
      </w:r>
      <w:r>
        <w:rPr>
          <w:rFonts w:ascii="Arial" w:hAnsi="Arial" w:cs="Arial" w:eastAsia="Arial" w:hint="default"/>
          <w:spacing w:val="-1"/>
        </w:rPr>
        <w:t>&lt;</w:t>
      </w:r>
      <w:r>
        <w:rPr>
          <w:spacing w:val="-1"/>
        </w:rPr>
        <w:t>北京华</w:t>
      </w:r>
      <w:r>
        <w:rPr/>
        <w:t> 宇软件股份有限公司</w:t>
      </w:r>
      <w:r>
        <w:rPr>
          <w:rFonts w:ascii="Arial" w:hAnsi="Arial" w:cs="Arial" w:eastAsia="Arial" w:hint="default"/>
        </w:rPr>
        <w:t>2018</w:t>
      </w:r>
      <w:r>
        <w:rPr/>
        <w:t>年股票期权激励计划（草案）</w:t>
      </w:r>
      <w:r>
        <w:rPr>
          <w:rFonts w:ascii="Arial" w:hAnsi="Arial" w:cs="Arial" w:eastAsia="Arial" w:hint="default"/>
        </w:rPr>
        <w:t>&gt;</w:t>
      </w:r>
      <w:r>
        <w:rPr/>
        <w:t>及其摘要的议案》等相关议案，并 </w:t>
      </w:r>
      <w:r>
        <w:rPr>
          <w:spacing w:val="-2"/>
        </w:rPr>
        <w:t>授权董事会办理股票期权激励计划的相关事宜。公司于</w:t>
      </w:r>
      <w:r>
        <w:rPr>
          <w:rFonts w:ascii="Arial" w:hAnsi="Arial" w:cs="Arial" w:eastAsia="Arial" w:hint="default"/>
          <w:spacing w:val="-2"/>
        </w:rPr>
        <w:t>2018</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20</w:t>
      </w:r>
      <w:r>
        <w:rPr>
          <w:spacing w:val="-2"/>
        </w:rPr>
        <w:t>日披露了《北京华宇软</w:t>
      </w:r>
      <w:r>
        <w:rPr>
          <w:spacing w:val="-109"/>
        </w:rPr>
        <w:t> </w:t>
      </w:r>
      <w:r>
        <w:rPr>
          <w:spacing w:val="-109"/>
        </w:rPr>
      </w:r>
      <w:r>
        <w:rPr/>
        <w:t>件股份有限公司关于</w:t>
      </w:r>
      <w:r>
        <w:rPr>
          <w:rFonts w:ascii="Arial" w:hAnsi="Arial" w:cs="Arial" w:eastAsia="Arial" w:hint="default"/>
        </w:rPr>
        <w:t>2018</w:t>
      </w:r>
      <w:r>
        <w:rPr/>
        <w:t>年股票期权激励计划内幕信息知情人及激励对象买卖公司股票情 况的自查报告》。同日，公司召开第六届董事会第三十八次会议和第六届监事会第三十二次 </w:t>
      </w:r>
      <w:r>
        <w:rPr>
          <w:spacing w:val="-1"/>
        </w:rPr>
        <w:t>会议，审议通过了《关于调整公司</w:t>
      </w:r>
      <w:r>
        <w:rPr>
          <w:rFonts w:ascii="Arial" w:hAnsi="Arial" w:cs="Arial" w:eastAsia="Arial" w:hint="default"/>
          <w:spacing w:val="-1"/>
        </w:rPr>
        <w:t>2018</w:t>
      </w:r>
      <w:r>
        <w:rPr>
          <w:spacing w:val="-1"/>
        </w:rPr>
        <w:t>年股票期权激励计划相关事项的议案》、《关于公司</w:t>
      </w:r>
      <w:r>
        <w:rPr>
          <w:spacing w:val="-100"/>
        </w:rPr>
        <w:t> </w:t>
      </w:r>
      <w:r>
        <w:rPr>
          <w:spacing w:val="-100"/>
        </w:rPr>
      </w:r>
      <w:r>
        <w:rPr>
          <w:rFonts w:ascii="Arial" w:hAnsi="Arial" w:cs="Arial" w:eastAsia="Arial" w:hint="default"/>
          <w:spacing w:val="-1"/>
        </w:rPr>
        <w:t>2018</w:t>
      </w:r>
      <w:r>
        <w:rPr>
          <w:spacing w:val="-1"/>
        </w:rPr>
        <w:t>年股票期权激励计划授予事项的议案》。监事会对授予股票期权的激励对象人员进行了</w:t>
      </w:r>
      <w:r>
        <w:rPr>
          <w:spacing w:val="-99"/>
        </w:rPr>
        <w:t> </w:t>
      </w:r>
      <w:r>
        <w:rPr>
          <w:spacing w:val="-99"/>
        </w:rPr>
      </w:r>
      <w:r>
        <w:rPr/>
        <w:t>核实，独立董事就相关事项发表了同意的独立意见。调整后，公司本次激励计划授予股票期 权人数调整为</w:t>
      </w:r>
      <w:r>
        <w:rPr>
          <w:rFonts w:ascii="Arial" w:hAnsi="Arial" w:cs="Arial" w:eastAsia="Arial" w:hint="default"/>
        </w:rPr>
        <w:t>1,380</w:t>
      </w:r>
      <w:r>
        <w:rPr/>
        <w:t>人，授予的股票期权数量调整为</w:t>
      </w:r>
      <w:r>
        <w:rPr>
          <w:rFonts w:ascii="Arial" w:hAnsi="Arial" w:cs="Arial" w:eastAsia="Arial" w:hint="default"/>
        </w:rPr>
        <w:t>2,649.70</w:t>
      </w:r>
      <w:r>
        <w:rPr/>
        <w:t>万份。详见</w:t>
      </w:r>
      <w:r>
        <w:rPr>
          <w:rFonts w:ascii="Arial" w:hAnsi="Arial" w:cs="Arial" w:eastAsia="Arial" w:hint="default"/>
        </w:rPr>
        <w:t>2018</w:t>
      </w:r>
      <w:r>
        <w:rPr/>
        <w:t>年</w:t>
      </w:r>
      <w:r>
        <w:rPr>
          <w:rFonts w:ascii="Arial" w:hAnsi="Arial" w:cs="Arial" w:eastAsia="Arial" w:hint="default"/>
        </w:rPr>
        <w:t>12</w:t>
      </w:r>
      <w:r>
        <w:rPr/>
        <w:t>月</w:t>
      </w:r>
      <w:r>
        <w:rPr>
          <w:rFonts w:ascii="Arial" w:hAnsi="Arial" w:cs="Arial" w:eastAsia="Arial" w:hint="default"/>
        </w:rPr>
        <w:t>20</w:t>
      </w:r>
      <w:r>
        <w:rPr/>
        <w:t>日公 司在巨潮资讯网披露的公告。</w:t>
      </w:r>
    </w:p>
    <w:p>
      <w:pPr>
        <w:pStyle w:val="Heading3"/>
        <w:spacing w:line="261" w:lineRule="auto" w:before="19"/>
        <w:ind w:right="1119" w:firstLine="480"/>
        <w:jc w:val="left"/>
      </w:pPr>
      <w:r>
        <w:rPr>
          <w:rFonts w:ascii="Arial" w:hAnsi="Arial" w:cs="Arial" w:eastAsia="Arial" w:hint="default"/>
          <w:spacing w:val="-2"/>
        </w:rPr>
        <w:t>2019</w:t>
      </w:r>
      <w:r>
        <w:rPr>
          <w:spacing w:val="-2"/>
        </w:rPr>
        <w:t>年</w:t>
      </w:r>
      <w:r>
        <w:rPr>
          <w:rFonts w:ascii="Arial" w:hAnsi="Arial" w:cs="Arial" w:eastAsia="Arial" w:hint="default"/>
          <w:spacing w:val="-2"/>
        </w:rPr>
        <w:t>1</w:t>
      </w:r>
      <w:r>
        <w:rPr>
          <w:spacing w:val="-2"/>
        </w:rPr>
        <w:t>月</w:t>
      </w:r>
      <w:r>
        <w:rPr>
          <w:rFonts w:ascii="Arial" w:hAnsi="Arial" w:cs="Arial" w:eastAsia="Arial" w:hint="default"/>
          <w:spacing w:val="-2"/>
        </w:rPr>
        <w:t>18</w:t>
      </w:r>
      <w:r>
        <w:rPr>
          <w:spacing w:val="-2"/>
        </w:rPr>
        <w:t>日，授予股票期权登记完成。在股份登记过程中，公司本次激励计划涉及</w:t>
      </w:r>
      <w:r>
        <w:rPr>
          <w:rFonts w:ascii="Arial" w:hAnsi="Arial" w:cs="Arial" w:eastAsia="Arial" w:hint="default"/>
          <w:spacing w:val="-2"/>
        </w:rPr>
        <w:t>4</w:t>
      </w:r>
      <w:r>
        <w:rPr>
          <w:rFonts w:ascii="Arial" w:hAnsi="Arial" w:cs="Arial" w:eastAsia="Arial" w:hint="default"/>
          <w:w w:val="99"/>
        </w:rPr>
        <w:t> </w:t>
      </w:r>
      <w:r>
        <w:rPr/>
        <w:t>名激励对象因离职或个人原因自愿放弃公司本次授予的股票期权，因此公司本次激励计划实 际授予的登记股票期权人数为</w:t>
      </w:r>
      <w:r>
        <w:rPr>
          <w:rFonts w:ascii="Arial" w:hAnsi="Arial" w:cs="Arial" w:eastAsia="Arial" w:hint="default"/>
        </w:rPr>
        <w:t>1376</w:t>
      </w:r>
      <w:r>
        <w:rPr/>
        <w:t>人，实际授予登记的股票期权数量为</w:t>
      </w:r>
      <w:r>
        <w:rPr>
          <w:rFonts w:ascii="Arial" w:hAnsi="Arial" w:cs="Arial" w:eastAsia="Arial" w:hint="default"/>
        </w:rPr>
        <w:t>2648.08</w:t>
      </w:r>
      <w:r>
        <w:rPr/>
        <w:t>万份。详见 </w:t>
      </w:r>
      <w:r>
        <w:rPr>
          <w:rFonts w:ascii="Arial" w:hAnsi="Arial" w:cs="Arial" w:eastAsia="Arial" w:hint="default"/>
        </w:rPr>
        <w:t>2019</w:t>
      </w:r>
      <w:r>
        <w:rPr/>
        <w:t>年</w:t>
      </w:r>
      <w:r>
        <w:rPr>
          <w:rFonts w:ascii="Arial" w:hAnsi="Arial" w:cs="Arial" w:eastAsia="Arial" w:hint="default"/>
        </w:rPr>
        <w:t>1</w:t>
      </w:r>
      <w:r>
        <w:rPr/>
        <w:t>月</w:t>
      </w:r>
      <w:r>
        <w:rPr>
          <w:rFonts w:ascii="Arial" w:hAnsi="Arial" w:cs="Arial" w:eastAsia="Arial" w:hint="default"/>
        </w:rPr>
        <w:t>18</w:t>
      </w:r>
      <w:r>
        <w:rPr/>
        <w:t>日公司在巨潮资讯网披露的公告。 </w:t>
      </w:r>
      <w:r>
        <w:rPr>
          <w:spacing w:val="-5"/>
        </w:rPr>
        <w:t>公司需遵守《深圳证券交易所行业信息披露指引第</w:t>
      </w:r>
      <w:r>
        <w:rPr>
          <w:spacing w:val="-60"/>
        </w:rPr>
        <w:t> </w:t>
      </w:r>
      <w:r>
        <w:rPr>
          <w:rFonts w:ascii="Arial" w:hAnsi="Arial" w:cs="Arial" w:eastAsia="Arial" w:hint="default"/>
          <w:w w:val="99"/>
        </w:rPr>
        <w:t>12</w:t>
      </w:r>
      <w:r>
        <w:rPr>
          <w:rFonts w:ascii="Arial" w:hAnsi="Arial" w:cs="Arial" w:eastAsia="Arial" w:hint="default"/>
          <w:spacing w:val="-9"/>
          <w:w w:val="99"/>
        </w:rPr>
        <w:t> </w:t>
      </w:r>
      <w:r>
        <w:rPr/>
        <w:t>号</w:t>
      </w:r>
      <w:r>
        <w:rPr>
          <w:rFonts w:ascii="Arial" w:hAnsi="Arial" w:cs="Arial" w:eastAsia="Arial" w:hint="default"/>
        </w:rPr>
        <w:t>——</w:t>
      </w:r>
      <w:r>
        <w:rPr/>
        <w:t>上市公司从事软件与信息技术服 务业务》的披露要求</w:t>
      </w:r>
    </w:p>
    <w:p>
      <w:pPr>
        <w:pStyle w:val="Heading3"/>
        <w:spacing w:line="261" w:lineRule="auto" w:before="24"/>
        <w:ind w:right="996" w:firstLine="480"/>
        <w:jc w:val="left"/>
      </w:pPr>
      <w:r>
        <w:rPr>
          <w:w w:val="95"/>
        </w:rPr>
        <w:t>本年计提股权激励费用</w:t>
      </w:r>
      <w:r>
        <w:rPr>
          <w:rFonts w:ascii="Arial" w:hAnsi="Arial" w:cs="Arial" w:eastAsia="Arial" w:hint="default"/>
          <w:w w:val="95"/>
        </w:rPr>
        <w:t>3,400,654.41</w:t>
      </w:r>
      <w:r>
        <w:rPr>
          <w:w w:val="95"/>
        </w:rPr>
        <w:t>元，减少利润</w:t>
      </w:r>
      <w:r>
        <w:rPr>
          <w:rFonts w:ascii="Arial" w:hAnsi="Arial" w:cs="Arial" w:eastAsia="Arial" w:hint="default"/>
          <w:w w:val="95"/>
        </w:rPr>
        <w:t>3,400,654.41</w:t>
      </w:r>
      <w:r>
        <w:rPr>
          <w:w w:val="95"/>
        </w:rPr>
        <w:t>元。其中，核心技术人</w:t>
      </w:r>
      <w:r>
        <w:rPr/>
        <w:t> 员的股权激励费用</w:t>
      </w:r>
      <w:r>
        <w:rPr>
          <w:rFonts w:ascii="Arial" w:hAnsi="Arial" w:cs="Arial" w:eastAsia="Arial" w:hint="default"/>
        </w:rPr>
        <w:t>2,122,409.10</w:t>
      </w:r>
      <w:r>
        <w:rPr/>
        <w:t>元，占总费用的比例为</w:t>
      </w:r>
      <w:r>
        <w:rPr>
          <w:rFonts w:ascii="Arial" w:hAnsi="Arial" w:cs="Arial" w:eastAsia="Arial" w:hint="default"/>
        </w:rPr>
        <w:t>62%</w:t>
      </w:r>
      <w:r>
        <w:rPr/>
        <w:t>。</w:t>
      </w:r>
    </w:p>
    <w:p>
      <w:pPr>
        <w:spacing w:line="240" w:lineRule="auto" w:before="6"/>
        <w:rPr>
          <w:rFonts w:ascii="宋体" w:hAnsi="宋体" w:cs="宋体" w:eastAsia="宋体" w:hint="default"/>
          <w:sz w:val="21"/>
          <w:szCs w:val="21"/>
        </w:rPr>
      </w:pPr>
    </w:p>
    <w:p>
      <w:pPr>
        <w:pStyle w:val="Heading2"/>
        <w:spacing w:line="240" w:lineRule="auto" w:before="0"/>
        <w:ind w:right="0"/>
        <w:jc w:val="both"/>
        <w:rPr>
          <w:b w:val="0"/>
          <w:bCs w:val="0"/>
        </w:rPr>
      </w:pPr>
      <w:bookmarkStart w:name="十五、重大关联交易" w:id="78"/>
      <w:bookmarkEnd w:id="78"/>
      <w:r>
        <w:rPr>
          <w:b w:val="0"/>
          <w:bCs w:val="0"/>
        </w:rPr>
      </w:r>
      <w:r>
        <w:rPr/>
        <w:t>十五、重大关联交易</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both"/>
        <w:rPr>
          <w:b w:val="0"/>
          <w:bCs w:val="0"/>
        </w:rPr>
      </w:pPr>
      <w:bookmarkStart w:name="1、与日常经营相关的关联交易" w:id="79"/>
      <w:bookmarkEnd w:id="79"/>
      <w:r>
        <w:rPr>
          <w:b w:val="0"/>
          <w:bCs w:val="0"/>
        </w:rPr>
      </w:r>
      <w:r>
        <w:rPr>
          <w:rFonts w:ascii="Arial" w:hAnsi="Arial" w:cs="Arial" w:eastAsia="Arial" w:hint="default"/>
        </w:rPr>
        <w:t>1</w:t>
      </w:r>
      <w:r>
        <w:rPr/>
        <w:t>、与日常经营相关的关联交易</w:t>
      </w:r>
      <w:r>
        <w:rPr>
          <w:b w:val="0"/>
          <w:bCs w:val="0"/>
        </w:rPr>
      </w:r>
    </w:p>
    <w:p>
      <w:pPr>
        <w:spacing w:line="240" w:lineRule="auto" w:before="11"/>
        <w:rPr>
          <w:rFonts w:ascii="宋体" w:hAnsi="宋体" w:cs="宋体" w:eastAsia="宋体" w:hint="default"/>
          <w:b/>
          <w:bCs/>
          <w:sz w:val="22"/>
          <w:szCs w:val="22"/>
        </w:rPr>
      </w:pPr>
    </w:p>
    <w:p>
      <w:pPr>
        <w:pStyle w:val="Heading3"/>
        <w:spacing w:line="256" w:lineRule="auto"/>
        <w:ind w:right="571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公司报告期未发生与日常经营相关的关联交易。</w:t>
      </w:r>
    </w:p>
    <w:p>
      <w:pPr>
        <w:spacing w:line="240" w:lineRule="auto" w:before="6"/>
        <w:rPr>
          <w:rFonts w:ascii="宋体" w:hAnsi="宋体" w:cs="宋体" w:eastAsia="宋体" w:hint="default"/>
          <w:sz w:val="23"/>
          <w:szCs w:val="23"/>
        </w:rPr>
      </w:pPr>
    </w:p>
    <w:p>
      <w:pPr>
        <w:pStyle w:val="Heading4"/>
        <w:spacing w:line="240" w:lineRule="auto"/>
        <w:ind w:right="0"/>
        <w:jc w:val="both"/>
        <w:rPr>
          <w:b w:val="0"/>
          <w:bCs w:val="0"/>
        </w:rPr>
      </w:pPr>
      <w:bookmarkStart w:name="2、资产或股权收购、出售发生的关联交易" w:id="80"/>
      <w:bookmarkEnd w:id="80"/>
      <w:r>
        <w:rPr>
          <w:b w:val="0"/>
          <w:bCs w:val="0"/>
        </w:rPr>
      </w:r>
      <w:r>
        <w:rPr>
          <w:rFonts w:ascii="Arial" w:hAnsi="Arial" w:cs="Arial" w:eastAsia="Arial" w:hint="default"/>
        </w:rPr>
        <w:t>2</w:t>
      </w:r>
      <w:r>
        <w:rPr/>
        <w:t>、资产或股权收购、出售发生的关联交易</w:t>
      </w:r>
      <w:r>
        <w:rPr>
          <w:b w:val="0"/>
          <w:bCs w:val="0"/>
        </w:rPr>
      </w:r>
    </w:p>
    <w:p>
      <w:pPr>
        <w:spacing w:line="240" w:lineRule="auto" w:before="11"/>
        <w:rPr>
          <w:rFonts w:ascii="宋体" w:hAnsi="宋体" w:cs="宋体" w:eastAsia="宋体" w:hint="default"/>
          <w:b/>
          <w:bCs/>
          <w:sz w:val="22"/>
          <w:szCs w:val="22"/>
        </w:rPr>
      </w:pPr>
    </w:p>
    <w:p>
      <w:pPr>
        <w:pStyle w:val="Heading3"/>
        <w:spacing w:line="256" w:lineRule="auto"/>
        <w:ind w:right="499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公司报告期未发生资产或股权收购、出售的关联交易。</w:t>
      </w:r>
    </w:p>
    <w:p>
      <w:pPr>
        <w:spacing w:after="0" w:line="256" w:lineRule="auto"/>
        <w:jc w:val="left"/>
        <w:sectPr>
          <w:pgSz w:w="11910" w:h="16840"/>
          <w:pgMar w:header="878" w:footer="978" w:top="1100" w:bottom="1160" w:left="1020" w:right="0"/>
        </w:sectPr>
      </w:pPr>
    </w:p>
    <w:p>
      <w:pPr>
        <w:spacing w:line="240" w:lineRule="auto" w:before="12"/>
        <w:rPr>
          <w:rFonts w:ascii="宋体" w:hAnsi="宋体" w:cs="宋体" w:eastAsia="宋体" w:hint="default"/>
          <w:sz w:val="20"/>
          <w:szCs w:val="20"/>
        </w:rPr>
      </w:pPr>
    </w:p>
    <w:p>
      <w:pPr>
        <w:pStyle w:val="Heading4"/>
        <w:spacing w:line="240" w:lineRule="auto" w:before="34"/>
        <w:ind w:right="996"/>
        <w:jc w:val="left"/>
        <w:rPr>
          <w:b w:val="0"/>
          <w:bCs w:val="0"/>
        </w:rPr>
      </w:pPr>
      <w:bookmarkStart w:name="3、共同对外投资的关联交易" w:id="81"/>
      <w:bookmarkEnd w:id="81"/>
      <w:r>
        <w:rPr>
          <w:b w:val="0"/>
          <w:bCs w:val="0"/>
        </w:rPr>
      </w:r>
      <w:r>
        <w:rPr>
          <w:rFonts w:ascii="Arial" w:hAnsi="Arial" w:cs="Arial" w:eastAsia="Arial" w:hint="default"/>
        </w:rPr>
        <w:t>3</w:t>
      </w:r>
      <w:r>
        <w:rPr/>
        <w:t>、共同对外投资的关联交易</w:t>
      </w:r>
      <w:r>
        <w:rPr>
          <w:b w:val="0"/>
          <w:bCs w:val="0"/>
        </w:rPr>
      </w:r>
    </w:p>
    <w:p>
      <w:pPr>
        <w:spacing w:line="240" w:lineRule="auto" w:before="11"/>
        <w:rPr>
          <w:rFonts w:ascii="宋体" w:hAnsi="宋体" w:cs="宋体" w:eastAsia="宋体" w:hint="default"/>
          <w:b/>
          <w:bCs/>
          <w:sz w:val="22"/>
          <w:szCs w:val="22"/>
        </w:rPr>
      </w:pPr>
    </w:p>
    <w:p>
      <w:pPr>
        <w:pStyle w:val="Heading3"/>
        <w:spacing w:line="256" w:lineRule="auto"/>
        <w:ind w:right="595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公司报告期未发生共同对外投资的关联交易。</w:t>
      </w:r>
    </w:p>
    <w:p>
      <w:pPr>
        <w:spacing w:line="240" w:lineRule="auto" w:before="3"/>
        <w:rPr>
          <w:rFonts w:ascii="宋体" w:hAnsi="宋体" w:cs="宋体" w:eastAsia="宋体" w:hint="default"/>
          <w:sz w:val="23"/>
          <w:szCs w:val="23"/>
        </w:rPr>
      </w:pPr>
    </w:p>
    <w:p>
      <w:pPr>
        <w:pStyle w:val="Heading4"/>
        <w:spacing w:line="240" w:lineRule="auto"/>
        <w:ind w:right="996"/>
        <w:jc w:val="left"/>
        <w:rPr>
          <w:b w:val="0"/>
          <w:bCs w:val="0"/>
        </w:rPr>
      </w:pPr>
      <w:bookmarkStart w:name="4、关联债权债务往来" w:id="82"/>
      <w:bookmarkEnd w:id="82"/>
      <w:r>
        <w:rPr>
          <w:b w:val="0"/>
          <w:bCs w:val="0"/>
        </w:rPr>
      </w:r>
      <w:r>
        <w:rPr>
          <w:rFonts w:ascii="Arial" w:hAnsi="Arial" w:cs="Arial" w:eastAsia="Arial" w:hint="default"/>
        </w:rPr>
        <w:t>4</w:t>
      </w:r>
      <w:r>
        <w:rPr/>
        <w:t>、关联债权债务往来</w:t>
      </w:r>
      <w:r>
        <w:rPr>
          <w:b w:val="0"/>
          <w:bCs w:val="0"/>
        </w:rPr>
      </w:r>
    </w:p>
    <w:p>
      <w:pPr>
        <w:spacing w:line="240" w:lineRule="auto" w:before="9"/>
        <w:rPr>
          <w:rFonts w:ascii="宋体" w:hAnsi="宋体" w:cs="宋体" w:eastAsia="宋体" w:hint="default"/>
          <w:b/>
          <w:bCs/>
          <w:sz w:val="24"/>
          <w:szCs w:val="24"/>
        </w:rPr>
      </w:pPr>
    </w:p>
    <w:p>
      <w:pPr>
        <w:pStyle w:val="Heading3"/>
        <w:spacing w:line="288" w:lineRule="auto"/>
        <w:ind w:right="667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公司报告期不存在关联债权债务往来。</w:t>
      </w:r>
    </w:p>
    <w:p>
      <w:pPr>
        <w:spacing w:line="240" w:lineRule="auto" w:before="11"/>
        <w:rPr>
          <w:rFonts w:ascii="宋体" w:hAnsi="宋体" w:cs="宋体" w:eastAsia="宋体" w:hint="default"/>
          <w:sz w:val="22"/>
          <w:szCs w:val="22"/>
        </w:rPr>
      </w:pPr>
    </w:p>
    <w:p>
      <w:pPr>
        <w:pStyle w:val="Heading4"/>
        <w:spacing w:line="240" w:lineRule="auto"/>
        <w:ind w:right="996"/>
        <w:jc w:val="left"/>
        <w:rPr>
          <w:b w:val="0"/>
          <w:bCs w:val="0"/>
        </w:rPr>
      </w:pPr>
      <w:bookmarkStart w:name="5、其他重大关联交易" w:id="83"/>
      <w:bookmarkEnd w:id="83"/>
      <w:r>
        <w:rPr>
          <w:b w:val="0"/>
          <w:bCs w:val="0"/>
        </w:rPr>
      </w:r>
      <w:r>
        <w:rPr>
          <w:rFonts w:ascii="Arial" w:hAnsi="Arial" w:cs="Arial" w:eastAsia="Arial" w:hint="default"/>
        </w:rPr>
        <w:t>5</w:t>
      </w:r>
      <w:r>
        <w:rPr/>
        <w:t>、其他重大关联交易</w:t>
      </w:r>
      <w:r>
        <w:rPr>
          <w:b w:val="0"/>
          <w:bCs w:val="0"/>
        </w:rPr>
      </w:r>
    </w:p>
    <w:p>
      <w:pPr>
        <w:spacing w:line="240" w:lineRule="auto" w:before="7"/>
        <w:rPr>
          <w:rFonts w:ascii="宋体" w:hAnsi="宋体" w:cs="宋体" w:eastAsia="宋体" w:hint="default"/>
          <w:b/>
          <w:bCs/>
          <w:sz w:val="24"/>
          <w:szCs w:val="24"/>
        </w:rPr>
      </w:pPr>
    </w:p>
    <w:p>
      <w:pPr>
        <w:pStyle w:val="Heading3"/>
        <w:spacing w:line="288" w:lineRule="auto"/>
        <w:ind w:right="715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公司报告期无其他重大关联交易。</w:t>
      </w:r>
    </w:p>
    <w:p>
      <w:pPr>
        <w:spacing w:line="240" w:lineRule="auto" w:before="12"/>
        <w:rPr>
          <w:rFonts w:ascii="宋体" w:hAnsi="宋体" w:cs="宋体" w:eastAsia="宋体" w:hint="default"/>
          <w:sz w:val="20"/>
          <w:szCs w:val="20"/>
        </w:rPr>
      </w:pPr>
    </w:p>
    <w:p>
      <w:pPr>
        <w:pStyle w:val="Heading2"/>
        <w:spacing w:line="240" w:lineRule="auto" w:before="0"/>
        <w:ind w:right="996"/>
        <w:jc w:val="left"/>
        <w:rPr>
          <w:b w:val="0"/>
          <w:bCs w:val="0"/>
        </w:rPr>
      </w:pPr>
      <w:bookmarkStart w:name="十六、重大合同及其履行情况" w:id="84"/>
      <w:bookmarkEnd w:id="84"/>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96"/>
        <w:jc w:val="left"/>
        <w:rPr>
          <w:b w:val="0"/>
          <w:bCs w:val="0"/>
        </w:rPr>
      </w:pPr>
      <w:bookmarkStart w:name="1、托管、承包、租赁事项情况" w:id="85"/>
      <w:bookmarkEnd w:id="85"/>
      <w:r>
        <w:rPr>
          <w:b w:val="0"/>
          <w:bCs w:val="0"/>
        </w:rPr>
      </w:r>
      <w:r>
        <w:rPr>
          <w:rFonts w:ascii="Arial" w:hAnsi="Arial" w:cs="Arial" w:eastAsia="Arial" w:hint="default"/>
        </w:rPr>
        <w:t>1</w:t>
      </w:r>
      <w:r>
        <w:rPr/>
        <w:t>、托管、承包、租赁事项情况</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996"/>
        <w:jc w:val="left"/>
        <w:rPr>
          <w:b w:val="0"/>
          <w:bCs w:val="0"/>
        </w:rPr>
      </w:pPr>
      <w:bookmarkStart w:name="（1）托管情况" w:id="86"/>
      <w:bookmarkEnd w:id="86"/>
      <w:r>
        <w:rPr>
          <w:b w:val="0"/>
          <w:bCs w:val="0"/>
        </w:rPr>
      </w:r>
      <w:r>
        <w:rPr/>
        <w:t>（</w:t>
      </w:r>
      <w:r>
        <w:rPr>
          <w:rFonts w:ascii="Arial" w:hAnsi="Arial" w:cs="Arial" w:eastAsia="Arial" w:hint="default"/>
        </w:rPr>
        <w:t>1</w:t>
      </w:r>
      <w:r>
        <w:rPr/>
        <w:t>）托管情况</w:t>
      </w:r>
      <w:r>
        <w:rPr>
          <w:b w:val="0"/>
          <w:bCs w:val="0"/>
        </w:rPr>
      </w:r>
    </w:p>
    <w:p>
      <w:pPr>
        <w:spacing w:line="240" w:lineRule="auto" w:before="11"/>
        <w:rPr>
          <w:rFonts w:ascii="宋体" w:hAnsi="宋体" w:cs="宋体" w:eastAsia="宋体" w:hint="default"/>
          <w:b/>
          <w:bCs/>
          <w:sz w:val="22"/>
          <w:szCs w:val="22"/>
        </w:rPr>
      </w:pPr>
    </w:p>
    <w:p>
      <w:pPr>
        <w:pStyle w:val="Heading3"/>
        <w:spacing w:line="256" w:lineRule="auto"/>
        <w:ind w:right="763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公司报告期不存在托管情况。</w:t>
      </w:r>
    </w:p>
    <w:p>
      <w:pPr>
        <w:spacing w:line="240" w:lineRule="auto" w:before="3"/>
        <w:rPr>
          <w:rFonts w:ascii="宋体" w:hAnsi="宋体" w:cs="宋体" w:eastAsia="宋体" w:hint="default"/>
          <w:sz w:val="23"/>
          <w:szCs w:val="23"/>
        </w:rPr>
      </w:pPr>
    </w:p>
    <w:p>
      <w:pPr>
        <w:pStyle w:val="Heading4"/>
        <w:spacing w:line="240" w:lineRule="auto"/>
        <w:ind w:right="996"/>
        <w:jc w:val="left"/>
        <w:rPr>
          <w:b w:val="0"/>
          <w:bCs w:val="0"/>
        </w:rPr>
      </w:pPr>
      <w:bookmarkStart w:name="（2）承包情况" w:id="87"/>
      <w:bookmarkEnd w:id="87"/>
      <w:r>
        <w:rPr>
          <w:b w:val="0"/>
          <w:bCs w:val="0"/>
        </w:rPr>
      </w:r>
      <w:r>
        <w:rPr/>
        <w:t>（</w:t>
      </w:r>
      <w:r>
        <w:rPr>
          <w:rFonts w:ascii="Arial" w:hAnsi="Arial" w:cs="Arial" w:eastAsia="Arial" w:hint="default"/>
        </w:rPr>
        <w:t>2</w:t>
      </w:r>
      <w:r>
        <w:rPr/>
        <w:t>）承包情况</w:t>
      </w:r>
      <w:r>
        <w:rPr>
          <w:b w:val="0"/>
          <w:bCs w:val="0"/>
        </w:rPr>
      </w:r>
    </w:p>
    <w:p>
      <w:pPr>
        <w:spacing w:line="240" w:lineRule="auto" w:before="11"/>
        <w:rPr>
          <w:rFonts w:ascii="宋体" w:hAnsi="宋体" w:cs="宋体" w:eastAsia="宋体" w:hint="default"/>
          <w:b/>
          <w:bCs/>
          <w:sz w:val="22"/>
          <w:szCs w:val="22"/>
        </w:rPr>
      </w:pPr>
    </w:p>
    <w:p>
      <w:pPr>
        <w:pStyle w:val="Heading3"/>
        <w:spacing w:line="256" w:lineRule="auto"/>
        <w:ind w:right="763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公司报告期不存在承包情况。</w:t>
      </w:r>
    </w:p>
    <w:p>
      <w:pPr>
        <w:spacing w:line="240" w:lineRule="auto" w:before="3"/>
        <w:rPr>
          <w:rFonts w:ascii="宋体" w:hAnsi="宋体" w:cs="宋体" w:eastAsia="宋体" w:hint="default"/>
          <w:sz w:val="23"/>
          <w:szCs w:val="23"/>
        </w:rPr>
      </w:pPr>
    </w:p>
    <w:p>
      <w:pPr>
        <w:pStyle w:val="Heading4"/>
        <w:spacing w:line="240" w:lineRule="auto"/>
        <w:ind w:right="996"/>
        <w:jc w:val="left"/>
        <w:rPr>
          <w:b w:val="0"/>
          <w:bCs w:val="0"/>
        </w:rPr>
      </w:pPr>
      <w:bookmarkStart w:name="（3）租赁情况" w:id="88"/>
      <w:bookmarkEnd w:id="88"/>
      <w:r>
        <w:rPr>
          <w:b w:val="0"/>
          <w:bCs w:val="0"/>
        </w:rPr>
      </w:r>
      <w:r>
        <w:rPr/>
        <w:t>（</w:t>
      </w:r>
      <w:r>
        <w:rPr>
          <w:rFonts w:ascii="Arial" w:hAnsi="Arial" w:cs="Arial" w:eastAsia="Arial" w:hint="default"/>
        </w:rPr>
        <w:t>3</w:t>
      </w:r>
      <w:r>
        <w:rPr/>
        <w:t>）租赁情况</w:t>
      </w:r>
      <w:r>
        <w:rPr>
          <w:b w:val="0"/>
          <w:bCs w:val="0"/>
        </w:rPr>
      </w:r>
    </w:p>
    <w:p>
      <w:pPr>
        <w:spacing w:line="240" w:lineRule="auto" w:before="9"/>
        <w:rPr>
          <w:rFonts w:ascii="宋体" w:hAnsi="宋体" w:cs="宋体" w:eastAsia="宋体" w:hint="default"/>
          <w:b/>
          <w:bCs/>
          <w:sz w:val="24"/>
          <w:szCs w:val="24"/>
        </w:rPr>
      </w:pPr>
    </w:p>
    <w:p>
      <w:pPr>
        <w:pStyle w:val="Heading3"/>
        <w:spacing w:line="288" w:lineRule="auto"/>
        <w:ind w:right="763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公司报告期不存在租赁情况。</w:t>
      </w:r>
    </w:p>
    <w:p>
      <w:pPr>
        <w:spacing w:line="240" w:lineRule="auto" w:before="9"/>
        <w:rPr>
          <w:rFonts w:ascii="宋体" w:hAnsi="宋体" w:cs="宋体" w:eastAsia="宋体" w:hint="default"/>
          <w:sz w:val="22"/>
          <w:szCs w:val="22"/>
        </w:rPr>
      </w:pPr>
    </w:p>
    <w:p>
      <w:pPr>
        <w:pStyle w:val="Heading4"/>
        <w:spacing w:line="240" w:lineRule="auto"/>
        <w:ind w:right="996"/>
        <w:jc w:val="left"/>
        <w:rPr>
          <w:b w:val="0"/>
          <w:bCs w:val="0"/>
        </w:rPr>
      </w:pPr>
      <w:bookmarkStart w:name="2、重大担保" w:id="89"/>
      <w:bookmarkEnd w:id="89"/>
      <w:r>
        <w:rPr>
          <w:b w:val="0"/>
          <w:bCs w:val="0"/>
        </w:rPr>
      </w:r>
      <w:r>
        <w:rPr>
          <w:rFonts w:ascii="Arial" w:hAnsi="Arial" w:cs="Arial" w:eastAsia="Arial" w:hint="default"/>
        </w:rPr>
        <w:t>2</w:t>
      </w:r>
      <w:r>
        <w:rPr/>
        <w:t>、重大担保</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right="996"/>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5"/>
        <w:rPr>
          <w:rFonts w:ascii="宋体" w:hAnsi="宋体" w:cs="宋体" w:eastAsia="宋体" w:hint="default"/>
          <w:sz w:val="23"/>
          <w:szCs w:val="23"/>
        </w:rPr>
      </w:pPr>
    </w:p>
    <w:p>
      <w:pPr>
        <w:pStyle w:val="Heading4"/>
        <w:spacing w:line="240" w:lineRule="auto"/>
        <w:ind w:right="996"/>
        <w:jc w:val="left"/>
        <w:rPr>
          <w:b w:val="0"/>
          <w:bCs w:val="0"/>
        </w:rPr>
      </w:pPr>
      <w:bookmarkStart w:name="（1）担保情况" w:id="90"/>
      <w:bookmarkEnd w:id="90"/>
      <w:r>
        <w:rPr>
          <w:b w:val="0"/>
          <w:bCs w:val="0"/>
        </w:rPr>
      </w:r>
      <w:r>
        <w:rPr/>
        <w:t>（</w:t>
      </w:r>
      <w:r>
        <w:rPr>
          <w:rFonts w:ascii="Arial" w:hAnsi="Arial" w:cs="Arial" w:eastAsia="Arial" w:hint="default"/>
        </w:rPr>
        <w:t>1</w:t>
      </w:r>
      <w:r>
        <w:rPr/>
        <w:t>）担保情况</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6"/>
        <w:rPr>
          <w:rFonts w:ascii="宋体" w:hAnsi="宋体" w:cs="宋体" w:eastAsia="宋体" w:hint="default"/>
          <w:sz w:val="8"/>
          <w:szCs w:val="8"/>
        </w:rPr>
      </w:pPr>
    </w:p>
    <w:p>
      <w:pPr>
        <w:spacing w:line="400" w:lineRule="exact"/>
        <w:ind w:left="11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84.8pt;height:20pt;mso-position-horizontal-relative:char;mso-position-vertical-relative:line" type="#_x0000_t202" filled="true" fillcolor="#d2d2d2" stroked="true" strokeweight=".48pt" strokecolor="#000000">
            <w10:anchorlock/>
            <v:textbox inset="0,0,0,0">
              <w:txbxContent>
                <w:p>
                  <w:pPr>
                    <w:spacing w:before="49"/>
                    <w:ind w:left="2593" w:right="0" w:firstLine="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xbxContent>
            </v:textbox>
            <v:fill type="solid"/>
          </v:shape>
        </w:pict>
      </w:r>
      <w:r>
        <w:rPr>
          <w:rFonts w:ascii="宋体" w:hAnsi="宋体" w:cs="宋体" w:eastAsia="宋体" w:hint="default"/>
          <w:position w:val="-7"/>
          <w:sz w:val="20"/>
          <w:szCs w:val="20"/>
        </w:rPr>
      </w:r>
    </w:p>
    <w:p>
      <w:pPr>
        <w:spacing w:after="0" w:line="400" w:lineRule="exact"/>
        <w:rPr>
          <w:rFonts w:ascii="宋体" w:hAnsi="宋体" w:cs="宋体" w:eastAsia="宋体" w:hint="default"/>
          <w:sz w:val="20"/>
          <w:szCs w:val="20"/>
        </w:rPr>
        <w:sectPr>
          <w:pgSz w:w="11910" w:h="16840"/>
          <w:pgMar w:header="878" w:footer="978" w:top="1100" w:bottom="1160" w:left="1020" w:right="0"/>
        </w:sectPr>
      </w:pPr>
    </w:p>
    <w:p>
      <w:pPr>
        <w:spacing w:line="240" w:lineRule="auto" w:before="8"/>
        <w:rPr>
          <w:rFonts w:ascii="宋体" w:hAnsi="宋体" w:cs="宋体" w:eastAsia="宋体" w:hint="default"/>
          <w:sz w:val="24"/>
          <w:szCs w:val="24"/>
        </w:rPr>
      </w:pPr>
      <w:r>
        <w:rPr/>
        <w:pict>
          <v:group style="position:absolute;margin-left:127.75pt;margin-top:199.600021pt;width:70.6pt;height:35.450pt;mso-position-horizontal-relative:page;mso-position-vertical-relative:page;z-index:-862000" coordorigin="2555,3992" coordsize="1412,709">
            <v:shape style="position:absolute;left:2555;top:3992;width:1412;height:709" coordorigin="2555,3992" coordsize="1412,709" path="m2555,3992l3967,3992,3967,4701,2555,4701,2555,3992xe" filled="true" fillcolor="#ffffff" stroked="false">
              <v:path arrowok="t"/>
              <v:fill type="solid"/>
            </v:shape>
            <w10:wrap type="none"/>
          </v:group>
        </w:pict>
      </w:r>
      <w:r>
        <w:rPr/>
        <w:pict>
          <v:group style="position:absolute;margin-left:127.75pt;margin-top:271.000031pt;width:70.6pt;height:35.450pt;mso-position-horizontal-relative:page;mso-position-vertical-relative:page;z-index:-861976" coordorigin="2555,5420" coordsize="1412,709">
            <v:shape style="position:absolute;left:2555;top:5420;width:1412;height:709" coordorigin="2555,5420" coordsize="1412,709" path="m2555,5420l3967,5420,3967,6129,2555,6129,2555,5420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1418"/>
        <w:gridCol w:w="1417"/>
        <w:gridCol w:w="567"/>
        <w:gridCol w:w="1276"/>
        <w:gridCol w:w="709"/>
        <w:gridCol w:w="709"/>
        <w:gridCol w:w="1968"/>
        <w:gridCol w:w="790"/>
        <w:gridCol w:w="842"/>
      </w:tblGrid>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53" w:right="71" w:hanging="180"/>
              <w:jc w:val="left"/>
              <w:rPr>
                <w:rFonts w:ascii="宋体" w:hAnsi="宋体" w:cs="宋体" w:eastAsia="宋体" w:hint="default"/>
                <w:sz w:val="18"/>
                <w:szCs w:val="18"/>
              </w:rPr>
            </w:pPr>
            <w:r>
              <w:rPr>
                <w:rFonts w:ascii="宋体" w:hAnsi="宋体" w:cs="宋体" w:eastAsia="宋体" w:hint="default"/>
                <w:sz w:val="18"/>
                <w:szCs w:val="18"/>
              </w:rPr>
              <w:t>担保额度相关公 告披露日期</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8" w:right="96"/>
              <w:jc w:val="left"/>
              <w:rPr>
                <w:rFonts w:ascii="宋体" w:hAnsi="宋体" w:cs="宋体" w:eastAsia="宋体" w:hint="default"/>
                <w:sz w:val="18"/>
                <w:szCs w:val="18"/>
              </w:rPr>
            </w:pPr>
            <w:r>
              <w:rPr>
                <w:rFonts w:ascii="宋体" w:hAnsi="宋体" w:cs="宋体" w:eastAsia="宋体" w:hint="default"/>
                <w:sz w:val="18"/>
                <w:szCs w:val="18"/>
              </w:rPr>
              <w:t>担保 额度</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9" w:right="77"/>
              <w:jc w:val="left"/>
              <w:rPr>
                <w:rFonts w:ascii="宋体" w:hAnsi="宋体" w:cs="宋体" w:eastAsia="宋体" w:hint="default"/>
                <w:sz w:val="18"/>
                <w:szCs w:val="18"/>
              </w:rPr>
            </w:pPr>
            <w:r>
              <w:rPr>
                <w:rFonts w:ascii="宋体" w:hAnsi="宋体" w:cs="宋体" w:eastAsia="宋体" w:hint="default"/>
                <w:sz w:val="18"/>
                <w:szCs w:val="18"/>
              </w:rPr>
              <w:t>实际担 保金额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58" w:right="78" w:hanging="180"/>
              <w:jc w:val="left"/>
              <w:rPr>
                <w:rFonts w:ascii="宋体" w:hAnsi="宋体" w:cs="宋体" w:eastAsia="宋体" w:hint="default"/>
                <w:sz w:val="18"/>
                <w:szCs w:val="18"/>
              </w:rPr>
            </w:pPr>
            <w:r>
              <w:rPr>
                <w:rFonts w:ascii="宋体" w:hAnsi="宋体" w:cs="宋体" w:eastAsia="宋体" w:hint="default"/>
                <w:sz w:val="18"/>
                <w:szCs w:val="18"/>
              </w:rPr>
              <w:t>担保类 型</w:t>
            </w:r>
          </w:p>
        </w:tc>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07" w:right="30"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3" w:right="5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69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53" w:right="71" w:hanging="180"/>
              <w:jc w:val="left"/>
              <w:rPr>
                <w:rFonts w:ascii="宋体" w:hAnsi="宋体" w:cs="宋体" w:eastAsia="宋体" w:hint="default"/>
                <w:sz w:val="18"/>
                <w:szCs w:val="18"/>
              </w:rPr>
            </w:pPr>
            <w:r>
              <w:rPr>
                <w:rFonts w:ascii="宋体" w:hAnsi="宋体" w:cs="宋体" w:eastAsia="宋体" w:hint="default"/>
                <w:sz w:val="18"/>
                <w:szCs w:val="18"/>
              </w:rPr>
              <w:t>担保额度相关公 告披露日期</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8" w:right="96"/>
              <w:jc w:val="left"/>
              <w:rPr>
                <w:rFonts w:ascii="宋体" w:hAnsi="宋体" w:cs="宋体" w:eastAsia="宋体" w:hint="default"/>
                <w:sz w:val="18"/>
                <w:szCs w:val="18"/>
              </w:rPr>
            </w:pPr>
            <w:r>
              <w:rPr>
                <w:rFonts w:ascii="宋体" w:hAnsi="宋体" w:cs="宋体" w:eastAsia="宋体" w:hint="default"/>
                <w:sz w:val="18"/>
                <w:szCs w:val="18"/>
              </w:rPr>
              <w:t>担保 额度</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9" w:right="77"/>
              <w:jc w:val="left"/>
              <w:rPr>
                <w:rFonts w:ascii="宋体" w:hAnsi="宋体" w:cs="宋体" w:eastAsia="宋体" w:hint="default"/>
                <w:sz w:val="18"/>
                <w:szCs w:val="18"/>
              </w:rPr>
            </w:pPr>
            <w:r>
              <w:rPr>
                <w:rFonts w:ascii="宋体" w:hAnsi="宋体" w:cs="宋体" w:eastAsia="宋体" w:hint="default"/>
                <w:sz w:val="18"/>
                <w:szCs w:val="18"/>
              </w:rPr>
              <w:t>实际担 保金额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58" w:right="78" w:hanging="180"/>
              <w:jc w:val="left"/>
              <w:rPr>
                <w:rFonts w:ascii="宋体" w:hAnsi="宋体" w:cs="宋体" w:eastAsia="宋体" w:hint="default"/>
                <w:sz w:val="18"/>
                <w:szCs w:val="18"/>
              </w:rPr>
            </w:pPr>
            <w:r>
              <w:rPr>
                <w:rFonts w:ascii="宋体" w:hAnsi="宋体" w:cs="宋体" w:eastAsia="宋体" w:hint="default"/>
                <w:sz w:val="18"/>
                <w:szCs w:val="18"/>
              </w:rPr>
              <w:t>担保类 型</w:t>
            </w:r>
          </w:p>
        </w:tc>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05"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3" w:right="5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北京华宇信息技 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Arial" w:hAnsi="Arial" w:cs="Arial" w:eastAsia="Arial" w:hint="default"/>
                <w:sz w:val="18"/>
                <w:szCs w:val="18"/>
              </w:rPr>
            </w:pPr>
            <w:r>
              <w:rPr>
                <w:rFonts w:ascii="Arial" w:hAnsi="Arial" w:cs="Arial" w:eastAsia="Arial" w:hint="default"/>
                <w:sz w:val="18"/>
                <w:szCs w:val="18"/>
              </w:rPr>
              <w:t>2017</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2" w:right="0"/>
              <w:jc w:val="center"/>
              <w:rPr>
                <w:rFonts w:ascii="Arial" w:hAnsi="Arial" w:cs="Arial" w:eastAsia="Arial" w:hint="default"/>
                <w:sz w:val="18"/>
                <w:szCs w:val="18"/>
              </w:rPr>
            </w:pPr>
            <w:r>
              <w:rPr>
                <w:rFonts w:ascii="Arial"/>
                <w:sz w:val="18"/>
              </w:rPr>
              <w:t>8,000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06</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Arial" w:hAnsi="Arial" w:cs="Arial" w:eastAsia="Arial" w:hint="default"/>
                <w:sz w:val="18"/>
                <w:szCs w:val="18"/>
              </w:rPr>
              <w:t>14</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3"/>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主合同下被担保债务的 履行期届满之日起两年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33"/>
              <w:jc w:val="left"/>
              <w:rPr>
                <w:rFonts w:ascii="宋体" w:hAnsi="宋体" w:cs="宋体" w:eastAsia="宋体" w:hint="default"/>
                <w:sz w:val="18"/>
                <w:szCs w:val="18"/>
              </w:rPr>
            </w:pPr>
            <w:r>
              <w:rPr>
                <w:rFonts w:ascii="宋体" w:hAnsi="宋体" w:cs="宋体" w:eastAsia="宋体" w:hint="default"/>
                <w:spacing w:val="-3"/>
                <w:sz w:val="18"/>
                <w:szCs w:val="18"/>
              </w:rPr>
              <w:t>华宇金信（北京）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软件有限公司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Arial" w:hAnsi="Arial" w:cs="Arial" w:eastAsia="Arial" w:hint="default"/>
                <w:sz w:val="18"/>
                <w:szCs w:val="18"/>
              </w:rPr>
            </w:pPr>
            <w:r>
              <w:rPr>
                <w:rFonts w:ascii="Arial" w:hAnsi="Arial" w:cs="Arial" w:eastAsia="Arial" w:hint="default"/>
                <w:sz w:val="18"/>
                <w:szCs w:val="18"/>
              </w:rPr>
              <w:t>2017</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Arial" w:hAnsi="Arial" w:cs="Arial" w:eastAsia="Arial" w:hint="default"/>
                <w:sz w:val="18"/>
                <w:szCs w:val="18"/>
              </w:rPr>
            </w:pPr>
            <w:r>
              <w:rPr>
                <w:rFonts w:ascii="Arial"/>
                <w:sz w:val="18"/>
              </w:rPr>
              <w:t>2,000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06</w:t>
            </w:r>
            <w:r>
              <w:rPr>
                <w:rFonts w:ascii="Arial" w:hAnsi="Arial" w:cs="Arial" w:eastAsia="Arial" w:hint="default"/>
                <w:spacing w:val="-8"/>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Arial" w:hAnsi="Arial" w:cs="Arial" w:eastAsia="Arial" w:hint="default"/>
                <w:sz w:val="18"/>
                <w:szCs w:val="18"/>
              </w:rPr>
              <w:t>14</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w w:val="95"/>
                <w:sz w:val="18"/>
              </w:rPr>
              <w:t>900</w:t>
            </w:r>
            <w:r>
              <w:rPr>
                <w:rFonts w:ascii="Arial"/>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33"/>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3"/>
              <w:jc w:val="left"/>
              <w:rPr>
                <w:rFonts w:ascii="宋体" w:hAnsi="宋体" w:cs="宋体" w:eastAsia="宋体" w:hint="default"/>
                <w:sz w:val="18"/>
                <w:szCs w:val="18"/>
              </w:rPr>
            </w:pPr>
            <w:r>
              <w:rPr>
                <w:rFonts w:ascii="宋体" w:hAnsi="宋体" w:cs="宋体" w:eastAsia="宋体" w:hint="default"/>
                <w:sz w:val="18"/>
                <w:szCs w:val="18"/>
              </w:rPr>
              <w:t>主合同下被担保债务的 履行期届满之日起两年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北京华宇信息技 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Arial" w:hAnsi="Arial" w:cs="Arial" w:eastAsia="Arial" w:hint="default"/>
                <w:sz w:val="18"/>
                <w:szCs w:val="18"/>
              </w:rPr>
            </w:pPr>
            <w:r>
              <w:rPr>
                <w:rFonts w:ascii="Arial" w:hAnsi="Arial" w:cs="Arial" w:eastAsia="Arial" w:hint="default"/>
                <w:sz w:val="18"/>
                <w:szCs w:val="18"/>
              </w:rPr>
              <w:t>2018</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2" w:right="0"/>
              <w:jc w:val="center"/>
              <w:rPr>
                <w:rFonts w:ascii="Arial" w:hAnsi="Arial" w:cs="Arial" w:eastAsia="Arial" w:hint="default"/>
                <w:sz w:val="18"/>
                <w:szCs w:val="18"/>
              </w:rPr>
            </w:pPr>
            <w:r>
              <w:rPr>
                <w:rFonts w:ascii="Arial"/>
                <w:sz w:val="18"/>
              </w:rPr>
              <w:t>8,000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pacing w:val="-6"/>
                <w:sz w:val="18"/>
                <w:szCs w:val="18"/>
              </w:rPr>
              <w:t>11</w:t>
            </w:r>
            <w:r>
              <w:rPr>
                <w:rFonts w:ascii="Arial" w:hAnsi="Arial" w:cs="Arial" w:eastAsia="Arial" w:hint="default"/>
                <w:spacing w:val="-10"/>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3"/>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债务的履行期届满日起 两年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33"/>
              <w:jc w:val="left"/>
              <w:rPr>
                <w:rFonts w:ascii="宋体" w:hAnsi="宋体" w:cs="宋体" w:eastAsia="宋体" w:hint="default"/>
                <w:sz w:val="18"/>
                <w:szCs w:val="18"/>
              </w:rPr>
            </w:pPr>
            <w:r>
              <w:rPr>
                <w:rFonts w:ascii="宋体" w:hAnsi="宋体" w:cs="宋体" w:eastAsia="宋体" w:hint="default"/>
                <w:spacing w:val="-3"/>
                <w:sz w:val="18"/>
                <w:szCs w:val="18"/>
              </w:rPr>
              <w:t>华宇金信（北京）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软件有限公司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Arial" w:hAnsi="Arial" w:cs="Arial" w:eastAsia="Arial" w:hint="default"/>
                <w:sz w:val="18"/>
                <w:szCs w:val="18"/>
              </w:rPr>
            </w:pPr>
            <w:r>
              <w:rPr>
                <w:rFonts w:ascii="Arial" w:hAnsi="Arial" w:cs="Arial" w:eastAsia="Arial" w:hint="default"/>
                <w:sz w:val="18"/>
                <w:szCs w:val="18"/>
              </w:rPr>
              <w:t>2018</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Arial" w:hAnsi="Arial" w:cs="Arial" w:eastAsia="Arial" w:hint="default"/>
                <w:sz w:val="18"/>
                <w:szCs w:val="18"/>
              </w:rPr>
            </w:pPr>
            <w:r>
              <w:rPr>
                <w:rFonts w:ascii="Arial"/>
                <w:sz w:val="18"/>
              </w:rPr>
              <w:t>2,000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pacing w:val="-6"/>
                <w:sz w:val="18"/>
                <w:szCs w:val="18"/>
              </w:rPr>
              <w:t>11</w:t>
            </w:r>
            <w:r>
              <w:rPr>
                <w:rFonts w:ascii="Arial" w:hAnsi="Arial" w:cs="Arial" w:eastAsia="Arial" w:hint="default"/>
                <w:spacing w:val="-10"/>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33"/>
              <w:jc w:val="left"/>
              <w:rPr>
                <w:rFonts w:ascii="宋体" w:hAnsi="宋体" w:cs="宋体" w:eastAsia="宋体" w:hint="default"/>
                <w:sz w:val="18"/>
                <w:szCs w:val="18"/>
              </w:rPr>
            </w:pPr>
            <w:r>
              <w:rPr>
                <w:rFonts w:ascii="宋体" w:hAnsi="宋体" w:cs="宋体" w:eastAsia="宋体" w:hint="default"/>
                <w:sz w:val="18"/>
                <w:szCs w:val="18"/>
              </w:rPr>
              <w:t>连带责 任保证</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3"/>
              <w:jc w:val="left"/>
              <w:rPr>
                <w:rFonts w:ascii="宋体" w:hAnsi="宋体" w:cs="宋体" w:eastAsia="宋体" w:hint="default"/>
                <w:sz w:val="18"/>
                <w:szCs w:val="18"/>
              </w:rPr>
            </w:pPr>
            <w:r>
              <w:rPr>
                <w:rFonts w:ascii="宋体" w:hAnsi="宋体" w:cs="宋体" w:eastAsia="宋体" w:hint="default"/>
                <w:sz w:val="18"/>
                <w:szCs w:val="18"/>
              </w:rPr>
              <w:t>债务的履行期届满日起 两年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 计（</w:t>
            </w:r>
            <w:r>
              <w:rPr>
                <w:rFonts w:ascii="Arial" w:hAnsi="Arial" w:cs="Arial" w:eastAsia="Arial" w:hint="default"/>
                <w:sz w:val="18"/>
                <w:szCs w:val="18"/>
              </w:rPr>
              <w:t>B1</w:t>
            </w:r>
            <w:r>
              <w:rPr>
                <w:rFonts w:ascii="宋体" w:hAnsi="宋体" w:cs="宋体" w:eastAsia="宋体" w:hint="default"/>
                <w:sz w:val="18"/>
                <w:szCs w:val="18"/>
              </w:rPr>
              <w:t>）</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10,000</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4"/>
              <w:jc w:val="both"/>
              <w:rPr>
                <w:rFonts w:ascii="宋体" w:hAnsi="宋体" w:cs="宋体" w:eastAsia="宋体" w:hint="default"/>
                <w:sz w:val="18"/>
                <w:szCs w:val="18"/>
              </w:rPr>
            </w:pPr>
            <w:r>
              <w:rPr>
                <w:rFonts w:ascii="宋体" w:hAnsi="宋体" w:cs="宋体" w:eastAsia="宋体" w:hint="default"/>
                <w:sz w:val="18"/>
                <w:szCs w:val="18"/>
              </w:rPr>
              <w:t>报告期内对子公 司担保实际发生 额合计（</w:t>
            </w:r>
            <w:r>
              <w:rPr>
                <w:rFonts w:ascii="Arial" w:hAnsi="Arial" w:cs="Arial" w:eastAsia="Arial" w:hint="default"/>
                <w:sz w:val="18"/>
                <w:szCs w:val="18"/>
              </w:rPr>
              <w:t>B2</w:t>
            </w:r>
            <w:r>
              <w:rPr>
                <w:rFonts w:ascii="宋体" w:hAnsi="宋体" w:cs="宋体" w:eastAsia="宋体" w:hint="default"/>
                <w:sz w:val="18"/>
                <w:szCs w:val="18"/>
              </w:rPr>
              <w:t>）</w:t>
            </w:r>
          </w:p>
        </w:tc>
        <w:tc>
          <w:tcPr>
            <w:tcW w:w="36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w w:val="95"/>
                <w:sz w:val="18"/>
              </w:rPr>
              <w:t>900</w:t>
            </w:r>
            <w:r>
              <w:rPr>
                <w:rFonts w:ascii="Arial"/>
                <w:sz w:val="18"/>
              </w:rPr>
            </w:r>
          </w:p>
        </w:tc>
      </w:tr>
      <w:tr>
        <w:trPr>
          <w:trHeight w:val="1026" w:hRule="exact"/>
        </w:trPr>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0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 度合计（</w:t>
            </w:r>
            <w:r>
              <w:rPr>
                <w:rFonts w:ascii="Arial" w:hAnsi="Arial" w:cs="Arial" w:eastAsia="Arial" w:hint="default"/>
                <w:sz w:val="18"/>
                <w:szCs w:val="18"/>
              </w:rPr>
              <w:t>B3</w:t>
            </w:r>
            <w:r>
              <w:rPr>
                <w:rFonts w:ascii="宋体" w:hAnsi="宋体" w:cs="宋体" w:eastAsia="宋体" w:hint="default"/>
                <w:sz w:val="18"/>
                <w:szCs w:val="18"/>
              </w:rPr>
              <w:t>）</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9"/>
              <w:jc w:val="right"/>
              <w:rPr>
                <w:rFonts w:ascii="Arial" w:hAnsi="Arial" w:cs="Arial" w:eastAsia="Arial" w:hint="default"/>
                <w:sz w:val="18"/>
                <w:szCs w:val="18"/>
              </w:rPr>
            </w:pPr>
            <w:r>
              <w:rPr>
                <w:rFonts w:ascii="Arial"/>
                <w:spacing w:val="-1"/>
                <w:sz w:val="18"/>
              </w:rPr>
              <w:t>20,000</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24"/>
              <w:jc w:val="both"/>
              <w:rPr>
                <w:rFonts w:ascii="宋体" w:hAnsi="宋体" w:cs="宋体" w:eastAsia="宋体" w:hint="default"/>
                <w:sz w:val="18"/>
                <w:szCs w:val="18"/>
              </w:rPr>
            </w:pPr>
            <w:r>
              <w:rPr>
                <w:rFonts w:ascii="宋体" w:hAnsi="宋体" w:cs="宋体" w:eastAsia="宋体" w:hint="default"/>
                <w:sz w:val="18"/>
                <w:szCs w:val="18"/>
              </w:rPr>
              <w:t>报告期末对子公 司实际担保余额 合计（</w:t>
            </w:r>
            <w:r>
              <w:rPr>
                <w:rFonts w:ascii="Arial" w:hAnsi="Arial" w:cs="Arial" w:eastAsia="Arial" w:hint="default"/>
                <w:sz w:val="18"/>
                <w:szCs w:val="18"/>
              </w:rPr>
              <w:t>B4</w:t>
            </w:r>
            <w:r>
              <w:rPr>
                <w:rFonts w:ascii="宋体" w:hAnsi="宋体" w:cs="宋体" w:eastAsia="宋体" w:hint="default"/>
                <w:sz w:val="18"/>
                <w:szCs w:val="18"/>
              </w:rPr>
              <w:t>）</w:t>
            </w:r>
          </w:p>
        </w:tc>
        <w:tc>
          <w:tcPr>
            <w:tcW w:w="36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9"/>
              <w:jc w:val="right"/>
              <w:rPr>
                <w:rFonts w:ascii="Arial" w:hAnsi="Arial" w:cs="Arial" w:eastAsia="Arial" w:hint="default"/>
                <w:sz w:val="18"/>
                <w:szCs w:val="18"/>
              </w:rPr>
            </w:pPr>
            <w:r>
              <w:rPr>
                <w:rFonts w:ascii="Arial"/>
                <w:w w:val="95"/>
                <w:sz w:val="18"/>
              </w:rPr>
              <w:t>900</w:t>
            </w:r>
            <w:r>
              <w:rPr>
                <w:rFonts w:ascii="Arial"/>
                <w:sz w:val="18"/>
              </w:rPr>
            </w:r>
          </w:p>
        </w:tc>
      </w:tr>
      <w:tr>
        <w:trPr>
          <w:trHeight w:val="402" w:hRule="exact"/>
        </w:trPr>
        <w:tc>
          <w:tcPr>
            <w:tcW w:w="969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53" w:right="71" w:hanging="180"/>
              <w:jc w:val="left"/>
              <w:rPr>
                <w:rFonts w:ascii="宋体" w:hAnsi="宋体" w:cs="宋体" w:eastAsia="宋体" w:hint="default"/>
                <w:sz w:val="18"/>
                <w:szCs w:val="18"/>
              </w:rPr>
            </w:pPr>
            <w:r>
              <w:rPr>
                <w:rFonts w:ascii="宋体" w:hAnsi="宋体" w:cs="宋体" w:eastAsia="宋体" w:hint="default"/>
                <w:sz w:val="18"/>
                <w:szCs w:val="18"/>
              </w:rPr>
              <w:t>担保额度相关公 告披露日期</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8" w:right="96"/>
              <w:jc w:val="left"/>
              <w:rPr>
                <w:rFonts w:ascii="宋体" w:hAnsi="宋体" w:cs="宋体" w:eastAsia="宋体" w:hint="default"/>
                <w:sz w:val="18"/>
                <w:szCs w:val="18"/>
              </w:rPr>
            </w:pPr>
            <w:r>
              <w:rPr>
                <w:rFonts w:ascii="宋体" w:hAnsi="宋体" w:cs="宋体" w:eastAsia="宋体" w:hint="default"/>
                <w:sz w:val="18"/>
                <w:szCs w:val="18"/>
              </w:rPr>
              <w:t>担保 额度</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9" w:right="77"/>
              <w:jc w:val="left"/>
              <w:rPr>
                <w:rFonts w:ascii="宋体" w:hAnsi="宋体" w:cs="宋体" w:eastAsia="宋体" w:hint="default"/>
                <w:sz w:val="18"/>
                <w:szCs w:val="18"/>
              </w:rPr>
            </w:pPr>
            <w:r>
              <w:rPr>
                <w:rFonts w:ascii="宋体" w:hAnsi="宋体" w:cs="宋体" w:eastAsia="宋体" w:hint="default"/>
                <w:sz w:val="18"/>
                <w:szCs w:val="18"/>
              </w:rPr>
              <w:t>实际担 保金额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58" w:right="78" w:hanging="180"/>
              <w:jc w:val="left"/>
              <w:rPr>
                <w:rFonts w:ascii="宋体" w:hAnsi="宋体" w:cs="宋体" w:eastAsia="宋体" w:hint="default"/>
                <w:sz w:val="18"/>
                <w:szCs w:val="18"/>
              </w:rPr>
            </w:pPr>
            <w:r>
              <w:rPr>
                <w:rFonts w:ascii="宋体" w:hAnsi="宋体" w:cs="宋体" w:eastAsia="宋体" w:hint="default"/>
                <w:sz w:val="18"/>
                <w:szCs w:val="18"/>
              </w:rPr>
              <w:t>担保类 型</w:t>
            </w:r>
          </w:p>
        </w:tc>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17" w:right="2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7" w:right="4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69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1026" w:hRule="exact"/>
        </w:trPr>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A1+B1+C1</w:t>
            </w:r>
            <w:r>
              <w:rPr>
                <w:rFonts w:ascii="宋体" w:hAnsi="宋体" w:cs="宋体" w:eastAsia="宋体" w:hint="default"/>
                <w:sz w:val="18"/>
                <w:szCs w:val="18"/>
              </w:rPr>
              <w:t>）</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9"/>
              <w:jc w:val="right"/>
              <w:rPr>
                <w:rFonts w:ascii="Arial" w:hAnsi="Arial" w:cs="Arial" w:eastAsia="Arial" w:hint="default"/>
                <w:sz w:val="18"/>
                <w:szCs w:val="18"/>
              </w:rPr>
            </w:pPr>
            <w:r>
              <w:rPr>
                <w:rFonts w:ascii="Arial"/>
                <w:spacing w:val="-1"/>
                <w:sz w:val="18"/>
              </w:rPr>
              <w:t>10,000</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24"/>
              <w:jc w:val="left"/>
              <w:rPr>
                <w:rFonts w:ascii="宋体" w:hAnsi="宋体" w:cs="宋体" w:eastAsia="宋体" w:hint="default"/>
                <w:sz w:val="18"/>
                <w:szCs w:val="18"/>
              </w:rPr>
            </w:pPr>
            <w:r>
              <w:rPr>
                <w:rFonts w:ascii="宋体" w:hAnsi="宋体" w:cs="宋体" w:eastAsia="宋体" w:hint="default"/>
                <w:sz w:val="18"/>
                <w:szCs w:val="18"/>
              </w:rPr>
              <w:t>报告期内担保实 际发生额合计</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A2+B2+C2</w:t>
            </w:r>
            <w:r>
              <w:rPr>
                <w:rFonts w:ascii="宋体" w:hAnsi="宋体" w:cs="宋体" w:eastAsia="宋体" w:hint="default"/>
                <w:sz w:val="18"/>
                <w:szCs w:val="18"/>
              </w:rPr>
              <w:t>）</w:t>
            </w:r>
          </w:p>
        </w:tc>
        <w:tc>
          <w:tcPr>
            <w:tcW w:w="36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9"/>
              <w:jc w:val="right"/>
              <w:rPr>
                <w:rFonts w:ascii="Arial" w:hAnsi="Arial" w:cs="Arial" w:eastAsia="Arial" w:hint="default"/>
                <w:sz w:val="18"/>
                <w:szCs w:val="18"/>
              </w:rPr>
            </w:pPr>
            <w:r>
              <w:rPr>
                <w:rFonts w:ascii="Arial"/>
                <w:w w:val="95"/>
                <w:sz w:val="18"/>
              </w:rPr>
              <w:t>900</w:t>
            </w:r>
            <w:r>
              <w:rPr>
                <w:rFonts w:ascii="Arial"/>
                <w:sz w:val="18"/>
              </w:rPr>
            </w:r>
          </w:p>
        </w:tc>
      </w:tr>
      <w:tr>
        <w:trPr>
          <w:trHeight w:val="1026" w:hRule="exact"/>
        </w:trPr>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A3+B3+C3</w:t>
            </w:r>
            <w:r>
              <w:rPr>
                <w:rFonts w:ascii="宋体" w:hAnsi="宋体" w:cs="宋体" w:eastAsia="宋体" w:hint="default"/>
                <w:sz w:val="18"/>
                <w:szCs w:val="18"/>
              </w:rPr>
              <w:t>）</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20,000</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报告期末实际担 保余额合计</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A4+B4+C4</w:t>
            </w:r>
            <w:r>
              <w:rPr>
                <w:rFonts w:ascii="宋体" w:hAnsi="宋体" w:cs="宋体" w:eastAsia="宋体" w:hint="default"/>
                <w:sz w:val="18"/>
                <w:szCs w:val="18"/>
              </w:rPr>
              <w:t>）</w:t>
            </w:r>
          </w:p>
        </w:tc>
        <w:tc>
          <w:tcPr>
            <w:tcW w:w="36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w w:val="95"/>
                <w:sz w:val="18"/>
              </w:rPr>
              <w:t>900</w:t>
            </w:r>
            <w:r>
              <w:rPr>
                <w:rFonts w:ascii="Arial"/>
                <w:sz w:val="18"/>
              </w:rPr>
            </w:r>
          </w:p>
        </w:tc>
      </w:tr>
      <w:tr>
        <w:trPr>
          <w:trHeight w:val="402" w:hRule="exact"/>
        </w:trPr>
        <w:tc>
          <w:tcPr>
            <w:tcW w:w="46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9"/>
                <w:sz w:val="18"/>
                <w:szCs w:val="18"/>
              </w:rPr>
              <w:t> </w:t>
            </w:r>
            <w:r>
              <w:rPr>
                <w:rFonts w:ascii="Arial" w:hAnsi="Arial" w:cs="Arial" w:eastAsia="Arial" w:hint="default"/>
                <w:sz w:val="18"/>
                <w:szCs w:val="18"/>
              </w:rPr>
              <w:t>A4+B4+C4</w:t>
            </w:r>
            <w:r>
              <w:rPr>
                <w:rFonts w:ascii="宋体" w:hAnsi="宋体" w:cs="宋体" w:eastAsia="宋体" w:hint="default"/>
                <w:sz w:val="18"/>
                <w:szCs w:val="18"/>
              </w:rPr>
              <w:t>）占公司净资产的比例</w:t>
            </w:r>
          </w:p>
        </w:tc>
        <w:tc>
          <w:tcPr>
            <w:tcW w:w="50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0.21%</w:t>
            </w:r>
          </w:p>
        </w:tc>
      </w:tr>
      <w:tr>
        <w:trPr>
          <w:trHeight w:val="402" w:hRule="exact"/>
        </w:trPr>
        <w:tc>
          <w:tcPr>
            <w:tcW w:w="969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line="240" w:lineRule="auto" w:before="3"/>
        <w:rPr>
          <w:rFonts w:ascii="宋体" w:hAnsi="宋体" w:cs="宋体" w:eastAsia="宋体" w:hint="default"/>
          <w:sz w:val="19"/>
          <w:szCs w:val="19"/>
        </w:rPr>
      </w:pPr>
    </w:p>
    <w:p>
      <w:pPr>
        <w:pStyle w:val="Heading4"/>
        <w:spacing w:line="240" w:lineRule="auto" w:before="34"/>
        <w:ind w:right="996"/>
        <w:jc w:val="left"/>
        <w:rPr>
          <w:b w:val="0"/>
          <w:bCs w:val="0"/>
        </w:rPr>
      </w:pPr>
      <w:bookmarkStart w:name="（2）违规对外担保情况" w:id="91"/>
      <w:bookmarkEnd w:id="91"/>
      <w:r>
        <w:rPr>
          <w:b w:val="0"/>
          <w:bCs w:val="0"/>
        </w:rPr>
      </w:r>
      <w:r>
        <w:rPr/>
        <w:t>（</w:t>
      </w:r>
      <w:r>
        <w:rPr>
          <w:rFonts w:ascii="Arial" w:hAnsi="Arial" w:cs="Arial" w:eastAsia="Arial" w:hint="default"/>
        </w:rPr>
        <w:t>2</w:t>
      </w:r>
      <w:r>
        <w:rPr/>
        <w:t>）违规对外担保情况</w:t>
      </w:r>
      <w:r>
        <w:rPr>
          <w:b w:val="0"/>
          <w:bCs w:val="0"/>
        </w:rPr>
      </w:r>
    </w:p>
    <w:p>
      <w:pPr>
        <w:spacing w:line="240" w:lineRule="auto" w:before="11"/>
        <w:rPr>
          <w:rFonts w:ascii="宋体" w:hAnsi="宋体" w:cs="宋体" w:eastAsia="宋体" w:hint="default"/>
          <w:b/>
          <w:bCs/>
          <w:sz w:val="22"/>
          <w:szCs w:val="22"/>
        </w:rPr>
      </w:pPr>
    </w:p>
    <w:p>
      <w:pPr>
        <w:pStyle w:val="Heading3"/>
        <w:spacing w:line="256" w:lineRule="auto"/>
        <w:ind w:right="715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公司报告期无违规对外担保情况。</w:t>
      </w:r>
    </w:p>
    <w:p>
      <w:pPr>
        <w:spacing w:after="0" w:line="256" w:lineRule="auto"/>
        <w:jc w:val="left"/>
        <w:sectPr>
          <w:pgSz w:w="11910" w:h="16840"/>
          <w:pgMar w:header="878" w:footer="978" w:top="1100" w:bottom="1160" w:left="1020" w:right="0"/>
        </w:sectPr>
      </w:pPr>
    </w:p>
    <w:p>
      <w:pPr>
        <w:spacing w:line="240" w:lineRule="auto" w:before="12"/>
        <w:rPr>
          <w:rFonts w:ascii="宋体" w:hAnsi="宋体" w:cs="宋体" w:eastAsia="宋体" w:hint="default"/>
          <w:sz w:val="20"/>
          <w:szCs w:val="20"/>
        </w:rPr>
      </w:pPr>
    </w:p>
    <w:p>
      <w:pPr>
        <w:pStyle w:val="Heading4"/>
        <w:spacing w:line="240" w:lineRule="auto" w:before="34"/>
        <w:ind w:right="996"/>
        <w:jc w:val="left"/>
        <w:rPr>
          <w:b w:val="0"/>
          <w:bCs w:val="0"/>
        </w:rPr>
      </w:pPr>
      <w:bookmarkStart w:name="3、委托他人进行现金资产管理情况" w:id="92"/>
      <w:bookmarkEnd w:id="92"/>
      <w:r>
        <w:rPr>
          <w:b w:val="0"/>
          <w:bCs w:val="0"/>
        </w:rPr>
      </w:r>
      <w:r>
        <w:rPr>
          <w:rFonts w:ascii="Arial" w:hAnsi="Arial" w:cs="Arial" w:eastAsia="Arial" w:hint="default"/>
        </w:rPr>
        <w:t>3</w:t>
      </w:r>
      <w:r>
        <w:rPr/>
        <w:t>、委托他人进行现金资产管理情况</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996"/>
        <w:jc w:val="left"/>
        <w:rPr>
          <w:b w:val="0"/>
          <w:bCs w:val="0"/>
        </w:rPr>
      </w:pPr>
      <w:bookmarkStart w:name="（1）委托理财情况" w:id="93"/>
      <w:bookmarkEnd w:id="93"/>
      <w:r>
        <w:rPr>
          <w:b w:val="0"/>
          <w:bCs w:val="0"/>
        </w:rPr>
      </w:r>
      <w:r>
        <w:rPr/>
        <w:t>（</w:t>
      </w:r>
      <w:r>
        <w:rPr>
          <w:rFonts w:ascii="Arial" w:hAnsi="Arial" w:cs="Arial" w:eastAsia="Arial" w:hint="default"/>
        </w:rPr>
        <w:t>1</w:t>
      </w:r>
      <w:r>
        <w:rPr/>
        <w:t>）委托理财情况</w:t>
      </w:r>
      <w:r>
        <w:rPr>
          <w:b w:val="0"/>
          <w:bCs w:val="0"/>
        </w:rPr>
      </w:r>
    </w:p>
    <w:p>
      <w:pPr>
        <w:spacing w:line="240" w:lineRule="auto" w:before="11"/>
        <w:rPr>
          <w:rFonts w:ascii="宋体" w:hAnsi="宋体" w:cs="宋体" w:eastAsia="宋体" w:hint="default"/>
          <w:b/>
          <w:bCs/>
          <w:sz w:val="22"/>
          <w:szCs w:val="22"/>
        </w:rPr>
      </w:pPr>
    </w:p>
    <w:p>
      <w:pPr>
        <w:pStyle w:val="Heading3"/>
        <w:spacing w:line="254" w:lineRule="auto"/>
        <w:ind w:right="763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公司报告期不存在委托理财。</w:t>
      </w:r>
    </w:p>
    <w:p>
      <w:pPr>
        <w:spacing w:line="240" w:lineRule="auto" w:before="8"/>
        <w:rPr>
          <w:rFonts w:ascii="宋体" w:hAnsi="宋体" w:cs="宋体" w:eastAsia="宋体" w:hint="default"/>
          <w:sz w:val="23"/>
          <w:szCs w:val="23"/>
        </w:rPr>
      </w:pPr>
    </w:p>
    <w:p>
      <w:pPr>
        <w:pStyle w:val="Heading4"/>
        <w:spacing w:line="240" w:lineRule="auto"/>
        <w:ind w:right="996"/>
        <w:jc w:val="left"/>
        <w:rPr>
          <w:b w:val="0"/>
          <w:bCs w:val="0"/>
        </w:rPr>
      </w:pPr>
      <w:bookmarkStart w:name="（2）委托贷款情况" w:id="94"/>
      <w:bookmarkEnd w:id="94"/>
      <w:r>
        <w:rPr>
          <w:b w:val="0"/>
          <w:bCs w:val="0"/>
        </w:rPr>
      </w:r>
      <w:r>
        <w:rPr/>
        <w:t>（</w:t>
      </w:r>
      <w:r>
        <w:rPr>
          <w:rFonts w:ascii="Arial" w:hAnsi="Arial" w:cs="Arial" w:eastAsia="Arial" w:hint="default"/>
        </w:rPr>
        <w:t>2</w:t>
      </w:r>
      <w:r>
        <w:rPr/>
        <w:t>）委托贷款情况</w:t>
      </w:r>
      <w:r>
        <w:rPr>
          <w:b w:val="0"/>
          <w:bCs w:val="0"/>
        </w:rPr>
      </w:r>
    </w:p>
    <w:p>
      <w:pPr>
        <w:spacing w:line="240" w:lineRule="auto" w:before="11"/>
        <w:rPr>
          <w:rFonts w:ascii="宋体" w:hAnsi="宋体" w:cs="宋体" w:eastAsia="宋体" w:hint="default"/>
          <w:b/>
          <w:bCs/>
          <w:sz w:val="22"/>
          <w:szCs w:val="22"/>
        </w:rPr>
      </w:pPr>
    </w:p>
    <w:p>
      <w:pPr>
        <w:pStyle w:val="Heading3"/>
        <w:spacing w:line="254" w:lineRule="auto"/>
        <w:ind w:right="763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公司报告期不存在委托贷款。</w:t>
      </w:r>
    </w:p>
    <w:p>
      <w:pPr>
        <w:spacing w:line="240" w:lineRule="auto" w:before="8"/>
        <w:rPr>
          <w:rFonts w:ascii="宋体" w:hAnsi="宋体" w:cs="宋体" w:eastAsia="宋体" w:hint="default"/>
          <w:sz w:val="23"/>
          <w:szCs w:val="23"/>
        </w:rPr>
      </w:pPr>
    </w:p>
    <w:p>
      <w:pPr>
        <w:pStyle w:val="Heading4"/>
        <w:spacing w:line="240" w:lineRule="auto"/>
        <w:ind w:right="996"/>
        <w:jc w:val="left"/>
        <w:rPr>
          <w:b w:val="0"/>
          <w:bCs w:val="0"/>
        </w:rPr>
      </w:pPr>
      <w:bookmarkStart w:name="4、其他重大合同" w:id="95"/>
      <w:bookmarkEnd w:id="95"/>
      <w:r>
        <w:rPr>
          <w:b w:val="0"/>
          <w:bCs w:val="0"/>
        </w:rPr>
      </w:r>
      <w:r>
        <w:rPr>
          <w:rFonts w:ascii="Arial" w:hAnsi="Arial" w:cs="Arial" w:eastAsia="Arial" w:hint="default"/>
        </w:rPr>
        <w:t>4</w:t>
      </w:r>
      <w:r>
        <w:rPr/>
        <w:t>、其他重大合同</w:t>
      </w:r>
      <w:r>
        <w:rPr>
          <w:b w:val="0"/>
          <w:bCs w:val="0"/>
        </w:rPr>
      </w:r>
    </w:p>
    <w:p>
      <w:pPr>
        <w:spacing w:line="240" w:lineRule="auto" w:before="11"/>
        <w:rPr>
          <w:rFonts w:ascii="宋体" w:hAnsi="宋体" w:cs="宋体" w:eastAsia="宋体" w:hint="default"/>
          <w:b/>
          <w:bCs/>
          <w:sz w:val="22"/>
          <w:szCs w:val="22"/>
        </w:rPr>
      </w:pPr>
    </w:p>
    <w:p>
      <w:pPr>
        <w:pStyle w:val="Heading3"/>
        <w:spacing w:line="256" w:lineRule="auto"/>
        <w:ind w:right="715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公司报告期不存在其他重大合同。</w:t>
      </w:r>
    </w:p>
    <w:p>
      <w:pPr>
        <w:spacing w:line="240" w:lineRule="auto" w:before="6"/>
        <w:rPr>
          <w:rFonts w:ascii="宋体" w:hAnsi="宋体" w:cs="宋体" w:eastAsia="宋体" w:hint="default"/>
          <w:sz w:val="21"/>
          <w:szCs w:val="21"/>
        </w:rPr>
      </w:pPr>
    </w:p>
    <w:p>
      <w:pPr>
        <w:pStyle w:val="Heading2"/>
        <w:spacing w:line="240" w:lineRule="auto" w:before="0"/>
        <w:ind w:right="996"/>
        <w:jc w:val="left"/>
        <w:rPr>
          <w:b w:val="0"/>
          <w:bCs w:val="0"/>
        </w:rPr>
      </w:pPr>
      <w:bookmarkStart w:name="十七、社会责任情况" w:id="96"/>
      <w:bookmarkEnd w:id="96"/>
      <w:r>
        <w:rPr>
          <w:b w:val="0"/>
          <w:bCs w:val="0"/>
        </w:rPr>
      </w:r>
      <w:r>
        <w:rPr/>
        <w:t>十七、社会责任情况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96"/>
        <w:jc w:val="left"/>
        <w:rPr>
          <w:b w:val="0"/>
          <w:bCs w:val="0"/>
        </w:rPr>
      </w:pPr>
      <w:bookmarkStart w:name="1、履行社会责任情况" w:id="97"/>
      <w:bookmarkEnd w:id="97"/>
      <w:r>
        <w:rPr>
          <w:b w:val="0"/>
          <w:bCs w:val="0"/>
        </w:rPr>
      </w:r>
      <w:r>
        <w:rPr>
          <w:rFonts w:ascii="Arial" w:hAnsi="Arial" w:cs="Arial" w:eastAsia="Arial" w:hint="default"/>
        </w:rPr>
        <w:t>1</w:t>
      </w:r>
      <w:r>
        <w:rPr/>
        <w:t>、履行社会责任情况</w:t>
      </w:r>
      <w:r>
        <w:rPr>
          <w:b w:val="0"/>
          <w:bCs w:val="0"/>
        </w:rPr>
      </w:r>
    </w:p>
    <w:p>
      <w:pPr>
        <w:spacing w:line="240" w:lineRule="auto" w:before="7"/>
        <w:rPr>
          <w:rFonts w:ascii="宋体" w:hAnsi="宋体" w:cs="宋体" w:eastAsia="宋体" w:hint="default"/>
          <w:b/>
          <w:bCs/>
          <w:sz w:val="24"/>
          <w:szCs w:val="24"/>
        </w:rPr>
      </w:pPr>
    </w:p>
    <w:p>
      <w:pPr>
        <w:pStyle w:val="Heading3"/>
        <w:spacing w:line="273" w:lineRule="auto"/>
        <w:ind w:right="1132" w:firstLine="482"/>
        <w:jc w:val="both"/>
      </w:pPr>
      <w:r>
        <w:rPr/>
        <w:t>企业不仅仅是谋取自身利益最大化的经济体，作为社会公民，同样是社会可持续发展的 重要推动者。华宇企业社会责任的愿景始终与华宇企业使命保持高度一致并且在不断的经营</w:t>
      </w:r>
      <w:r>
        <w:rPr>
          <w:spacing w:val="-89"/>
        </w:rPr>
        <w:t> </w:t>
      </w:r>
      <w:r>
        <w:rPr>
          <w:spacing w:val="-89"/>
        </w:rPr>
      </w:r>
      <w:r>
        <w:rPr/>
        <w:t>实践中探索将两者相互融合并统一，我们相信，这将会为所有利益相关方带来长期、稳定、</w:t>
      </w:r>
      <w:r>
        <w:rPr>
          <w:spacing w:val="-89"/>
        </w:rPr>
        <w:t> </w:t>
      </w:r>
      <w:r>
        <w:rPr>
          <w:spacing w:val="-89"/>
        </w:rPr>
      </w:r>
      <w:r>
        <w:rPr/>
        <w:t>可持续的共同发展机会。</w:t>
      </w:r>
    </w:p>
    <w:p>
      <w:pPr>
        <w:pStyle w:val="Heading3"/>
        <w:spacing w:line="266" w:lineRule="auto" w:before="10"/>
        <w:ind w:right="996" w:firstLine="482"/>
        <w:jc w:val="left"/>
      </w:pPr>
      <w:r>
        <w:rPr>
          <w:spacing w:val="-3"/>
        </w:rPr>
        <w:t>华宇以</w:t>
      </w:r>
      <w:r>
        <w:rPr>
          <w:rFonts w:ascii="Arial" w:hAnsi="Arial" w:cs="Arial" w:eastAsia="Arial" w:hint="default"/>
          <w:spacing w:val="-3"/>
        </w:rPr>
        <w:t>“</w:t>
      </w:r>
      <w:r>
        <w:rPr>
          <w:spacing w:val="-3"/>
        </w:rPr>
        <w:t>助力客户共建智慧美好的社会</w:t>
      </w:r>
      <w:r>
        <w:rPr>
          <w:rFonts w:ascii="Arial" w:hAnsi="Arial" w:cs="Arial" w:eastAsia="Arial" w:hint="default"/>
          <w:spacing w:val="-3"/>
        </w:rPr>
        <w:t>”</w:t>
      </w:r>
      <w:r>
        <w:rPr>
          <w:spacing w:val="-3"/>
        </w:rPr>
        <w:t>为愿景，以</w:t>
      </w:r>
      <w:r>
        <w:rPr>
          <w:rFonts w:ascii="Arial" w:hAnsi="Arial" w:cs="Arial" w:eastAsia="Arial" w:hint="default"/>
          <w:spacing w:val="-3"/>
        </w:rPr>
        <w:t>“</w:t>
      </w:r>
      <w:r>
        <w:rPr>
          <w:spacing w:val="-3"/>
        </w:rPr>
        <w:t>持续创新，成就客户</w:t>
      </w:r>
      <w:r>
        <w:rPr>
          <w:rFonts w:ascii="Arial" w:hAnsi="Arial" w:cs="Arial" w:eastAsia="Arial" w:hint="default"/>
          <w:spacing w:val="-3"/>
        </w:rPr>
        <w:t>”</w:t>
      </w:r>
      <w:r>
        <w:rPr>
          <w:spacing w:val="-3"/>
        </w:rPr>
        <w:t>为使命，秉承</w:t>
      </w:r>
      <w:r>
        <w:rPr>
          <w:rFonts w:ascii="Arial" w:hAnsi="Arial" w:cs="Arial" w:eastAsia="Arial" w:hint="default"/>
          <w:spacing w:val="-3"/>
        </w:rPr>
        <w:t>“</w:t>
      </w:r>
      <w:r>
        <w:rPr>
          <w:spacing w:val="-3"/>
        </w:rPr>
        <w:t>自</w:t>
      </w:r>
      <w:r>
        <w:rPr/>
        <w:t> 强不息，厚德载物</w:t>
      </w:r>
      <w:r>
        <w:rPr>
          <w:rFonts w:ascii="Arial" w:hAnsi="Arial" w:cs="Arial" w:eastAsia="Arial" w:hint="default"/>
        </w:rPr>
        <w:t>”</w:t>
      </w:r>
      <w:r>
        <w:rPr/>
        <w:t>的企业精神，立足电子政务，放眼企业应用。为客户提供全方位的信息化 产品、解决方案与服务。多年来，华宇在</w:t>
      </w:r>
      <w:r>
        <w:rPr>
          <w:rFonts w:ascii="Arial" w:hAnsi="Arial" w:cs="Arial" w:eastAsia="Arial" w:hint="default"/>
        </w:rPr>
        <w:t>“</w:t>
      </w:r>
      <w:r>
        <w:rPr/>
        <w:t>创造客户价值，促进员工发展，实现股东利益，贡 献和谐社会</w:t>
      </w:r>
      <w:r>
        <w:rPr>
          <w:rFonts w:ascii="Arial" w:hAnsi="Arial" w:cs="Arial" w:eastAsia="Arial" w:hint="default"/>
        </w:rPr>
        <w:t>”</w:t>
      </w:r>
      <w:r>
        <w:rPr/>
        <w:t>的核心价值观的引导下，致力于树立诚信、专业、高效、尽责的企业形象，营造 和谐、宽容、规范、协作的企业氛围，倡导尊重、欣赏、坦诚、信任的员工关系。华宇专注</w:t>
      </w:r>
      <w:r>
        <w:rPr>
          <w:spacing w:val="-89"/>
        </w:rPr>
        <w:t> </w:t>
      </w:r>
      <w:r>
        <w:rPr>
          <w:spacing w:val="-89"/>
        </w:rPr>
      </w:r>
      <w:r>
        <w:rPr/>
        <w:t>主营业务，打造了一支充满激情、正直奋进、敢于担当、甘于奉献的员工队伍，用精诚团结</w:t>
      </w:r>
      <w:r>
        <w:rPr>
          <w:spacing w:val="-89"/>
        </w:rPr>
        <w:t> </w:t>
      </w:r>
      <w:r>
        <w:rPr>
          <w:spacing w:val="-89"/>
        </w:rPr>
      </w:r>
      <w:r>
        <w:rPr>
          <w:spacing w:val="-2"/>
        </w:rPr>
        <w:t>的态度与精益求精的方法，持续变革、积极创新，实现了企业的健康发展与业务的稳定增长，</w:t>
      </w:r>
      <w:r>
        <w:rPr/>
        <w:t> 实现了客户、企业、员工的共同发展。华宇自觉地把企业社会责任融入到公司的战略、企业</w:t>
      </w:r>
      <w:r>
        <w:rPr>
          <w:spacing w:val="-89"/>
        </w:rPr>
        <w:t> </w:t>
      </w:r>
      <w:r>
        <w:rPr>
          <w:spacing w:val="-89"/>
        </w:rPr>
      </w:r>
      <w:r>
        <w:rPr/>
        <w:t>文化和经营活动中，努力构建和谐企业，推进企业与经济、环境、社会的和谐发展。</w:t>
      </w:r>
    </w:p>
    <w:p>
      <w:pPr>
        <w:pStyle w:val="Heading3"/>
        <w:spacing w:line="259" w:lineRule="auto" w:before="19"/>
        <w:ind w:right="1057" w:firstLine="482"/>
        <w:jc w:val="both"/>
      </w:pPr>
      <w:r>
        <w:rPr/>
        <w:t>华宇公益基金会</w:t>
      </w:r>
      <w:r>
        <w:rPr>
          <w:rFonts w:ascii="Arial" w:hAnsi="Arial" w:cs="Arial" w:eastAsia="Arial" w:hint="default"/>
        </w:rPr>
        <w:t>2015</w:t>
      </w:r>
      <w:r>
        <w:rPr/>
        <w:t>年在京注册成立，前身华宇助学基金</w:t>
      </w:r>
      <w:r>
        <w:rPr>
          <w:rFonts w:ascii="Arial" w:hAnsi="Arial" w:cs="Arial" w:eastAsia="Arial" w:hint="default"/>
        </w:rPr>
        <w:t>2006</w:t>
      </w:r>
      <w:r>
        <w:rPr/>
        <w:t>年由华宇员工自发筹建。 源于一份企业社会责任和对中国教育的期盼，针对我国小学至高中青少年失学</w:t>
      </w:r>
      <w:r>
        <w:rPr>
          <w:rFonts w:ascii="Arial" w:hAnsi="Arial" w:cs="Arial" w:eastAsia="Arial" w:hint="default"/>
        </w:rPr>
        <w:t>/</w:t>
      </w:r>
      <w:r>
        <w:rPr/>
        <w:t>辍学问题及素 </w:t>
      </w:r>
      <w:r>
        <w:rPr>
          <w:spacing w:val="2"/>
        </w:rPr>
        <w:t>质教育状况，华宇公益基金会特设立</w:t>
      </w:r>
      <w:r>
        <w:rPr>
          <w:rFonts w:ascii="Arial" w:hAnsi="Arial" w:cs="Arial" w:eastAsia="Arial" w:hint="default"/>
          <w:spacing w:val="2"/>
        </w:rPr>
        <w:t>“</w:t>
      </w:r>
      <w:r>
        <w:rPr>
          <w:spacing w:val="2"/>
        </w:rPr>
        <w:t>华宇助学项目</w:t>
      </w:r>
      <w:r>
        <w:rPr>
          <w:rFonts w:ascii="Arial" w:hAnsi="Arial" w:cs="Arial" w:eastAsia="Arial" w:hint="default"/>
          <w:spacing w:val="2"/>
        </w:rPr>
        <w:t>”</w:t>
      </w:r>
      <w:r>
        <w:rPr>
          <w:spacing w:val="2"/>
        </w:rPr>
        <w:t>，旨在帮助各偏远地区的贫困家庭渴望</w:t>
      </w:r>
      <w:r>
        <w:rPr>
          <w:spacing w:val="-101"/>
        </w:rPr>
        <w:t> </w:t>
      </w:r>
      <w:r>
        <w:rPr>
          <w:spacing w:val="-101"/>
        </w:rPr>
      </w:r>
      <w:r>
        <w:rPr/>
        <w:t>读书的孩子们获得求学的平等权益。</w:t>
      </w:r>
    </w:p>
    <w:p>
      <w:pPr>
        <w:pStyle w:val="Heading3"/>
        <w:spacing w:line="259" w:lineRule="auto" w:before="26"/>
        <w:ind w:right="1130" w:firstLine="482"/>
        <w:jc w:val="both"/>
      </w:pPr>
      <w:r>
        <w:rPr/>
        <w:t>华宇公益经过十多年的探索和尝试，找到一条适合自身发展的公益参与路径</w:t>
      </w:r>
      <w:r>
        <w:rPr>
          <w:rFonts w:ascii="Arial" w:hAnsi="Arial" w:cs="Arial" w:eastAsia="Arial" w:hint="default"/>
        </w:rPr>
        <w:t>——</w:t>
      </w:r>
      <w:r>
        <w:rPr/>
        <w:t>重点联 动企业、公益组织和志愿者力量，通过专业有效的行动</w:t>
      </w:r>
      <w:r>
        <w:rPr>
          <w:rFonts w:ascii="Arial" w:hAnsi="Arial" w:cs="Arial" w:eastAsia="Arial" w:hint="default"/>
        </w:rPr>
        <w:t>+</w:t>
      </w:r>
      <w:r>
        <w:rPr/>
        <w:t>高参与度公益项目</w:t>
      </w:r>
      <w:r>
        <w:rPr>
          <w:rFonts w:ascii="Arial" w:hAnsi="Arial" w:cs="Arial" w:eastAsia="Arial" w:hint="default"/>
        </w:rPr>
        <w:t>/</w:t>
      </w:r>
      <w:r>
        <w:rPr/>
        <w:t>活动共建华宇公</w:t>
      </w:r>
      <w:r>
        <w:rPr>
          <w:spacing w:val="-60"/>
        </w:rPr>
        <w:t> </w:t>
      </w:r>
      <w:r>
        <w:rPr>
          <w:spacing w:val="-60"/>
        </w:rPr>
      </w:r>
      <w:r>
        <w:rPr>
          <w:spacing w:val="-1"/>
        </w:rPr>
        <w:t>益可持续生态。依托华宇基金会的专业优势，切实根据资助</w:t>
      </w:r>
      <w:r>
        <w:rPr>
          <w:rFonts w:ascii="Arial" w:hAnsi="Arial" w:cs="Arial" w:eastAsia="Arial" w:hint="default"/>
          <w:spacing w:val="-1"/>
        </w:rPr>
        <w:t>/</w:t>
      </w:r>
      <w:r>
        <w:rPr>
          <w:spacing w:val="-1"/>
        </w:rPr>
        <w:t>服务对象的需求设计项目，积极</w:t>
      </w:r>
    </w:p>
    <w:p>
      <w:pPr>
        <w:spacing w:after="0" w:line="259" w:lineRule="auto"/>
        <w:jc w:val="both"/>
        <w:sectPr>
          <w:footerReference w:type="default" r:id="rId29"/>
          <w:pgSz w:w="11910" w:h="16840"/>
          <w:pgMar w:footer="978" w:header="878" w:top="1100" w:bottom="1160" w:left="1020" w:right="0"/>
          <w:pgNumType w:start="60"/>
        </w:sectPr>
      </w:pPr>
    </w:p>
    <w:p>
      <w:pPr>
        <w:spacing w:line="240" w:lineRule="auto" w:before="6"/>
        <w:rPr>
          <w:rFonts w:ascii="宋体" w:hAnsi="宋体" w:cs="宋体" w:eastAsia="宋体" w:hint="default"/>
          <w:sz w:val="21"/>
          <w:szCs w:val="21"/>
        </w:rPr>
      </w:pPr>
    </w:p>
    <w:p>
      <w:pPr>
        <w:pStyle w:val="Heading3"/>
        <w:spacing w:line="266" w:lineRule="auto" w:before="26"/>
        <w:ind w:right="1130"/>
        <w:jc w:val="both"/>
      </w:pPr>
      <w:r>
        <w:rPr/>
        <w:t>调动企业志愿者的参与，同时也为志愿者提供专业的培训课程，保障公益活动质量的同时为</w:t>
      </w:r>
      <w:r>
        <w:rPr>
          <w:spacing w:val="-89"/>
        </w:rPr>
        <w:t> </w:t>
      </w:r>
      <w:r>
        <w:rPr>
          <w:spacing w:val="-89"/>
        </w:rPr>
      </w:r>
      <w:r>
        <w:rPr>
          <w:spacing w:val="-1"/>
        </w:rPr>
        <w:t>志愿者提供充分的成长空间。该模式荣获中国电子信息行业联合会颁发的</w:t>
      </w:r>
      <w:r>
        <w:rPr>
          <w:rFonts w:ascii="Arial" w:hAnsi="Arial" w:cs="Arial" w:eastAsia="Arial" w:hint="default"/>
          <w:spacing w:val="-1"/>
        </w:rPr>
        <w:t>2019</w:t>
      </w:r>
      <w:r>
        <w:rPr>
          <w:spacing w:val="-1"/>
        </w:rPr>
        <w:t>年电子信息行</w:t>
      </w:r>
      <w:r>
        <w:rPr>
          <w:spacing w:val="-96"/>
        </w:rPr>
        <w:t> </w:t>
      </w:r>
      <w:r>
        <w:rPr/>
        <w:t>业社会贡献影响力企业奖和</w:t>
      </w:r>
      <w:r>
        <w:rPr>
          <w:rFonts w:ascii="Arial" w:hAnsi="Arial" w:cs="Arial" w:eastAsia="Arial" w:hint="default"/>
        </w:rPr>
        <w:t>2019</w:t>
      </w:r>
      <w:r>
        <w:rPr/>
        <w:t>年电子信息行业十大公益项目奖。</w:t>
      </w:r>
    </w:p>
    <w:p>
      <w:pPr>
        <w:pStyle w:val="Heading3"/>
        <w:spacing w:line="271" w:lineRule="auto"/>
        <w:ind w:right="1128" w:firstLine="482"/>
        <w:jc w:val="both"/>
      </w:pPr>
      <w:r>
        <w:rPr/>
        <w:t>随着中国经济水平的提升，针对辍学问题成因的多元化华宇助学提出相应匹配的行动。 除了提供助学款以外，基金会还会开展辅助青少年身心健康发展和推动学习进步的系列的活</w:t>
      </w:r>
      <w:r>
        <w:rPr>
          <w:spacing w:val="-89"/>
        </w:rPr>
        <w:t> </w:t>
      </w:r>
      <w:r>
        <w:rPr>
          <w:spacing w:val="-89"/>
        </w:rPr>
      </w:r>
      <w:r>
        <w:rPr/>
        <w:t>动，提升学习质量。年度有选择性对资助地及受资助人进行实地调研，评估当地经济状况、</w:t>
      </w:r>
      <w:r>
        <w:rPr>
          <w:spacing w:val="-89"/>
        </w:rPr>
        <w:t> </w:t>
      </w:r>
      <w:r>
        <w:rPr>
          <w:spacing w:val="-89"/>
        </w:rPr>
      </w:r>
      <w:r>
        <w:rPr/>
        <w:t>教育资源及学生家庭情况，改进资助方案；同时依托华宇社群及华宇自身优势开展法律科普</w:t>
      </w:r>
      <w:r>
        <w:rPr>
          <w:spacing w:val="-89"/>
        </w:rPr>
        <w:t> </w:t>
      </w:r>
      <w:r>
        <w:rPr>
          <w:spacing w:val="-89"/>
        </w:rPr>
      </w:r>
      <w:r>
        <w:rPr/>
        <w:t>相关活动，倡导公民责任，促进持续发展；华宇公益重点联动企业、公益组织和志愿者力量</w:t>
      </w:r>
      <w:r>
        <w:rPr>
          <w:spacing w:val="-89"/>
        </w:rPr>
        <w:t> </w:t>
      </w:r>
      <w:r>
        <w:rPr>
          <w:spacing w:val="-89"/>
        </w:rPr>
      </w:r>
      <w:r>
        <w:rPr/>
        <w:t>共建华宇公益可持续生态，助力美好社会的建设。华宇助学项目从助学金的经济支持到华宇</w:t>
      </w:r>
      <w:r>
        <w:rPr>
          <w:spacing w:val="-89"/>
        </w:rPr>
        <w:t> </w:t>
      </w:r>
      <w:r>
        <w:rPr>
          <w:spacing w:val="-89"/>
        </w:rPr>
      </w:r>
      <w:r>
        <w:rPr/>
        <w:t>益行的深入探访，从夏令营的增能赋权到华宇益友的成长陪伴到多元支持，为资助学生提供</w:t>
      </w:r>
      <w:r>
        <w:rPr>
          <w:spacing w:val="-89"/>
        </w:rPr>
        <w:t> </w:t>
      </w:r>
      <w:r>
        <w:rPr>
          <w:spacing w:val="-89"/>
        </w:rPr>
      </w:r>
      <w:r>
        <w:rPr/>
        <w:t>全方位的护航。华宇人作为志愿者长期支持华宇助学的活动当中，如华宇益行的一线走访、</w:t>
      </w:r>
      <w:r>
        <w:rPr>
          <w:spacing w:val="-89"/>
        </w:rPr>
        <w:t> </w:t>
      </w:r>
      <w:r>
        <w:rPr>
          <w:spacing w:val="-89"/>
        </w:rPr>
      </w:r>
      <w:r>
        <w:rPr>
          <w:spacing w:val="-1"/>
        </w:rPr>
        <w:t>华宇益友的陪伴等等。截止</w:t>
      </w:r>
      <w:r>
        <w:rPr>
          <w:rFonts w:ascii="Arial" w:hAnsi="Arial" w:cs="Arial" w:eastAsia="Arial" w:hint="default"/>
          <w:spacing w:val="-1"/>
        </w:rPr>
        <w:t>2018</w:t>
      </w:r>
      <w:r>
        <w:rPr>
          <w:spacing w:val="-1"/>
        </w:rPr>
        <w:t>年，已累计捐助内蒙、河南、辽宁、西藏、北京、青海、云</w:t>
      </w:r>
      <w:r>
        <w:rPr>
          <w:spacing w:val="-99"/>
        </w:rPr>
        <w:t> </w:t>
      </w:r>
      <w:r>
        <w:rPr>
          <w:spacing w:val="-99"/>
        </w:rPr>
      </w:r>
      <w:r>
        <w:rPr/>
        <w:t>南、安徽、吉林、广西、河北、山西等</w:t>
      </w:r>
      <w:r>
        <w:rPr>
          <w:rFonts w:ascii="Arial" w:hAnsi="Arial" w:cs="Arial" w:eastAsia="Arial" w:hint="default"/>
        </w:rPr>
        <w:t>18</w:t>
      </w:r>
      <w:r>
        <w:rPr/>
        <w:t>个省市</w:t>
      </w:r>
      <w:r>
        <w:rPr>
          <w:rFonts w:ascii="Arial" w:hAnsi="Arial" w:cs="Arial" w:eastAsia="Arial" w:hint="default"/>
        </w:rPr>
        <w:t>30</w:t>
      </w:r>
      <w:r>
        <w:rPr/>
        <w:t>余城市或地区</w:t>
      </w:r>
      <w:r>
        <w:rPr>
          <w:rFonts w:ascii="Arial" w:hAnsi="Arial" w:cs="Arial" w:eastAsia="Arial" w:hint="default"/>
        </w:rPr>
        <w:t>780</w:t>
      </w:r>
      <w:r>
        <w:rPr/>
        <w:t>名学生提供直接捐助。</w:t>
      </w:r>
      <w:r>
        <w:rPr>
          <w:spacing w:val="-69"/>
        </w:rPr>
        <w:t> </w:t>
      </w:r>
      <w:r>
        <w:rPr>
          <w:spacing w:val="-69"/>
        </w:rPr>
      </w:r>
      <w:r>
        <w:rPr/>
        <w:t>华宇公益项目累计受益学生两千多人次。</w:t>
      </w:r>
    </w:p>
    <w:p>
      <w:pPr>
        <w:pStyle w:val="Heading3"/>
        <w:spacing w:line="268" w:lineRule="auto" w:before="12"/>
        <w:ind w:right="1129" w:firstLine="482"/>
        <w:jc w:val="both"/>
      </w:pPr>
      <w:r>
        <w:rPr>
          <w:rFonts w:ascii="Arial" w:hAnsi="Arial" w:cs="Arial" w:eastAsia="Arial" w:hint="default"/>
          <w:spacing w:val="-1"/>
        </w:rPr>
        <w:t>2018</w:t>
      </w:r>
      <w:r>
        <w:rPr>
          <w:spacing w:val="-1"/>
        </w:rPr>
        <w:t>年特别推出了青少年模拟法庭和阅染纸上阅读绘画活动。科技助力法制公正是华宇</w:t>
      </w:r>
      <w:r>
        <w:rPr/>
        <w:t> 的重要工作之一，帮助青少年学法懂法同样是共建美好社会的重要途径，也是提高青少年综</w:t>
      </w:r>
      <w:r>
        <w:rPr>
          <w:spacing w:val="-89"/>
        </w:rPr>
        <w:t> </w:t>
      </w:r>
      <w:r>
        <w:rPr>
          <w:spacing w:val="-89"/>
        </w:rPr>
      </w:r>
      <w:r>
        <w:rPr>
          <w:spacing w:val="-1"/>
        </w:rPr>
        <w:t>合教育的途径。结合华宇自身优势，推出</w:t>
      </w:r>
      <w:r>
        <w:rPr>
          <w:rFonts w:ascii="Arial" w:hAnsi="Arial" w:cs="Arial" w:eastAsia="Arial" w:hint="default"/>
          <w:spacing w:val="-1"/>
        </w:rPr>
        <w:t>“</w:t>
      </w:r>
      <w:r>
        <w:rPr>
          <w:spacing w:val="-1"/>
        </w:rPr>
        <w:t>少年模拟法庭</w:t>
      </w:r>
      <w:r>
        <w:rPr>
          <w:rFonts w:ascii="Arial" w:hAnsi="Arial" w:cs="Arial" w:eastAsia="Arial" w:hint="default"/>
          <w:spacing w:val="-1"/>
        </w:rPr>
        <w:t>”</w:t>
      </w:r>
      <w:r>
        <w:rPr>
          <w:spacing w:val="-1"/>
        </w:rPr>
        <w:t>活动，</w:t>
      </w:r>
      <w:r>
        <w:rPr>
          <w:rFonts w:ascii="Arial" w:hAnsi="Arial" w:cs="Arial" w:eastAsia="Arial" w:hint="default"/>
          <w:spacing w:val="-1"/>
        </w:rPr>
        <w:t>“</w:t>
      </w:r>
      <w:r>
        <w:rPr>
          <w:spacing w:val="-1"/>
        </w:rPr>
        <w:t>少年模拟法庭</w:t>
      </w:r>
      <w:r>
        <w:rPr>
          <w:rFonts w:ascii="Arial" w:hAnsi="Arial" w:cs="Arial" w:eastAsia="Arial" w:hint="default"/>
          <w:spacing w:val="-1"/>
        </w:rPr>
        <w:t>”</w:t>
      </w:r>
      <w:r>
        <w:rPr>
          <w:spacing w:val="-1"/>
        </w:rPr>
        <w:t>是一个通过青</w:t>
      </w:r>
      <w:r>
        <w:rPr>
          <w:spacing w:val="-117"/>
        </w:rPr>
        <w:t> </w:t>
      </w:r>
      <w:r>
        <w:rPr/>
        <w:t>少年模拟审判过程，增加青少年对违法犯罪的直观认识，提高法律教育的活动。它一条适合</w:t>
      </w:r>
      <w:r>
        <w:rPr>
          <w:spacing w:val="-89"/>
        </w:rPr>
        <w:t> </w:t>
      </w:r>
      <w:r>
        <w:rPr>
          <w:spacing w:val="-89"/>
        </w:rPr>
      </w:r>
      <w:r>
        <w:rPr/>
        <w:t>青少年特点的法制教育新途径。模拟法庭活动所涉及的审判长、审判员、公诉人、辩护人等</w:t>
      </w:r>
      <w:r>
        <w:rPr>
          <w:spacing w:val="-89"/>
        </w:rPr>
        <w:t> </w:t>
      </w:r>
      <w:r>
        <w:rPr>
          <w:spacing w:val="-89"/>
        </w:rPr>
      </w:r>
      <w:r>
        <w:rPr/>
        <w:t>角色均由学生扮演。法庭结束，邀请专业法官对同学们的表现进行了点评，普及法律知识，</w:t>
      </w:r>
      <w:r>
        <w:rPr>
          <w:spacing w:val="-89"/>
        </w:rPr>
        <w:t> </w:t>
      </w:r>
      <w:r>
        <w:rPr>
          <w:spacing w:val="-89"/>
        </w:rPr>
      </w:r>
      <w:r>
        <w:rPr/>
        <w:t>加深学生对法制教育的认识。</w:t>
      </w:r>
    </w:p>
    <w:p>
      <w:pPr>
        <w:pStyle w:val="Heading3"/>
        <w:spacing w:line="268" w:lineRule="auto" w:before="17"/>
        <w:ind w:right="1130" w:firstLine="482"/>
        <w:jc w:val="both"/>
      </w:pPr>
      <w:r>
        <w:rPr>
          <w:spacing w:val="2"/>
        </w:rPr>
        <w:t>基金会向英山地区捐赠书库后，联合大别山阅读空间推出</w:t>
      </w:r>
      <w:r>
        <w:rPr>
          <w:rFonts w:ascii="Arial" w:hAnsi="Arial" w:cs="Arial" w:eastAsia="Arial" w:hint="default"/>
          <w:spacing w:val="2"/>
        </w:rPr>
        <w:t>“</w:t>
      </w:r>
      <w:r>
        <w:rPr>
          <w:spacing w:val="2"/>
        </w:rPr>
        <w:t>阅染纸上</w:t>
      </w:r>
      <w:r>
        <w:rPr>
          <w:rFonts w:ascii="Arial" w:hAnsi="Arial" w:cs="Arial" w:eastAsia="Arial" w:hint="default"/>
          <w:spacing w:val="2"/>
        </w:rPr>
        <w:t>”</w:t>
      </w:r>
      <w:r>
        <w:rPr>
          <w:spacing w:val="2"/>
        </w:rPr>
        <w:t>阅读绘画活动，依</w:t>
      </w:r>
      <w:r>
        <w:rPr/>
        <w:t> 据阅读循环理论，回应是阅读循环中非常重要的步骤，通过语言、动作、绘画、手工、戏剧</w:t>
      </w:r>
      <w:r>
        <w:rPr>
          <w:spacing w:val="-89"/>
        </w:rPr>
        <w:t> </w:t>
      </w:r>
      <w:r>
        <w:rPr>
          <w:spacing w:val="-89"/>
        </w:rPr>
      </w:r>
      <w:r>
        <w:rPr/>
        <w:t>等方式对阅读产生的感受进行表达，是非常有效的方式。活动旨在通过绘本阅读、内容启发</w:t>
      </w:r>
      <w:r>
        <w:rPr>
          <w:spacing w:val="-89"/>
        </w:rPr>
        <w:t> </w:t>
      </w:r>
      <w:r>
        <w:rPr>
          <w:spacing w:val="-89"/>
        </w:rPr>
      </w:r>
      <w:r>
        <w:rPr/>
        <w:t>性思考、听觉与视觉转化等方式激发儿童的想象力与创造力，改变传统阅读读后感的单一模</w:t>
      </w:r>
      <w:r>
        <w:rPr>
          <w:spacing w:val="-89"/>
        </w:rPr>
        <w:t> </w:t>
      </w:r>
      <w:r>
        <w:rPr>
          <w:spacing w:val="-89"/>
        </w:rPr>
      </w:r>
      <w:r>
        <w:rPr/>
        <w:t>式，丰富阅读延伸活动。活动覆盖近</w:t>
      </w:r>
      <w:r>
        <w:rPr>
          <w:rFonts w:ascii="Arial" w:hAnsi="Arial" w:cs="Arial" w:eastAsia="Arial" w:hint="default"/>
        </w:rPr>
        <w:t>200</w:t>
      </w:r>
      <w:r>
        <w:rPr/>
        <w:t>余人次，最终收集到</w:t>
      </w:r>
      <w:r>
        <w:rPr>
          <w:rFonts w:ascii="Arial" w:hAnsi="Arial" w:cs="Arial" w:eastAsia="Arial" w:hint="default"/>
        </w:rPr>
        <w:t>56</w:t>
      </w:r>
      <w:r>
        <w:rPr/>
        <w:t>幅绘画作品。每一本书都描</w:t>
      </w:r>
      <w:r>
        <w:rPr>
          <w:spacing w:val="-46"/>
        </w:rPr>
        <w:t> </w:t>
      </w:r>
      <w:r>
        <w:rPr>
          <w:spacing w:val="-46"/>
        </w:rPr>
      </w:r>
      <w:r>
        <w:rPr/>
        <w:t>绘着特别的故事，每个孩子对故事都有独属的理解，小朋友们通过用色彩展现了他们对书籍</w:t>
      </w:r>
      <w:r>
        <w:rPr>
          <w:spacing w:val="-89"/>
        </w:rPr>
        <w:t> </w:t>
      </w:r>
      <w:r>
        <w:rPr>
          <w:spacing w:val="-89"/>
        </w:rPr>
      </w:r>
      <w:r>
        <w:rPr/>
        <w:t>内容的理解。</w:t>
      </w:r>
    </w:p>
    <w:p>
      <w:pPr>
        <w:pStyle w:val="Heading3"/>
        <w:spacing w:line="271" w:lineRule="auto" w:before="14"/>
        <w:ind w:right="996" w:firstLine="482"/>
        <w:jc w:val="left"/>
      </w:pPr>
      <w:r>
        <w:rPr/>
        <w:t>公益是企业文化中的重要组成部分之一。利用公益平台为华宇人及华宇社群提供公益参 与活动，携手华宇社群共同成长，将公益的精神和幸福感传递至华宇社群之中。形成华宇独</w:t>
      </w:r>
      <w:r>
        <w:rPr>
          <w:spacing w:val="-89"/>
        </w:rPr>
        <w:t> </w:t>
      </w:r>
      <w:r>
        <w:rPr>
          <w:spacing w:val="-89"/>
        </w:rPr>
      </w:r>
      <w:r>
        <w:rPr/>
        <w:t>特的公益体系和公益价值观，扩大华宇公益的影响范围。华宇公益月、华宇益课堂、志愿者</w:t>
      </w:r>
      <w:r>
        <w:rPr>
          <w:spacing w:val="-89"/>
        </w:rPr>
        <w:t> </w:t>
      </w:r>
      <w:r>
        <w:rPr>
          <w:spacing w:val="-89"/>
        </w:rPr>
      </w:r>
      <w:r>
        <w:rPr>
          <w:spacing w:val="-2"/>
        </w:rPr>
        <w:t>日、环保活动等等均是华宇公益文化营造的特色活动。基金会向华宇社群推广华宇公益观念，</w:t>
      </w:r>
      <w:r>
        <w:rPr/>
        <w:t> 让更多的人了解、认识华宇公益，华宇人通过亲身参与后对公益有了更深的体会，他们会将</w:t>
      </w:r>
      <w:r>
        <w:rPr>
          <w:spacing w:val="-89"/>
        </w:rPr>
        <w:t> </w:t>
      </w:r>
      <w:r>
        <w:rPr>
          <w:spacing w:val="-89"/>
        </w:rPr>
      </w:r>
      <w:r>
        <w:rPr/>
        <w:t>这份公益的精神传递给身边的人，逐渐构建华宇公益文化纽带，不断推动价值传递，形成良</w:t>
      </w:r>
      <w:r>
        <w:rPr>
          <w:spacing w:val="-89"/>
        </w:rPr>
        <w:t> </w:t>
      </w:r>
      <w:r>
        <w:rPr>
          <w:spacing w:val="-89"/>
        </w:rPr>
      </w:r>
      <w:r>
        <w:rPr>
          <w:spacing w:val="-5"/>
        </w:rPr>
        <w:t>性上升式闭环。</w:t>
      </w:r>
      <w:r>
        <w:rPr>
          <w:rFonts w:ascii="Arial" w:hAnsi="Arial" w:cs="Arial" w:eastAsia="Arial" w:hint="default"/>
          <w:spacing w:val="-5"/>
        </w:rPr>
        <w:t>2018</w:t>
      </w:r>
      <w:r>
        <w:rPr>
          <w:spacing w:val="-5"/>
        </w:rPr>
        <w:t>年，华宇共计开展</w:t>
      </w:r>
      <w:r>
        <w:rPr>
          <w:rFonts w:ascii="Arial" w:hAnsi="Arial" w:cs="Arial" w:eastAsia="Arial" w:hint="default"/>
          <w:spacing w:val="-5"/>
        </w:rPr>
        <w:t>9</w:t>
      </w:r>
      <w:r>
        <w:rPr>
          <w:spacing w:val="-5"/>
        </w:rPr>
        <w:t>个公益活动，</w:t>
      </w:r>
      <w:r>
        <w:rPr>
          <w:rFonts w:ascii="Arial" w:hAnsi="Arial" w:cs="Arial" w:eastAsia="Arial" w:hint="default"/>
          <w:spacing w:val="-5"/>
        </w:rPr>
        <w:t>14</w:t>
      </w:r>
      <w:r>
        <w:rPr>
          <w:spacing w:val="-5"/>
        </w:rPr>
        <w:t>场次。共计</w:t>
      </w:r>
      <w:r>
        <w:rPr>
          <w:rFonts w:ascii="Arial" w:hAnsi="Arial" w:cs="Arial" w:eastAsia="Arial" w:hint="default"/>
          <w:spacing w:val="-5"/>
        </w:rPr>
        <w:t>109</w:t>
      </w:r>
      <w:r>
        <w:rPr>
          <w:spacing w:val="-5"/>
        </w:rPr>
        <w:t>人次华宇志愿者参与，</w:t>
      </w:r>
      <w:r>
        <w:rPr>
          <w:spacing w:val="-112"/>
        </w:rPr>
        <w:t> </w:t>
      </w:r>
      <w:r>
        <w:rPr>
          <w:spacing w:val="-112"/>
        </w:rPr>
      </w:r>
      <w:r>
        <w:rPr/>
        <w:t>累计志愿服务时长</w:t>
      </w:r>
      <w:r>
        <w:rPr>
          <w:rFonts w:ascii="Arial" w:hAnsi="Arial" w:cs="Arial" w:eastAsia="Arial" w:hint="default"/>
        </w:rPr>
        <w:t>851</w:t>
      </w:r>
      <w:r>
        <w:rPr/>
        <w:t>小时，公益活动直接</w:t>
      </w:r>
      <w:r>
        <w:rPr>
          <w:rFonts w:ascii="Arial" w:hAnsi="Arial" w:cs="Arial" w:eastAsia="Arial" w:hint="default"/>
        </w:rPr>
        <w:t>/</w:t>
      </w:r>
      <w:r>
        <w:rPr/>
        <w:t>间接影响</w:t>
      </w:r>
      <w:r>
        <w:rPr>
          <w:rFonts w:ascii="Arial" w:hAnsi="Arial" w:cs="Arial" w:eastAsia="Arial" w:hint="default"/>
        </w:rPr>
        <w:t>1500</w:t>
      </w:r>
      <w:r>
        <w:rPr/>
        <w:t>多人次，资助学生</w:t>
      </w:r>
      <w:r>
        <w:rPr>
          <w:rFonts w:ascii="Arial" w:hAnsi="Arial" w:cs="Arial" w:eastAsia="Arial" w:hint="default"/>
        </w:rPr>
        <w:t>423</w:t>
      </w:r>
      <w:r>
        <w:rPr/>
        <w:t>人，涉及全</w:t>
      </w:r>
      <w:r>
        <w:rPr>
          <w:spacing w:val="-56"/>
        </w:rPr>
        <w:t> </w:t>
      </w:r>
      <w:r>
        <w:rPr>
          <w:spacing w:val="-56"/>
        </w:rPr>
      </w:r>
      <w:r>
        <w:rPr/>
        <w:t>国</w:t>
      </w:r>
      <w:r>
        <w:rPr>
          <w:rFonts w:ascii="Arial" w:hAnsi="Arial" w:cs="Arial" w:eastAsia="Arial" w:hint="default"/>
        </w:rPr>
        <w:t>14</w:t>
      </w:r>
      <w:r>
        <w:rPr/>
        <w:t>个省份</w:t>
      </w:r>
      <w:r>
        <w:rPr>
          <w:rFonts w:ascii="Arial" w:hAnsi="Arial" w:cs="Arial" w:eastAsia="Arial" w:hint="default"/>
        </w:rPr>
        <w:t>22</w:t>
      </w:r>
      <w:r>
        <w:rPr/>
        <w:t>个城市或地区。</w:t>
      </w:r>
    </w:p>
    <w:p>
      <w:pPr>
        <w:pStyle w:val="Heading3"/>
        <w:spacing w:line="308" w:lineRule="exact"/>
        <w:ind w:left="595" w:right="996"/>
        <w:jc w:val="left"/>
      </w:pPr>
      <w:r>
        <w:rPr/>
        <w:t>持续根据社会发展所带来的变化不断优化与调整我们的企业社会责任具体工作是确保未</w:t>
      </w:r>
    </w:p>
    <w:p>
      <w:pPr>
        <w:spacing w:after="0" w:line="308" w:lineRule="exact"/>
        <w:jc w:val="left"/>
        <w:sectPr>
          <w:pgSz w:w="11910" w:h="16840"/>
          <w:pgMar w:header="878" w:footer="978" w:top="1100" w:bottom="1160" w:left="1020" w:right="0"/>
        </w:sectPr>
      </w:pPr>
    </w:p>
    <w:p>
      <w:pPr>
        <w:spacing w:line="240" w:lineRule="auto" w:before="6"/>
        <w:rPr>
          <w:rFonts w:ascii="宋体" w:hAnsi="宋体" w:cs="宋体" w:eastAsia="宋体" w:hint="default"/>
          <w:sz w:val="21"/>
          <w:szCs w:val="21"/>
        </w:rPr>
      </w:pPr>
    </w:p>
    <w:p>
      <w:pPr>
        <w:pStyle w:val="Heading3"/>
        <w:spacing w:line="266" w:lineRule="auto" w:before="26"/>
        <w:ind w:right="1132"/>
        <w:jc w:val="both"/>
      </w:pPr>
      <w:r>
        <w:rPr/>
        <w:t>来符合所有利益相关者利益的保障。</w:t>
      </w:r>
      <w:r>
        <w:rPr>
          <w:spacing w:val="-82"/>
        </w:rPr>
        <w:t> </w:t>
      </w:r>
      <w:r>
        <w:rPr/>
        <w:t>华宇将继续致力于以持续的产品及技术创新积极贡献社</w:t>
      </w:r>
      <w:r>
        <w:rPr/>
        <w:t> 会</w:t>
      </w:r>
      <w:r>
        <w:rPr>
          <w:rFonts w:ascii="Arial" w:hAnsi="Arial" w:cs="Arial" w:eastAsia="Arial" w:hint="default"/>
        </w:rPr>
        <w:t>,</w:t>
      </w:r>
      <w:r>
        <w:rPr>
          <w:rFonts w:ascii="Arial" w:hAnsi="Arial" w:cs="Arial" w:eastAsia="Arial" w:hint="default"/>
          <w:spacing w:val="50"/>
        </w:rPr>
        <w:t> </w:t>
      </w:r>
      <w:r>
        <w:rPr/>
        <w:t>以稳定的经营业绩创造社会价值。充分发挥华宇在行业内的产品与技术优势，努力推动</w:t>
      </w:r>
      <w:r>
        <w:rPr>
          <w:spacing w:val="-109"/>
        </w:rPr>
        <w:t> </w:t>
      </w:r>
      <w:r>
        <w:rPr>
          <w:spacing w:val="-109"/>
        </w:rPr>
      </w:r>
      <w:r>
        <w:rPr/>
        <w:t>华宇企业社会责任的进一步实践，为企业、社会的和谐可持续发展做出贡献。</w:t>
      </w:r>
    </w:p>
    <w:p>
      <w:pPr>
        <w:spacing w:line="240" w:lineRule="auto" w:before="8"/>
        <w:rPr>
          <w:rFonts w:ascii="宋体" w:hAnsi="宋体" w:cs="宋体" w:eastAsia="宋体" w:hint="default"/>
          <w:sz w:val="22"/>
          <w:szCs w:val="22"/>
        </w:rPr>
      </w:pPr>
    </w:p>
    <w:p>
      <w:pPr>
        <w:pStyle w:val="Heading2"/>
        <w:spacing w:line="240" w:lineRule="auto" w:before="0"/>
        <w:ind w:right="0"/>
        <w:jc w:val="both"/>
        <w:rPr>
          <w:b w:val="0"/>
          <w:bCs w:val="0"/>
        </w:rPr>
      </w:pPr>
      <w:bookmarkStart w:name="十八、其他重大事项的说明" w:id="98"/>
      <w:bookmarkEnd w:id="98"/>
      <w:r>
        <w:rPr>
          <w:b w:val="0"/>
          <w:bCs w:val="0"/>
        </w:rPr>
      </w:r>
      <w:r>
        <w:rPr/>
        <w:t>十八、其他重大事项的说明</w:t>
      </w:r>
      <w:r>
        <w:rPr>
          <w:b w:val="0"/>
          <w:bCs w:val="0"/>
        </w:rPr>
      </w:r>
    </w:p>
    <w:p>
      <w:pPr>
        <w:spacing w:line="240" w:lineRule="auto" w:before="12"/>
        <w:rPr>
          <w:rFonts w:ascii="宋体" w:hAnsi="宋体" w:cs="宋体" w:eastAsia="宋体" w:hint="default"/>
          <w:b/>
          <w:bCs/>
          <w:sz w:val="22"/>
          <w:szCs w:val="22"/>
        </w:rPr>
      </w:pPr>
    </w:p>
    <w:p>
      <w:pPr>
        <w:pStyle w:val="Heading3"/>
        <w:spacing w:line="271" w:lineRule="auto"/>
        <w:ind w:right="811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非公开发行股票</w:t>
      </w:r>
    </w:p>
    <w:p>
      <w:pPr>
        <w:pStyle w:val="Heading3"/>
        <w:spacing w:line="259" w:lineRule="auto" w:before="12"/>
        <w:ind w:right="1132" w:firstLine="480"/>
        <w:jc w:val="both"/>
      </w:pPr>
      <w:r>
        <w:rPr>
          <w:rFonts w:ascii="Arial" w:hAnsi="Arial" w:cs="Arial" w:eastAsia="Arial" w:hint="default"/>
        </w:rPr>
        <w:t>2018</w:t>
      </w:r>
      <w:r>
        <w:rPr/>
        <w:t>年</w:t>
      </w:r>
      <w:r>
        <w:rPr>
          <w:rFonts w:ascii="Arial" w:hAnsi="Arial" w:cs="Arial" w:eastAsia="Arial" w:hint="default"/>
        </w:rPr>
        <w:t>5</w:t>
      </w:r>
      <w:r>
        <w:rPr/>
        <w:t>月</w:t>
      </w:r>
      <w:r>
        <w:rPr>
          <w:rFonts w:ascii="Arial" w:hAnsi="Arial" w:cs="Arial" w:eastAsia="Arial" w:hint="default"/>
        </w:rPr>
        <w:t>23</w:t>
      </w:r>
      <w:r>
        <w:rPr/>
        <w:t>日，公司召开了第六届董事会第三十次会议，审议通过了关于《北京华宇 </w:t>
      </w:r>
      <w:r>
        <w:rPr>
          <w:spacing w:val="-1"/>
        </w:rPr>
        <w:t>软件股份有限公司</w:t>
      </w:r>
      <w:r>
        <w:rPr>
          <w:rFonts w:ascii="Arial" w:hAnsi="Arial" w:cs="Arial" w:eastAsia="Arial" w:hint="default"/>
          <w:spacing w:val="-1"/>
        </w:rPr>
        <w:t>2018</w:t>
      </w:r>
      <w:r>
        <w:rPr>
          <w:spacing w:val="-1"/>
        </w:rPr>
        <w:t>年度创业板非公开发行股票预案》等议案，拟向特定投资者非公开发</w:t>
      </w:r>
      <w:r>
        <w:rPr>
          <w:spacing w:val="-99"/>
        </w:rPr>
        <w:t> </w:t>
      </w:r>
      <w:r>
        <w:rPr>
          <w:spacing w:val="-99"/>
        </w:rPr>
      </w:r>
      <w:r>
        <w:rPr>
          <w:spacing w:val="-1"/>
        </w:rPr>
        <w:t>行股票募集资金总额不超过</w:t>
      </w:r>
      <w:r>
        <w:rPr>
          <w:rFonts w:ascii="Arial" w:hAnsi="Arial" w:cs="Arial" w:eastAsia="Arial" w:hint="default"/>
          <w:spacing w:val="-1"/>
        </w:rPr>
        <w:t>105,500.00</w:t>
      </w:r>
      <w:r>
        <w:rPr>
          <w:spacing w:val="-1"/>
        </w:rPr>
        <w:t>万元。详见公司在巨潮资讯网披露的《</w:t>
      </w:r>
      <w:r>
        <w:rPr>
          <w:rFonts w:ascii="Arial" w:hAnsi="Arial" w:cs="Arial" w:eastAsia="Arial" w:hint="default"/>
          <w:spacing w:val="-1"/>
        </w:rPr>
        <w:t>2018</w:t>
      </w:r>
      <w:r>
        <w:rPr>
          <w:spacing w:val="-1"/>
        </w:rPr>
        <w:t>年度创业</w:t>
      </w:r>
      <w:r>
        <w:rPr>
          <w:spacing w:val="-101"/>
        </w:rPr>
        <w:t> </w:t>
      </w:r>
      <w:r>
        <w:rPr/>
        <w:t>板非公开发行股票预案》等公告。</w:t>
      </w:r>
      <w:r>
        <w:rPr>
          <w:rFonts w:ascii="Arial" w:hAnsi="Arial" w:cs="Arial" w:eastAsia="Arial" w:hint="default"/>
        </w:rPr>
        <w:t>2018</w:t>
      </w:r>
      <w:r>
        <w:rPr/>
        <w:t>年</w:t>
      </w:r>
      <w:r>
        <w:rPr>
          <w:rFonts w:ascii="Arial" w:hAnsi="Arial" w:cs="Arial" w:eastAsia="Arial" w:hint="default"/>
        </w:rPr>
        <w:t>6</w:t>
      </w:r>
      <w:r>
        <w:rPr/>
        <w:t>月</w:t>
      </w:r>
      <w:r>
        <w:rPr>
          <w:rFonts w:ascii="Arial" w:hAnsi="Arial" w:cs="Arial" w:eastAsia="Arial" w:hint="default"/>
        </w:rPr>
        <w:t>11</w:t>
      </w:r>
      <w:r>
        <w:rPr/>
        <w:t>日召开的</w:t>
      </w:r>
      <w:r>
        <w:rPr>
          <w:rFonts w:ascii="Arial" w:hAnsi="Arial" w:cs="Arial" w:eastAsia="Arial" w:hint="default"/>
        </w:rPr>
        <w:t>2018</w:t>
      </w:r>
      <w:r>
        <w:rPr/>
        <w:t>年第一次临时股东大会审议通 过了本次非公开发行事项。</w:t>
      </w:r>
    </w:p>
    <w:p>
      <w:pPr>
        <w:pStyle w:val="Heading3"/>
        <w:spacing w:line="259" w:lineRule="auto" w:before="26"/>
        <w:ind w:right="1132" w:firstLine="480"/>
        <w:jc w:val="both"/>
      </w:pPr>
      <w:r>
        <w:rPr>
          <w:rFonts w:ascii="Arial" w:hAnsi="Arial" w:cs="Arial" w:eastAsia="Arial" w:hint="default"/>
        </w:rPr>
        <w:t>2018</w:t>
      </w:r>
      <w:r>
        <w:rPr/>
        <w:t>年</w:t>
      </w:r>
      <w:r>
        <w:rPr>
          <w:rFonts w:ascii="Arial" w:hAnsi="Arial" w:cs="Arial" w:eastAsia="Arial" w:hint="default"/>
        </w:rPr>
        <w:t>6</w:t>
      </w:r>
      <w:r>
        <w:rPr/>
        <w:t>月</w:t>
      </w:r>
      <w:r>
        <w:rPr>
          <w:rFonts w:ascii="Arial" w:hAnsi="Arial" w:cs="Arial" w:eastAsia="Arial" w:hint="default"/>
        </w:rPr>
        <w:t>19</w:t>
      </w:r>
      <w:r>
        <w:rPr/>
        <w:t>日，公司召开的第六届董事会第三十一次会议，审议通过了《</w:t>
      </w:r>
      <w:r>
        <w:rPr>
          <w:rFonts w:ascii="Arial" w:hAnsi="Arial" w:cs="Arial" w:eastAsia="Arial" w:hint="default"/>
        </w:rPr>
        <w:t>2018</w:t>
      </w:r>
      <w:r>
        <w:rPr/>
        <w:t>年度创 </w:t>
      </w:r>
      <w:r>
        <w:rPr>
          <w:spacing w:val="-1"/>
        </w:rPr>
        <w:t>业板非公开发行股票预案（修订稿）》，详见公司在巨潮资讯网披露的《</w:t>
      </w:r>
      <w:r>
        <w:rPr>
          <w:rFonts w:ascii="Arial" w:hAnsi="Arial" w:cs="Arial" w:eastAsia="Arial" w:hint="default"/>
          <w:spacing w:val="-1"/>
        </w:rPr>
        <w:t>2018</w:t>
      </w:r>
      <w:r>
        <w:rPr>
          <w:spacing w:val="-1"/>
        </w:rPr>
        <w:t>年度创业板非</w:t>
      </w:r>
      <w:r>
        <w:rPr>
          <w:spacing w:val="-100"/>
        </w:rPr>
        <w:t> </w:t>
      </w:r>
      <w:r>
        <w:rPr/>
        <w:t>公开发行股票预案（修订稿）》等公告。</w:t>
      </w:r>
    </w:p>
    <w:p>
      <w:pPr>
        <w:pStyle w:val="Heading3"/>
        <w:spacing w:line="266" w:lineRule="auto" w:before="24"/>
        <w:ind w:right="996" w:firstLine="480"/>
        <w:jc w:val="left"/>
      </w:pPr>
      <w:r>
        <w:rPr>
          <w:rFonts w:ascii="Arial" w:hAnsi="Arial" w:cs="Arial" w:eastAsia="Arial" w:hint="default"/>
          <w:spacing w:val="-2"/>
        </w:rPr>
        <w:t>2018</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4</w:t>
      </w:r>
      <w:r>
        <w:rPr>
          <w:spacing w:val="-2"/>
        </w:rPr>
        <w:t>日，证监会发行审核委员会对公司申请的非公开发行股票事宜进行了审核。</w:t>
      </w:r>
      <w:r>
        <w:rPr/>
        <w:t> 根据发行审核委员会的审核结果，公司本次非公开发行股票申请获得通过。详见公司在巨潮 </w:t>
      </w:r>
      <w:r>
        <w:rPr>
          <w:spacing w:val="-2"/>
        </w:rPr>
        <w:t>资讯网披露的《关于非公开发行股票申请获得中国证监会发行审核委员会审核通过的公告》。</w:t>
      </w:r>
    </w:p>
    <w:p>
      <w:pPr>
        <w:pStyle w:val="Heading3"/>
        <w:spacing w:line="259" w:lineRule="auto" w:before="19"/>
        <w:ind w:right="1132" w:firstLine="480"/>
        <w:jc w:val="both"/>
      </w:pPr>
      <w:r>
        <w:rPr>
          <w:rFonts w:ascii="Arial" w:hAnsi="Arial" w:cs="Arial" w:eastAsia="Arial" w:hint="default"/>
          <w:spacing w:val="-2"/>
        </w:rPr>
        <w:t>2018</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29</w:t>
      </w:r>
      <w:r>
        <w:rPr>
          <w:spacing w:val="-2"/>
        </w:rPr>
        <w:t>日，公司收到证监会出具的《关于核准北京华宇软件股份有限公司非公开</w:t>
      </w:r>
      <w:r>
        <w:rPr/>
        <w:t> </w:t>
      </w:r>
      <w:r>
        <w:rPr>
          <w:spacing w:val="-2"/>
        </w:rPr>
        <w:t>发行股票的批复》（证监许可【</w:t>
      </w:r>
      <w:r>
        <w:rPr>
          <w:rFonts w:ascii="Arial" w:hAnsi="Arial" w:cs="Arial" w:eastAsia="Arial" w:hint="default"/>
          <w:spacing w:val="-2"/>
        </w:rPr>
        <w:t>2018</w:t>
      </w:r>
      <w:r>
        <w:rPr>
          <w:spacing w:val="-2"/>
        </w:rPr>
        <w:t>】</w:t>
      </w:r>
      <w:r>
        <w:rPr>
          <w:rFonts w:ascii="Arial" w:hAnsi="Arial" w:cs="Arial" w:eastAsia="Arial" w:hint="default"/>
          <w:spacing w:val="-2"/>
        </w:rPr>
        <w:t>2187</w:t>
      </w:r>
      <w:r>
        <w:rPr>
          <w:spacing w:val="-2"/>
        </w:rPr>
        <w:t>号）。详见公司在巨潮资讯网披露的《关于非公</w:t>
      </w:r>
      <w:r>
        <w:rPr>
          <w:spacing w:val="-111"/>
        </w:rPr>
        <w:t> </w:t>
      </w:r>
      <w:r>
        <w:rPr>
          <w:spacing w:val="-111"/>
        </w:rPr>
      </w:r>
      <w:r>
        <w:rPr/>
        <w:t>开发行股票申请获得中国证券监督管理委员会核准批复的公告》。</w:t>
      </w:r>
    </w:p>
    <w:p>
      <w:pPr>
        <w:spacing w:line="240" w:lineRule="auto" w:before="2"/>
        <w:rPr>
          <w:rFonts w:ascii="宋体" w:hAnsi="宋体" w:cs="宋体" w:eastAsia="宋体" w:hint="default"/>
          <w:sz w:val="23"/>
          <w:szCs w:val="23"/>
        </w:rPr>
      </w:pPr>
    </w:p>
    <w:p>
      <w:pPr>
        <w:pStyle w:val="Heading2"/>
        <w:spacing w:line="240" w:lineRule="auto" w:before="0"/>
        <w:ind w:right="0"/>
        <w:jc w:val="both"/>
        <w:rPr>
          <w:b w:val="0"/>
          <w:bCs w:val="0"/>
        </w:rPr>
      </w:pPr>
      <w:bookmarkStart w:name="十九、公司子公司重大事项" w:id="99"/>
      <w:bookmarkEnd w:id="99"/>
      <w:r>
        <w:rPr>
          <w:b w:val="0"/>
          <w:bCs w:val="0"/>
        </w:rPr>
      </w:r>
      <w:r>
        <w:rPr/>
        <w:t>十九、公司子公司重大事项</w:t>
      </w:r>
      <w:r>
        <w:rPr>
          <w:b w:val="0"/>
          <w:bCs w:val="0"/>
        </w:rPr>
      </w:r>
    </w:p>
    <w:p>
      <w:pPr>
        <w:spacing w:line="240" w:lineRule="auto" w:before="10"/>
        <w:rPr>
          <w:rFonts w:ascii="宋体" w:hAnsi="宋体" w:cs="宋体" w:eastAsia="宋体" w:hint="default"/>
          <w:b/>
          <w:bCs/>
          <w:sz w:val="22"/>
          <w:szCs w:val="22"/>
        </w:rPr>
      </w:pPr>
    </w:p>
    <w:p>
      <w:pPr>
        <w:pStyle w:val="Heading3"/>
        <w:spacing w:line="240" w:lineRule="auto"/>
        <w:ind w:right="0"/>
        <w:jc w:val="both"/>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pStyle w:val="Heading3"/>
        <w:spacing w:line="259" w:lineRule="auto" w:before="43"/>
        <w:ind w:right="1131" w:firstLine="480"/>
        <w:jc w:val="both"/>
      </w:pPr>
      <w:r>
        <w:rPr>
          <w:rFonts w:ascii="Arial" w:hAnsi="Arial" w:cs="Arial" w:eastAsia="Arial" w:hint="default"/>
        </w:rPr>
        <w:t>2018</w:t>
      </w:r>
      <w:r>
        <w:rPr/>
        <w:t>年</w:t>
      </w:r>
      <w:r>
        <w:rPr>
          <w:rFonts w:ascii="Arial" w:hAnsi="Arial" w:cs="Arial" w:eastAsia="Arial" w:hint="default"/>
        </w:rPr>
        <w:t>5</w:t>
      </w:r>
      <w:r>
        <w:rPr/>
        <w:t>月</w:t>
      </w:r>
      <w:r>
        <w:rPr>
          <w:rFonts w:ascii="Arial" w:hAnsi="Arial" w:cs="Arial" w:eastAsia="Arial" w:hint="default"/>
        </w:rPr>
        <w:t>15</w:t>
      </w:r>
      <w:r>
        <w:rPr/>
        <w:t>日，公司第六届董事会第二十九次会议审议通过了《关于全资子公司华宇 </w:t>
      </w:r>
      <w:r>
        <w:rPr>
          <w:spacing w:val="-3"/>
        </w:rPr>
        <w:t>金信（北京）软件有限公司增资的议案》，同意公司使用自有资金</w:t>
      </w:r>
      <w:r>
        <w:rPr>
          <w:rFonts w:ascii="Arial" w:hAnsi="Arial" w:cs="Arial" w:eastAsia="Arial" w:hint="default"/>
          <w:spacing w:val="-3"/>
        </w:rPr>
        <w:t>2,700</w:t>
      </w:r>
      <w:r>
        <w:rPr>
          <w:spacing w:val="-3"/>
        </w:rPr>
        <w:t>万元人民币对华宇金</w:t>
      </w:r>
      <w:r>
        <w:rPr>
          <w:spacing w:val="-80"/>
        </w:rPr>
        <w:t> </w:t>
      </w:r>
      <w:r>
        <w:rPr>
          <w:spacing w:val="-6"/>
        </w:rPr>
        <w:t>信进行增资，此次增资后，其注册资本将由</w:t>
      </w:r>
      <w:r>
        <w:rPr>
          <w:rFonts w:ascii="Arial" w:hAnsi="Arial" w:cs="Arial" w:eastAsia="Arial" w:hint="default"/>
          <w:spacing w:val="-6"/>
        </w:rPr>
        <w:t>2,300</w:t>
      </w:r>
      <w:r>
        <w:rPr>
          <w:spacing w:val="-6"/>
        </w:rPr>
        <w:t>万人民币增加至</w:t>
      </w:r>
      <w:r>
        <w:rPr>
          <w:rFonts w:ascii="Arial" w:hAnsi="Arial" w:cs="Arial" w:eastAsia="Arial" w:hint="default"/>
          <w:spacing w:val="-6"/>
        </w:rPr>
        <w:t>5,000</w:t>
      </w:r>
      <w:r>
        <w:rPr>
          <w:spacing w:val="-6"/>
        </w:rPr>
        <w:t>万元人民币。详见</w:t>
      </w:r>
      <w:r>
        <w:rPr>
          <w:rFonts w:ascii="Arial" w:hAnsi="Arial" w:cs="Arial" w:eastAsia="Arial" w:hint="default"/>
          <w:spacing w:val="-6"/>
        </w:rPr>
        <w:t>2018</w:t>
      </w:r>
      <w:r>
        <w:rPr>
          <w:rFonts w:ascii="Arial" w:hAnsi="Arial" w:cs="Arial" w:eastAsia="Arial" w:hint="default"/>
          <w:spacing w:val="-46"/>
        </w:rPr>
        <w:t> </w:t>
      </w:r>
      <w:r>
        <w:rPr>
          <w:rFonts w:ascii="Arial" w:hAnsi="Arial" w:cs="Arial" w:eastAsia="Arial" w:hint="default"/>
          <w:spacing w:val="-46"/>
        </w:rPr>
      </w:r>
      <w:r>
        <w:rPr/>
        <w:t>年</w:t>
      </w:r>
      <w:r>
        <w:rPr>
          <w:rFonts w:ascii="Arial" w:hAnsi="Arial" w:cs="Arial" w:eastAsia="Arial" w:hint="default"/>
        </w:rPr>
        <w:t>5</w:t>
      </w:r>
      <w:r>
        <w:rPr/>
        <w:t>月</w:t>
      </w:r>
      <w:r>
        <w:rPr>
          <w:rFonts w:ascii="Arial" w:hAnsi="Arial" w:cs="Arial" w:eastAsia="Arial" w:hint="default"/>
        </w:rPr>
        <w:t>16</w:t>
      </w:r>
      <w:r>
        <w:rPr/>
        <w:t>日巨潮资讯网披露的公告。</w:t>
      </w:r>
    </w:p>
    <w:p>
      <w:pPr>
        <w:pStyle w:val="Heading3"/>
        <w:spacing w:line="264" w:lineRule="auto" w:before="7"/>
        <w:ind w:right="1131" w:firstLine="480"/>
        <w:jc w:val="both"/>
      </w:pPr>
      <w:r>
        <w:rPr>
          <w:rFonts w:ascii="Arial" w:hAnsi="Arial" w:cs="Arial" w:eastAsia="Arial" w:hint="default"/>
          <w:spacing w:val="-2"/>
        </w:rPr>
        <w:t>2018</w:t>
      </w:r>
      <w:r>
        <w:rPr>
          <w:spacing w:val="-2"/>
        </w:rPr>
        <w:t>年</w:t>
      </w:r>
      <w:r>
        <w:rPr>
          <w:rFonts w:ascii="Arial" w:hAnsi="Arial" w:cs="Arial" w:eastAsia="Arial" w:hint="default"/>
          <w:spacing w:val="-2"/>
        </w:rPr>
        <w:t>10</w:t>
      </w:r>
      <w:r>
        <w:rPr>
          <w:spacing w:val="-2"/>
        </w:rPr>
        <w:t>月</w:t>
      </w:r>
      <w:r>
        <w:rPr>
          <w:rFonts w:ascii="Arial" w:hAnsi="Arial" w:cs="Arial" w:eastAsia="Arial" w:hint="default"/>
          <w:spacing w:val="-2"/>
        </w:rPr>
        <w:t>26</w:t>
      </w:r>
      <w:r>
        <w:rPr>
          <w:spacing w:val="-2"/>
        </w:rPr>
        <w:t>日，公司第六届董事会第三十四次会议审议通过了《关于向华夏银行北京</w:t>
      </w:r>
      <w:r>
        <w:rPr/>
        <w:t> 分行申请综合授信提供担保的议案》，同意公司全资子公司华宇信息、华宇金信向华夏银行 </w:t>
      </w:r>
      <w:r>
        <w:rPr>
          <w:spacing w:val="-2"/>
        </w:rPr>
        <w:t>北京分行申请综合授信，授信额度合计不超过人民币</w:t>
      </w:r>
      <w:r>
        <w:rPr>
          <w:rFonts w:ascii="Arial" w:hAnsi="Arial" w:cs="Arial" w:eastAsia="Arial" w:hint="default"/>
          <w:spacing w:val="-2"/>
        </w:rPr>
        <w:t>1</w:t>
      </w:r>
      <w:r>
        <w:rPr>
          <w:spacing w:val="-2"/>
        </w:rPr>
        <w:t>亿元，授信期限不超过</w:t>
      </w:r>
      <w:r>
        <w:rPr>
          <w:rFonts w:ascii="Arial" w:hAnsi="Arial" w:cs="Arial" w:eastAsia="Arial" w:hint="default"/>
          <w:spacing w:val="-2"/>
        </w:rPr>
        <w:t>1</w:t>
      </w:r>
      <w:r>
        <w:rPr>
          <w:spacing w:val="-2"/>
        </w:rPr>
        <w:t>年。详见</w:t>
      </w:r>
      <w:r>
        <w:rPr>
          <w:rFonts w:ascii="Arial" w:hAnsi="Arial" w:cs="Arial" w:eastAsia="Arial" w:hint="default"/>
          <w:spacing w:val="-2"/>
        </w:rPr>
        <w:t>2018</w:t>
      </w:r>
      <w:r>
        <w:rPr>
          <w:rFonts w:ascii="Arial" w:hAnsi="Arial" w:cs="Arial" w:eastAsia="Arial" w:hint="default"/>
          <w:spacing w:val="-28"/>
        </w:rPr>
        <w:t> </w:t>
      </w:r>
      <w:r>
        <w:rPr>
          <w:rFonts w:ascii="Arial" w:hAnsi="Arial" w:cs="Arial" w:eastAsia="Arial" w:hint="default"/>
          <w:spacing w:val="-28"/>
        </w:rPr>
      </w:r>
      <w:r>
        <w:rPr/>
        <w:t>年</w:t>
      </w:r>
      <w:r>
        <w:rPr>
          <w:rFonts w:ascii="Arial" w:hAnsi="Arial" w:cs="Arial" w:eastAsia="Arial" w:hint="default"/>
        </w:rPr>
        <w:t>10</w:t>
      </w:r>
      <w:r>
        <w:rPr/>
        <w:t>月</w:t>
      </w:r>
      <w:r>
        <w:rPr>
          <w:rFonts w:ascii="Arial" w:hAnsi="Arial" w:cs="Arial" w:eastAsia="Arial" w:hint="default"/>
        </w:rPr>
        <w:t>29</w:t>
      </w:r>
      <w:r>
        <w:rPr/>
        <w:t>日巨潮资讯网披露的公告。</w:t>
      </w:r>
    </w:p>
    <w:p>
      <w:pPr>
        <w:pStyle w:val="Heading3"/>
        <w:spacing w:line="259" w:lineRule="auto" w:before="2"/>
        <w:ind w:right="1132" w:firstLine="480"/>
        <w:jc w:val="both"/>
      </w:pPr>
      <w:r>
        <w:rPr>
          <w:rFonts w:ascii="Arial" w:hAnsi="Arial" w:cs="Arial" w:eastAsia="Arial" w:hint="default"/>
          <w:spacing w:val="-2"/>
        </w:rPr>
        <w:t>2018</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20</w:t>
      </w:r>
      <w:r>
        <w:rPr>
          <w:spacing w:val="-2"/>
        </w:rPr>
        <w:t>日，公司第六届董事会第三十八次会议审议通过了《关于对外投资设立全</w:t>
      </w:r>
      <w:r>
        <w:rPr/>
        <w:t> </w:t>
      </w:r>
      <w:r>
        <w:rPr>
          <w:spacing w:val="-2"/>
        </w:rPr>
        <w:t>资子公司的议案》，同意华宇信息使用自有资金</w:t>
      </w:r>
      <w:r>
        <w:rPr>
          <w:rFonts w:ascii="Arial" w:hAnsi="Arial" w:cs="Arial" w:eastAsia="Arial" w:hint="default"/>
          <w:spacing w:val="-2"/>
        </w:rPr>
        <w:t>2,000</w:t>
      </w:r>
      <w:r>
        <w:rPr>
          <w:spacing w:val="-2"/>
        </w:rPr>
        <w:t>万元于上海设立全资子公司。详见同日</w:t>
      </w:r>
      <w:r>
        <w:rPr/>
        <w:t> 巨潮资讯网披露的公告。</w:t>
      </w:r>
    </w:p>
    <w:p>
      <w:pPr>
        <w:spacing w:after="0" w:line="259" w:lineRule="auto"/>
        <w:jc w:val="both"/>
        <w:sectPr>
          <w:pgSz w:w="11910" w:h="16840"/>
          <w:pgMar w:header="878" w:footer="978" w:top="110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439" w:lineRule="exact"/>
        <w:ind w:left="2932" w:right="996"/>
        <w:jc w:val="left"/>
        <w:rPr>
          <w:b w:val="0"/>
          <w:bCs w:val="0"/>
        </w:rPr>
      </w:pPr>
      <w:bookmarkStart w:name="第六节 股份变动及股东情况" w:id="100"/>
      <w:bookmarkEnd w:id="100"/>
      <w:r>
        <w:rPr>
          <w:b w:val="0"/>
          <w:bCs w:val="0"/>
        </w:rPr>
      </w:r>
      <w:bookmarkStart w:name="_bookmark4" w:id="101"/>
      <w:bookmarkEnd w:id="101"/>
      <w:r>
        <w:rPr>
          <w:b w:val="0"/>
          <w:bCs w:val="0"/>
        </w:rPr>
      </w:r>
      <w:r>
        <w:rPr/>
        <w:t>第六节</w:t>
      </w:r>
      <w:r>
        <w:rPr>
          <w:spacing w:val="61"/>
        </w:rPr>
        <w:t> </w:t>
      </w:r>
      <w:r>
        <w:rPr/>
        <w:t>股份变动及股东情况</w:t>
      </w:r>
      <w:r>
        <w:rPr>
          <w:b w:val="0"/>
          <w:bCs w:val="0"/>
        </w:rPr>
      </w:r>
    </w:p>
    <w:p>
      <w:pPr>
        <w:spacing w:line="240" w:lineRule="auto" w:before="16"/>
        <w:rPr>
          <w:rFonts w:ascii="微软雅黑" w:hAnsi="微软雅黑" w:cs="微软雅黑" w:eastAsia="微软雅黑" w:hint="default"/>
          <w:b/>
          <w:bCs/>
          <w:sz w:val="24"/>
          <w:szCs w:val="24"/>
        </w:rPr>
      </w:pPr>
    </w:p>
    <w:p>
      <w:pPr>
        <w:pStyle w:val="Heading2"/>
        <w:spacing w:line="240" w:lineRule="auto"/>
        <w:ind w:right="996"/>
        <w:jc w:val="left"/>
        <w:rPr>
          <w:b w:val="0"/>
          <w:bCs w:val="0"/>
        </w:rPr>
      </w:pPr>
      <w:bookmarkStart w:name="一、股份变动情况" w:id="102"/>
      <w:bookmarkEnd w:id="102"/>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96"/>
        <w:jc w:val="left"/>
        <w:rPr>
          <w:b w:val="0"/>
          <w:bCs w:val="0"/>
        </w:rPr>
      </w:pPr>
      <w:bookmarkStart w:name="1、股份变动情况" w:id="103"/>
      <w:bookmarkEnd w:id="103"/>
      <w:r>
        <w:rPr>
          <w:b w:val="0"/>
          <w:bCs w:val="0"/>
        </w:rPr>
      </w:r>
      <w:r>
        <w:rPr>
          <w:rFonts w:ascii="Arial" w:hAnsi="Arial" w:cs="Arial" w:eastAsia="Arial" w:hint="default"/>
        </w:rPr>
        <w:t>1</w:t>
      </w:r>
      <w:r>
        <w:rPr/>
        <w:t>、股份变动情况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35"/>
        <w:jc w:val="right"/>
      </w:pPr>
      <w:r>
        <w:rPr>
          <w:w w:val="95"/>
        </w:rPr>
        <w:t>单位：股</w:t>
      </w:r>
      <w:r>
        <w:rPr/>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85"/>
        <w:gridCol w:w="1134"/>
        <w:gridCol w:w="850"/>
        <w:gridCol w:w="426"/>
        <w:gridCol w:w="425"/>
        <w:gridCol w:w="626"/>
        <w:gridCol w:w="1035"/>
        <w:gridCol w:w="1078"/>
        <w:gridCol w:w="1204"/>
        <w:gridCol w:w="809"/>
      </w:tblGrid>
      <w:tr>
        <w:trPr>
          <w:trHeight w:val="402"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3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59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0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0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 w:right="26"/>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7" w:right="35" w:hanging="89"/>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258,903,825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34.04%</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Arial" w:hAnsi="Arial" w:cs="Arial" w:eastAsia="Arial" w:hint="default"/>
                <w:sz w:val="18"/>
                <w:szCs w:val="18"/>
              </w:rPr>
            </w:pPr>
            <w:r>
              <w:rPr>
                <w:rFonts w:ascii="Arial"/>
                <w:spacing w:val="-1"/>
                <w:sz w:val="18"/>
              </w:rPr>
              <w:t>-69,623,936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-69,623,936</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189,279,889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25.09%</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、国有法人持股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5,076,142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0.67%</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-5,076,142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-5,076,142</w:t>
            </w:r>
          </w:p>
        </w:tc>
        <w:tc>
          <w:tcPr>
            <w:tcW w:w="120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、其他内资持股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253,756,683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33.36%</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Arial" w:hAnsi="Arial" w:cs="Arial" w:eastAsia="Arial" w:hint="default"/>
                <w:sz w:val="18"/>
                <w:szCs w:val="18"/>
              </w:rPr>
            </w:pPr>
            <w:r>
              <w:rPr>
                <w:rFonts w:ascii="Arial"/>
                <w:spacing w:val="-1"/>
                <w:sz w:val="18"/>
              </w:rPr>
              <w:t>-64,526,494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-64,526,494</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189,230,189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25.08%</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30,166,952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3.97%</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Arial" w:hAnsi="Arial" w:cs="Arial" w:eastAsia="Arial" w:hint="default"/>
                <w:sz w:val="18"/>
                <w:szCs w:val="18"/>
              </w:rPr>
            </w:pPr>
            <w:r>
              <w:rPr>
                <w:rFonts w:ascii="Arial"/>
                <w:spacing w:val="-1"/>
                <w:sz w:val="18"/>
              </w:rPr>
              <w:t>-30,166,952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-30,166,952</w:t>
            </w:r>
          </w:p>
        </w:tc>
        <w:tc>
          <w:tcPr>
            <w:tcW w:w="1204"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50"/>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223,589,731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29.39%</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Arial" w:hAnsi="Arial" w:cs="Arial" w:eastAsia="Arial" w:hint="default"/>
                <w:sz w:val="18"/>
                <w:szCs w:val="18"/>
              </w:rPr>
            </w:pPr>
            <w:r>
              <w:rPr>
                <w:rFonts w:ascii="Arial"/>
                <w:spacing w:val="-1"/>
                <w:sz w:val="18"/>
              </w:rPr>
              <w:t>-34,359,542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-34,359,542</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189,230,189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25.08%</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、外资持股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71,000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0.01%</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-21,300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-21,300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49,700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0.01%</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50"/>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71,000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0.01%</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-21,300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-21,300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49,700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0.01%</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501,777,351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65.96%</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63,434,220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63,434,220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2"/>
                <w:sz w:val="18"/>
              </w:rPr>
              <w:t>565,211,571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74.91%</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、人民币普通股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501,777,351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65.96%</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63,434,220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63,434,220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2"/>
                <w:sz w:val="18"/>
              </w:rPr>
              <w:t>565,211,571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74.91%</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760,681,176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-6,189,716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-6,189,716</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754,491,460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100.00%</w:t>
            </w:r>
          </w:p>
        </w:tc>
      </w:tr>
    </w:tbl>
    <w:p>
      <w:pPr>
        <w:pStyle w:val="Heading3"/>
        <w:spacing w:line="240" w:lineRule="auto" w:before="4"/>
        <w:ind w:right="996"/>
        <w:jc w:val="left"/>
      </w:pPr>
      <w:r>
        <w:rPr/>
        <w:t>股份变动的原因</w:t>
      </w:r>
    </w:p>
    <w:p>
      <w:pPr>
        <w:pStyle w:val="Heading3"/>
        <w:spacing w:line="240" w:lineRule="auto" w:before="36"/>
        <w:ind w:right="996"/>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pStyle w:val="Heading3"/>
        <w:spacing w:line="259" w:lineRule="auto" w:before="45"/>
        <w:ind w:right="996" w:firstLine="480"/>
        <w:jc w:val="left"/>
      </w:pPr>
      <w:r>
        <w:rPr>
          <w:rFonts w:ascii="Arial" w:hAnsi="Arial" w:cs="Arial" w:eastAsia="Arial" w:hint="default"/>
          <w:spacing w:val="-3"/>
        </w:rPr>
        <w:t>1</w:t>
      </w:r>
      <w:r>
        <w:rPr>
          <w:spacing w:val="-3"/>
        </w:rPr>
        <w:t>、</w:t>
      </w:r>
      <w:r>
        <w:rPr>
          <w:rFonts w:ascii="Arial" w:hAnsi="Arial" w:cs="Arial" w:eastAsia="Arial" w:hint="default"/>
          <w:spacing w:val="-3"/>
        </w:rPr>
        <w:t>2018</w:t>
      </w:r>
      <w:r>
        <w:rPr>
          <w:spacing w:val="-3"/>
        </w:rPr>
        <w:t>年</w:t>
      </w:r>
      <w:r>
        <w:rPr>
          <w:rFonts w:ascii="Arial" w:hAnsi="Arial" w:cs="Arial" w:eastAsia="Arial" w:hint="default"/>
          <w:spacing w:val="-3"/>
        </w:rPr>
        <w:t>4</w:t>
      </w:r>
      <w:r>
        <w:rPr>
          <w:spacing w:val="-3"/>
        </w:rPr>
        <w:t>月，公司</w:t>
      </w:r>
      <w:r>
        <w:rPr>
          <w:rFonts w:ascii="Arial" w:hAnsi="Arial" w:cs="Arial" w:eastAsia="Arial" w:hint="default"/>
          <w:spacing w:val="-3"/>
        </w:rPr>
        <w:t>2016</w:t>
      </w:r>
      <w:r>
        <w:rPr>
          <w:spacing w:val="-3"/>
        </w:rPr>
        <w:t>年限制性股票激励计划第一个解锁期解锁条件满足，解除限售</w:t>
      </w:r>
      <w:r>
        <w:rPr/>
        <w:t> 股数量为</w:t>
      </w:r>
      <w:r>
        <w:rPr>
          <w:rFonts w:ascii="Arial" w:hAnsi="Arial" w:cs="Arial" w:eastAsia="Arial" w:hint="default"/>
        </w:rPr>
        <w:t>5,789,760</w:t>
      </w:r>
      <w:r>
        <w:rPr/>
        <w:t>股，实际可上市流通数量为</w:t>
      </w:r>
      <w:r>
        <w:rPr>
          <w:rFonts w:ascii="Arial" w:hAnsi="Arial" w:cs="Arial" w:eastAsia="Arial" w:hint="default"/>
        </w:rPr>
        <w:t>5,689,720</w:t>
      </w:r>
      <w:r>
        <w:rPr/>
        <w:t>股。</w:t>
      </w:r>
    </w:p>
    <w:p>
      <w:pPr>
        <w:pStyle w:val="Heading3"/>
        <w:spacing w:line="261" w:lineRule="auto" w:before="5"/>
        <w:ind w:right="996" w:firstLine="480"/>
        <w:jc w:val="left"/>
      </w:pPr>
      <w:r>
        <w:rPr>
          <w:rFonts w:ascii="Arial" w:hAnsi="Arial" w:cs="Arial" w:eastAsia="Arial" w:hint="default"/>
          <w:spacing w:val="-3"/>
        </w:rPr>
        <w:t>2</w:t>
      </w:r>
      <w:r>
        <w:rPr>
          <w:spacing w:val="-3"/>
        </w:rPr>
        <w:t>、</w:t>
      </w:r>
      <w:r>
        <w:rPr>
          <w:rFonts w:ascii="Arial" w:hAnsi="Arial" w:cs="Arial" w:eastAsia="Arial" w:hint="default"/>
          <w:spacing w:val="-3"/>
        </w:rPr>
        <w:t>2018</w:t>
      </w:r>
      <w:r>
        <w:rPr>
          <w:spacing w:val="-3"/>
        </w:rPr>
        <w:t>年</w:t>
      </w:r>
      <w:r>
        <w:rPr>
          <w:rFonts w:ascii="Arial" w:hAnsi="Arial" w:cs="Arial" w:eastAsia="Arial" w:hint="default"/>
          <w:spacing w:val="-3"/>
        </w:rPr>
        <w:t>6</w:t>
      </w:r>
      <w:r>
        <w:rPr>
          <w:spacing w:val="-3"/>
        </w:rPr>
        <w:t>月，公司</w:t>
      </w:r>
      <w:r>
        <w:rPr>
          <w:rFonts w:ascii="Arial" w:hAnsi="Arial" w:cs="Arial" w:eastAsia="Arial" w:hint="default"/>
          <w:spacing w:val="-3"/>
        </w:rPr>
        <w:t>2015</w:t>
      </w:r>
      <w:r>
        <w:rPr>
          <w:spacing w:val="-3"/>
        </w:rPr>
        <w:t>年限制性股票激励计划第三个解锁期解锁条件满足，解除限售</w:t>
      </w:r>
      <w:r>
        <w:rPr/>
        <w:t> 股数量为</w:t>
      </w:r>
      <w:r>
        <w:rPr>
          <w:rFonts w:ascii="Arial" w:hAnsi="Arial" w:cs="Arial" w:eastAsia="Arial" w:hint="default"/>
        </w:rPr>
        <w:t>5,417,499  </w:t>
      </w:r>
      <w:r>
        <w:rPr/>
        <w:t>股，实际可上市流通数量为</w:t>
      </w:r>
      <w:r>
        <w:rPr>
          <w:rFonts w:ascii="Arial" w:hAnsi="Arial" w:cs="Arial" w:eastAsia="Arial" w:hint="default"/>
        </w:rPr>
        <w:t>5,250,852</w:t>
      </w:r>
      <w:r>
        <w:rPr>
          <w:rFonts w:ascii="Arial" w:hAnsi="Arial" w:cs="Arial" w:eastAsia="Arial" w:hint="default"/>
          <w:spacing w:val="27"/>
        </w:rPr>
        <w:t> </w:t>
      </w:r>
      <w:r>
        <w:rPr/>
        <w:t>股。</w:t>
      </w:r>
    </w:p>
    <w:p>
      <w:pPr>
        <w:pStyle w:val="Heading3"/>
        <w:spacing w:line="240" w:lineRule="auto" w:before="2"/>
        <w:ind w:left="592" w:right="996"/>
        <w:jc w:val="left"/>
      </w:pPr>
      <w:r>
        <w:rPr>
          <w:rFonts w:ascii="Arial" w:hAnsi="Arial" w:cs="Arial" w:eastAsia="Arial" w:hint="default"/>
        </w:rPr>
        <w:t>3</w:t>
      </w:r>
      <w:r>
        <w:rPr/>
        <w:t>、</w:t>
      </w:r>
      <w:r>
        <w:rPr>
          <w:rFonts w:ascii="Arial" w:hAnsi="Arial" w:cs="Arial" w:eastAsia="Arial" w:hint="default"/>
        </w:rPr>
        <w:t>2018</w:t>
      </w:r>
      <w:r>
        <w:rPr/>
        <w:t>年</w:t>
      </w:r>
      <w:r>
        <w:rPr>
          <w:rFonts w:ascii="Arial" w:hAnsi="Arial" w:cs="Arial" w:eastAsia="Arial" w:hint="default"/>
        </w:rPr>
        <w:t>6-7</w:t>
      </w:r>
      <w:r>
        <w:rPr/>
        <w:t>月，回购注销陈京念、沧州地铁</w:t>
      </w:r>
      <w:r>
        <w:rPr>
          <w:rFonts w:ascii="Arial" w:hAnsi="Arial" w:cs="Arial" w:eastAsia="Arial" w:hint="default"/>
        </w:rPr>
        <w:t>4,487,402</w:t>
      </w:r>
      <w:r>
        <w:rPr/>
        <w:t>股，其中有限售条件股份为</w:t>
      </w:r>
    </w:p>
    <w:p>
      <w:pPr>
        <w:pStyle w:val="Heading3"/>
        <w:spacing w:line="240" w:lineRule="auto" w:before="29"/>
        <w:ind w:right="996"/>
        <w:jc w:val="left"/>
      </w:pPr>
      <w:r>
        <w:rPr>
          <w:rFonts w:ascii="Arial" w:hAnsi="Arial" w:cs="Arial" w:eastAsia="Arial" w:hint="default"/>
        </w:rPr>
        <w:t>3,911,207</w:t>
      </w:r>
      <w:r>
        <w:rPr/>
        <w:t>股，无限售流通股</w:t>
      </w:r>
      <w:r>
        <w:rPr>
          <w:rFonts w:ascii="Arial" w:hAnsi="Arial" w:cs="Arial" w:eastAsia="Arial" w:hint="default"/>
        </w:rPr>
        <w:t>576,132</w:t>
      </w:r>
      <w:r>
        <w:rPr/>
        <w:t>股。</w:t>
      </w:r>
    </w:p>
    <w:p>
      <w:pPr>
        <w:pStyle w:val="Heading3"/>
        <w:spacing w:line="261" w:lineRule="auto" w:before="26"/>
        <w:ind w:right="1019" w:firstLine="480"/>
        <w:jc w:val="left"/>
      </w:pPr>
      <w:r>
        <w:rPr>
          <w:rFonts w:ascii="Arial" w:hAnsi="Arial" w:cs="Arial" w:eastAsia="Arial" w:hint="default"/>
        </w:rPr>
        <w:t>4</w:t>
      </w:r>
      <w:r>
        <w:rPr/>
        <w:t>、</w:t>
      </w:r>
      <w:r>
        <w:rPr>
          <w:rFonts w:ascii="Arial" w:hAnsi="Arial" w:cs="Arial" w:eastAsia="Arial" w:hint="default"/>
        </w:rPr>
        <w:t>2018</w:t>
      </w:r>
      <w:r>
        <w:rPr/>
        <w:t>年</w:t>
      </w:r>
      <w:r>
        <w:rPr>
          <w:rFonts w:ascii="Arial" w:hAnsi="Arial" w:cs="Arial" w:eastAsia="Arial" w:hint="default"/>
        </w:rPr>
        <w:t>9</w:t>
      </w:r>
      <w:r>
        <w:rPr/>
        <w:t>月，公司</w:t>
      </w:r>
      <w:r>
        <w:rPr>
          <w:rFonts w:ascii="Arial" w:hAnsi="Arial" w:cs="Arial" w:eastAsia="Arial" w:hint="default"/>
        </w:rPr>
        <w:t>2015</w:t>
      </w:r>
      <w:r>
        <w:rPr/>
        <w:t>年限制性股票（暂缓授予部分）第三期解锁期解锁条件满足， 解除限售股数量为</w:t>
      </w:r>
      <w:r>
        <w:rPr>
          <w:rFonts w:ascii="Arial" w:hAnsi="Arial" w:cs="Arial" w:eastAsia="Arial" w:hint="default"/>
        </w:rPr>
        <w:t>63,485</w:t>
      </w:r>
      <w:r>
        <w:rPr/>
        <w:t>股，实际可上市流通数量为</w:t>
      </w:r>
      <w:r>
        <w:rPr>
          <w:rFonts w:ascii="Arial" w:hAnsi="Arial" w:cs="Arial" w:eastAsia="Arial" w:hint="default"/>
        </w:rPr>
        <w:t>0</w:t>
      </w:r>
      <w:r>
        <w:rPr/>
        <w:t>股。</w:t>
      </w:r>
    </w:p>
    <w:p>
      <w:pPr>
        <w:pStyle w:val="Heading3"/>
        <w:spacing w:line="240" w:lineRule="auto" w:before="2"/>
        <w:ind w:left="592" w:right="996"/>
        <w:jc w:val="left"/>
        <w:rPr>
          <w:rFonts w:ascii="Arial" w:hAnsi="Arial" w:cs="Arial" w:eastAsia="Arial" w:hint="default"/>
        </w:rPr>
      </w:pPr>
      <w:r>
        <w:rPr>
          <w:rFonts w:ascii="Arial" w:hAnsi="Arial" w:cs="Arial" w:eastAsia="Arial" w:hint="default"/>
          <w:spacing w:val="-4"/>
        </w:rPr>
        <w:t>5</w:t>
      </w:r>
      <w:r>
        <w:rPr>
          <w:spacing w:val="-4"/>
        </w:rPr>
        <w:t>、</w:t>
      </w:r>
      <w:r>
        <w:rPr>
          <w:rFonts w:ascii="Arial" w:hAnsi="Arial" w:cs="Arial" w:eastAsia="Arial" w:hint="default"/>
          <w:spacing w:val="-4"/>
        </w:rPr>
        <w:t>2018</w:t>
      </w:r>
      <w:r>
        <w:rPr>
          <w:spacing w:val="-4"/>
        </w:rPr>
        <w:t>年</w:t>
      </w:r>
      <w:r>
        <w:rPr>
          <w:rFonts w:ascii="Arial" w:hAnsi="Arial" w:cs="Arial" w:eastAsia="Arial" w:hint="default"/>
          <w:spacing w:val="-4"/>
        </w:rPr>
        <w:t>9-11</w:t>
      </w:r>
      <w:r>
        <w:rPr>
          <w:spacing w:val="-4"/>
        </w:rPr>
        <w:t>月，发行股份购买资产配套募集资金限售股份合计解除限售股</w:t>
      </w:r>
      <w:r>
        <w:rPr>
          <w:rFonts w:ascii="Arial" w:hAnsi="Arial" w:cs="Arial" w:eastAsia="Arial" w:hint="default"/>
          <w:spacing w:val="-4"/>
        </w:rPr>
        <w:t>85,294,517</w:t>
      </w:r>
    </w:p>
    <w:p>
      <w:pPr>
        <w:pStyle w:val="Heading3"/>
        <w:spacing w:line="240" w:lineRule="auto" w:before="29"/>
        <w:ind w:right="996"/>
        <w:jc w:val="left"/>
      </w:pPr>
      <w:r>
        <w:rPr/>
        <w:t>股，实际可上市流通数量为</w:t>
      </w:r>
      <w:r>
        <w:rPr>
          <w:rFonts w:ascii="Arial" w:hAnsi="Arial" w:cs="Arial" w:eastAsia="Arial" w:hint="default"/>
        </w:rPr>
        <w:t>81,302,527</w:t>
      </w:r>
      <w:r>
        <w:rPr/>
        <w:t>股。</w:t>
      </w:r>
    </w:p>
    <w:p>
      <w:pPr>
        <w:pStyle w:val="Heading3"/>
        <w:spacing w:line="273" w:lineRule="auto" w:before="26"/>
        <w:ind w:right="3845" w:firstLine="480"/>
        <w:jc w:val="left"/>
      </w:pPr>
      <w:r>
        <w:rPr>
          <w:rFonts w:ascii="Arial" w:hAnsi="Arial" w:cs="Arial" w:eastAsia="Arial" w:hint="default"/>
        </w:rPr>
        <w:t>6</w:t>
      </w:r>
      <w:r>
        <w:rPr/>
        <w:t>、</w:t>
      </w:r>
      <w:r>
        <w:rPr>
          <w:rFonts w:ascii="Arial" w:hAnsi="Arial" w:cs="Arial" w:eastAsia="Arial" w:hint="default"/>
        </w:rPr>
        <w:t>2018</w:t>
      </w:r>
      <w:r>
        <w:rPr/>
        <w:t>年</w:t>
      </w:r>
      <w:r>
        <w:rPr>
          <w:rFonts w:ascii="Arial" w:hAnsi="Arial" w:cs="Arial" w:eastAsia="Arial" w:hint="default"/>
        </w:rPr>
        <w:t>10-11</w:t>
      </w:r>
      <w:r>
        <w:rPr/>
        <w:t>月，回购注销限制性股票合计</w:t>
      </w:r>
      <w:r>
        <w:rPr>
          <w:rFonts w:ascii="Arial" w:hAnsi="Arial" w:cs="Arial" w:eastAsia="Arial" w:hint="default"/>
        </w:rPr>
        <w:t>1,917,928</w:t>
      </w:r>
      <w:r>
        <w:rPr/>
        <w:t>股。 股份变动的批准情况</w:t>
      </w:r>
    </w:p>
    <w:p>
      <w:pPr>
        <w:pStyle w:val="Heading3"/>
        <w:spacing w:line="240" w:lineRule="auto" w:before="2"/>
        <w:ind w:right="996"/>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pStyle w:val="Heading3"/>
        <w:spacing w:line="240" w:lineRule="auto" w:before="45"/>
        <w:ind w:left="592" w:right="996"/>
        <w:jc w:val="left"/>
      </w:pPr>
      <w:r>
        <w:rPr>
          <w:rFonts w:ascii="Arial" w:hAnsi="Arial" w:cs="Arial" w:eastAsia="Arial" w:hint="default"/>
        </w:rPr>
        <w:t>2018</w:t>
      </w:r>
      <w:r>
        <w:rPr/>
        <w:t>年</w:t>
      </w:r>
      <w:r>
        <w:rPr>
          <w:rFonts w:ascii="Arial" w:hAnsi="Arial" w:cs="Arial" w:eastAsia="Arial" w:hint="default"/>
        </w:rPr>
        <w:t>4</w:t>
      </w:r>
      <w:r>
        <w:rPr/>
        <w:t>月</w:t>
      </w:r>
      <w:r>
        <w:rPr>
          <w:rFonts w:ascii="Arial" w:hAnsi="Arial" w:cs="Arial" w:eastAsia="Arial" w:hint="default"/>
        </w:rPr>
        <w:t>8</w:t>
      </w:r>
      <w:r>
        <w:rPr/>
        <w:t>日，公司第六届董事会第二十七次会议和第六届监事会第二十二次会议审议</w:t>
      </w:r>
    </w:p>
    <w:p>
      <w:pPr>
        <w:spacing w:after="0" w:line="240" w:lineRule="auto"/>
        <w:jc w:val="left"/>
        <w:sectPr>
          <w:pgSz w:w="11910" w:h="16840"/>
          <w:pgMar w:header="878" w:footer="978" w:top="1100" w:bottom="1160" w:left="1020" w:right="0"/>
        </w:sectPr>
      </w:pPr>
    </w:p>
    <w:p>
      <w:pPr>
        <w:spacing w:line="240" w:lineRule="auto" w:before="6"/>
        <w:rPr>
          <w:rFonts w:ascii="宋体" w:hAnsi="宋体" w:cs="宋体" w:eastAsia="宋体" w:hint="default"/>
          <w:sz w:val="21"/>
          <w:szCs w:val="21"/>
        </w:rPr>
      </w:pPr>
    </w:p>
    <w:p>
      <w:pPr>
        <w:pStyle w:val="Heading3"/>
        <w:spacing w:line="259" w:lineRule="auto" w:before="26"/>
        <w:ind w:right="1100"/>
        <w:jc w:val="left"/>
      </w:pPr>
      <w:r>
        <w:rPr/>
        <w:t>通过了《关于回购注销部分限制性股票的议案》。公司原激励对象马平等</w:t>
      </w:r>
      <w:r>
        <w:rPr>
          <w:rFonts w:ascii="Arial" w:hAnsi="Arial" w:cs="Arial" w:eastAsia="Arial" w:hint="default"/>
        </w:rPr>
        <w:t>124</w:t>
      </w:r>
      <w:r>
        <w:rPr/>
        <w:t>名激励对象因 辞职、被辞退或个人考核成绩不达标等原因，根据《</w:t>
      </w:r>
      <w:r>
        <w:rPr>
          <w:rFonts w:ascii="Arial" w:hAnsi="Arial" w:cs="Arial" w:eastAsia="Arial" w:hint="default"/>
        </w:rPr>
        <w:t>2016</w:t>
      </w:r>
      <w:r>
        <w:rPr/>
        <w:t>年限制性股票激励计划（草案）》 的规定，公司拟对上述</w:t>
      </w:r>
      <w:r>
        <w:rPr>
          <w:rFonts w:ascii="Arial" w:hAnsi="Arial" w:cs="Arial" w:eastAsia="Arial" w:hint="default"/>
        </w:rPr>
        <w:t>124</w:t>
      </w:r>
      <w:r>
        <w:rPr/>
        <w:t>名激励对象获授予但尚未解锁的</w:t>
      </w:r>
      <w:r>
        <w:rPr>
          <w:rFonts w:ascii="Arial" w:hAnsi="Arial" w:cs="Arial" w:eastAsia="Arial" w:hint="default"/>
        </w:rPr>
        <w:t>1,074,950</w:t>
      </w:r>
      <w:r>
        <w:rPr/>
        <w:t>股限制性股票进行回购 注销。董事会审议通过了《关于公司 </w:t>
      </w:r>
      <w:r>
        <w:rPr>
          <w:rFonts w:ascii="Arial" w:hAnsi="Arial" w:cs="Arial" w:eastAsia="Arial" w:hint="default"/>
        </w:rPr>
        <w:t>2016</w:t>
      </w:r>
      <w:r>
        <w:rPr>
          <w:rFonts w:ascii="Arial" w:hAnsi="Arial" w:cs="Arial" w:eastAsia="Arial" w:hint="default"/>
          <w:spacing w:val="33"/>
        </w:rPr>
        <w:t> </w:t>
      </w:r>
      <w:r>
        <w:rPr/>
        <w:t>年限制性股票激励计划第一个解锁期可解锁的议</w:t>
      </w:r>
    </w:p>
    <w:p>
      <w:pPr>
        <w:pStyle w:val="Heading3"/>
        <w:spacing w:line="240" w:lineRule="auto" w:before="5"/>
        <w:ind w:right="996"/>
        <w:jc w:val="left"/>
        <w:rPr>
          <w:rFonts w:ascii="Arial" w:hAnsi="Arial" w:cs="Arial" w:eastAsia="Arial" w:hint="default"/>
        </w:rPr>
      </w:pPr>
      <w:r>
        <w:rPr>
          <w:spacing w:val="-17"/>
        </w:rPr>
        <w:t>案》，认为公司 </w:t>
      </w:r>
      <w:r>
        <w:rPr>
          <w:rFonts w:ascii="Arial" w:hAnsi="Arial" w:cs="Arial" w:eastAsia="Arial" w:hint="default"/>
        </w:rPr>
        <w:t>2016</w:t>
      </w:r>
      <w:r>
        <w:rPr/>
        <w:t>年限制性股票激励计划第一个解锁期解锁条件已满足，同意公司为</w:t>
      </w:r>
      <w:r>
        <w:rPr>
          <w:spacing w:val="-45"/>
        </w:rPr>
        <w:t> </w:t>
      </w:r>
      <w:r>
        <w:rPr>
          <w:rFonts w:ascii="Arial" w:hAnsi="Arial" w:cs="Arial" w:eastAsia="Arial" w:hint="default"/>
        </w:rPr>
        <w:t>757</w:t>
      </w:r>
    </w:p>
    <w:p>
      <w:pPr>
        <w:pStyle w:val="Heading3"/>
        <w:spacing w:line="259" w:lineRule="auto" w:before="29"/>
        <w:ind w:right="1124"/>
        <w:jc w:val="left"/>
      </w:pPr>
      <w:r>
        <w:rPr/>
        <w:t>名激励对象第一个解锁期 </w:t>
      </w:r>
      <w:r>
        <w:rPr>
          <w:rFonts w:ascii="Arial" w:hAnsi="Arial" w:cs="Arial" w:eastAsia="Arial" w:hint="default"/>
        </w:rPr>
        <w:t>5,789,760</w:t>
      </w:r>
      <w:r>
        <w:rPr>
          <w:rFonts w:ascii="Arial" w:hAnsi="Arial" w:cs="Arial" w:eastAsia="Arial" w:hint="default"/>
          <w:spacing w:val="1"/>
        </w:rPr>
        <w:t> </w:t>
      </w:r>
      <w:r>
        <w:rPr/>
        <w:t>股限制性股票予以解锁。详见</w:t>
      </w:r>
      <w:r>
        <w:rPr>
          <w:rFonts w:ascii="Arial" w:hAnsi="Arial" w:cs="Arial" w:eastAsia="Arial" w:hint="default"/>
        </w:rPr>
        <w:t>2018</w:t>
      </w:r>
      <w:r>
        <w:rPr/>
        <w:t>年</w:t>
      </w:r>
      <w:r>
        <w:rPr>
          <w:rFonts w:ascii="Arial" w:hAnsi="Arial" w:cs="Arial" w:eastAsia="Arial" w:hint="default"/>
        </w:rPr>
        <w:t>4</w:t>
      </w:r>
      <w:r>
        <w:rPr/>
        <w:t>月</w:t>
      </w:r>
      <w:r>
        <w:rPr>
          <w:rFonts w:ascii="Arial" w:hAnsi="Arial" w:cs="Arial" w:eastAsia="Arial" w:hint="default"/>
        </w:rPr>
        <w:t>10</w:t>
      </w:r>
      <w:r>
        <w:rPr/>
        <w:t>日公司在巨 潮资讯网披露的公告。</w:t>
      </w:r>
    </w:p>
    <w:p>
      <w:pPr>
        <w:pStyle w:val="Heading3"/>
        <w:spacing w:line="264" w:lineRule="auto" w:before="26"/>
        <w:ind w:right="1131" w:firstLine="480"/>
        <w:jc w:val="left"/>
      </w:pPr>
      <w:r>
        <w:rPr>
          <w:rFonts w:ascii="Arial" w:hAnsi="Arial" w:cs="Arial" w:eastAsia="Arial" w:hint="default"/>
        </w:rPr>
        <w:t>2018</w:t>
      </w:r>
      <w:r>
        <w:rPr/>
        <w:t>年</w:t>
      </w:r>
      <w:r>
        <w:rPr>
          <w:rFonts w:ascii="Arial" w:hAnsi="Arial" w:cs="Arial" w:eastAsia="Arial" w:hint="default"/>
        </w:rPr>
        <w:t>5</w:t>
      </w:r>
      <w:r>
        <w:rPr/>
        <w:t>月</w:t>
      </w:r>
      <w:r>
        <w:rPr>
          <w:rFonts w:ascii="Arial" w:hAnsi="Arial" w:cs="Arial" w:eastAsia="Arial" w:hint="default"/>
        </w:rPr>
        <w:t>15</w:t>
      </w:r>
      <w:r>
        <w:rPr/>
        <w:t>日，公司第六届董事会第二十九次会议和第六届监事会第二十四次会议审 议通过了《关于回购注销部分限制性股票的议案》、《关于公司限制性股票激励计划第三个 解锁期可解锁的议案》，同意回购注销李红等</w:t>
      </w:r>
      <w:r>
        <w:rPr>
          <w:rFonts w:ascii="Arial" w:hAnsi="Arial" w:cs="Arial" w:eastAsia="Arial" w:hint="default"/>
        </w:rPr>
        <w:t>56</w:t>
      </w:r>
      <w:r>
        <w:rPr/>
        <w:t>人已获授但尚未解锁的限制性股票共计 </w:t>
      </w:r>
      <w:r>
        <w:rPr>
          <w:rFonts w:ascii="Arial" w:hAnsi="Arial" w:cs="Arial" w:eastAsia="Arial" w:hint="default"/>
          <w:spacing w:val="-1"/>
        </w:rPr>
        <w:t>658,178</w:t>
      </w:r>
      <w:r>
        <w:rPr>
          <w:spacing w:val="-1"/>
        </w:rPr>
        <w:t>股；同意</w:t>
      </w:r>
      <w:r>
        <w:rPr>
          <w:rFonts w:ascii="Arial" w:hAnsi="Arial" w:cs="Arial" w:eastAsia="Arial" w:hint="default"/>
          <w:spacing w:val="-1"/>
        </w:rPr>
        <w:t>388</w:t>
      </w:r>
      <w:r>
        <w:rPr>
          <w:spacing w:val="-1"/>
        </w:rPr>
        <w:t>名符合条件的激励对象在第三个解锁期解锁，可解锁的限制性股票数量</w:t>
      </w:r>
      <w:r>
        <w:rPr>
          <w:spacing w:val="-113"/>
        </w:rPr>
        <w:t> </w:t>
      </w:r>
      <w:r>
        <w:rPr>
          <w:spacing w:val="-113"/>
        </w:rPr>
      </w:r>
      <w:r>
        <w:rPr/>
        <w:t>为</w:t>
      </w:r>
      <w:r>
        <w:rPr>
          <w:rFonts w:ascii="Arial" w:hAnsi="Arial" w:cs="Arial" w:eastAsia="Arial" w:hint="default"/>
        </w:rPr>
        <w:t>5,417,499</w:t>
      </w:r>
      <w:r>
        <w:rPr/>
        <w:t>股。详见</w:t>
      </w:r>
      <w:r>
        <w:rPr>
          <w:rFonts w:ascii="Arial" w:hAnsi="Arial" w:cs="Arial" w:eastAsia="Arial" w:hint="default"/>
        </w:rPr>
        <w:t>2018</w:t>
      </w:r>
      <w:r>
        <w:rPr/>
        <w:t>年</w:t>
      </w:r>
      <w:r>
        <w:rPr>
          <w:rFonts w:ascii="Arial" w:hAnsi="Arial" w:cs="Arial" w:eastAsia="Arial" w:hint="default"/>
        </w:rPr>
        <w:t>5</w:t>
      </w:r>
      <w:r>
        <w:rPr/>
        <w:t>月</w:t>
      </w:r>
      <w:r>
        <w:rPr>
          <w:rFonts w:ascii="Arial" w:hAnsi="Arial" w:cs="Arial" w:eastAsia="Arial" w:hint="default"/>
        </w:rPr>
        <w:t>16</w:t>
      </w:r>
      <w:r>
        <w:rPr/>
        <w:t>日公司在巨潮资讯网披露的公告。</w:t>
      </w:r>
    </w:p>
    <w:p>
      <w:pPr>
        <w:pStyle w:val="Heading3"/>
        <w:spacing w:line="259" w:lineRule="auto"/>
        <w:ind w:right="1132" w:firstLine="480"/>
        <w:jc w:val="both"/>
      </w:pPr>
      <w:r>
        <w:rPr>
          <w:rFonts w:ascii="Arial" w:hAnsi="Arial" w:cs="Arial" w:eastAsia="Arial" w:hint="default"/>
        </w:rPr>
        <w:t>2018</w:t>
      </w:r>
      <w:r>
        <w:rPr/>
        <w:t>年</w:t>
      </w:r>
      <w:r>
        <w:rPr>
          <w:rFonts w:ascii="Arial" w:hAnsi="Arial" w:cs="Arial" w:eastAsia="Arial" w:hint="default"/>
        </w:rPr>
        <w:t>5</w:t>
      </w:r>
      <w:r>
        <w:rPr/>
        <w:t>月</w:t>
      </w:r>
      <w:r>
        <w:rPr>
          <w:rFonts w:ascii="Arial" w:hAnsi="Arial" w:cs="Arial" w:eastAsia="Arial" w:hint="default"/>
        </w:rPr>
        <w:t>25</w:t>
      </w:r>
      <w:r>
        <w:rPr/>
        <w:t>日，公司第六届董事会第三十次会议和第六届监事会第二十五次会议审议 通过了《关于回购注销部分限制性股票的议案》，公司原激励对象陈强等</w:t>
      </w:r>
      <w:r>
        <w:rPr>
          <w:rFonts w:ascii="Arial" w:hAnsi="Arial" w:cs="Arial" w:eastAsia="Arial" w:hint="default"/>
        </w:rPr>
        <w:t>17</w:t>
      </w:r>
      <w:r>
        <w:rPr/>
        <w:t>名激励对象因个 </w:t>
      </w:r>
      <w:r>
        <w:rPr>
          <w:spacing w:val="-2"/>
        </w:rPr>
        <w:t>人原因离职，根据《</w:t>
      </w:r>
      <w:r>
        <w:rPr>
          <w:rFonts w:ascii="Arial" w:hAnsi="Arial" w:cs="Arial" w:eastAsia="Arial" w:hint="default"/>
          <w:spacing w:val="-2"/>
        </w:rPr>
        <w:t>2016</w:t>
      </w:r>
      <w:r>
        <w:rPr>
          <w:spacing w:val="-2"/>
        </w:rPr>
        <w:t>年限制性股票激励计划（草案）》的规定，同意公司对上述</w:t>
      </w:r>
      <w:r>
        <w:rPr>
          <w:rFonts w:ascii="Arial" w:hAnsi="Arial" w:cs="Arial" w:eastAsia="Arial" w:hint="default"/>
          <w:spacing w:val="-2"/>
        </w:rPr>
        <w:t>17</w:t>
      </w:r>
      <w:r>
        <w:rPr>
          <w:spacing w:val="-2"/>
        </w:rPr>
        <w:t>名激</w:t>
      </w:r>
      <w:r>
        <w:rPr>
          <w:spacing w:val="-87"/>
        </w:rPr>
        <w:t> </w:t>
      </w:r>
      <w:r>
        <w:rPr>
          <w:spacing w:val="-2"/>
        </w:rPr>
        <w:t>励对象获授予但尚未解锁的</w:t>
      </w:r>
      <w:r>
        <w:rPr>
          <w:rFonts w:ascii="Arial" w:hAnsi="Arial" w:cs="Arial" w:eastAsia="Arial" w:hint="default"/>
          <w:spacing w:val="-2"/>
        </w:rPr>
        <w:t>184,800</w:t>
      </w:r>
      <w:r>
        <w:rPr>
          <w:spacing w:val="-2"/>
        </w:rPr>
        <w:t>股限制性股票进行回购注销。详见</w:t>
      </w:r>
      <w:r>
        <w:rPr>
          <w:rFonts w:ascii="Arial" w:hAnsi="Arial" w:cs="Arial" w:eastAsia="Arial" w:hint="default"/>
          <w:spacing w:val="-2"/>
        </w:rPr>
        <w:t>2018</w:t>
      </w:r>
      <w:r>
        <w:rPr>
          <w:spacing w:val="-2"/>
        </w:rPr>
        <w:t>年</w:t>
      </w:r>
      <w:r>
        <w:rPr>
          <w:rFonts w:ascii="Arial" w:hAnsi="Arial" w:cs="Arial" w:eastAsia="Arial" w:hint="default"/>
          <w:spacing w:val="-2"/>
        </w:rPr>
        <w:t>5</w:t>
      </w:r>
      <w:r>
        <w:rPr>
          <w:spacing w:val="-2"/>
        </w:rPr>
        <w:t>月</w:t>
      </w:r>
      <w:r>
        <w:rPr>
          <w:rFonts w:ascii="Arial" w:hAnsi="Arial" w:cs="Arial" w:eastAsia="Arial" w:hint="default"/>
          <w:spacing w:val="-2"/>
        </w:rPr>
        <w:t>26</w:t>
      </w:r>
      <w:r>
        <w:rPr>
          <w:spacing w:val="-2"/>
        </w:rPr>
        <w:t>日公司在</w:t>
      </w:r>
      <w:r>
        <w:rPr/>
        <w:t> 巨潮资讯网披露的公告。</w:t>
      </w:r>
    </w:p>
    <w:p>
      <w:pPr>
        <w:pStyle w:val="Heading3"/>
        <w:spacing w:line="268" w:lineRule="auto" w:before="26"/>
        <w:ind w:right="1154" w:firstLine="480"/>
        <w:jc w:val="left"/>
      </w:pPr>
      <w:r>
        <w:rPr>
          <w:rFonts w:ascii="Arial" w:hAnsi="Arial" w:cs="Arial" w:eastAsia="Arial" w:hint="default"/>
        </w:rPr>
        <w:t>2018</w:t>
      </w:r>
      <w:r>
        <w:rPr/>
        <w:t>年</w:t>
      </w:r>
      <w:r>
        <w:rPr>
          <w:rFonts w:ascii="Arial" w:hAnsi="Arial" w:cs="Arial" w:eastAsia="Arial" w:hint="default"/>
        </w:rPr>
        <w:t>8</w:t>
      </w:r>
      <w:r>
        <w:rPr/>
        <w:t>月</w:t>
      </w:r>
      <w:r>
        <w:rPr>
          <w:rFonts w:ascii="Arial" w:hAnsi="Arial" w:cs="Arial" w:eastAsia="Arial" w:hint="default"/>
        </w:rPr>
        <w:t>30</w:t>
      </w:r>
      <w:r>
        <w:rPr/>
        <w:t>日，公司召开了第六届董事会第三十三次会议，审议通过了《关于公司限 制性股票激励计划（暂缓授予部分）第三个解锁期可解锁的议案》。公司限制性股票激励计 划（暂缓授予部分）第三个解锁期解锁条件已满足，目前公司限制性股票激励计划（暂缓授 予部分）激励对象第三个解锁期可解锁的限制性股票数量为</w:t>
      </w:r>
      <w:r>
        <w:rPr>
          <w:rFonts w:ascii="Arial" w:hAnsi="Arial" w:cs="Arial" w:eastAsia="Arial" w:hint="default"/>
        </w:rPr>
        <w:t>63,485</w:t>
      </w:r>
      <w:r>
        <w:rPr/>
        <w:t>股。本次限制性股票于 </w:t>
      </w:r>
      <w:r>
        <w:rPr>
          <w:rFonts w:ascii="Arial" w:hAnsi="Arial" w:cs="Arial" w:eastAsia="Arial" w:hint="default"/>
        </w:rPr>
        <w:t>2018</w:t>
      </w:r>
      <w:r>
        <w:rPr/>
        <w:t>年</w:t>
      </w:r>
      <w:r>
        <w:rPr>
          <w:rFonts w:ascii="Arial" w:hAnsi="Arial" w:cs="Arial" w:eastAsia="Arial" w:hint="default"/>
        </w:rPr>
        <w:t>9</w:t>
      </w:r>
      <w:r>
        <w:rPr/>
        <w:t>月</w:t>
      </w:r>
      <w:r>
        <w:rPr>
          <w:rFonts w:ascii="Arial" w:hAnsi="Arial" w:cs="Arial" w:eastAsia="Arial" w:hint="default"/>
        </w:rPr>
        <w:t>10</w:t>
      </w:r>
      <w:r>
        <w:rPr/>
        <w:t>日上市流通。详见</w:t>
      </w:r>
      <w:r>
        <w:rPr>
          <w:rFonts w:ascii="Arial" w:hAnsi="Arial" w:cs="Arial" w:eastAsia="Arial" w:hint="default"/>
        </w:rPr>
        <w:t>2018</w:t>
      </w:r>
      <w:r>
        <w:rPr/>
        <w:t>年</w:t>
      </w:r>
      <w:r>
        <w:rPr>
          <w:rFonts w:ascii="Arial" w:hAnsi="Arial" w:cs="Arial" w:eastAsia="Arial" w:hint="default"/>
        </w:rPr>
        <w:t>8</w:t>
      </w:r>
      <w:r>
        <w:rPr/>
        <w:t>月</w:t>
      </w:r>
      <w:r>
        <w:rPr>
          <w:rFonts w:ascii="Arial" w:hAnsi="Arial" w:cs="Arial" w:eastAsia="Arial" w:hint="default"/>
        </w:rPr>
        <w:t>30</w:t>
      </w:r>
      <w:r>
        <w:rPr/>
        <w:t>日公司在巨潮资讯网披露的公告。 股份变动的过户情况</w:t>
      </w:r>
    </w:p>
    <w:p>
      <w:pPr>
        <w:pStyle w:val="Heading3"/>
        <w:spacing w:line="256" w:lineRule="auto" w:before="10"/>
        <w:ind w:right="811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股份回购的实施进展情况</w:t>
      </w:r>
    </w:p>
    <w:p>
      <w:pPr>
        <w:pStyle w:val="Heading3"/>
        <w:spacing w:line="240" w:lineRule="auto" w:before="19"/>
        <w:ind w:right="996"/>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pStyle w:val="Heading3"/>
        <w:spacing w:line="261" w:lineRule="auto" w:before="43"/>
        <w:ind w:right="1132" w:firstLine="480"/>
        <w:jc w:val="both"/>
      </w:pPr>
      <w:r>
        <w:rPr>
          <w:rFonts w:ascii="Arial" w:hAnsi="Arial" w:cs="Arial" w:eastAsia="Arial" w:hint="default"/>
          <w:spacing w:val="-2"/>
        </w:rPr>
        <w:t>2018</w:t>
      </w:r>
      <w:r>
        <w:rPr>
          <w:spacing w:val="-2"/>
        </w:rPr>
        <w:t>年</w:t>
      </w:r>
      <w:r>
        <w:rPr>
          <w:rFonts w:ascii="Arial" w:hAnsi="Arial" w:cs="Arial" w:eastAsia="Arial" w:hint="default"/>
          <w:spacing w:val="-2"/>
        </w:rPr>
        <w:t>10</w:t>
      </w:r>
      <w:r>
        <w:rPr>
          <w:spacing w:val="-2"/>
        </w:rPr>
        <w:t>月</w:t>
      </w:r>
      <w:r>
        <w:rPr>
          <w:rFonts w:ascii="Arial" w:hAnsi="Arial" w:cs="Arial" w:eastAsia="Arial" w:hint="default"/>
          <w:spacing w:val="-2"/>
        </w:rPr>
        <w:t>12</w:t>
      </w:r>
      <w:r>
        <w:rPr>
          <w:spacing w:val="-2"/>
        </w:rPr>
        <w:t>日，公司发布了《关于部分限制性股票回购注销完成公告》，回购原激励</w:t>
      </w:r>
      <w:r>
        <w:rPr/>
        <w:t> 对象李红等</w:t>
      </w:r>
      <w:r>
        <w:rPr>
          <w:rFonts w:ascii="Arial" w:hAnsi="Arial" w:cs="Arial" w:eastAsia="Arial" w:hint="default"/>
        </w:rPr>
        <w:t>56</w:t>
      </w:r>
      <w:r>
        <w:rPr/>
        <w:t>人所获授但尚未解锁的限制性股票共计</w:t>
      </w:r>
      <w:r>
        <w:rPr>
          <w:rFonts w:ascii="Arial" w:hAnsi="Arial" w:cs="Arial" w:eastAsia="Arial" w:hint="default"/>
        </w:rPr>
        <w:t>658,178</w:t>
      </w:r>
      <w:r>
        <w:rPr/>
        <w:t>股。回购价格为</w:t>
      </w:r>
      <w:r>
        <w:rPr>
          <w:rFonts w:ascii="Arial" w:hAnsi="Arial" w:cs="Arial" w:eastAsia="Arial" w:hint="default"/>
        </w:rPr>
        <w:t>5.01</w:t>
      </w:r>
      <w:r>
        <w:rPr/>
        <w:t>元</w:t>
      </w:r>
      <w:r>
        <w:rPr>
          <w:rFonts w:ascii="Arial" w:hAnsi="Arial" w:cs="Arial" w:eastAsia="Arial" w:hint="default"/>
        </w:rPr>
        <w:t>/</w:t>
      </w:r>
      <w:r>
        <w:rPr/>
        <w:t>股。详 见同日公司在巨潮资讯网披露的公告。</w:t>
      </w:r>
    </w:p>
    <w:p>
      <w:pPr>
        <w:pStyle w:val="Heading3"/>
        <w:spacing w:line="261" w:lineRule="auto" w:before="60"/>
        <w:ind w:right="1081" w:firstLine="480"/>
        <w:jc w:val="both"/>
      </w:pPr>
      <w:r>
        <w:rPr>
          <w:rFonts w:ascii="Arial" w:hAnsi="Arial" w:cs="Arial" w:eastAsia="Arial" w:hint="default"/>
          <w:spacing w:val="-2"/>
        </w:rPr>
        <w:t>2018</w:t>
      </w:r>
      <w:r>
        <w:rPr>
          <w:spacing w:val="-2"/>
        </w:rPr>
        <w:t>年</w:t>
      </w:r>
      <w:r>
        <w:rPr>
          <w:rFonts w:ascii="Arial" w:hAnsi="Arial" w:cs="Arial" w:eastAsia="Arial" w:hint="default"/>
          <w:spacing w:val="-2"/>
        </w:rPr>
        <w:t>11</w:t>
      </w:r>
      <w:r>
        <w:rPr>
          <w:spacing w:val="-2"/>
        </w:rPr>
        <w:t>月</w:t>
      </w:r>
      <w:r>
        <w:rPr>
          <w:rFonts w:ascii="Arial" w:hAnsi="Arial" w:cs="Arial" w:eastAsia="Arial" w:hint="default"/>
          <w:spacing w:val="-2"/>
        </w:rPr>
        <w:t>30</w:t>
      </w:r>
      <w:r>
        <w:rPr>
          <w:spacing w:val="-2"/>
        </w:rPr>
        <w:t>日，公司发布了《关于部分限制性股票回购注销完成公告》，回购原激励</w:t>
      </w:r>
      <w:r>
        <w:rPr/>
        <w:t> 对象马平等</w:t>
      </w:r>
      <w:r>
        <w:rPr>
          <w:rFonts w:ascii="Arial" w:hAnsi="Arial" w:cs="Arial" w:eastAsia="Arial" w:hint="default"/>
        </w:rPr>
        <w:t>141</w:t>
      </w:r>
      <w:r>
        <w:rPr/>
        <w:t>人所获授但尚未解锁的限制性股票共计</w:t>
      </w:r>
      <w:r>
        <w:rPr>
          <w:rFonts w:ascii="Arial" w:hAnsi="Arial" w:cs="Arial" w:eastAsia="Arial" w:hint="default"/>
        </w:rPr>
        <w:t>1,259,750</w:t>
      </w:r>
      <w:r>
        <w:rPr/>
        <w:t>股。回购价格为</w:t>
      </w:r>
      <w:r>
        <w:rPr>
          <w:rFonts w:ascii="Arial" w:hAnsi="Arial" w:cs="Arial" w:eastAsia="Arial" w:hint="default"/>
        </w:rPr>
        <w:t>9.93</w:t>
      </w:r>
      <w:r>
        <w:rPr/>
        <w:t>元</w:t>
      </w:r>
      <w:r>
        <w:rPr>
          <w:rFonts w:ascii="Arial" w:hAnsi="Arial" w:cs="Arial" w:eastAsia="Arial" w:hint="default"/>
        </w:rPr>
        <w:t>/</w:t>
      </w:r>
      <w:r>
        <w:rPr/>
        <w:t>股。 详见同日公司在巨潮资讯网披露的公告。</w:t>
      </w:r>
    </w:p>
    <w:p>
      <w:pPr>
        <w:pStyle w:val="Heading3"/>
        <w:spacing w:line="240" w:lineRule="auto" w:before="38"/>
        <w:ind w:right="996"/>
        <w:jc w:val="left"/>
      </w:pPr>
      <w:r>
        <w:rPr/>
        <w:t>采用集中竞价方式减持回购股份的实施进展情况</w:t>
      </w:r>
    </w:p>
    <w:p>
      <w:pPr>
        <w:pStyle w:val="Heading3"/>
        <w:spacing w:line="247" w:lineRule="auto" w:before="38"/>
        <w:ind w:right="115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股份变动对最近一年和最近一期基本每股收益和稀释每股收益、归属于公司普通股股东的每 股净资产等财务指标的影响</w:t>
      </w:r>
    </w:p>
    <w:p>
      <w:pPr>
        <w:pStyle w:val="Heading3"/>
        <w:spacing w:line="256" w:lineRule="auto" w:before="29"/>
        <w:ind w:right="547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公司认为必要或证券监管机构要求披露的其他内容</w:t>
      </w:r>
    </w:p>
    <w:p>
      <w:pPr>
        <w:spacing w:after="0" w:line="256" w:lineRule="auto"/>
        <w:jc w:val="left"/>
        <w:sectPr>
          <w:pgSz w:w="11910" w:h="16840"/>
          <w:pgMar w:header="878" w:footer="978" w:top="1100" w:bottom="1160" w:left="1020" w:right="0"/>
        </w:sectPr>
      </w:pPr>
    </w:p>
    <w:p>
      <w:pPr>
        <w:spacing w:line="240" w:lineRule="auto" w:before="10"/>
        <w:rPr>
          <w:rFonts w:ascii="宋体" w:hAnsi="宋体" w:cs="宋体" w:eastAsia="宋体" w:hint="default"/>
          <w:sz w:val="19"/>
          <w:szCs w:val="19"/>
        </w:rPr>
      </w:pPr>
    </w:p>
    <w:p>
      <w:pPr>
        <w:pStyle w:val="Heading3"/>
        <w:spacing w:line="240" w:lineRule="auto" w:before="26"/>
        <w:ind w:right="996"/>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3"/>
        <w:rPr>
          <w:rFonts w:ascii="宋体" w:hAnsi="宋体" w:cs="宋体" w:eastAsia="宋体" w:hint="default"/>
          <w:sz w:val="23"/>
          <w:szCs w:val="23"/>
        </w:rPr>
      </w:pPr>
    </w:p>
    <w:p>
      <w:pPr>
        <w:pStyle w:val="Heading4"/>
        <w:spacing w:line="240" w:lineRule="auto"/>
        <w:ind w:right="996"/>
        <w:jc w:val="left"/>
        <w:rPr>
          <w:b w:val="0"/>
          <w:bCs w:val="0"/>
        </w:rPr>
      </w:pPr>
      <w:bookmarkStart w:name="2、限售股份变动情况" w:id="104"/>
      <w:bookmarkEnd w:id="104"/>
      <w:r>
        <w:rPr>
          <w:b w:val="0"/>
          <w:bCs w:val="0"/>
        </w:rPr>
      </w:r>
      <w:r>
        <w:rPr>
          <w:rFonts w:ascii="Arial" w:hAnsi="Arial" w:cs="Arial" w:eastAsia="Arial" w:hint="default"/>
        </w:rPr>
        <w:t>2</w:t>
      </w:r>
      <w:r>
        <w:rPr/>
        <w:t>、限售股份变动情况</w:t>
      </w:r>
      <w:r>
        <w:rPr>
          <w:b w:val="0"/>
          <w:bCs w:val="0"/>
        </w:rPr>
      </w:r>
    </w:p>
    <w:p>
      <w:pPr>
        <w:spacing w:line="240" w:lineRule="auto" w:before="12"/>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78" w:footer="978" w:top="1100" w:bottom="1160" w:left="1020" w:right="0"/>
        </w:sectPr>
      </w:pPr>
    </w:p>
    <w:p>
      <w:pPr>
        <w:pStyle w:val="Heading3"/>
        <w:spacing w:line="240" w:lineRule="auto" w:before="26"/>
        <w:ind w:right="-18"/>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pStyle w:val="BodyText"/>
        <w:spacing w:line="240" w:lineRule="auto" w:before="140"/>
        <w:ind w:right="0"/>
        <w:jc w:val="left"/>
      </w:pPr>
      <w:r>
        <w:rPr/>
        <w:t>单位：股</w:t>
      </w:r>
    </w:p>
    <w:p>
      <w:pPr>
        <w:spacing w:after="0" w:line="240" w:lineRule="auto"/>
        <w:jc w:val="left"/>
        <w:sectPr>
          <w:type w:val="continuous"/>
          <w:pgSz w:w="11910" w:h="16840"/>
          <w:pgMar w:top="1060" w:bottom="1160" w:left="1020" w:right="0"/>
          <w:cols w:num="2" w:equalWidth="0">
            <w:col w:w="1949" w:space="6849"/>
            <w:col w:w="2092"/>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before="0"/>
        <w:ind w:left="0" w:right="1141" w:firstLine="0"/>
        <w:jc w:val="right"/>
        <w:rPr>
          <w:rFonts w:ascii="宋体" w:hAnsi="宋体" w:cs="宋体" w:eastAsia="宋体" w:hint="default"/>
          <w:sz w:val="18"/>
          <w:szCs w:val="18"/>
        </w:rPr>
      </w:pPr>
      <w:r>
        <w:rPr/>
        <w:pict>
          <v:shape style="position:absolute;margin-left:56.459999pt;margin-top:-489.368286pt;width:479.2pt;height:573.8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1"/>
                    <w:gridCol w:w="1276"/>
                    <w:gridCol w:w="1134"/>
                    <w:gridCol w:w="992"/>
                    <w:gridCol w:w="1276"/>
                    <w:gridCol w:w="1275"/>
                    <w:gridCol w:w="2765"/>
                  </w:tblGrid>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90" w:right="111"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0" w:right="40"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2"/>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7"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邵学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2"/>
                            <w:sz w:val="18"/>
                          </w:rPr>
                          <w:t>112,975,991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w w:val="99"/>
                            <w:sz w:val="18"/>
                          </w:rPr>
                          <w:t>0</w:t>
                        </w:r>
                        <w:r>
                          <w:rPr>
                            <w:rFonts w:asci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2"/>
                            <w:sz w:val="18"/>
                          </w:rPr>
                          <w:t>112,975,991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6"/>
                            <w:sz w:val="18"/>
                            <w:szCs w:val="18"/>
                          </w:rPr>
                          <w:t>高管锁定；首发</w:t>
                        </w:r>
                        <w:r>
                          <w:rPr>
                            <w:rFonts w:ascii="宋体" w:hAnsi="宋体" w:cs="宋体" w:eastAsia="宋体" w:hint="default"/>
                            <w:sz w:val="18"/>
                            <w:szCs w:val="18"/>
                          </w:rPr>
                          <w:t> 后限售股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每年解锁</w:t>
                        </w:r>
                        <w:r>
                          <w:rPr>
                            <w:rFonts w:ascii="宋体" w:hAnsi="宋体" w:cs="宋体" w:eastAsia="宋体" w:hint="default"/>
                            <w:spacing w:val="-39"/>
                            <w:sz w:val="18"/>
                            <w:szCs w:val="18"/>
                          </w:rPr>
                          <w:t> </w:t>
                        </w:r>
                        <w:r>
                          <w:rPr>
                            <w:rFonts w:ascii="Arial" w:hAnsi="Arial" w:cs="Arial" w:eastAsia="Arial" w:hint="default"/>
                            <w:spacing w:val="-4"/>
                            <w:sz w:val="18"/>
                            <w:szCs w:val="18"/>
                          </w:rPr>
                          <w:t>25%</w:t>
                        </w:r>
                        <w:r>
                          <w:rPr>
                            <w:rFonts w:ascii="宋体" w:hAnsi="宋体" w:cs="宋体" w:eastAsia="宋体" w:hint="default"/>
                            <w:spacing w:val="-4"/>
                            <w:sz w:val="18"/>
                            <w:szCs w:val="18"/>
                          </w:rPr>
                          <w:t>；首发后承诺：自股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份发行之日起</w:t>
                        </w:r>
                        <w:r>
                          <w:rPr>
                            <w:rFonts w:ascii="宋体" w:hAnsi="宋体" w:cs="宋体" w:eastAsia="宋体" w:hint="default"/>
                            <w:spacing w:val="-46"/>
                            <w:sz w:val="18"/>
                            <w:szCs w:val="18"/>
                          </w:rPr>
                          <w:t> </w:t>
                        </w:r>
                        <w:r>
                          <w:rPr>
                            <w:rFonts w:ascii="Arial" w:hAnsi="Arial" w:cs="Arial" w:eastAsia="Arial" w:hint="default"/>
                            <w:sz w:val="18"/>
                            <w:szCs w:val="18"/>
                          </w:rPr>
                          <w:t>36</w:t>
                        </w:r>
                        <w:r>
                          <w:rPr>
                            <w:rFonts w:ascii="Arial" w:hAnsi="Arial" w:cs="Arial" w:eastAsia="Arial" w:hint="default"/>
                            <w:spacing w:val="-7"/>
                            <w:sz w:val="18"/>
                            <w:szCs w:val="18"/>
                          </w:rPr>
                          <w:t> </w:t>
                        </w:r>
                        <w:r>
                          <w:rPr>
                            <w:rFonts w:ascii="宋体" w:hAnsi="宋体" w:cs="宋体" w:eastAsia="宋体" w:hint="default"/>
                            <w:sz w:val="18"/>
                            <w:szCs w:val="18"/>
                          </w:rPr>
                          <w:t>个月不得转让</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26,176,898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6,544,224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w w:val="99"/>
                            <w:sz w:val="18"/>
                          </w:rPr>
                          <w:t>0</w:t>
                        </w:r>
                        <w:r>
                          <w:rPr>
                            <w:rFonts w:asci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1"/>
                            <w:sz w:val="18"/>
                          </w:rPr>
                          <w:t>19,632,674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z w:val="18"/>
                            <w:szCs w:val="18"/>
                          </w:rPr>
                          <w:t>首发后承诺：自股份发行结束之日 起锁定 </w:t>
                        </w:r>
                        <w:r>
                          <w:rPr>
                            <w:rFonts w:ascii="Arial" w:hAnsi="Arial" w:cs="Arial" w:eastAsia="Arial" w:hint="default"/>
                            <w:sz w:val="18"/>
                            <w:szCs w:val="18"/>
                          </w:rPr>
                          <w:t>12</w:t>
                        </w:r>
                        <w:r>
                          <w:rPr>
                            <w:rFonts w:ascii="Arial" w:hAnsi="Arial" w:cs="Arial" w:eastAsia="Arial" w:hint="default"/>
                            <w:spacing w:val="27"/>
                            <w:sz w:val="18"/>
                            <w:szCs w:val="18"/>
                          </w:rPr>
                          <w:t> </w:t>
                        </w:r>
                        <w:r>
                          <w:rPr>
                            <w:rFonts w:ascii="宋体" w:hAnsi="宋体" w:cs="宋体" w:eastAsia="宋体" w:hint="default"/>
                            <w:sz w:val="18"/>
                            <w:szCs w:val="18"/>
                          </w:rPr>
                          <w:t>个月，之后分三次解锁</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任涛</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16,364,221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w w:val="99"/>
                            <w:sz w:val="18"/>
                          </w:rPr>
                          <w:t>0</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w w:val="99"/>
                            <w:sz w:val="18"/>
                          </w:rPr>
                          <w:t>0</w:t>
                        </w:r>
                        <w:r>
                          <w:rPr>
                            <w:rFonts w:asci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16,364,221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Arial" w:hAnsi="Arial" w:cs="Arial" w:eastAsia="Arial"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Arial" w:hAnsi="Arial" w:cs="Arial" w:eastAsia="Arial" w:hint="default"/>
                            <w:sz w:val="18"/>
                            <w:szCs w:val="18"/>
                          </w:rPr>
                          <w:t>25%</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王莉丽</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10,209,392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w w:val="99"/>
                            <w:sz w:val="18"/>
                          </w:rPr>
                          <w:t>0</w:t>
                        </w:r>
                        <w:r>
                          <w:rPr>
                            <w:rFonts w:asci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1"/>
                            <w:sz w:val="18"/>
                          </w:rPr>
                          <w:t>10,209,392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Arial" w:hAnsi="Arial" w:cs="Arial" w:eastAsia="Arial" w:hint="default"/>
                            <w:sz w:val="18"/>
                            <w:szCs w:val="18"/>
                          </w:rPr>
                        </w:pPr>
                        <w:r>
                          <w:rPr>
                            <w:rFonts w:ascii="宋体" w:hAnsi="宋体" w:cs="宋体" w:eastAsia="宋体" w:hint="default"/>
                            <w:spacing w:val="-5"/>
                            <w:sz w:val="18"/>
                            <w:szCs w:val="18"/>
                          </w:rPr>
                          <w:t>首发后承诺：自股份发行之日起</w:t>
                        </w:r>
                        <w:r>
                          <w:rPr>
                            <w:rFonts w:ascii="宋体" w:hAnsi="宋体" w:cs="宋体" w:eastAsia="宋体" w:hint="default"/>
                            <w:spacing w:val="-34"/>
                            <w:sz w:val="18"/>
                            <w:szCs w:val="18"/>
                          </w:rPr>
                          <w:t> </w:t>
                        </w:r>
                        <w:r>
                          <w:rPr>
                            <w:rFonts w:ascii="Arial" w:hAnsi="Arial" w:cs="Arial" w:eastAsia="Arial" w:hint="default"/>
                            <w:sz w:val="18"/>
                            <w:szCs w:val="18"/>
                          </w:rPr>
                          <w:t>36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个月不得转让</w:t>
                        </w:r>
                      </w:p>
                    </w:tc>
                  </w:tr>
                  <w:tr>
                    <w:trPr>
                      <w:trHeight w:val="133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赵晓明</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Arial" w:hAnsi="Arial" w:cs="Arial" w:eastAsia="Arial" w:hint="default"/>
                            <w:sz w:val="18"/>
                            <w:szCs w:val="18"/>
                          </w:rPr>
                        </w:pPr>
                        <w:r>
                          <w:rPr>
                            <w:rFonts w:ascii="Arial"/>
                            <w:spacing w:val="-1"/>
                            <w:sz w:val="18"/>
                          </w:rPr>
                          <w:t>7,142,067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Arial" w:hAnsi="Arial" w:cs="Arial" w:eastAsia="Arial" w:hint="default"/>
                            <w:sz w:val="18"/>
                            <w:szCs w:val="18"/>
                          </w:rPr>
                        </w:pPr>
                        <w:r>
                          <w:rPr>
                            <w:rFonts w:ascii="Arial"/>
                            <w:w w:val="99"/>
                            <w:sz w:val="18"/>
                          </w:rPr>
                          <w:t>0</w:t>
                        </w:r>
                        <w:r>
                          <w:rPr>
                            <w:rFonts w:asci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Arial" w:hAnsi="Arial" w:cs="Arial" w:eastAsia="Arial" w:hint="default"/>
                            <w:sz w:val="18"/>
                            <w:szCs w:val="18"/>
                          </w:rPr>
                        </w:pPr>
                        <w:r>
                          <w:rPr>
                            <w:rFonts w:ascii="Arial"/>
                            <w:spacing w:val="-1"/>
                            <w:sz w:val="18"/>
                          </w:rPr>
                          <w:t>7,142,067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0"/>
                          <w:jc w:val="left"/>
                          <w:rPr>
                            <w:rFonts w:ascii="宋体" w:hAnsi="宋体" w:cs="宋体" w:eastAsia="宋体" w:hint="default"/>
                            <w:sz w:val="18"/>
                            <w:szCs w:val="18"/>
                          </w:rPr>
                        </w:pPr>
                        <w:r>
                          <w:rPr>
                            <w:rFonts w:ascii="宋体" w:hAnsi="宋体" w:cs="宋体" w:eastAsia="宋体" w:hint="default"/>
                            <w:spacing w:val="-6"/>
                            <w:sz w:val="18"/>
                            <w:szCs w:val="18"/>
                          </w:rPr>
                          <w:t>高管锁定、股权</w:t>
                        </w:r>
                        <w:r>
                          <w:rPr>
                            <w:rFonts w:ascii="宋体" w:hAnsi="宋体" w:cs="宋体" w:eastAsia="宋体" w:hint="default"/>
                            <w:sz w:val="18"/>
                            <w:szCs w:val="18"/>
                          </w:rPr>
                          <w:t> 激励限售股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1"/>
                          <w:jc w:val="left"/>
                          <w:rPr>
                            <w:rFonts w:ascii="宋体" w:hAnsi="宋体" w:cs="宋体" w:eastAsia="宋体" w:hint="default"/>
                            <w:sz w:val="18"/>
                            <w:szCs w:val="18"/>
                          </w:rPr>
                        </w:pPr>
                        <w:r>
                          <w:rPr>
                            <w:rFonts w:ascii="宋体" w:hAnsi="宋体" w:cs="宋体" w:eastAsia="宋体" w:hint="default"/>
                            <w:spacing w:val="-3"/>
                            <w:sz w:val="18"/>
                            <w:szCs w:val="18"/>
                          </w:rPr>
                          <w:t>高管锁定：每年解锁</w:t>
                        </w:r>
                        <w:r>
                          <w:rPr>
                            <w:rFonts w:ascii="宋体" w:hAnsi="宋体" w:cs="宋体" w:eastAsia="宋体" w:hint="default"/>
                            <w:spacing w:val="-39"/>
                            <w:sz w:val="18"/>
                            <w:szCs w:val="18"/>
                          </w:rPr>
                          <w:t> </w:t>
                        </w:r>
                        <w:r>
                          <w:rPr>
                            <w:rFonts w:ascii="Arial" w:hAnsi="Arial" w:cs="Arial" w:eastAsia="Arial" w:hint="default"/>
                            <w:spacing w:val="-3"/>
                            <w:sz w:val="18"/>
                            <w:szCs w:val="18"/>
                          </w:rPr>
                          <w:t>25%</w:t>
                        </w:r>
                        <w:r>
                          <w:rPr>
                            <w:rFonts w:ascii="宋体" w:hAnsi="宋体" w:cs="宋体" w:eastAsia="宋体" w:hint="default"/>
                            <w:spacing w:val="-3"/>
                            <w:sz w:val="18"/>
                            <w:szCs w:val="18"/>
                          </w:rPr>
                          <w:t>；股权激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励限售股：自股份发行结束之日起 锁定 </w:t>
                        </w:r>
                        <w:r>
                          <w:rPr>
                            <w:rFonts w:ascii="Arial" w:hAnsi="Arial" w:cs="Arial" w:eastAsia="Arial" w:hint="default"/>
                            <w:sz w:val="18"/>
                            <w:szCs w:val="18"/>
                          </w:rPr>
                          <w:t>12 </w:t>
                        </w:r>
                        <w:r>
                          <w:rPr>
                            <w:rFonts w:ascii="宋体" w:hAnsi="宋体" w:cs="宋体" w:eastAsia="宋体" w:hint="default"/>
                            <w:sz w:val="18"/>
                            <w:szCs w:val="18"/>
                          </w:rPr>
                          <w:t>个月，之后按照</w:t>
                        </w:r>
                        <w:r>
                          <w:rPr>
                            <w:rFonts w:ascii="宋体" w:hAnsi="宋体" w:cs="宋体" w:eastAsia="宋体" w:hint="default"/>
                            <w:spacing w:val="-13"/>
                            <w:sz w:val="18"/>
                            <w:szCs w:val="18"/>
                          </w:rPr>
                          <w:t> </w:t>
                        </w:r>
                        <w:r>
                          <w:rPr>
                            <w:rFonts w:ascii="Arial" w:hAnsi="Arial" w:cs="Arial" w:eastAsia="Arial" w:hint="default"/>
                            <w:sz w:val="18"/>
                            <w:szCs w:val="18"/>
                          </w:rPr>
                          <w:t>30%</w:t>
                        </w:r>
                        <w:r>
                          <w:rPr>
                            <w:rFonts w:ascii="宋体" w:hAnsi="宋体" w:cs="宋体" w:eastAsia="宋体" w:hint="default"/>
                            <w:sz w:val="18"/>
                            <w:szCs w:val="18"/>
                          </w:rPr>
                          <w:t>、 </w:t>
                        </w:r>
                        <w:r>
                          <w:rPr>
                            <w:rFonts w:ascii="Arial" w:hAnsi="Arial" w:cs="Arial" w:eastAsia="Arial" w:hint="default"/>
                            <w:sz w:val="18"/>
                            <w:szCs w:val="18"/>
                          </w:rPr>
                          <w:t>30%</w:t>
                        </w:r>
                        <w:r>
                          <w:rPr>
                            <w:rFonts w:ascii="宋体" w:hAnsi="宋体" w:cs="宋体" w:eastAsia="宋体" w:hint="default"/>
                            <w:sz w:val="18"/>
                            <w:szCs w:val="18"/>
                          </w:rPr>
                          <w:t>、</w:t>
                        </w:r>
                        <w:r>
                          <w:rPr>
                            <w:rFonts w:ascii="Arial" w:hAnsi="Arial" w:cs="Arial" w:eastAsia="Arial" w:hint="default"/>
                            <w:sz w:val="18"/>
                            <w:szCs w:val="18"/>
                          </w:rPr>
                          <w:t>40%</w:t>
                        </w:r>
                        <w:r>
                          <w:rPr>
                            <w:rFonts w:ascii="宋体" w:hAnsi="宋体" w:cs="宋体" w:eastAsia="宋体" w:hint="default"/>
                            <w:sz w:val="18"/>
                            <w:szCs w:val="18"/>
                          </w:rPr>
                          <w:t>分批解锁</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王秀花</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3,209,838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w w:val="99"/>
                            <w:sz w:val="18"/>
                          </w:rPr>
                          <w:t>0</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Arial" w:hAnsi="Arial" w:cs="Arial" w:eastAsia="Arial" w:hint="default"/>
                            <w:sz w:val="18"/>
                            <w:szCs w:val="18"/>
                          </w:rPr>
                        </w:pPr>
                        <w:r>
                          <w:rPr>
                            <w:rFonts w:ascii="Arial"/>
                            <w:w w:val="99"/>
                            <w:sz w:val="18"/>
                          </w:rPr>
                          <w:t>0</w:t>
                        </w:r>
                        <w:r>
                          <w:rPr>
                            <w:rFonts w:asci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3,209,838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Arial" w:hAnsi="Arial" w:cs="Arial" w:eastAsia="Arial"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Arial" w:hAnsi="Arial" w:cs="Arial" w:eastAsia="Arial" w:hint="default"/>
                            <w:sz w:val="18"/>
                            <w:szCs w:val="18"/>
                          </w:rPr>
                          <w:t>25%</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朱明武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3,384,487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1"/>
                            <w:sz w:val="18"/>
                          </w:rPr>
                          <w:t>846,121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w w:val="99"/>
                            <w:sz w:val="18"/>
                          </w:rPr>
                          <w:t>0</w:t>
                        </w:r>
                        <w:r>
                          <w:rPr>
                            <w:rFonts w:asci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2,538,366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首发后承诺：自股份发行结束之日 起锁定 </w:t>
                        </w:r>
                        <w:r>
                          <w:rPr>
                            <w:rFonts w:ascii="Arial" w:hAnsi="Arial" w:cs="Arial" w:eastAsia="Arial" w:hint="default"/>
                            <w:sz w:val="18"/>
                            <w:szCs w:val="18"/>
                          </w:rPr>
                          <w:t>12</w:t>
                        </w:r>
                        <w:r>
                          <w:rPr>
                            <w:rFonts w:ascii="Arial" w:hAnsi="Arial" w:cs="Arial" w:eastAsia="Arial" w:hint="default"/>
                            <w:spacing w:val="27"/>
                            <w:sz w:val="18"/>
                            <w:szCs w:val="18"/>
                          </w:rPr>
                          <w:t> </w:t>
                        </w:r>
                        <w:r>
                          <w:rPr>
                            <w:rFonts w:ascii="宋体" w:hAnsi="宋体" w:cs="宋体" w:eastAsia="宋体" w:hint="default"/>
                            <w:sz w:val="18"/>
                            <w:szCs w:val="18"/>
                          </w:rPr>
                          <w:t>个月，之后分三次解锁</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吕宾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2,332,794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w w:val="99"/>
                            <w:sz w:val="18"/>
                          </w:rPr>
                          <w:t>0</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Arial" w:hAnsi="Arial" w:cs="Arial" w:eastAsia="Arial" w:hint="default"/>
                            <w:sz w:val="18"/>
                            <w:szCs w:val="18"/>
                          </w:rPr>
                        </w:pPr>
                        <w:r>
                          <w:rPr>
                            <w:rFonts w:ascii="Arial"/>
                            <w:w w:val="99"/>
                            <w:sz w:val="18"/>
                          </w:rPr>
                          <w:t>0</w:t>
                        </w:r>
                        <w:r>
                          <w:rPr>
                            <w:rFonts w:asci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2,332,794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Arial" w:hAnsi="Arial" w:cs="Arial" w:eastAsia="Arial"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Arial" w:hAnsi="Arial" w:cs="Arial" w:eastAsia="Arial" w:hint="default"/>
                            <w:sz w:val="18"/>
                            <w:szCs w:val="18"/>
                          </w:rPr>
                          <w:t>25%</w:t>
                        </w:r>
                      </w:p>
                    </w:tc>
                  </w:tr>
                  <w:tr>
                    <w:trPr>
                      <w:trHeight w:val="133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Arial" w:hAnsi="Arial" w:cs="Arial" w:eastAsia="Arial" w:hint="default"/>
                            <w:sz w:val="18"/>
                            <w:szCs w:val="18"/>
                          </w:rPr>
                        </w:pPr>
                        <w:r>
                          <w:rPr>
                            <w:rFonts w:ascii="Arial"/>
                            <w:spacing w:val="-1"/>
                            <w:sz w:val="18"/>
                          </w:rPr>
                          <w:t>273,405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Arial" w:hAnsi="Arial" w:cs="Arial" w:eastAsia="Arial" w:hint="default"/>
                            <w:sz w:val="18"/>
                            <w:szCs w:val="18"/>
                          </w:rPr>
                        </w:pPr>
                        <w:r>
                          <w:rPr>
                            <w:rFonts w:ascii="Arial"/>
                            <w:spacing w:val="-1"/>
                            <w:sz w:val="18"/>
                          </w:rPr>
                          <w:t>32,180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Arial" w:hAnsi="Arial" w:cs="Arial" w:eastAsia="Arial" w:hint="default"/>
                            <w:sz w:val="18"/>
                            <w:szCs w:val="18"/>
                          </w:rPr>
                        </w:pPr>
                        <w:r>
                          <w:rPr>
                            <w:rFonts w:ascii="Arial"/>
                            <w:w w:val="99"/>
                            <w:sz w:val="18"/>
                          </w:rPr>
                          <w:t>0</w:t>
                        </w:r>
                        <w:r>
                          <w:rPr>
                            <w:rFonts w:asci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Arial" w:hAnsi="Arial" w:cs="Arial" w:eastAsia="Arial" w:hint="default"/>
                            <w:sz w:val="18"/>
                            <w:szCs w:val="18"/>
                          </w:rPr>
                        </w:pPr>
                        <w:r>
                          <w:rPr>
                            <w:rFonts w:ascii="Arial"/>
                            <w:spacing w:val="-1"/>
                            <w:sz w:val="18"/>
                          </w:rPr>
                          <w:t>241,225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0"/>
                          <w:jc w:val="left"/>
                          <w:rPr>
                            <w:rFonts w:ascii="宋体" w:hAnsi="宋体" w:cs="宋体" w:eastAsia="宋体" w:hint="default"/>
                            <w:sz w:val="18"/>
                            <w:szCs w:val="18"/>
                          </w:rPr>
                        </w:pPr>
                        <w:r>
                          <w:rPr>
                            <w:rFonts w:ascii="宋体" w:hAnsi="宋体" w:cs="宋体" w:eastAsia="宋体" w:hint="default"/>
                            <w:spacing w:val="-6"/>
                            <w:sz w:val="18"/>
                            <w:szCs w:val="18"/>
                          </w:rPr>
                          <w:t>高管锁定、股权</w:t>
                        </w:r>
                        <w:r>
                          <w:rPr>
                            <w:rFonts w:ascii="宋体" w:hAnsi="宋体" w:cs="宋体" w:eastAsia="宋体" w:hint="default"/>
                            <w:sz w:val="18"/>
                            <w:szCs w:val="18"/>
                          </w:rPr>
                          <w:t> 激励限售股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1"/>
                          <w:jc w:val="left"/>
                          <w:rPr>
                            <w:rFonts w:ascii="宋体" w:hAnsi="宋体" w:cs="宋体" w:eastAsia="宋体" w:hint="default"/>
                            <w:sz w:val="18"/>
                            <w:szCs w:val="18"/>
                          </w:rPr>
                        </w:pPr>
                        <w:r>
                          <w:rPr>
                            <w:rFonts w:ascii="宋体" w:hAnsi="宋体" w:cs="宋体" w:eastAsia="宋体" w:hint="default"/>
                            <w:spacing w:val="-3"/>
                            <w:sz w:val="18"/>
                            <w:szCs w:val="18"/>
                          </w:rPr>
                          <w:t>高管锁定：每年解锁</w:t>
                        </w:r>
                        <w:r>
                          <w:rPr>
                            <w:rFonts w:ascii="宋体" w:hAnsi="宋体" w:cs="宋体" w:eastAsia="宋体" w:hint="default"/>
                            <w:spacing w:val="-39"/>
                            <w:sz w:val="18"/>
                            <w:szCs w:val="18"/>
                          </w:rPr>
                          <w:t> </w:t>
                        </w:r>
                        <w:r>
                          <w:rPr>
                            <w:rFonts w:ascii="Arial" w:hAnsi="Arial" w:cs="Arial" w:eastAsia="Arial" w:hint="default"/>
                            <w:spacing w:val="-3"/>
                            <w:sz w:val="18"/>
                            <w:szCs w:val="18"/>
                          </w:rPr>
                          <w:t>25%</w:t>
                        </w:r>
                        <w:r>
                          <w:rPr>
                            <w:rFonts w:ascii="宋体" w:hAnsi="宋体" w:cs="宋体" w:eastAsia="宋体" w:hint="default"/>
                            <w:spacing w:val="-3"/>
                            <w:sz w:val="18"/>
                            <w:szCs w:val="18"/>
                          </w:rPr>
                          <w:t>；股权激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励限售股：自股份发行结束之日起 锁定 </w:t>
                        </w:r>
                        <w:r>
                          <w:rPr>
                            <w:rFonts w:ascii="Arial" w:hAnsi="Arial" w:cs="Arial" w:eastAsia="Arial" w:hint="default"/>
                            <w:sz w:val="18"/>
                            <w:szCs w:val="18"/>
                          </w:rPr>
                          <w:t>12 </w:t>
                        </w:r>
                        <w:r>
                          <w:rPr>
                            <w:rFonts w:ascii="宋体" w:hAnsi="宋体" w:cs="宋体" w:eastAsia="宋体" w:hint="default"/>
                            <w:sz w:val="18"/>
                            <w:szCs w:val="18"/>
                          </w:rPr>
                          <w:t>个月，之后按照</w:t>
                        </w:r>
                        <w:r>
                          <w:rPr>
                            <w:rFonts w:ascii="宋体" w:hAnsi="宋体" w:cs="宋体" w:eastAsia="宋体" w:hint="default"/>
                            <w:spacing w:val="-13"/>
                            <w:sz w:val="18"/>
                            <w:szCs w:val="18"/>
                          </w:rPr>
                          <w:t> </w:t>
                        </w:r>
                        <w:r>
                          <w:rPr>
                            <w:rFonts w:ascii="Arial" w:hAnsi="Arial" w:cs="Arial" w:eastAsia="Arial" w:hint="default"/>
                            <w:sz w:val="18"/>
                            <w:szCs w:val="18"/>
                          </w:rPr>
                          <w:t>30%</w:t>
                        </w:r>
                        <w:r>
                          <w:rPr>
                            <w:rFonts w:ascii="宋体" w:hAnsi="宋体" w:cs="宋体" w:eastAsia="宋体" w:hint="default"/>
                            <w:sz w:val="18"/>
                            <w:szCs w:val="18"/>
                          </w:rPr>
                          <w:t>、 </w:t>
                        </w:r>
                        <w:r>
                          <w:rPr>
                            <w:rFonts w:ascii="Arial" w:hAnsi="Arial" w:cs="Arial" w:eastAsia="Arial" w:hint="default"/>
                            <w:sz w:val="18"/>
                            <w:szCs w:val="18"/>
                          </w:rPr>
                          <w:t>30%</w:t>
                        </w:r>
                        <w:r>
                          <w:rPr>
                            <w:rFonts w:ascii="宋体" w:hAnsi="宋体" w:cs="宋体" w:eastAsia="宋体" w:hint="default"/>
                            <w:sz w:val="18"/>
                            <w:szCs w:val="18"/>
                          </w:rPr>
                          <w:t>、</w:t>
                        </w:r>
                        <w:r>
                          <w:rPr>
                            <w:rFonts w:ascii="Arial" w:hAnsi="Arial" w:cs="Arial" w:eastAsia="Arial" w:hint="default"/>
                            <w:sz w:val="18"/>
                            <w:szCs w:val="18"/>
                          </w:rPr>
                          <w:t>40%</w:t>
                        </w:r>
                        <w:r>
                          <w:rPr>
                            <w:rFonts w:ascii="宋体" w:hAnsi="宋体" w:cs="宋体" w:eastAsia="宋体" w:hint="default"/>
                            <w:sz w:val="18"/>
                            <w:szCs w:val="18"/>
                          </w:rPr>
                          <w:t>分批解锁</w:t>
                        </w:r>
                      </w:p>
                    </w:tc>
                  </w:tr>
                  <w:tr>
                    <w:trPr>
                      <w:trHeight w:val="133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邢立君</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9"/>
                          <w:jc w:val="right"/>
                          <w:rPr>
                            <w:rFonts w:ascii="Arial" w:hAnsi="Arial" w:cs="Arial" w:eastAsia="Arial" w:hint="default"/>
                            <w:sz w:val="18"/>
                            <w:szCs w:val="18"/>
                          </w:rPr>
                        </w:pPr>
                        <w:r>
                          <w:rPr>
                            <w:rFonts w:ascii="Arial"/>
                            <w:spacing w:val="-1"/>
                            <w:sz w:val="18"/>
                          </w:rPr>
                          <w:t>224,035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1"/>
                          <w:jc w:val="right"/>
                          <w:rPr>
                            <w:rFonts w:ascii="Arial" w:hAnsi="Arial" w:cs="Arial" w:eastAsia="Arial" w:hint="default"/>
                            <w:sz w:val="18"/>
                            <w:szCs w:val="18"/>
                          </w:rPr>
                        </w:pPr>
                        <w:r>
                          <w:rPr>
                            <w:rFonts w:ascii="Arial"/>
                            <w:w w:val="99"/>
                            <w:sz w:val="18"/>
                          </w:rPr>
                          <w:t>0</w:t>
                        </w:r>
                        <w:r>
                          <w:rPr>
                            <w:rFonts w:asci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8"/>
                          <w:jc w:val="right"/>
                          <w:rPr>
                            <w:rFonts w:ascii="Arial" w:hAnsi="Arial" w:cs="Arial" w:eastAsia="Arial" w:hint="default"/>
                            <w:sz w:val="18"/>
                            <w:szCs w:val="18"/>
                          </w:rPr>
                        </w:pPr>
                        <w:r>
                          <w:rPr>
                            <w:rFonts w:ascii="Arial"/>
                            <w:spacing w:val="-1"/>
                            <w:sz w:val="18"/>
                          </w:rPr>
                          <w:t>224,035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3" w:right="20"/>
                          <w:jc w:val="left"/>
                          <w:rPr>
                            <w:rFonts w:ascii="宋体" w:hAnsi="宋体" w:cs="宋体" w:eastAsia="宋体" w:hint="default"/>
                            <w:sz w:val="18"/>
                            <w:szCs w:val="18"/>
                          </w:rPr>
                        </w:pPr>
                        <w:r>
                          <w:rPr>
                            <w:rFonts w:ascii="宋体" w:hAnsi="宋体" w:cs="宋体" w:eastAsia="宋体" w:hint="default"/>
                            <w:spacing w:val="-6"/>
                            <w:sz w:val="18"/>
                            <w:szCs w:val="18"/>
                          </w:rPr>
                          <w:t>高管锁定、股权</w:t>
                        </w:r>
                        <w:r>
                          <w:rPr>
                            <w:rFonts w:ascii="宋体" w:hAnsi="宋体" w:cs="宋体" w:eastAsia="宋体" w:hint="default"/>
                            <w:sz w:val="18"/>
                            <w:szCs w:val="18"/>
                          </w:rPr>
                          <w:t> 激励限售股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0"/>
                          <w:ind w:left="22" w:right="21"/>
                          <w:jc w:val="left"/>
                          <w:rPr>
                            <w:rFonts w:ascii="宋体" w:hAnsi="宋体" w:cs="宋体" w:eastAsia="宋体" w:hint="default"/>
                            <w:sz w:val="18"/>
                            <w:szCs w:val="18"/>
                          </w:rPr>
                        </w:pPr>
                        <w:r>
                          <w:rPr>
                            <w:rFonts w:ascii="宋体" w:hAnsi="宋体" w:cs="宋体" w:eastAsia="宋体" w:hint="default"/>
                            <w:spacing w:val="-3"/>
                            <w:sz w:val="18"/>
                            <w:szCs w:val="18"/>
                          </w:rPr>
                          <w:t>高管锁定：每年解锁</w:t>
                        </w:r>
                        <w:r>
                          <w:rPr>
                            <w:rFonts w:ascii="宋体" w:hAnsi="宋体" w:cs="宋体" w:eastAsia="宋体" w:hint="default"/>
                            <w:spacing w:val="-39"/>
                            <w:sz w:val="18"/>
                            <w:szCs w:val="18"/>
                          </w:rPr>
                          <w:t> </w:t>
                        </w:r>
                        <w:r>
                          <w:rPr>
                            <w:rFonts w:ascii="Arial" w:hAnsi="Arial" w:cs="Arial" w:eastAsia="Arial" w:hint="default"/>
                            <w:spacing w:val="-3"/>
                            <w:sz w:val="18"/>
                            <w:szCs w:val="18"/>
                          </w:rPr>
                          <w:t>25%</w:t>
                        </w:r>
                        <w:r>
                          <w:rPr>
                            <w:rFonts w:ascii="宋体" w:hAnsi="宋体" w:cs="宋体" w:eastAsia="宋体" w:hint="default"/>
                            <w:spacing w:val="-3"/>
                            <w:sz w:val="18"/>
                            <w:szCs w:val="18"/>
                          </w:rPr>
                          <w:t>；股权激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励限售股：自股份发行结束之日起 锁定 </w:t>
                        </w:r>
                        <w:r>
                          <w:rPr>
                            <w:rFonts w:ascii="Arial" w:hAnsi="Arial" w:cs="Arial" w:eastAsia="Arial" w:hint="default"/>
                            <w:sz w:val="18"/>
                            <w:szCs w:val="18"/>
                          </w:rPr>
                          <w:t>12 </w:t>
                        </w:r>
                        <w:r>
                          <w:rPr>
                            <w:rFonts w:ascii="宋体" w:hAnsi="宋体" w:cs="宋体" w:eastAsia="宋体" w:hint="default"/>
                            <w:sz w:val="18"/>
                            <w:szCs w:val="18"/>
                          </w:rPr>
                          <w:t>个月，之后按照</w:t>
                        </w:r>
                        <w:r>
                          <w:rPr>
                            <w:rFonts w:ascii="宋体" w:hAnsi="宋体" w:cs="宋体" w:eastAsia="宋体" w:hint="default"/>
                            <w:spacing w:val="-13"/>
                            <w:sz w:val="18"/>
                            <w:szCs w:val="18"/>
                          </w:rPr>
                          <w:t> </w:t>
                        </w:r>
                        <w:r>
                          <w:rPr>
                            <w:rFonts w:ascii="Arial" w:hAnsi="Arial" w:cs="Arial" w:eastAsia="Arial" w:hint="default"/>
                            <w:sz w:val="18"/>
                            <w:szCs w:val="18"/>
                          </w:rPr>
                          <w:t>30%</w:t>
                        </w:r>
                        <w:r>
                          <w:rPr>
                            <w:rFonts w:ascii="宋体" w:hAnsi="宋体" w:cs="宋体" w:eastAsia="宋体" w:hint="default"/>
                            <w:sz w:val="18"/>
                            <w:szCs w:val="18"/>
                          </w:rPr>
                          <w:t>、 </w:t>
                        </w:r>
                        <w:r>
                          <w:rPr>
                            <w:rFonts w:ascii="Arial" w:hAnsi="Arial" w:cs="Arial" w:eastAsia="Arial" w:hint="default"/>
                            <w:sz w:val="18"/>
                            <w:szCs w:val="18"/>
                          </w:rPr>
                          <w:t>30%</w:t>
                        </w:r>
                        <w:r>
                          <w:rPr>
                            <w:rFonts w:ascii="宋体" w:hAnsi="宋体" w:cs="宋体" w:eastAsia="宋体" w:hint="default"/>
                            <w:sz w:val="18"/>
                            <w:szCs w:val="18"/>
                          </w:rPr>
                          <w:t>、</w:t>
                        </w:r>
                        <w:r>
                          <w:rPr>
                            <w:rFonts w:ascii="Arial" w:hAnsi="Arial" w:cs="Arial" w:eastAsia="Arial" w:hint="default"/>
                            <w:sz w:val="18"/>
                            <w:szCs w:val="18"/>
                          </w:rPr>
                          <w:t>40%</w:t>
                        </w:r>
                        <w:r>
                          <w:rPr>
                            <w:rFonts w:ascii="宋体" w:hAnsi="宋体" w:cs="宋体" w:eastAsia="宋体" w:hint="default"/>
                            <w:sz w:val="18"/>
                            <w:szCs w:val="18"/>
                          </w:rPr>
                          <w:t>分批解锁</w:t>
                        </w:r>
                      </w:p>
                    </w:tc>
                  </w:tr>
                  <w:tr>
                    <w:trPr>
                      <w:trHeight w:val="227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96"/>
                          <w:jc w:val="left"/>
                          <w:rPr>
                            <w:rFonts w:ascii="宋体" w:hAnsi="宋体" w:cs="宋体" w:eastAsia="宋体" w:hint="default"/>
                            <w:sz w:val="18"/>
                            <w:szCs w:val="18"/>
                          </w:rPr>
                        </w:pPr>
                        <w:r>
                          <w:rPr>
                            <w:rFonts w:ascii="宋体" w:hAnsi="宋体" w:cs="宋体" w:eastAsia="宋体" w:hint="default"/>
                            <w:sz w:val="18"/>
                            <w:szCs w:val="18"/>
                          </w:rPr>
                          <w:t>其他限售 股股东</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9"/>
                          <w:jc w:val="right"/>
                          <w:rPr>
                            <w:rFonts w:ascii="Arial" w:hAnsi="Arial" w:cs="Arial" w:eastAsia="Arial" w:hint="default"/>
                            <w:sz w:val="18"/>
                            <w:szCs w:val="18"/>
                          </w:rPr>
                        </w:pPr>
                        <w:r>
                          <w:rPr>
                            <w:rFonts w:ascii="Arial"/>
                            <w:spacing w:val="-1"/>
                            <w:sz w:val="18"/>
                          </w:rPr>
                          <w:t>76,610,697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6"/>
                          <w:jc w:val="right"/>
                          <w:rPr>
                            <w:rFonts w:ascii="Arial" w:hAnsi="Arial" w:cs="Arial" w:eastAsia="Arial" w:hint="default"/>
                            <w:sz w:val="18"/>
                            <w:szCs w:val="18"/>
                          </w:rPr>
                        </w:pPr>
                        <w:r>
                          <w:rPr>
                            <w:rFonts w:ascii="Arial"/>
                            <w:spacing w:val="-2"/>
                            <w:sz w:val="18"/>
                          </w:rPr>
                          <w:t>62,201,411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Arial" w:hAnsi="Arial" w:cs="Arial" w:eastAsia="Arial" w:hint="default"/>
                            <w:sz w:val="18"/>
                            <w:szCs w:val="18"/>
                          </w:rPr>
                        </w:pPr>
                        <w:r>
                          <w:rPr>
                            <w:rFonts w:ascii="Arial"/>
                            <w:w w:val="99"/>
                            <w:sz w:val="18"/>
                          </w:rPr>
                          <w:t>0</w:t>
                        </w:r>
                        <w:r>
                          <w:rPr>
                            <w:rFonts w:asci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8"/>
                          <w:jc w:val="right"/>
                          <w:rPr>
                            <w:rFonts w:ascii="Arial" w:hAnsi="Arial" w:cs="Arial" w:eastAsia="Arial" w:hint="default"/>
                            <w:sz w:val="18"/>
                            <w:szCs w:val="18"/>
                          </w:rPr>
                        </w:pPr>
                        <w:r>
                          <w:rPr>
                            <w:rFonts w:ascii="Arial"/>
                            <w:spacing w:val="-1"/>
                            <w:sz w:val="18"/>
                          </w:rPr>
                          <w:t>14,409,286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20"/>
                          <w:jc w:val="both"/>
                          <w:rPr>
                            <w:rFonts w:ascii="宋体" w:hAnsi="宋体" w:cs="宋体" w:eastAsia="宋体" w:hint="default"/>
                            <w:sz w:val="18"/>
                            <w:szCs w:val="18"/>
                          </w:rPr>
                        </w:pPr>
                        <w:r>
                          <w:rPr>
                            <w:rFonts w:ascii="宋体" w:hAnsi="宋体" w:cs="宋体" w:eastAsia="宋体" w:hint="default"/>
                            <w:spacing w:val="-6"/>
                            <w:sz w:val="18"/>
                            <w:szCs w:val="18"/>
                          </w:rPr>
                          <w:t>高管锁定；首发</w:t>
                        </w:r>
                        <w:r>
                          <w:rPr>
                            <w:rFonts w:ascii="宋体" w:hAnsi="宋体" w:cs="宋体" w:eastAsia="宋体" w:hint="default"/>
                            <w:sz w:val="18"/>
                            <w:szCs w:val="18"/>
                          </w:rPr>
                          <w:t> </w:t>
                        </w:r>
                        <w:r>
                          <w:rPr>
                            <w:rFonts w:ascii="宋体" w:hAnsi="宋体" w:cs="宋体" w:eastAsia="宋体" w:hint="default"/>
                            <w:spacing w:val="-6"/>
                            <w:sz w:val="18"/>
                            <w:szCs w:val="18"/>
                          </w:rPr>
                          <w:t>后限售股；股权</w:t>
                        </w:r>
                        <w:r>
                          <w:rPr>
                            <w:rFonts w:ascii="宋体" w:hAnsi="宋体" w:cs="宋体" w:eastAsia="宋体" w:hint="default"/>
                            <w:sz w:val="18"/>
                            <w:szCs w:val="18"/>
                          </w:rPr>
                          <w:t> 激励限售股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1"/>
                          <w:jc w:val="left"/>
                          <w:rPr>
                            <w:rFonts w:ascii="宋体" w:hAnsi="宋体" w:cs="宋体" w:eastAsia="宋体" w:hint="default"/>
                            <w:sz w:val="18"/>
                            <w:szCs w:val="18"/>
                          </w:rPr>
                        </w:pPr>
                        <w:r>
                          <w:rPr>
                            <w:rFonts w:ascii="宋体" w:hAnsi="宋体" w:cs="宋体" w:eastAsia="宋体" w:hint="default"/>
                            <w:spacing w:val="-3"/>
                            <w:sz w:val="18"/>
                            <w:szCs w:val="18"/>
                          </w:rPr>
                          <w:t>高管锁定：每年解锁</w:t>
                        </w:r>
                        <w:r>
                          <w:rPr>
                            <w:rFonts w:ascii="宋体" w:hAnsi="宋体" w:cs="宋体" w:eastAsia="宋体" w:hint="default"/>
                            <w:spacing w:val="-39"/>
                            <w:sz w:val="18"/>
                            <w:szCs w:val="18"/>
                          </w:rPr>
                          <w:t> </w:t>
                        </w:r>
                        <w:r>
                          <w:rPr>
                            <w:rFonts w:ascii="Arial" w:hAnsi="Arial" w:cs="Arial" w:eastAsia="Arial" w:hint="default"/>
                            <w:spacing w:val="-3"/>
                            <w:sz w:val="18"/>
                            <w:szCs w:val="18"/>
                          </w:rPr>
                          <w:t>25%</w:t>
                        </w:r>
                        <w:r>
                          <w:rPr>
                            <w:rFonts w:ascii="宋体" w:hAnsi="宋体" w:cs="宋体" w:eastAsia="宋体" w:hint="default"/>
                            <w:spacing w:val="-3"/>
                            <w:sz w:val="18"/>
                            <w:szCs w:val="18"/>
                          </w:rPr>
                          <w:t>；股权激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励限售股：自股份发行结束之日起 锁定 </w:t>
                        </w:r>
                        <w:r>
                          <w:rPr>
                            <w:rFonts w:ascii="Arial" w:hAnsi="Arial" w:cs="Arial" w:eastAsia="Arial" w:hint="default"/>
                            <w:sz w:val="18"/>
                            <w:szCs w:val="18"/>
                          </w:rPr>
                          <w:t>12 </w:t>
                        </w:r>
                        <w:r>
                          <w:rPr>
                            <w:rFonts w:ascii="宋体" w:hAnsi="宋体" w:cs="宋体" w:eastAsia="宋体" w:hint="default"/>
                            <w:sz w:val="18"/>
                            <w:szCs w:val="18"/>
                          </w:rPr>
                          <w:t>个月，之后按照</w:t>
                        </w:r>
                        <w:r>
                          <w:rPr>
                            <w:rFonts w:ascii="宋体" w:hAnsi="宋体" w:cs="宋体" w:eastAsia="宋体" w:hint="default"/>
                            <w:spacing w:val="-13"/>
                            <w:sz w:val="18"/>
                            <w:szCs w:val="18"/>
                          </w:rPr>
                          <w:t> </w:t>
                        </w:r>
                        <w:r>
                          <w:rPr>
                            <w:rFonts w:ascii="Arial" w:hAnsi="Arial" w:cs="Arial" w:eastAsia="Arial" w:hint="default"/>
                            <w:sz w:val="18"/>
                            <w:szCs w:val="18"/>
                          </w:rPr>
                          <w:t>30%</w:t>
                        </w:r>
                        <w:r>
                          <w:rPr>
                            <w:rFonts w:ascii="宋体" w:hAnsi="宋体" w:cs="宋体" w:eastAsia="宋体" w:hint="default"/>
                            <w:sz w:val="18"/>
                            <w:szCs w:val="18"/>
                          </w:rPr>
                          <w:t>、 </w:t>
                        </w:r>
                        <w:r>
                          <w:rPr>
                            <w:rFonts w:ascii="Arial" w:hAnsi="Arial" w:cs="Arial" w:eastAsia="Arial" w:hint="default"/>
                            <w:spacing w:val="-6"/>
                            <w:sz w:val="18"/>
                            <w:szCs w:val="18"/>
                          </w:rPr>
                          <w:t>30%</w:t>
                        </w:r>
                        <w:r>
                          <w:rPr>
                            <w:rFonts w:ascii="宋体" w:hAnsi="宋体" w:cs="宋体" w:eastAsia="宋体" w:hint="default"/>
                            <w:spacing w:val="-6"/>
                            <w:sz w:val="18"/>
                            <w:szCs w:val="18"/>
                          </w:rPr>
                          <w:t>、</w:t>
                        </w:r>
                        <w:r>
                          <w:rPr>
                            <w:rFonts w:ascii="Arial" w:hAnsi="Arial" w:cs="Arial" w:eastAsia="Arial" w:hint="default"/>
                            <w:spacing w:val="-6"/>
                            <w:sz w:val="18"/>
                            <w:szCs w:val="18"/>
                          </w:rPr>
                          <w:t>40%</w:t>
                        </w:r>
                        <w:r>
                          <w:rPr>
                            <w:rFonts w:ascii="宋体" w:hAnsi="宋体" w:cs="宋体" w:eastAsia="宋体" w:hint="default"/>
                            <w:spacing w:val="-6"/>
                            <w:sz w:val="18"/>
                            <w:szCs w:val="18"/>
                          </w:rPr>
                          <w:t>分批解锁；首发后承诺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自股份发行之日起</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个月不得转</w:t>
                        </w:r>
                      </w:p>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让或</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个月后分三次解锁或发行</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46"/>
                            <w:sz w:val="18"/>
                            <w:szCs w:val="18"/>
                          </w:rPr>
                          <w:t> </w:t>
                        </w:r>
                        <w:r>
                          <w:rPr>
                            <w:rFonts w:ascii="Arial" w:hAnsi="Arial" w:cs="Arial" w:eastAsia="Arial" w:hint="default"/>
                            <w:sz w:val="18"/>
                            <w:szCs w:val="18"/>
                          </w:rPr>
                          <w:t>36</w:t>
                        </w:r>
                        <w:r>
                          <w:rPr>
                            <w:rFonts w:ascii="Arial" w:hAnsi="Arial" w:cs="Arial" w:eastAsia="Arial" w:hint="default"/>
                            <w:spacing w:val="-7"/>
                            <w:sz w:val="18"/>
                            <w:szCs w:val="18"/>
                          </w:rPr>
                          <w:t> </w:t>
                        </w:r>
                        <w:r>
                          <w:rPr>
                            <w:rFonts w:ascii="宋体" w:hAnsi="宋体" w:cs="宋体" w:eastAsia="宋体" w:hint="default"/>
                            <w:sz w:val="18"/>
                            <w:szCs w:val="18"/>
                          </w:rPr>
                          <w:t>个月内不得转让</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258,903,825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69,623,936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Arial" w:hAnsi="Arial" w:cs="Arial" w:eastAsia="Arial" w:hint="default"/>
                            <w:sz w:val="18"/>
                            <w:szCs w:val="18"/>
                          </w:rPr>
                        </w:pPr>
                        <w:r>
                          <w:rPr>
                            <w:rFonts w:ascii="Arial"/>
                            <w:w w:val="99"/>
                            <w:sz w:val="18"/>
                          </w:rPr>
                          <w:t>0</w:t>
                        </w:r>
                        <w:r>
                          <w:rPr>
                            <w:rFonts w:asci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189,279,889</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Arial" w:hAnsi="Arial" w:cs="Arial" w:eastAsia="Arial" w:hint="default"/>
                            <w:sz w:val="18"/>
                            <w:szCs w:val="18"/>
                          </w:rPr>
                        </w:pPr>
                        <w:r>
                          <w:rPr>
                            <w:rFonts w:ascii="Arial"/>
                            <w:sz w:val="18"/>
                          </w:rPr>
                          <w:t>--</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Arial" w:hAnsi="Arial" w:cs="Arial" w:eastAsia="Arial" w:hint="default"/>
                            <w:sz w:val="18"/>
                            <w:szCs w:val="18"/>
                          </w:rPr>
                        </w:pPr>
                        <w:r>
                          <w:rPr>
                            <w:rFonts w:ascii="Arial"/>
                            <w:sz w:val="18"/>
                          </w:rPr>
                          <w:t>--</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type w:val="continuous"/>
          <w:pgSz w:w="11910" w:h="16840"/>
          <w:pgMar w:top="1060" w:bottom="1160" w:left="1020" w:right="0"/>
        </w:sectPr>
      </w:pPr>
    </w:p>
    <w:p>
      <w:pPr>
        <w:spacing w:line="240" w:lineRule="auto" w:before="10"/>
        <w:rPr>
          <w:rFonts w:ascii="宋体" w:hAnsi="宋体" w:cs="宋体" w:eastAsia="宋体" w:hint="default"/>
          <w:sz w:val="19"/>
          <w:szCs w:val="19"/>
        </w:rPr>
      </w:pPr>
    </w:p>
    <w:p>
      <w:pPr>
        <w:pStyle w:val="Heading2"/>
        <w:spacing w:line="240" w:lineRule="auto"/>
        <w:ind w:right="996"/>
        <w:jc w:val="left"/>
        <w:rPr>
          <w:b w:val="0"/>
          <w:bCs w:val="0"/>
        </w:rPr>
      </w:pPr>
      <w:bookmarkStart w:name="二、证券发行与上市情况" w:id="105"/>
      <w:bookmarkEnd w:id="105"/>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96"/>
        <w:jc w:val="left"/>
        <w:rPr>
          <w:b w:val="0"/>
          <w:bCs w:val="0"/>
        </w:rPr>
      </w:pPr>
      <w:bookmarkStart w:name="1、报告期内证券发行（不含优先股）情况" w:id="106"/>
      <w:bookmarkEnd w:id="106"/>
      <w:r>
        <w:rPr>
          <w:b w:val="0"/>
          <w:bCs w:val="0"/>
        </w:rPr>
      </w:r>
      <w:r>
        <w:rPr>
          <w:rFonts w:ascii="Arial" w:hAnsi="Arial" w:cs="Arial" w:eastAsia="Arial" w:hint="default"/>
        </w:rPr>
        <w:t>1</w:t>
      </w:r>
      <w:r>
        <w:rPr/>
        <w:t>、报告期内证券发行（不含优先股）情况</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right="996"/>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3"/>
        <w:rPr>
          <w:rFonts w:ascii="宋体" w:hAnsi="宋体" w:cs="宋体" w:eastAsia="宋体" w:hint="default"/>
          <w:sz w:val="23"/>
          <w:szCs w:val="23"/>
        </w:rPr>
      </w:pPr>
    </w:p>
    <w:p>
      <w:pPr>
        <w:pStyle w:val="Heading4"/>
        <w:spacing w:line="240" w:lineRule="auto"/>
        <w:ind w:right="996"/>
        <w:jc w:val="left"/>
        <w:rPr>
          <w:b w:val="0"/>
          <w:bCs w:val="0"/>
        </w:rPr>
      </w:pPr>
      <w:bookmarkStart w:name="2、公司股份总数及股东结构的变动、公司资产和负债结构的变动情况说明" w:id="107"/>
      <w:bookmarkEnd w:id="107"/>
      <w:r>
        <w:rPr>
          <w:b w:val="0"/>
          <w:bCs w:val="0"/>
        </w:rPr>
      </w:r>
      <w:r>
        <w:rPr>
          <w:rFonts w:ascii="Arial" w:hAnsi="Arial" w:cs="Arial" w:eastAsia="Arial" w:hint="default"/>
        </w:rPr>
        <w:t>2</w:t>
      </w:r>
      <w:r>
        <w:rPr/>
        <w:t>、公司股份总数及股东结构的变动、公司资产和负债结构的变动情况说明</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right="996"/>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pStyle w:val="Heading3"/>
        <w:spacing w:line="259" w:lineRule="auto" w:before="43"/>
        <w:ind w:right="959" w:firstLine="480"/>
        <w:jc w:val="left"/>
      </w:pPr>
      <w:r>
        <w:rPr>
          <w:rFonts w:ascii="Arial" w:hAnsi="Arial" w:cs="Arial" w:eastAsia="Arial" w:hint="default"/>
          <w:spacing w:val="-3"/>
        </w:rPr>
        <w:t>2018</w:t>
      </w:r>
      <w:r>
        <w:rPr>
          <w:spacing w:val="-3"/>
        </w:rPr>
        <w:t>年</w:t>
      </w:r>
      <w:r>
        <w:rPr>
          <w:rFonts w:ascii="Arial" w:hAnsi="Arial" w:cs="Arial" w:eastAsia="Arial" w:hint="default"/>
          <w:spacing w:val="-3"/>
        </w:rPr>
        <w:t>6</w:t>
      </w:r>
      <w:r>
        <w:rPr>
          <w:spacing w:val="-3"/>
        </w:rPr>
        <w:t>月</w:t>
      </w:r>
      <w:r>
        <w:rPr>
          <w:rFonts w:ascii="Arial" w:hAnsi="Arial" w:cs="Arial" w:eastAsia="Arial" w:hint="default"/>
          <w:spacing w:val="-3"/>
        </w:rPr>
        <w:t>8</w:t>
      </w:r>
      <w:r>
        <w:rPr>
          <w:spacing w:val="-3"/>
        </w:rPr>
        <w:t>日，公司披露了《关于补偿义务人陈京念应补偿股份回购注销完成的公告》，</w:t>
      </w:r>
      <w:r>
        <w:rPr/>
        <w:t> 回购陈京念应补偿的股份 </w:t>
      </w:r>
      <w:r>
        <w:rPr>
          <w:rFonts w:ascii="Arial" w:hAnsi="Arial" w:cs="Arial" w:eastAsia="Arial" w:hint="default"/>
          <w:spacing w:val="-3"/>
        </w:rPr>
        <w:t>3,300,116</w:t>
      </w:r>
      <w:r>
        <w:rPr>
          <w:spacing w:val="-3"/>
        </w:rPr>
        <w:t>股，并于 </w:t>
      </w:r>
      <w:r>
        <w:rPr>
          <w:rFonts w:ascii="Arial" w:hAnsi="Arial" w:cs="Arial" w:eastAsia="Arial" w:hint="default"/>
        </w:rPr>
        <w:t>2018 </w:t>
      </w:r>
      <w:r>
        <w:rPr/>
        <w:t>年 </w:t>
      </w:r>
      <w:r>
        <w:rPr>
          <w:rFonts w:ascii="Arial" w:hAnsi="Arial" w:cs="Arial" w:eastAsia="Arial" w:hint="default"/>
        </w:rPr>
        <w:t>6 </w:t>
      </w:r>
      <w:r>
        <w:rPr/>
        <w:t>月 </w:t>
      </w:r>
      <w:r>
        <w:rPr>
          <w:rFonts w:ascii="Arial" w:hAnsi="Arial" w:cs="Arial" w:eastAsia="Arial" w:hint="default"/>
        </w:rPr>
        <w:t>6</w:t>
      </w:r>
      <w:r>
        <w:rPr>
          <w:rFonts w:ascii="Arial" w:hAnsi="Arial" w:cs="Arial" w:eastAsia="Arial" w:hint="default"/>
          <w:spacing w:val="27"/>
        </w:rPr>
        <w:t> </w:t>
      </w:r>
      <w:r>
        <w:rPr/>
        <w:t>日在中国证券登记结算有限 责任公司深圳分公司完成注销手续。</w:t>
      </w:r>
    </w:p>
    <w:p>
      <w:pPr>
        <w:pStyle w:val="Heading3"/>
        <w:spacing w:line="259" w:lineRule="auto" w:before="26"/>
        <w:ind w:right="996" w:firstLine="480"/>
        <w:jc w:val="left"/>
      </w:pPr>
      <w:r>
        <w:rPr>
          <w:rFonts w:ascii="Arial" w:hAnsi="Arial" w:cs="Arial" w:eastAsia="Arial" w:hint="default"/>
          <w:spacing w:val="-2"/>
        </w:rPr>
        <w:t>2018</w:t>
      </w:r>
      <w:r>
        <w:rPr>
          <w:spacing w:val="-2"/>
        </w:rPr>
        <w:t>年</w:t>
      </w:r>
      <w:r>
        <w:rPr>
          <w:rFonts w:ascii="Arial" w:hAnsi="Arial" w:cs="Arial" w:eastAsia="Arial" w:hint="default"/>
          <w:spacing w:val="-2"/>
        </w:rPr>
        <w:t>7</w:t>
      </w:r>
      <w:r>
        <w:rPr>
          <w:spacing w:val="-2"/>
        </w:rPr>
        <w:t>月</w:t>
      </w:r>
      <w:r>
        <w:rPr>
          <w:rFonts w:ascii="Arial" w:hAnsi="Arial" w:cs="Arial" w:eastAsia="Arial" w:hint="default"/>
          <w:spacing w:val="-2"/>
        </w:rPr>
        <w:t>5</w:t>
      </w:r>
      <w:r>
        <w:rPr>
          <w:spacing w:val="-2"/>
        </w:rPr>
        <w:t>日，公司发布了《关于补偿义务人沧州地铁物资有限公司应补偿股份回购注</w:t>
      </w:r>
      <w:r>
        <w:rPr/>
        <w:t> 销完成公告》，回购沧州地铁应补偿的股份 </w:t>
      </w:r>
      <w:r>
        <w:rPr>
          <w:rFonts w:ascii="Arial" w:hAnsi="Arial" w:cs="Arial" w:eastAsia="Arial" w:hint="default"/>
        </w:rPr>
        <w:t>1,187,286 </w:t>
      </w:r>
      <w:r>
        <w:rPr/>
        <w:t>股，并于 </w:t>
      </w:r>
      <w:r>
        <w:rPr>
          <w:rFonts w:ascii="Arial" w:hAnsi="Arial" w:cs="Arial" w:eastAsia="Arial" w:hint="default"/>
        </w:rPr>
        <w:t>2018 </w:t>
      </w:r>
      <w:r>
        <w:rPr/>
        <w:t>年 </w:t>
      </w:r>
      <w:r>
        <w:rPr>
          <w:rFonts w:ascii="Arial" w:hAnsi="Arial" w:cs="Arial" w:eastAsia="Arial" w:hint="default"/>
        </w:rPr>
        <w:t>7 </w:t>
      </w:r>
      <w:r>
        <w:rPr/>
        <w:t>月 </w:t>
      </w:r>
      <w:r>
        <w:rPr>
          <w:rFonts w:ascii="Arial" w:hAnsi="Arial" w:cs="Arial" w:eastAsia="Arial" w:hint="default"/>
        </w:rPr>
        <w:t>5</w:t>
      </w:r>
      <w:r>
        <w:rPr>
          <w:rFonts w:ascii="Arial" w:hAnsi="Arial" w:cs="Arial" w:eastAsia="Arial" w:hint="default"/>
          <w:spacing w:val="4"/>
        </w:rPr>
        <w:t> </w:t>
      </w:r>
      <w:r>
        <w:rPr/>
        <w:t>日在中 国证券登记结算有限责任公司深圳分公司完成注销手续。</w:t>
      </w:r>
    </w:p>
    <w:p>
      <w:pPr>
        <w:pStyle w:val="Heading3"/>
        <w:spacing w:line="261" w:lineRule="auto" w:before="24"/>
        <w:ind w:right="1132" w:firstLine="480"/>
        <w:jc w:val="both"/>
      </w:pPr>
      <w:r>
        <w:rPr>
          <w:rFonts w:ascii="Arial" w:hAnsi="Arial" w:cs="Arial" w:eastAsia="Arial" w:hint="default"/>
          <w:spacing w:val="-2"/>
        </w:rPr>
        <w:t>2018</w:t>
      </w:r>
      <w:r>
        <w:rPr>
          <w:spacing w:val="-2"/>
        </w:rPr>
        <w:t>年</w:t>
      </w:r>
      <w:r>
        <w:rPr>
          <w:rFonts w:ascii="Arial" w:hAnsi="Arial" w:cs="Arial" w:eastAsia="Arial" w:hint="default"/>
          <w:spacing w:val="-2"/>
        </w:rPr>
        <w:t>10</w:t>
      </w:r>
      <w:r>
        <w:rPr>
          <w:spacing w:val="-2"/>
        </w:rPr>
        <w:t>月</w:t>
      </w:r>
      <w:r>
        <w:rPr>
          <w:rFonts w:ascii="Arial" w:hAnsi="Arial" w:cs="Arial" w:eastAsia="Arial" w:hint="default"/>
          <w:spacing w:val="-2"/>
        </w:rPr>
        <w:t>12</w:t>
      </w:r>
      <w:r>
        <w:rPr>
          <w:spacing w:val="-2"/>
        </w:rPr>
        <w:t>日，公司发布了《关于部分限制性股票回购注销完成公告》，回购原激励</w:t>
      </w:r>
      <w:r>
        <w:rPr/>
        <w:t> 对象李红等</w:t>
      </w:r>
      <w:r>
        <w:rPr>
          <w:rFonts w:ascii="Arial" w:hAnsi="Arial" w:cs="Arial" w:eastAsia="Arial" w:hint="default"/>
        </w:rPr>
        <w:t>56</w:t>
      </w:r>
      <w:r>
        <w:rPr/>
        <w:t>人所获授但尚未解锁的限制性股票共计</w:t>
      </w:r>
      <w:r>
        <w:rPr>
          <w:rFonts w:ascii="Arial" w:hAnsi="Arial" w:cs="Arial" w:eastAsia="Arial" w:hint="default"/>
        </w:rPr>
        <w:t>658,178</w:t>
      </w:r>
      <w:r>
        <w:rPr/>
        <w:t>股。回购价格为</w:t>
      </w:r>
      <w:r>
        <w:rPr>
          <w:rFonts w:ascii="Arial" w:hAnsi="Arial" w:cs="Arial" w:eastAsia="Arial" w:hint="default"/>
        </w:rPr>
        <w:t>5.01</w:t>
      </w:r>
      <w:r>
        <w:rPr/>
        <w:t>元</w:t>
      </w:r>
      <w:r>
        <w:rPr>
          <w:rFonts w:ascii="Arial" w:hAnsi="Arial" w:cs="Arial" w:eastAsia="Arial" w:hint="default"/>
        </w:rPr>
        <w:t>/</w:t>
      </w:r>
      <w:r>
        <w:rPr/>
        <w:t>股。详 见同日公司在巨潮资讯网披露的公告。</w:t>
      </w:r>
    </w:p>
    <w:p>
      <w:pPr>
        <w:pStyle w:val="Heading3"/>
        <w:spacing w:line="259" w:lineRule="auto" w:before="22"/>
        <w:ind w:right="1132" w:firstLine="240"/>
        <w:jc w:val="both"/>
      </w:pPr>
      <w:r>
        <w:rPr>
          <w:rFonts w:ascii="Arial" w:hAnsi="Arial" w:cs="Arial" w:eastAsia="Arial" w:hint="default"/>
          <w:spacing w:val="-2"/>
        </w:rPr>
        <w:t>2018</w:t>
      </w:r>
      <w:r>
        <w:rPr>
          <w:spacing w:val="-2"/>
        </w:rPr>
        <w:t>年</w:t>
      </w:r>
      <w:r>
        <w:rPr>
          <w:rFonts w:ascii="Arial" w:hAnsi="Arial" w:cs="Arial" w:eastAsia="Arial" w:hint="default"/>
          <w:spacing w:val="-2"/>
        </w:rPr>
        <w:t>11</w:t>
      </w:r>
      <w:r>
        <w:rPr>
          <w:spacing w:val="-2"/>
        </w:rPr>
        <w:t>月</w:t>
      </w:r>
      <w:r>
        <w:rPr>
          <w:rFonts w:ascii="Arial" w:hAnsi="Arial" w:cs="Arial" w:eastAsia="Arial" w:hint="default"/>
          <w:spacing w:val="-2"/>
        </w:rPr>
        <w:t>30</w:t>
      </w:r>
      <w:r>
        <w:rPr>
          <w:spacing w:val="-2"/>
        </w:rPr>
        <w:t>日，公司发布了《关于部分限制性股票回购注销完成公告》，回购原激励对</w:t>
      </w:r>
      <w:r>
        <w:rPr/>
        <w:t> </w:t>
      </w:r>
      <w:r>
        <w:rPr>
          <w:spacing w:val="-2"/>
        </w:rPr>
        <w:t>象马平等</w:t>
      </w:r>
      <w:r>
        <w:rPr>
          <w:rFonts w:ascii="Arial" w:hAnsi="Arial" w:cs="Arial" w:eastAsia="Arial" w:hint="default"/>
          <w:spacing w:val="-2"/>
        </w:rPr>
        <w:t>141</w:t>
      </w:r>
      <w:r>
        <w:rPr>
          <w:spacing w:val="-2"/>
        </w:rPr>
        <w:t>人所获授但尚未解锁的限制性股票共计</w:t>
      </w:r>
      <w:r>
        <w:rPr>
          <w:rFonts w:ascii="Arial" w:hAnsi="Arial" w:cs="Arial" w:eastAsia="Arial" w:hint="default"/>
          <w:spacing w:val="-2"/>
        </w:rPr>
        <w:t>1,259,750</w:t>
      </w:r>
      <w:r>
        <w:rPr>
          <w:spacing w:val="-2"/>
        </w:rPr>
        <w:t>股。回购价格为</w:t>
      </w:r>
      <w:r>
        <w:rPr>
          <w:rFonts w:ascii="Arial" w:hAnsi="Arial" w:cs="Arial" w:eastAsia="Arial" w:hint="default"/>
          <w:spacing w:val="-2"/>
        </w:rPr>
        <w:t>9.93</w:t>
      </w:r>
      <w:r>
        <w:rPr>
          <w:spacing w:val="-2"/>
        </w:rPr>
        <w:t>元</w:t>
      </w:r>
      <w:r>
        <w:rPr>
          <w:rFonts w:ascii="Arial" w:hAnsi="Arial" w:cs="Arial" w:eastAsia="Arial" w:hint="default"/>
          <w:spacing w:val="-2"/>
        </w:rPr>
        <w:t>/</w:t>
      </w:r>
      <w:r>
        <w:rPr>
          <w:spacing w:val="-2"/>
        </w:rPr>
        <w:t>股。详</w:t>
      </w:r>
      <w:r>
        <w:rPr>
          <w:spacing w:val="-80"/>
        </w:rPr>
        <w:t> </w:t>
      </w:r>
      <w:r>
        <w:rPr>
          <w:spacing w:val="-80"/>
        </w:rPr>
      </w:r>
      <w:r>
        <w:rPr/>
        <w:t>见同日公司在巨潮资讯网披露的公告。</w:t>
      </w:r>
    </w:p>
    <w:p>
      <w:pPr>
        <w:spacing w:line="240" w:lineRule="auto" w:before="12"/>
        <w:rPr>
          <w:rFonts w:ascii="宋体" w:hAnsi="宋体" w:cs="宋体" w:eastAsia="宋体" w:hint="default"/>
          <w:sz w:val="24"/>
          <w:szCs w:val="24"/>
        </w:rPr>
      </w:pPr>
    </w:p>
    <w:p>
      <w:pPr>
        <w:pStyle w:val="Heading4"/>
        <w:spacing w:line="240" w:lineRule="auto"/>
        <w:ind w:right="996"/>
        <w:jc w:val="left"/>
        <w:rPr>
          <w:b w:val="0"/>
          <w:bCs w:val="0"/>
        </w:rPr>
      </w:pPr>
      <w:bookmarkStart w:name="3、现存的内部职工股情况" w:id="108"/>
      <w:bookmarkEnd w:id="108"/>
      <w:r>
        <w:rPr>
          <w:b w:val="0"/>
          <w:bCs w:val="0"/>
        </w:rPr>
      </w:r>
      <w:r>
        <w:rPr>
          <w:rFonts w:ascii="Arial" w:hAnsi="Arial" w:cs="Arial" w:eastAsia="Arial" w:hint="default"/>
        </w:rPr>
        <w:t>3</w:t>
      </w:r>
      <w:r>
        <w:rPr/>
        <w:t>、现存的内部职工股情况</w:t>
      </w:r>
      <w:r>
        <w:rPr>
          <w:b w:val="0"/>
          <w:bCs w:val="0"/>
        </w:rPr>
      </w:r>
    </w:p>
    <w:p>
      <w:pPr>
        <w:spacing w:line="240" w:lineRule="auto" w:before="11"/>
        <w:rPr>
          <w:rFonts w:ascii="宋体" w:hAnsi="宋体" w:cs="宋体" w:eastAsia="宋体" w:hint="default"/>
          <w:b/>
          <w:bCs/>
          <w:sz w:val="22"/>
          <w:szCs w:val="22"/>
        </w:rPr>
      </w:pPr>
    </w:p>
    <w:p>
      <w:pPr>
        <w:spacing w:line="465" w:lineRule="auto" w:before="0"/>
        <w:ind w:left="112" w:right="7862" w:firstLine="0"/>
        <w:jc w:val="left"/>
        <w:rPr>
          <w:rFonts w:ascii="宋体" w:hAnsi="宋体" w:cs="宋体" w:eastAsia="宋体" w:hint="default"/>
          <w:sz w:val="21"/>
          <w:szCs w:val="21"/>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w:t>
      </w:r>
      <w:bookmarkStart w:name="三、股东和实际控制人情况" w:id="109"/>
      <w:bookmarkEnd w:id="109"/>
      <w:r>
        <w:rPr>
          <w:rFonts w:ascii="宋体" w:hAnsi="宋体" w:cs="宋体" w:eastAsia="宋体" w:hint="default"/>
          <w:sz w:val="24"/>
          <w:szCs w:val="24"/>
        </w:rPr>
      </w:r>
      <w:r>
        <w:rPr>
          <w:rFonts w:ascii="宋体" w:hAnsi="宋体" w:cs="宋体" w:eastAsia="宋体" w:hint="default"/>
          <w:b/>
          <w:bCs/>
          <w:sz w:val="24"/>
          <w:szCs w:val="24"/>
        </w:rPr>
        <w:t>三、股东和实际控制人情况</w:t>
      </w:r>
      <w:r>
        <w:rPr>
          <w:rFonts w:ascii="宋体" w:hAnsi="宋体" w:cs="宋体" w:eastAsia="宋体" w:hint="default"/>
          <w:b/>
          <w:bCs/>
          <w:w w:val="99"/>
          <w:sz w:val="24"/>
          <w:szCs w:val="24"/>
        </w:rPr>
        <w:t> </w:t>
      </w:r>
      <w:bookmarkStart w:name="1、公司股东数量及持股情况" w:id="110"/>
      <w:bookmarkEnd w:id="110"/>
      <w:r>
        <w:rPr>
          <w:rFonts w:ascii="宋体" w:hAnsi="宋体" w:cs="宋体" w:eastAsia="宋体" w:hint="default"/>
          <w:b/>
          <w:bCs/>
          <w:w w:val="99"/>
          <w:sz w:val="24"/>
          <w:szCs w:val="24"/>
        </w:rPr>
      </w:r>
      <w:r>
        <w:rPr>
          <w:rFonts w:ascii="Arial" w:hAnsi="Arial" w:cs="Arial" w:eastAsia="Arial"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pStyle w:val="BodyText"/>
        <w:spacing w:line="240" w:lineRule="auto" w:before="101"/>
        <w:ind w:left="0" w:right="1135"/>
        <w:jc w:val="right"/>
      </w:pPr>
      <w:r>
        <w:rPr/>
        <w:pict>
          <v:shape style="position:absolute;margin-left:190.440002pt;margin-top:95.11367pt;width:70.1pt;height:55.4pt;mso-position-horizontal-relative:page;mso-position-vertical-relative:paragraph;z-index:-861928"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spacing w:before="0"/>
                    <w:ind w:left="0" w:right="0" w:firstLine="0"/>
                    <w:jc w:val="lef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xbxContent>
            </v:textbox>
            <w10:wrap type="none"/>
          </v:shape>
        </w:pict>
      </w:r>
      <w:r>
        <w:rPr>
          <w:w w:val="95"/>
        </w:rPr>
        <w:t>单位：股</w:t>
      </w:r>
      <w:r>
        <w:rPr/>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359"/>
        <w:gridCol w:w="735"/>
        <w:gridCol w:w="708"/>
        <w:gridCol w:w="1276"/>
        <w:gridCol w:w="992"/>
        <w:gridCol w:w="1276"/>
        <w:gridCol w:w="175"/>
        <w:gridCol w:w="655"/>
        <w:gridCol w:w="446"/>
        <w:gridCol w:w="709"/>
        <w:gridCol w:w="883"/>
        <w:gridCol w:w="353"/>
      </w:tblGrid>
      <w:tr>
        <w:trPr>
          <w:trHeight w:val="1026" w:hRule="exact"/>
        </w:trPr>
        <w:tc>
          <w:tcPr>
            <w:tcW w:w="13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4"/>
                <w:szCs w:val="14"/>
              </w:rPr>
            </w:pPr>
          </w:p>
          <w:p>
            <w:pPr>
              <w:pStyle w:val="TableParagraph"/>
              <w:spacing w:line="285" w:lineRule="auto"/>
              <w:ind w:left="22" w:right="124"/>
              <w:jc w:val="left"/>
              <w:rPr>
                <w:rFonts w:ascii="宋体" w:hAnsi="宋体" w:cs="宋体" w:eastAsia="宋体" w:hint="default"/>
                <w:sz w:val="20"/>
                <w:szCs w:val="20"/>
              </w:rPr>
            </w:pPr>
            <w:r>
              <w:rPr>
                <w:rFonts w:ascii="宋体" w:hAnsi="宋体" w:cs="宋体" w:eastAsia="宋体" w:hint="default"/>
                <w:sz w:val="20"/>
                <w:szCs w:val="20"/>
              </w:rPr>
              <w:t>报告期末普通</w:t>
            </w:r>
            <w:r>
              <w:rPr>
                <w:rFonts w:ascii="宋体" w:hAnsi="宋体" w:cs="宋体" w:eastAsia="宋体" w:hint="default"/>
                <w:w w:val="99"/>
                <w:sz w:val="20"/>
                <w:szCs w:val="20"/>
              </w:rPr>
              <w:t> </w:t>
            </w:r>
            <w:r>
              <w:rPr>
                <w:rFonts w:ascii="宋体" w:hAnsi="宋体" w:cs="宋体" w:eastAsia="宋体" w:hint="default"/>
                <w:sz w:val="20"/>
                <w:szCs w:val="20"/>
              </w:rPr>
              <w:t>股股东总数</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68" w:right="0"/>
              <w:jc w:val="center"/>
              <w:rPr>
                <w:rFonts w:ascii="Arial" w:hAnsi="Arial" w:cs="Arial" w:eastAsia="Arial" w:hint="default"/>
                <w:sz w:val="20"/>
                <w:szCs w:val="20"/>
              </w:rPr>
            </w:pPr>
            <w:r>
              <w:rPr>
                <w:rFonts w:ascii="Arial"/>
                <w:sz w:val="20"/>
              </w:rPr>
              <w:t>20,151</w:t>
            </w: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35"/>
              <w:ind w:left="23" w:right="148"/>
              <w:jc w:val="both"/>
              <w:rPr>
                <w:rFonts w:ascii="宋体" w:hAnsi="宋体" w:cs="宋体" w:eastAsia="宋体" w:hint="default"/>
                <w:sz w:val="20"/>
                <w:szCs w:val="20"/>
              </w:rPr>
            </w:pPr>
            <w:r>
              <w:rPr>
                <w:rFonts w:ascii="宋体" w:hAnsi="宋体" w:cs="宋体" w:eastAsia="宋体" w:hint="default"/>
                <w:sz w:val="20"/>
                <w:szCs w:val="20"/>
              </w:rPr>
              <w:t>年度报告披露日前上</w:t>
            </w:r>
            <w:r>
              <w:rPr>
                <w:rFonts w:ascii="宋体" w:hAnsi="宋体" w:cs="宋体" w:eastAsia="宋体" w:hint="default"/>
                <w:w w:val="99"/>
                <w:sz w:val="20"/>
                <w:szCs w:val="20"/>
              </w:rPr>
              <w:t> </w:t>
            </w:r>
            <w:r>
              <w:rPr>
                <w:rFonts w:ascii="宋体" w:hAnsi="宋体" w:cs="宋体" w:eastAsia="宋体" w:hint="default"/>
                <w:sz w:val="20"/>
                <w:szCs w:val="20"/>
              </w:rPr>
              <w:t>一月末普通股股东总</w:t>
            </w:r>
            <w:r>
              <w:rPr>
                <w:rFonts w:ascii="宋体" w:hAnsi="宋体" w:cs="宋体" w:eastAsia="宋体" w:hint="default"/>
                <w:w w:val="99"/>
                <w:sz w:val="20"/>
                <w:szCs w:val="20"/>
              </w:rPr>
              <w:t> </w:t>
            </w:r>
            <w:r>
              <w:rPr>
                <w:rFonts w:ascii="宋体" w:hAnsi="宋体" w:cs="宋体" w:eastAsia="宋体" w:hint="default"/>
                <w:sz w:val="20"/>
                <w:szCs w:val="20"/>
              </w:rPr>
              <w:t>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348" w:right="0"/>
              <w:jc w:val="left"/>
              <w:rPr>
                <w:rFonts w:ascii="Arial" w:hAnsi="Arial" w:cs="Arial" w:eastAsia="Arial" w:hint="default"/>
                <w:sz w:val="20"/>
                <w:szCs w:val="20"/>
              </w:rPr>
            </w:pPr>
            <w:r>
              <w:rPr>
                <w:rFonts w:ascii="Arial"/>
                <w:sz w:val="20"/>
              </w:rPr>
              <w:t>15,745</w:t>
            </w:r>
          </w:p>
        </w:tc>
        <w:tc>
          <w:tcPr>
            <w:tcW w:w="14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35"/>
              <w:ind w:left="23" w:right="215"/>
              <w:jc w:val="both"/>
              <w:rPr>
                <w:rFonts w:ascii="宋体" w:hAnsi="宋体" w:cs="宋体" w:eastAsia="宋体" w:hint="default"/>
                <w:sz w:val="20"/>
                <w:szCs w:val="20"/>
              </w:rPr>
            </w:pPr>
            <w:r>
              <w:rPr>
                <w:rFonts w:ascii="宋体" w:hAnsi="宋体" w:cs="宋体" w:eastAsia="宋体" w:hint="default"/>
                <w:sz w:val="20"/>
                <w:szCs w:val="20"/>
              </w:rPr>
              <w:t>报告期末表决</w:t>
            </w:r>
            <w:r>
              <w:rPr>
                <w:rFonts w:ascii="宋体" w:hAnsi="宋体" w:cs="宋体" w:eastAsia="宋体" w:hint="default"/>
                <w:w w:val="99"/>
                <w:sz w:val="20"/>
                <w:szCs w:val="20"/>
              </w:rPr>
              <w:t> </w:t>
            </w:r>
            <w:r>
              <w:rPr>
                <w:rFonts w:ascii="宋体" w:hAnsi="宋体" w:cs="宋体" w:eastAsia="宋体" w:hint="default"/>
                <w:sz w:val="20"/>
                <w:szCs w:val="20"/>
              </w:rPr>
              <w:t>权恢复的优先</w:t>
            </w:r>
            <w:r>
              <w:rPr>
                <w:rFonts w:ascii="宋体" w:hAnsi="宋体" w:cs="宋体" w:eastAsia="宋体" w:hint="default"/>
                <w:w w:val="99"/>
                <w:sz w:val="20"/>
                <w:szCs w:val="20"/>
              </w:rPr>
              <w:t> </w:t>
            </w:r>
            <w:r>
              <w:rPr>
                <w:rFonts w:ascii="宋体" w:hAnsi="宋体" w:cs="宋体" w:eastAsia="宋体" w:hint="default"/>
                <w:sz w:val="20"/>
                <w:szCs w:val="20"/>
              </w:rPr>
              <w:t>股股东总数</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20"/>
              <w:jc w:val="right"/>
              <w:rPr>
                <w:rFonts w:ascii="Arial" w:hAnsi="Arial" w:cs="Arial" w:eastAsia="Arial" w:hint="default"/>
                <w:sz w:val="20"/>
                <w:szCs w:val="20"/>
              </w:rPr>
            </w:pPr>
            <w:r>
              <w:rPr>
                <w:rFonts w:ascii="Arial"/>
                <w:w w:val="99"/>
                <w:sz w:val="20"/>
              </w:rPr>
              <w:t>0</w:t>
            </w:r>
            <w:r>
              <w:rPr>
                <w:rFonts w:ascii="Arial"/>
                <w:sz w:val="20"/>
              </w:rPr>
            </w:r>
          </w:p>
        </w:tc>
        <w:tc>
          <w:tcPr>
            <w:tcW w:w="203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35"/>
              <w:ind w:left="22" w:right="203"/>
              <w:jc w:val="both"/>
              <w:rPr>
                <w:rFonts w:ascii="宋体" w:hAnsi="宋体" w:cs="宋体" w:eastAsia="宋体" w:hint="default"/>
                <w:sz w:val="20"/>
                <w:szCs w:val="20"/>
              </w:rPr>
            </w:pPr>
            <w:r>
              <w:rPr>
                <w:rFonts w:ascii="宋体" w:hAnsi="宋体" w:cs="宋体" w:eastAsia="宋体" w:hint="default"/>
                <w:sz w:val="20"/>
                <w:szCs w:val="20"/>
              </w:rPr>
              <w:t>年度报告披露日前上</w:t>
            </w:r>
            <w:r>
              <w:rPr>
                <w:rFonts w:ascii="宋体" w:hAnsi="宋体" w:cs="宋体" w:eastAsia="宋体" w:hint="default"/>
                <w:w w:val="99"/>
                <w:sz w:val="20"/>
                <w:szCs w:val="20"/>
              </w:rPr>
              <w:t> </w:t>
            </w:r>
            <w:r>
              <w:rPr>
                <w:rFonts w:ascii="宋体" w:hAnsi="宋体" w:cs="宋体" w:eastAsia="宋体" w:hint="default"/>
                <w:sz w:val="20"/>
                <w:szCs w:val="20"/>
              </w:rPr>
              <w:t>一月末表决权恢复的</w:t>
            </w:r>
            <w:r>
              <w:rPr>
                <w:rFonts w:ascii="宋体" w:hAnsi="宋体" w:cs="宋体" w:eastAsia="宋体" w:hint="default"/>
                <w:w w:val="99"/>
                <w:sz w:val="20"/>
                <w:szCs w:val="20"/>
              </w:rPr>
              <w:t> </w:t>
            </w:r>
            <w:r>
              <w:rPr>
                <w:rFonts w:ascii="宋体" w:hAnsi="宋体" w:cs="宋体" w:eastAsia="宋体" w:hint="default"/>
                <w:sz w:val="20"/>
                <w:szCs w:val="20"/>
              </w:rPr>
              <w:t>优先股股东总数</w:t>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209" w:right="0"/>
              <w:jc w:val="left"/>
              <w:rPr>
                <w:rFonts w:ascii="Arial" w:hAnsi="Arial" w:cs="Arial" w:eastAsia="Arial" w:hint="default"/>
                <w:sz w:val="20"/>
                <w:szCs w:val="20"/>
              </w:rPr>
            </w:pPr>
            <w:r>
              <w:rPr>
                <w:rFonts w:ascii="Arial"/>
                <w:w w:val="99"/>
                <w:sz w:val="20"/>
              </w:rPr>
              <w:t>0</w:t>
            </w:r>
            <w:r>
              <w:rPr>
                <w:rFonts w:ascii="Arial"/>
                <w:sz w:val="20"/>
              </w:rPr>
            </w:r>
          </w:p>
        </w:tc>
      </w:tr>
      <w:tr>
        <w:trPr>
          <w:trHeight w:val="402" w:hRule="exact"/>
        </w:trPr>
        <w:tc>
          <w:tcPr>
            <w:tcW w:w="9567"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847" w:right="0"/>
              <w:jc w:val="left"/>
              <w:rPr>
                <w:rFonts w:ascii="宋体" w:hAnsi="宋体" w:cs="宋体" w:eastAsia="宋体" w:hint="default"/>
                <w:sz w:val="20"/>
                <w:szCs w:val="20"/>
              </w:rPr>
            </w:pPr>
            <w:r>
              <w:rPr>
                <w:rFonts w:ascii="宋体" w:hAnsi="宋体" w:cs="宋体" w:eastAsia="宋体" w:hint="default"/>
                <w:sz w:val="20"/>
                <w:szCs w:val="20"/>
              </w:rPr>
              <w:t>持股</w:t>
            </w:r>
            <w:r>
              <w:rPr>
                <w:rFonts w:ascii="宋体" w:hAnsi="宋体" w:cs="宋体" w:eastAsia="宋体" w:hint="default"/>
                <w:spacing w:val="-52"/>
                <w:sz w:val="20"/>
                <w:szCs w:val="20"/>
              </w:rPr>
              <w:t> </w:t>
            </w:r>
            <w:r>
              <w:rPr>
                <w:rFonts w:ascii="Arial" w:hAnsi="Arial" w:cs="Arial" w:eastAsia="Arial" w:hint="default"/>
                <w:sz w:val="20"/>
                <w:szCs w:val="20"/>
              </w:rPr>
              <w:t>5%</w:t>
            </w:r>
            <w:r>
              <w:rPr>
                <w:rFonts w:ascii="宋体" w:hAnsi="宋体" w:cs="宋体" w:eastAsia="宋体" w:hint="default"/>
                <w:sz w:val="20"/>
                <w:szCs w:val="20"/>
              </w:rPr>
              <w:t>以上的股东或前</w:t>
            </w:r>
            <w:r>
              <w:rPr>
                <w:rFonts w:ascii="宋体" w:hAnsi="宋体" w:cs="宋体" w:eastAsia="宋体" w:hint="default"/>
                <w:spacing w:val="-55"/>
                <w:sz w:val="20"/>
                <w:szCs w:val="20"/>
              </w:rPr>
              <w:t> </w:t>
            </w:r>
            <w:r>
              <w:rPr>
                <w:rFonts w:ascii="Arial" w:hAnsi="Arial" w:cs="Arial" w:eastAsia="Arial" w:hint="default"/>
                <w:sz w:val="20"/>
                <w:szCs w:val="20"/>
              </w:rPr>
              <w:t>10</w:t>
            </w:r>
            <w:r>
              <w:rPr>
                <w:rFonts w:ascii="Arial" w:hAnsi="Arial" w:cs="Arial" w:eastAsia="Arial" w:hint="default"/>
                <w:spacing w:val="-8"/>
                <w:sz w:val="20"/>
                <w:szCs w:val="20"/>
              </w:rPr>
              <w:t> </w:t>
            </w:r>
            <w:r>
              <w:rPr>
                <w:rFonts w:ascii="宋体" w:hAnsi="宋体" w:cs="宋体" w:eastAsia="宋体" w:hint="default"/>
                <w:sz w:val="20"/>
                <w:szCs w:val="20"/>
              </w:rPr>
              <w:t>名股东持股情况</w:t>
            </w:r>
          </w:p>
        </w:tc>
      </w:tr>
      <w:tr>
        <w:trPr>
          <w:trHeight w:val="402" w:hRule="exact"/>
        </w:trPr>
        <w:tc>
          <w:tcPr>
            <w:tcW w:w="13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286" w:right="0"/>
              <w:jc w:val="left"/>
              <w:rPr>
                <w:rFonts w:ascii="宋体" w:hAnsi="宋体" w:cs="宋体" w:eastAsia="宋体" w:hint="default"/>
                <w:sz w:val="20"/>
                <w:szCs w:val="20"/>
              </w:rPr>
            </w:pPr>
            <w:r>
              <w:rPr>
                <w:rFonts w:ascii="宋体" w:hAnsi="宋体" w:cs="宋体" w:eastAsia="宋体" w:hint="default"/>
                <w:sz w:val="20"/>
                <w:szCs w:val="20"/>
              </w:rPr>
              <w:t>股东名称</w:t>
            </w:r>
          </w:p>
        </w:tc>
        <w:tc>
          <w:tcPr>
            <w:tcW w:w="7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85" w:lineRule="auto"/>
              <w:ind w:left="274" w:right="48" w:hanging="200"/>
              <w:jc w:val="left"/>
              <w:rPr>
                <w:rFonts w:ascii="宋体" w:hAnsi="宋体" w:cs="宋体" w:eastAsia="宋体" w:hint="default"/>
                <w:sz w:val="20"/>
                <w:szCs w:val="20"/>
              </w:rPr>
            </w:pPr>
            <w:r>
              <w:rPr>
                <w:rFonts w:ascii="宋体" w:hAnsi="宋体" w:cs="宋体" w:eastAsia="宋体" w:hint="default"/>
                <w:sz w:val="20"/>
                <w:szCs w:val="20"/>
              </w:rPr>
              <w:t>股东性</w:t>
            </w:r>
            <w:r>
              <w:rPr>
                <w:rFonts w:ascii="宋体" w:hAnsi="宋体" w:cs="宋体" w:eastAsia="宋体" w:hint="default"/>
                <w:w w:val="99"/>
                <w:sz w:val="20"/>
                <w:szCs w:val="20"/>
              </w:rPr>
              <w:t> </w:t>
            </w:r>
            <w:r>
              <w:rPr>
                <w:rFonts w:ascii="宋体" w:hAnsi="宋体" w:cs="宋体" w:eastAsia="宋体" w:hint="default"/>
                <w:sz w:val="20"/>
                <w:szCs w:val="20"/>
              </w:rPr>
              <w:t>质</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85" w:lineRule="auto"/>
              <w:ind w:left="23" w:right="48" w:firstLine="24"/>
              <w:jc w:val="left"/>
              <w:rPr>
                <w:rFonts w:ascii="Arial" w:hAnsi="Arial" w:cs="Arial" w:eastAsia="Arial" w:hint="default"/>
                <w:sz w:val="20"/>
                <w:szCs w:val="20"/>
              </w:rPr>
            </w:pPr>
            <w:r>
              <w:rPr>
                <w:rFonts w:ascii="宋体" w:hAnsi="宋体" w:cs="宋体" w:eastAsia="宋体" w:hint="default"/>
                <w:sz w:val="20"/>
                <w:szCs w:val="20"/>
              </w:rPr>
              <w:t>持股比</w:t>
            </w:r>
            <w:r>
              <w:rPr>
                <w:rFonts w:ascii="宋体" w:hAnsi="宋体" w:cs="宋体" w:eastAsia="宋体" w:hint="default"/>
                <w:w w:val="99"/>
                <w:sz w:val="20"/>
                <w:szCs w:val="20"/>
              </w:rPr>
              <w:t> </w:t>
            </w:r>
            <w:r>
              <w:rPr>
                <w:rFonts w:ascii="宋体" w:hAnsi="宋体" w:cs="宋体" w:eastAsia="宋体" w:hint="default"/>
                <w:spacing w:val="-10"/>
                <w:sz w:val="20"/>
                <w:szCs w:val="20"/>
              </w:rPr>
              <w:t>例（</w:t>
            </w:r>
            <w:r>
              <w:rPr>
                <w:rFonts w:ascii="Arial" w:hAnsi="Arial" w:cs="Arial" w:eastAsia="Arial" w:hint="default"/>
                <w:spacing w:val="-10"/>
                <w:sz w:val="20"/>
                <w:szCs w:val="20"/>
              </w:rPr>
              <w:t>%</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85" w:lineRule="auto"/>
              <w:ind w:left="431" w:right="31" w:hanging="399"/>
              <w:jc w:val="left"/>
              <w:rPr>
                <w:rFonts w:ascii="宋体" w:hAnsi="宋体" w:cs="宋体" w:eastAsia="宋体" w:hint="default"/>
                <w:sz w:val="20"/>
                <w:szCs w:val="20"/>
              </w:rPr>
            </w:pPr>
            <w:r>
              <w:rPr>
                <w:rFonts w:ascii="宋体" w:hAnsi="宋体" w:cs="宋体" w:eastAsia="宋体" w:hint="default"/>
                <w:sz w:val="20"/>
                <w:szCs w:val="20"/>
              </w:rPr>
              <w:t>报告期末持股</w:t>
            </w:r>
            <w:r>
              <w:rPr>
                <w:rFonts w:ascii="宋体" w:hAnsi="宋体" w:cs="宋体" w:eastAsia="宋体" w:hint="default"/>
                <w:w w:val="99"/>
                <w:sz w:val="20"/>
                <w:szCs w:val="20"/>
              </w:rPr>
              <w:t> </w:t>
            </w:r>
            <w:r>
              <w:rPr>
                <w:rFonts w:ascii="宋体" w:hAnsi="宋体" w:cs="宋体" w:eastAsia="宋体" w:hint="default"/>
                <w:sz w:val="20"/>
                <w:szCs w:val="20"/>
              </w:rPr>
              <w:t>数量</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85" w:lineRule="auto" w:before="81"/>
              <w:ind w:left="91" w:right="89"/>
              <w:jc w:val="center"/>
              <w:rPr>
                <w:rFonts w:ascii="宋体" w:hAnsi="宋体" w:cs="宋体" w:eastAsia="宋体" w:hint="default"/>
                <w:sz w:val="20"/>
                <w:szCs w:val="20"/>
              </w:rPr>
            </w:pPr>
            <w:r>
              <w:rPr>
                <w:rFonts w:ascii="宋体" w:hAnsi="宋体" w:cs="宋体" w:eastAsia="宋体" w:hint="default"/>
                <w:sz w:val="20"/>
                <w:szCs w:val="20"/>
              </w:rPr>
              <w:t>报告期内</w:t>
            </w:r>
            <w:r>
              <w:rPr>
                <w:rFonts w:ascii="宋体" w:hAnsi="宋体" w:cs="宋体" w:eastAsia="宋体" w:hint="default"/>
                <w:w w:val="99"/>
                <w:sz w:val="20"/>
                <w:szCs w:val="20"/>
              </w:rPr>
              <w:t> </w:t>
            </w:r>
            <w:r>
              <w:rPr>
                <w:rFonts w:ascii="宋体" w:hAnsi="宋体" w:cs="宋体" w:eastAsia="宋体" w:hint="default"/>
                <w:sz w:val="20"/>
                <w:szCs w:val="20"/>
              </w:rPr>
              <w:t>增减变动</w:t>
            </w:r>
            <w:r>
              <w:rPr>
                <w:rFonts w:ascii="宋体" w:hAnsi="宋体" w:cs="宋体" w:eastAsia="宋体" w:hint="default"/>
                <w:w w:val="99"/>
                <w:sz w:val="20"/>
                <w:szCs w:val="20"/>
              </w:rPr>
              <w:t> </w:t>
            </w:r>
            <w:r>
              <w:rPr>
                <w:rFonts w:ascii="宋体" w:hAnsi="宋体" w:cs="宋体" w:eastAsia="宋体" w:hint="default"/>
                <w:sz w:val="20"/>
                <w:szCs w:val="20"/>
              </w:rPr>
              <w:t>情况</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85" w:lineRule="auto"/>
              <w:ind w:left="33" w:right="31"/>
              <w:jc w:val="left"/>
              <w:rPr>
                <w:rFonts w:ascii="宋体" w:hAnsi="宋体" w:cs="宋体" w:eastAsia="宋体" w:hint="default"/>
                <w:sz w:val="20"/>
                <w:szCs w:val="20"/>
              </w:rPr>
            </w:pPr>
            <w:r>
              <w:rPr>
                <w:rFonts w:ascii="宋体" w:hAnsi="宋体" w:cs="宋体" w:eastAsia="宋体" w:hint="default"/>
                <w:sz w:val="20"/>
                <w:szCs w:val="20"/>
              </w:rPr>
              <w:t>持有有限售条</w:t>
            </w:r>
            <w:r>
              <w:rPr>
                <w:rFonts w:ascii="宋体" w:hAnsi="宋体" w:cs="宋体" w:eastAsia="宋体" w:hint="default"/>
                <w:w w:val="99"/>
                <w:sz w:val="20"/>
                <w:szCs w:val="20"/>
              </w:rPr>
              <w:t> </w:t>
            </w:r>
            <w:r>
              <w:rPr>
                <w:rFonts w:ascii="宋体" w:hAnsi="宋体" w:cs="宋体" w:eastAsia="宋体" w:hint="default"/>
                <w:sz w:val="20"/>
                <w:szCs w:val="20"/>
              </w:rPr>
              <w:t>件的股份数量</w:t>
            </w:r>
          </w:p>
        </w:tc>
        <w:tc>
          <w:tcPr>
            <w:tcW w:w="12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85" w:lineRule="auto"/>
              <w:ind w:left="31" w:right="32"/>
              <w:jc w:val="left"/>
              <w:rPr>
                <w:rFonts w:ascii="宋体" w:hAnsi="宋体" w:cs="宋体" w:eastAsia="宋体" w:hint="default"/>
                <w:sz w:val="20"/>
                <w:szCs w:val="20"/>
              </w:rPr>
            </w:pPr>
            <w:r>
              <w:rPr>
                <w:rFonts w:ascii="宋体" w:hAnsi="宋体" w:cs="宋体" w:eastAsia="宋体" w:hint="default"/>
                <w:sz w:val="20"/>
                <w:szCs w:val="20"/>
              </w:rPr>
              <w:t>持有无限售条</w:t>
            </w:r>
            <w:r>
              <w:rPr>
                <w:rFonts w:ascii="宋体" w:hAnsi="宋体" w:cs="宋体" w:eastAsia="宋体" w:hint="default"/>
                <w:w w:val="99"/>
                <w:sz w:val="20"/>
                <w:szCs w:val="20"/>
              </w:rPr>
              <w:t> </w:t>
            </w:r>
            <w:r>
              <w:rPr>
                <w:rFonts w:ascii="宋体" w:hAnsi="宋体" w:cs="宋体" w:eastAsia="宋体" w:hint="default"/>
                <w:sz w:val="20"/>
                <w:szCs w:val="20"/>
              </w:rPr>
              <w:t>件的股份数量</w:t>
            </w:r>
          </w:p>
        </w:tc>
        <w:tc>
          <w:tcPr>
            <w:tcW w:w="194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267" w:right="0"/>
              <w:jc w:val="left"/>
              <w:rPr>
                <w:rFonts w:ascii="宋体" w:hAnsi="宋体" w:cs="宋体" w:eastAsia="宋体" w:hint="default"/>
                <w:sz w:val="20"/>
                <w:szCs w:val="20"/>
              </w:rPr>
            </w:pPr>
            <w:r>
              <w:rPr>
                <w:rFonts w:ascii="宋体" w:hAnsi="宋体" w:cs="宋体" w:eastAsia="宋体" w:hint="default"/>
                <w:sz w:val="20"/>
                <w:szCs w:val="20"/>
              </w:rPr>
              <w:t>质押或冻结情况</w:t>
            </w:r>
          </w:p>
        </w:tc>
      </w:tr>
      <w:tr>
        <w:trPr>
          <w:trHeight w:val="714" w:hRule="exact"/>
        </w:trPr>
        <w:tc>
          <w:tcPr>
            <w:tcW w:w="1359" w:type="dxa"/>
            <w:vMerge/>
            <w:tcBorders>
              <w:left w:val="single" w:sz="4" w:space="0" w:color="000000"/>
              <w:bottom w:val="single" w:sz="4" w:space="0" w:color="000000"/>
              <w:right w:val="single" w:sz="4" w:space="0" w:color="000000"/>
            </w:tcBorders>
            <w:shd w:val="clear" w:color="auto" w:fill="D2D2D2"/>
          </w:tcPr>
          <w:p>
            <w:pPr/>
          </w:p>
        </w:tc>
        <w:tc>
          <w:tcPr>
            <w:tcW w:w="735"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276" w:type="dxa"/>
            <w:gridSpan w:val="3"/>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34"/>
              <w:ind w:left="248" w:right="48" w:hanging="200"/>
              <w:jc w:val="left"/>
              <w:rPr>
                <w:rFonts w:ascii="宋体" w:hAnsi="宋体" w:cs="宋体" w:eastAsia="宋体" w:hint="default"/>
                <w:sz w:val="20"/>
                <w:szCs w:val="20"/>
              </w:rPr>
            </w:pPr>
            <w:r>
              <w:rPr>
                <w:rFonts w:ascii="宋体" w:hAnsi="宋体" w:cs="宋体" w:eastAsia="宋体" w:hint="default"/>
                <w:sz w:val="20"/>
                <w:szCs w:val="20"/>
              </w:rPr>
              <w:t>股份状</w:t>
            </w:r>
            <w:r>
              <w:rPr>
                <w:rFonts w:ascii="宋体" w:hAnsi="宋体" w:cs="宋体" w:eastAsia="宋体" w:hint="default"/>
                <w:w w:val="99"/>
                <w:sz w:val="20"/>
                <w:szCs w:val="20"/>
              </w:rPr>
              <w:t> </w:t>
            </w:r>
            <w:r>
              <w:rPr>
                <w:rFonts w:ascii="宋体" w:hAnsi="宋体" w:cs="宋体" w:eastAsia="宋体" w:hint="default"/>
                <w:sz w:val="20"/>
                <w:szCs w:val="20"/>
              </w:rPr>
              <w:t>态</w:t>
            </w:r>
          </w:p>
        </w:tc>
        <w:tc>
          <w:tcPr>
            <w:tcW w:w="12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数量</w:t>
            </w:r>
          </w:p>
        </w:tc>
      </w:tr>
      <w:tr>
        <w:trPr>
          <w:trHeight w:val="714"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邵学</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48" w:right="75"/>
              <w:jc w:val="left"/>
              <w:rPr>
                <w:rFonts w:ascii="宋体" w:hAnsi="宋体" w:cs="宋体" w:eastAsia="宋体" w:hint="default"/>
                <w:sz w:val="20"/>
                <w:szCs w:val="20"/>
              </w:rPr>
            </w:pPr>
            <w:r>
              <w:rPr>
                <w:rFonts w:ascii="宋体" w:hAnsi="宋体" w:cs="宋体" w:eastAsia="宋体" w:hint="default"/>
                <w:sz w:val="20"/>
                <w:szCs w:val="20"/>
              </w:rPr>
              <w:t>境内自</w:t>
            </w:r>
            <w:r>
              <w:rPr>
                <w:rFonts w:ascii="宋体" w:hAnsi="宋体" w:cs="宋体" w:eastAsia="宋体" w:hint="default"/>
                <w:w w:val="99"/>
                <w:sz w:val="20"/>
                <w:szCs w:val="20"/>
              </w:rPr>
              <w:t> </w:t>
            </w:r>
            <w:r>
              <w:rPr>
                <w:rFonts w:ascii="宋体" w:hAnsi="宋体" w:cs="宋体" w:eastAsia="宋体" w:hint="default"/>
                <w:sz w:val="20"/>
                <w:szCs w:val="20"/>
              </w:rPr>
              <w:t>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20"/>
                <w:szCs w:val="20"/>
              </w:rPr>
            </w:pPr>
            <w:r>
              <w:rPr>
                <w:rFonts w:ascii="Arial"/>
                <w:w w:val="95"/>
                <w:sz w:val="20"/>
              </w:rPr>
              <w:t>19.97</w:t>
            </w:r>
            <w:r>
              <w:rPr>
                <w:rFonts w:ascii="Arial"/>
                <w:sz w:val="20"/>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20"/>
                <w:szCs w:val="20"/>
              </w:rPr>
            </w:pPr>
            <w:r>
              <w:rPr>
                <w:rFonts w:ascii="Arial"/>
                <w:spacing w:val="-1"/>
                <w:sz w:val="20"/>
              </w:rPr>
              <w:t>150,634,655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91" w:right="0"/>
              <w:jc w:val="left"/>
              <w:rPr>
                <w:rFonts w:ascii="宋体" w:hAnsi="宋体" w:cs="宋体" w:eastAsia="宋体" w:hint="default"/>
                <w:sz w:val="20"/>
                <w:szCs w:val="20"/>
              </w:rPr>
            </w:pPr>
            <w:r>
              <w:rPr>
                <w:rFonts w:ascii="宋体" w:hAnsi="宋体" w:cs="宋体" w:eastAsia="宋体" w:hint="default"/>
                <w:sz w:val="20"/>
                <w:szCs w:val="20"/>
              </w:rPr>
              <w:t>不变</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5" w:right="0"/>
              <w:jc w:val="center"/>
              <w:rPr>
                <w:rFonts w:ascii="Arial" w:hAnsi="Arial" w:cs="Arial" w:eastAsia="Arial" w:hint="default"/>
                <w:sz w:val="20"/>
                <w:szCs w:val="20"/>
              </w:rPr>
            </w:pPr>
            <w:r>
              <w:rPr>
                <w:rFonts w:ascii="Arial"/>
                <w:w w:val="95"/>
                <w:sz w:val="20"/>
              </w:rPr>
              <w:t>112,975,991</w:t>
            </w:r>
            <w:r>
              <w:rPr>
                <w:rFonts w:ascii="Arial"/>
                <w:sz w:val="20"/>
              </w:rPr>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5" w:right="0"/>
              <w:jc w:val="left"/>
              <w:rPr>
                <w:rFonts w:ascii="Arial" w:hAnsi="Arial" w:cs="Arial" w:eastAsia="Arial" w:hint="default"/>
                <w:sz w:val="20"/>
                <w:szCs w:val="20"/>
              </w:rPr>
            </w:pPr>
            <w:r>
              <w:rPr>
                <w:rFonts w:ascii="Arial"/>
                <w:sz w:val="20"/>
              </w:rPr>
              <w:t>37,658,664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质押</w:t>
            </w:r>
          </w:p>
        </w:tc>
        <w:tc>
          <w:tcPr>
            <w:tcW w:w="12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4" w:right="0"/>
              <w:jc w:val="left"/>
              <w:rPr>
                <w:rFonts w:ascii="Arial" w:hAnsi="Arial" w:cs="Arial" w:eastAsia="Arial" w:hint="default"/>
                <w:sz w:val="20"/>
                <w:szCs w:val="20"/>
              </w:rPr>
            </w:pPr>
            <w:r>
              <w:rPr>
                <w:rFonts w:ascii="Arial"/>
                <w:sz w:val="20"/>
              </w:rPr>
              <w:t>49,370,000</w:t>
            </w:r>
          </w:p>
        </w:tc>
      </w:tr>
      <w:tr>
        <w:trPr>
          <w:trHeight w:val="400"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任刚</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6"/>
              <w:jc w:val="center"/>
              <w:rPr>
                <w:rFonts w:ascii="宋体" w:hAnsi="宋体" w:cs="宋体" w:eastAsia="宋体" w:hint="default"/>
                <w:sz w:val="20"/>
                <w:szCs w:val="20"/>
              </w:rPr>
            </w:pPr>
            <w:r>
              <w:rPr>
                <w:rFonts w:ascii="宋体" w:hAnsi="宋体" w:cs="宋体" w:eastAsia="宋体" w:hint="default"/>
                <w:sz w:val="20"/>
                <w:szCs w:val="20"/>
              </w:rPr>
              <w:t>境内自</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Arial" w:hAnsi="Arial" w:cs="Arial" w:eastAsia="Arial" w:hint="default"/>
                <w:sz w:val="20"/>
                <w:szCs w:val="20"/>
              </w:rPr>
            </w:pPr>
            <w:r>
              <w:rPr>
                <w:rFonts w:ascii="Arial"/>
                <w:spacing w:val="-1"/>
                <w:w w:val="95"/>
                <w:sz w:val="20"/>
              </w:rPr>
              <w:t>3.47</w:t>
            </w:r>
            <w:r>
              <w:rPr>
                <w:rFonts w:ascii="Arial"/>
                <w:spacing w:val="-1"/>
                <w:sz w:val="20"/>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Arial" w:hAnsi="Arial" w:cs="Arial" w:eastAsia="Arial" w:hint="default"/>
                <w:sz w:val="20"/>
                <w:szCs w:val="20"/>
              </w:rPr>
            </w:pPr>
            <w:r>
              <w:rPr>
                <w:rFonts w:ascii="Arial"/>
                <w:spacing w:val="-1"/>
                <w:sz w:val="20"/>
              </w:rPr>
              <w:t>26,176,898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91" w:right="0"/>
              <w:jc w:val="left"/>
              <w:rPr>
                <w:rFonts w:ascii="宋体" w:hAnsi="宋体" w:cs="宋体" w:eastAsia="宋体" w:hint="default"/>
                <w:sz w:val="20"/>
                <w:szCs w:val="20"/>
              </w:rPr>
            </w:pPr>
            <w:r>
              <w:rPr>
                <w:rFonts w:ascii="宋体" w:hAnsi="宋体" w:cs="宋体" w:eastAsia="宋体" w:hint="default"/>
                <w:sz w:val="20"/>
                <w:szCs w:val="20"/>
              </w:rPr>
              <w:t>不变</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1" w:right="0"/>
              <w:jc w:val="center"/>
              <w:rPr>
                <w:rFonts w:ascii="Arial" w:hAnsi="Arial" w:cs="Arial" w:eastAsia="Arial" w:hint="default"/>
                <w:sz w:val="20"/>
                <w:szCs w:val="20"/>
              </w:rPr>
            </w:pPr>
            <w:r>
              <w:rPr>
                <w:rFonts w:ascii="Arial"/>
                <w:sz w:val="20"/>
              </w:rPr>
              <w:t>19,632,674</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56" w:right="0"/>
              <w:jc w:val="left"/>
              <w:rPr>
                <w:rFonts w:ascii="Arial" w:hAnsi="Arial" w:cs="Arial" w:eastAsia="Arial" w:hint="default"/>
                <w:sz w:val="20"/>
                <w:szCs w:val="20"/>
              </w:rPr>
            </w:pPr>
            <w:r>
              <w:rPr>
                <w:rFonts w:ascii="Arial"/>
                <w:sz w:val="20"/>
              </w:rPr>
              <w:t>6,544,224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宋体" w:hAnsi="宋体" w:cs="宋体" w:eastAsia="宋体" w:hint="default"/>
                <w:sz w:val="20"/>
                <w:szCs w:val="20"/>
              </w:rPr>
            </w:pPr>
            <w:r>
              <w:rPr>
                <w:rFonts w:ascii="宋体" w:hAnsi="宋体" w:cs="宋体" w:eastAsia="宋体" w:hint="default"/>
                <w:sz w:val="20"/>
                <w:szCs w:val="20"/>
              </w:rPr>
              <w:t>质押</w:t>
            </w:r>
          </w:p>
        </w:tc>
        <w:tc>
          <w:tcPr>
            <w:tcW w:w="12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04" w:right="0"/>
              <w:jc w:val="left"/>
              <w:rPr>
                <w:rFonts w:ascii="Arial" w:hAnsi="Arial" w:cs="Arial" w:eastAsia="Arial" w:hint="default"/>
                <w:sz w:val="20"/>
                <w:szCs w:val="20"/>
              </w:rPr>
            </w:pPr>
            <w:r>
              <w:rPr>
                <w:rFonts w:ascii="Arial"/>
                <w:sz w:val="20"/>
              </w:rPr>
              <w:t>10,500,000</w:t>
            </w:r>
          </w:p>
        </w:tc>
      </w:tr>
    </w:tbl>
    <w:p>
      <w:pPr>
        <w:spacing w:after="0" w:line="240" w:lineRule="auto"/>
        <w:jc w:val="left"/>
        <w:rPr>
          <w:rFonts w:ascii="Arial" w:hAnsi="Arial" w:cs="Arial" w:eastAsia="Arial" w:hint="default"/>
          <w:sz w:val="20"/>
          <w:szCs w:val="20"/>
        </w:rPr>
        <w:sectPr>
          <w:pgSz w:w="11910" w:h="16840"/>
          <w:pgMar w:header="878" w:footer="978" w:top="1100" w:bottom="116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1385"/>
        <w:gridCol w:w="709"/>
        <w:gridCol w:w="708"/>
        <w:gridCol w:w="1276"/>
        <w:gridCol w:w="992"/>
        <w:gridCol w:w="1276"/>
        <w:gridCol w:w="142"/>
        <w:gridCol w:w="1134"/>
        <w:gridCol w:w="567"/>
        <w:gridCol w:w="142"/>
        <w:gridCol w:w="1236"/>
      </w:tblGrid>
      <w:tr>
        <w:trPr>
          <w:trHeight w:val="362"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然人</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gridSpan w:val="2"/>
            <w:tcBorders>
              <w:top w:val="single" w:sz="4" w:space="0" w:color="000000"/>
              <w:left w:val="single" w:sz="4" w:space="0" w:color="000000"/>
              <w:bottom w:val="single" w:sz="4" w:space="0" w:color="000000"/>
              <w:right w:val="single" w:sz="4" w:space="0" w:color="000000"/>
            </w:tcBorders>
          </w:tcPr>
          <w:p>
            <w:pPr/>
          </w:p>
        </w:tc>
        <w:tc>
          <w:tcPr>
            <w:tcW w:w="709" w:type="dxa"/>
            <w:gridSpan w:val="2"/>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任涛</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2" w:right="75"/>
              <w:jc w:val="left"/>
              <w:rPr>
                <w:rFonts w:ascii="宋体" w:hAnsi="宋体" w:cs="宋体" w:eastAsia="宋体" w:hint="default"/>
                <w:sz w:val="20"/>
                <w:szCs w:val="20"/>
              </w:rPr>
            </w:pPr>
            <w:r>
              <w:rPr>
                <w:rFonts w:ascii="宋体" w:hAnsi="宋体" w:cs="宋体" w:eastAsia="宋体" w:hint="default"/>
                <w:sz w:val="20"/>
                <w:szCs w:val="20"/>
              </w:rPr>
              <w:t>境内自</w:t>
            </w:r>
            <w:r>
              <w:rPr>
                <w:rFonts w:ascii="宋体" w:hAnsi="宋体" w:cs="宋体" w:eastAsia="宋体" w:hint="default"/>
                <w:w w:val="99"/>
                <w:sz w:val="20"/>
                <w:szCs w:val="20"/>
              </w:rPr>
              <w:t> </w:t>
            </w:r>
            <w:r>
              <w:rPr>
                <w:rFonts w:ascii="宋体" w:hAnsi="宋体" w:cs="宋体" w:eastAsia="宋体" w:hint="default"/>
                <w:sz w:val="20"/>
                <w:szCs w:val="20"/>
              </w:rPr>
              <w:t>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Arial" w:hAnsi="Arial" w:cs="Arial" w:eastAsia="Arial" w:hint="default"/>
                <w:sz w:val="20"/>
                <w:szCs w:val="20"/>
              </w:rPr>
            </w:pPr>
            <w:r>
              <w:rPr>
                <w:rFonts w:ascii="Arial"/>
                <w:spacing w:val="-1"/>
                <w:w w:val="95"/>
                <w:sz w:val="20"/>
              </w:rPr>
              <w:t>2.36</w:t>
            </w:r>
            <w:r>
              <w:rPr>
                <w:rFonts w:ascii="Arial"/>
                <w:spacing w:val="-1"/>
                <w:sz w:val="20"/>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Arial" w:hAnsi="Arial" w:cs="Arial" w:eastAsia="Arial" w:hint="default"/>
                <w:sz w:val="20"/>
                <w:szCs w:val="20"/>
              </w:rPr>
            </w:pPr>
            <w:r>
              <w:rPr>
                <w:rFonts w:ascii="Arial"/>
                <w:spacing w:val="-1"/>
                <w:sz w:val="20"/>
              </w:rPr>
              <w:t>17,790,395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减少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Arial" w:hAnsi="Arial" w:cs="Arial" w:eastAsia="Arial" w:hint="default"/>
                <w:sz w:val="20"/>
                <w:szCs w:val="20"/>
              </w:rPr>
            </w:pPr>
            <w:r>
              <w:rPr>
                <w:rFonts w:ascii="Arial"/>
                <w:spacing w:val="-1"/>
                <w:sz w:val="20"/>
              </w:rPr>
              <w:t>16,364,221</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356" w:right="0"/>
              <w:jc w:val="left"/>
              <w:rPr>
                <w:rFonts w:ascii="Arial" w:hAnsi="Arial" w:cs="Arial" w:eastAsia="Arial" w:hint="default"/>
                <w:sz w:val="20"/>
                <w:szCs w:val="20"/>
              </w:rPr>
            </w:pPr>
            <w:r>
              <w:rPr>
                <w:rFonts w:ascii="Arial"/>
                <w:sz w:val="20"/>
              </w:rPr>
              <w:t>1,426,174</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质押</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04" w:right="0"/>
              <w:jc w:val="left"/>
              <w:rPr>
                <w:rFonts w:ascii="Arial" w:hAnsi="Arial" w:cs="Arial" w:eastAsia="Arial" w:hint="default"/>
                <w:sz w:val="20"/>
                <w:szCs w:val="20"/>
              </w:rPr>
            </w:pPr>
            <w:r>
              <w:rPr>
                <w:rFonts w:ascii="Arial"/>
                <w:sz w:val="20"/>
              </w:rPr>
              <w:t>12,556,816</w:t>
            </w:r>
          </w:p>
        </w:tc>
      </w:tr>
      <w:tr>
        <w:trPr>
          <w:trHeight w:val="10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85" w:lineRule="auto"/>
              <w:ind w:left="22" w:right="150"/>
              <w:jc w:val="left"/>
              <w:rPr>
                <w:rFonts w:ascii="宋体" w:hAnsi="宋体" w:cs="宋体" w:eastAsia="宋体" w:hint="default"/>
                <w:sz w:val="20"/>
                <w:szCs w:val="20"/>
              </w:rPr>
            </w:pPr>
            <w:r>
              <w:rPr>
                <w:rFonts w:ascii="宋体" w:hAnsi="宋体" w:cs="宋体" w:eastAsia="宋体" w:hint="default"/>
                <w:sz w:val="20"/>
                <w:szCs w:val="20"/>
              </w:rPr>
              <w:t>中国证券金融</w:t>
            </w:r>
            <w:r>
              <w:rPr>
                <w:rFonts w:ascii="宋体" w:hAnsi="宋体" w:cs="宋体" w:eastAsia="宋体" w:hint="default"/>
                <w:w w:val="99"/>
                <w:sz w:val="20"/>
                <w:szCs w:val="20"/>
              </w:rPr>
              <w:t> </w:t>
            </w:r>
            <w:r>
              <w:rPr>
                <w:rFonts w:ascii="宋体" w:hAnsi="宋体" w:cs="宋体" w:eastAsia="宋体" w:hint="default"/>
                <w:sz w:val="20"/>
                <w:szCs w:val="20"/>
              </w:rPr>
              <w:t>股份有限公司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75"/>
              <w:jc w:val="both"/>
              <w:rPr>
                <w:rFonts w:ascii="宋体" w:hAnsi="宋体" w:cs="宋体" w:eastAsia="宋体" w:hint="default"/>
                <w:sz w:val="20"/>
                <w:szCs w:val="20"/>
              </w:rPr>
            </w:pPr>
            <w:r>
              <w:rPr>
                <w:rFonts w:ascii="宋体" w:hAnsi="宋体" w:cs="宋体" w:eastAsia="宋体" w:hint="default"/>
                <w:sz w:val="20"/>
                <w:szCs w:val="20"/>
              </w:rPr>
              <w:t>境内非</w:t>
            </w:r>
            <w:r>
              <w:rPr>
                <w:rFonts w:ascii="宋体" w:hAnsi="宋体" w:cs="宋体" w:eastAsia="宋体" w:hint="default"/>
                <w:w w:val="99"/>
                <w:sz w:val="20"/>
                <w:szCs w:val="20"/>
              </w:rPr>
              <w:t> </w:t>
            </w:r>
            <w:r>
              <w:rPr>
                <w:rFonts w:ascii="宋体" w:hAnsi="宋体" w:cs="宋体" w:eastAsia="宋体" w:hint="default"/>
                <w:sz w:val="20"/>
                <w:szCs w:val="20"/>
              </w:rPr>
              <w:t>国有法</w:t>
            </w:r>
            <w:r>
              <w:rPr>
                <w:rFonts w:ascii="宋体" w:hAnsi="宋体" w:cs="宋体" w:eastAsia="宋体" w:hint="default"/>
                <w:w w:val="99"/>
                <w:sz w:val="20"/>
                <w:szCs w:val="20"/>
              </w:rPr>
              <w:t> </w:t>
            </w:r>
            <w:r>
              <w:rPr>
                <w:rFonts w:ascii="宋体" w:hAnsi="宋体" w:cs="宋体" w:eastAsia="宋体" w:hint="default"/>
                <w:sz w:val="20"/>
                <w:szCs w:val="20"/>
              </w:rPr>
              <w:t>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right="21"/>
              <w:jc w:val="right"/>
              <w:rPr>
                <w:rFonts w:ascii="Arial" w:hAnsi="Arial" w:cs="Arial" w:eastAsia="Arial" w:hint="default"/>
                <w:sz w:val="20"/>
                <w:szCs w:val="20"/>
              </w:rPr>
            </w:pPr>
            <w:r>
              <w:rPr>
                <w:rFonts w:ascii="Arial"/>
                <w:spacing w:val="-1"/>
                <w:w w:val="95"/>
                <w:sz w:val="20"/>
              </w:rPr>
              <w:t>2.22</w:t>
            </w:r>
            <w:r>
              <w:rPr>
                <w:rFonts w:ascii="Arial"/>
                <w:spacing w:val="-1"/>
                <w:sz w:val="20"/>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right="21"/>
              <w:jc w:val="right"/>
              <w:rPr>
                <w:rFonts w:ascii="Arial" w:hAnsi="Arial" w:cs="Arial" w:eastAsia="Arial" w:hint="default"/>
                <w:sz w:val="20"/>
                <w:szCs w:val="20"/>
              </w:rPr>
            </w:pPr>
            <w:r>
              <w:rPr>
                <w:rFonts w:ascii="Arial"/>
                <w:spacing w:val="-1"/>
                <w:sz w:val="20"/>
              </w:rPr>
              <w:t>16,732,802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1"/>
              <w:jc w:val="center"/>
              <w:rPr>
                <w:rFonts w:ascii="宋体" w:hAnsi="宋体" w:cs="宋体" w:eastAsia="宋体" w:hint="default"/>
                <w:sz w:val="20"/>
                <w:szCs w:val="20"/>
              </w:rPr>
            </w:pPr>
            <w:r>
              <w:rPr>
                <w:rFonts w:ascii="宋体" w:hAnsi="宋体" w:cs="宋体" w:eastAsia="宋体" w:hint="default"/>
                <w:sz w:val="20"/>
                <w:szCs w:val="20"/>
              </w:rPr>
              <w:t>减少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right="20"/>
              <w:jc w:val="right"/>
              <w:rPr>
                <w:rFonts w:ascii="Arial" w:hAnsi="Arial" w:cs="Arial" w:eastAsia="Arial" w:hint="default"/>
                <w:sz w:val="20"/>
                <w:szCs w:val="20"/>
              </w:rPr>
            </w:pPr>
            <w:r>
              <w:rPr>
                <w:rFonts w:ascii="Arial"/>
                <w:w w:val="99"/>
                <w:sz w:val="20"/>
              </w:rPr>
              <w:t>0</w:t>
            </w:r>
            <w:r>
              <w:rPr>
                <w:rFonts w:ascii="Arial"/>
                <w:sz w:val="20"/>
              </w:rPr>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left="245" w:right="0"/>
              <w:jc w:val="left"/>
              <w:rPr>
                <w:rFonts w:ascii="Arial" w:hAnsi="Arial" w:cs="Arial" w:eastAsia="Arial" w:hint="default"/>
                <w:sz w:val="20"/>
                <w:szCs w:val="20"/>
              </w:rPr>
            </w:pPr>
            <w:r>
              <w:rPr>
                <w:rFonts w:ascii="Arial"/>
                <w:sz w:val="20"/>
              </w:rPr>
              <w:t>16,732,802</w:t>
            </w:r>
          </w:p>
        </w:tc>
        <w:tc>
          <w:tcPr>
            <w:tcW w:w="709" w:type="dxa"/>
            <w:gridSpan w:val="2"/>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2" w:right="150"/>
              <w:jc w:val="left"/>
              <w:rPr>
                <w:rFonts w:ascii="宋体" w:hAnsi="宋体" w:cs="宋体" w:eastAsia="宋体" w:hint="default"/>
                <w:sz w:val="20"/>
                <w:szCs w:val="20"/>
              </w:rPr>
            </w:pPr>
            <w:r>
              <w:rPr>
                <w:rFonts w:ascii="宋体" w:hAnsi="宋体" w:cs="宋体" w:eastAsia="宋体" w:hint="default"/>
                <w:sz w:val="20"/>
                <w:szCs w:val="20"/>
              </w:rPr>
              <w:t>香港中央结算</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2" w:right="75"/>
              <w:jc w:val="left"/>
              <w:rPr>
                <w:rFonts w:ascii="宋体" w:hAnsi="宋体" w:cs="宋体" w:eastAsia="宋体" w:hint="default"/>
                <w:sz w:val="20"/>
                <w:szCs w:val="20"/>
              </w:rPr>
            </w:pPr>
            <w:r>
              <w:rPr>
                <w:rFonts w:ascii="宋体" w:hAnsi="宋体" w:cs="宋体" w:eastAsia="宋体" w:hint="default"/>
                <w:sz w:val="20"/>
                <w:szCs w:val="20"/>
              </w:rPr>
              <w:t>境外法</w:t>
            </w:r>
            <w:r>
              <w:rPr>
                <w:rFonts w:ascii="宋体" w:hAnsi="宋体" w:cs="宋体" w:eastAsia="宋体" w:hint="default"/>
                <w:w w:val="99"/>
                <w:sz w:val="20"/>
                <w:szCs w:val="20"/>
              </w:rPr>
              <w:t> </w:t>
            </w:r>
            <w:r>
              <w:rPr>
                <w:rFonts w:ascii="宋体" w:hAnsi="宋体" w:cs="宋体" w:eastAsia="宋体" w:hint="default"/>
                <w:sz w:val="20"/>
                <w:szCs w:val="20"/>
              </w:rPr>
              <w:t>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Arial" w:hAnsi="Arial" w:cs="Arial" w:eastAsia="Arial" w:hint="default"/>
                <w:sz w:val="20"/>
                <w:szCs w:val="20"/>
              </w:rPr>
            </w:pPr>
            <w:r>
              <w:rPr>
                <w:rFonts w:ascii="Arial"/>
                <w:spacing w:val="-1"/>
                <w:w w:val="95"/>
                <w:sz w:val="20"/>
              </w:rPr>
              <w:t>2.12</w:t>
            </w:r>
            <w:r>
              <w:rPr>
                <w:rFonts w:ascii="Arial"/>
                <w:spacing w:val="-1"/>
                <w:sz w:val="20"/>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Arial" w:hAnsi="Arial" w:cs="Arial" w:eastAsia="Arial" w:hint="default"/>
                <w:sz w:val="20"/>
                <w:szCs w:val="20"/>
              </w:rPr>
            </w:pPr>
            <w:r>
              <w:rPr>
                <w:rFonts w:ascii="Arial"/>
                <w:spacing w:val="-1"/>
                <w:sz w:val="20"/>
              </w:rPr>
              <w:t>16,031,653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增加</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Arial" w:hAnsi="Arial" w:cs="Arial" w:eastAsia="Arial" w:hint="default"/>
                <w:sz w:val="20"/>
                <w:szCs w:val="20"/>
              </w:rPr>
            </w:pPr>
            <w:r>
              <w:rPr>
                <w:rFonts w:ascii="Arial"/>
                <w:w w:val="99"/>
                <w:sz w:val="20"/>
              </w:rPr>
              <w:t>0</w:t>
            </w:r>
            <w:r>
              <w:rPr>
                <w:rFonts w:ascii="Arial"/>
                <w:sz w:val="20"/>
              </w:rPr>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45" w:right="0"/>
              <w:jc w:val="left"/>
              <w:rPr>
                <w:rFonts w:ascii="Arial" w:hAnsi="Arial" w:cs="Arial" w:eastAsia="Arial" w:hint="default"/>
                <w:sz w:val="20"/>
                <w:szCs w:val="20"/>
              </w:rPr>
            </w:pPr>
            <w:r>
              <w:rPr>
                <w:rFonts w:ascii="Arial"/>
                <w:sz w:val="20"/>
              </w:rPr>
              <w:t>16,031,653</w:t>
            </w:r>
          </w:p>
        </w:tc>
        <w:tc>
          <w:tcPr>
            <w:tcW w:w="709" w:type="dxa"/>
            <w:gridSpan w:val="2"/>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150"/>
              <w:jc w:val="both"/>
              <w:rPr>
                <w:rFonts w:ascii="宋体" w:hAnsi="宋体" w:cs="宋体" w:eastAsia="宋体" w:hint="default"/>
                <w:sz w:val="20"/>
                <w:szCs w:val="20"/>
              </w:rPr>
            </w:pPr>
            <w:r>
              <w:rPr>
                <w:rFonts w:ascii="宋体" w:hAnsi="宋体" w:cs="宋体" w:eastAsia="宋体" w:hint="default"/>
                <w:sz w:val="20"/>
                <w:szCs w:val="20"/>
              </w:rPr>
              <w:t>中信证券卓越</w:t>
            </w:r>
            <w:r>
              <w:rPr>
                <w:rFonts w:ascii="宋体" w:hAnsi="宋体" w:cs="宋体" w:eastAsia="宋体" w:hint="default"/>
                <w:w w:val="99"/>
                <w:sz w:val="20"/>
                <w:szCs w:val="20"/>
              </w:rPr>
              <w:t> </w:t>
            </w:r>
            <w:r>
              <w:rPr>
                <w:rFonts w:ascii="宋体" w:hAnsi="宋体" w:cs="宋体" w:eastAsia="宋体" w:hint="default"/>
                <w:sz w:val="20"/>
                <w:szCs w:val="20"/>
              </w:rPr>
              <w:t>成长股票集合</w:t>
            </w:r>
            <w:r>
              <w:rPr>
                <w:rFonts w:ascii="宋体" w:hAnsi="宋体" w:cs="宋体" w:eastAsia="宋体" w:hint="default"/>
                <w:w w:val="99"/>
                <w:sz w:val="20"/>
                <w:szCs w:val="20"/>
              </w:rPr>
              <w:t> </w:t>
            </w:r>
            <w:r>
              <w:rPr>
                <w:rFonts w:ascii="宋体" w:hAnsi="宋体" w:cs="宋体" w:eastAsia="宋体" w:hint="default"/>
                <w:sz w:val="20"/>
                <w:szCs w:val="20"/>
              </w:rPr>
              <w:t>资产管理计划</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right="21"/>
              <w:jc w:val="right"/>
              <w:rPr>
                <w:rFonts w:ascii="Arial" w:hAnsi="Arial" w:cs="Arial" w:eastAsia="Arial" w:hint="default"/>
                <w:sz w:val="20"/>
                <w:szCs w:val="20"/>
              </w:rPr>
            </w:pPr>
            <w:r>
              <w:rPr>
                <w:rFonts w:ascii="Arial"/>
                <w:spacing w:val="-1"/>
                <w:w w:val="95"/>
                <w:sz w:val="20"/>
              </w:rPr>
              <w:t>1.79</w:t>
            </w:r>
            <w:r>
              <w:rPr>
                <w:rFonts w:ascii="Arial"/>
                <w:spacing w:val="-1"/>
                <w:sz w:val="20"/>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right="21"/>
              <w:jc w:val="right"/>
              <w:rPr>
                <w:rFonts w:ascii="Arial" w:hAnsi="Arial" w:cs="Arial" w:eastAsia="Arial" w:hint="default"/>
                <w:sz w:val="20"/>
                <w:szCs w:val="20"/>
              </w:rPr>
            </w:pPr>
            <w:r>
              <w:rPr>
                <w:rFonts w:ascii="Arial"/>
                <w:spacing w:val="-1"/>
                <w:sz w:val="20"/>
              </w:rPr>
              <w:t>13,539,291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1"/>
              <w:jc w:val="center"/>
              <w:rPr>
                <w:rFonts w:ascii="宋体" w:hAnsi="宋体" w:cs="宋体" w:eastAsia="宋体" w:hint="default"/>
                <w:sz w:val="20"/>
                <w:szCs w:val="20"/>
              </w:rPr>
            </w:pPr>
            <w:r>
              <w:rPr>
                <w:rFonts w:ascii="宋体" w:hAnsi="宋体" w:cs="宋体" w:eastAsia="宋体" w:hint="default"/>
                <w:sz w:val="20"/>
                <w:szCs w:val="20"/>
              </w:rPr>
              <w:t>增加</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right="20"/>
              <w:jc w:val="right"/>
              <w:rPr>
                <w:rFonts w:ascii="Arial" w:hAnsi="Arial" w:cs="Arial" w:eastAsia="Arial" w:hint="default"/>
                <w:sz w:val="20"/>
                <w:szCs w:val="20"/>
              </w:rPr>
            </w:pPr>
            <w:r>
              <w:rPr>
                <w:rFonts w:ascii="Arial"/>
                <w:w w:val="99"/>
                <w:sz w:val="20"/>
              </w:rPr>
              <w:t>0</w:t>
            </w:r>
            <w:r>
              <w:rPr>
                <w:rFonts w:ascii="Arial"/>
                <w:sz w:val="20"/>
              </w:rPr>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left="245" w:right="0"/>
              <w:jc w:val="left"/>
              <w:rPr>
                <w:rFonts w:ascii="Arial" w:hAnsi="Arial" w:cs="Arial" w:eastAsia="Arial" w:hint="default"/>
                <w:sz w:val="20"/>
                <w:szCs w:val="20"/>
              </w:rPr>
            </w:pPr>
            <w:r>
              <w:rPr>
                <w:rFonts w:ascii="Arial"/>
                <w:sz w:val="20"/>
              </w:rPr>
              <w:t>13,539,291</w:t>
            </w:r>
          </w:p>
        </w:tc>
        <w:tc>
          <w:tcPr>
            <w:tcW w:w="709" w:type="dxa"/>
            <w:gridSpan w:val="2"/>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2" w:right="150"/>
              <w:jc w:val="both"/>
              <w:rPr>
                <w:rFonts w:ascii="宋体" w:hAnsi="宋体" w:cs="宋体" w:eastAsia="宋体" w:hint="default"/>
                <w:sz w:val="20"/>
                <w:szCs w:val="20"/>
              </w:rPr>
            </w:pPr>
            <w:r>
              <w:rPr>
                <w:rFonts w:ascii="宋体" w:hAnsi="宋体" w:cs="宋体" w:eastAsia="宋体" w:hint="default"/>
                <w:sz w:val="20"/>
                <w:szCs w:val="20"/>
              </w:rPr>
              <w:t>易方达创业板</w:t>
            </w:r>
            <w:r>
              <w:rPr>
                <w:rFonts w:ascii="宋体" w:hAnsi="宋体" w:cs="宋体" w:eastAsia="宋体" w:hint="default"/>
                <w:w w:val="99"/>
                <w:sz w:val="20"/>
                <w:szCs w:val="20"/>
              </w:rPr>
              <w:t> </w:t>
            </w:r>
            <w:r>
              <w:rPr>
                <w:rFonts w:ascii="宋体" w:hAnsi="宋体" w:cs="宋体" w:eastAsia="宋体" w:hint="default"/>
                <w:sz w:val="20"/>
                <w:szCs w:val="20"/>
              </w:rPr>
              <w:t>交易型开放式</w:t>
            </w:r>
            <w:r>
              <w:rPr>
                <w:rFonts w:ascii="宋体" w:hAnsi="宋体" w:cs="宋体" w:eastAsia="宋体" w:hint="default"/>
                <w:w w:val="99"/>
                <w:sz w:val="20"/>
                <w:szCs w:val="20"/>
              </w:rPr>
              <w:t> </w:t>
            </w:r>
            <w:r>
              <w:rPr>
                <w:rFonts w:ascii="宋体" w:hAnsi="宋体" w:cs="宋体" w:eastAsia="宋体" w:hint="default"/>
                <w:sz w:val="20"/>
                <w:szCs w:val="20"/>
              </w:rPr>
              <w:t>指数证券投资</w:t>
            </w:r>
            <w:r>
              <w:rPr>
                <w:rFonts w:ascii="宋体" w:hAnsi="宋体" w:cs="宋体" w:eastAsia="宋体" w:hint="default"/>
                <w:w w:val="99"/>
                <w:sz w:val="20"/>
                <w:szCs w:val="20"/>
              </w:rPr>
              <w:t> </w:t>
            </w:r>
            <w:r>
              <w:rPr>
                <w:rFonts w:ascii="宋体" w:hAnsi="宋体" w:cs="宋体" w:eastAsia="宋体" w:hint="default"/>
                <w:sz w:val="20"/>
                <w:szCs w:val="20"/>
              </w:rPr>
              <w:t>基金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21"/>
              <w:jc w:val="right"/>
              <w:rPr>
                <w:rFonts w:ascii="Arial" w:hAnsi="Arial" w:cs="Arial" w:eastAsia="Arial" w:hint="default"/>
                <w:sz w:val="20"/>
                <w:szCs w:val="20"/>
              </w:rPr>
            </w:pPr>
            <w:r>
              <w:rPr>
                <w:rFonts w:ascii="Arial"/>
                <w:spacing w:val="-1"/>
                <w:w w:val="95"/>
                <w:sz w:val="20"/>
              </w:rPr>
              <w:t>1.54</w:t>
            </w:r>
            <w:r>
              <w:rPr>
                <w:rFonts w:ascii="Arial"/>
                <w:spacing w:val="-1"/>
                <w:sz w:val="20"/>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21"/>
              <w:jc w:val="right"/>
              <w:rPr>
                <w:rFonts w:ascii="Arial" w:hAnsi="Arial" w:cs="Arial" w:eastAsia="Arial" w:hint="default"/>
                <w:sz w:val="20"/>
                <w:szCs w:val="20"/>
              </w:rPr>
            </w:pPr>
            <w:r>
              <w:rPr>
                <w:rFonts w:ascii="Arial"/>
                <w:spacing w:val="-2"/>
                <w:w w:val="95"/>
                <w:sz w:val="20"/>
              </w:rPr>
              <w:t>11,590,986</w:t>
            </w:r>
            <w:r>
              <w:rPr>
                <w:rFonts w:ascii="Arial"/>
                <w:spacing w:val="-2"/>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增加</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20"/>
              <w:jc w:val="right"/>
              <w:rPr>
                <w:rFonts w:ascii="Arial" w:hAnsi="Arial" w:cs="Arial" w:eastAsia="Arial" w:hint="default"/>
                <w:sz w:val="20"/>
                <w:szCs w:val="20"/>
              </w:rPr>
            </w:pPr>
            <w:r>
              <w:rPr>
                <w:rFonts w:ascii="Arial"/>
                <w:w w:val="99"/>
                <w:sz w:val="20"/>
              </w:rPr>
              <w:t>0</w:t>
            </w:r>
            <w:r>
              <w:rPr>
                <w:rFonts w:ascii="Arial"/>
                <w:sz w:val="20"/>
              </w:rPr>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left="260" w:right="0"/>
              <w:jc w:val="left"/>
              <w:rPr>
                <w:rFonts w:ascii="Arial" w:hAnsi="Arial" w:cs="Arial" w:eastAsia="Arial" w:hint="default"/>
                <w:sz w:val="20"/>
                <w:szCs w:val="20"/>
              </w:rPr>
            </w:pPr>
            <w:r>
              <w:rPr>
                <w:rFonts w:ascii="Arial"/>
                <w:sz w:val="20"/>
              </w:rPr>
              <w:t>11,590,986</w:t>
            </w:r>
          </w:p>
        </w:tc>
        <w:tc>
          <w:tcPr>
            <w:tcW w:w="709" w:type="dxa"/>
            <w:gridSpan w:val="2"/>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150"/>
              <w:jc w:val="both"/>
              <w:rPr>
                <w:rFonts w:ascii="宋体" w:hAnsi="宋体" w:cs="宋体" w:eastAsia="宋体" w:hint="default"/>
                <w:sz w:val="20"/>
                <w:szCs w:val="20"/>
              </w:rPr>
            </w:pPr>
            <w:r>
              <w:rPr>
                <w:rFonts w:ascii="宋体" w:hAnsi="宋体" w:cs="宋体" w:eastAsia="宋体" w:hint="default"/>
                <w:sz w:val="20"/>
                <w:szCs w:val="20"/>
              </w:rPr>
              <w:t>摩根士丹利投</w:t>
            </w:r>
            <w:r>
              <w:rPr>
                <w:rFonts w:ascii="宋体" w:hAnsi="宋体" w:cs="宋体" w:eastAsia="宋体" w:hint="default"/>
                <w:w w:val="99"/>
                <w:sz w:val="20"/>
                <w:szCs w:val="20"/>
              </w:rPr>
              <w:t> </w:t>
            </w:r>
            <w:r>
              <w:rPr>
                <w:rFonts w:ascii="宋体" w:hAnsi="宋体" w:cs="宋体" w:eastAsia="宋体" w:hint="default"/>
                <w:sz w:val="20"/>
                <w:szCs w:val="20"/>
              </w:rPr>
              <w:t>资管理公司－</w:t>
            </w:r>
            <w:r>
              <w:rPr>
                <w:rFonts w:ascii="宋体" w:hAnsi="宋体" w:cs="宋体" w:eastAsia="宋体" w:hint="default"/>
                <w:w w:val="99"/>
                <w:sz w:val="20"/>
                <w:szCs w:val="20"/>
              </w:rPr>
              <w:t> </w:t>
            </w:r>
            <w:r>
              <w:rPr>
                <w:rFonts w:ascii="宋体" w:hAnsi="宋体" w:cs="宋体" w:eastAsia="宋体" w:hint="default"/>
                <w:sz w:val="20"/>
                <w:szCs w:val="20"/>
              </w:rPr>
              <w:t>摩根士丹利中</w:t>
            </w:r>
            <w:r>
              <w:rPr>
                <w:rFonts w:ascii="宋体" w:hAnsi="宋体" w:cs="宋体" w:eastAsia="宋体" w:hint="default"/>
                <w:w w:val="99"/>
                <w:sz w:val="20"/>
                <w:szCs w:val="20"/>
              </w:rPr>
              <w:t> </w:t>
            </w:r>
            <w:r>
              <w:rPr>
                <w:rFonts w:ascii="宋体" w:hAnsi="宋体" w:cs="宋体" w:eastAsia="宋体" w:hint="default"/>
                <w:sz w:val="20"/>
                <w:szCs w:val="20"/>
              </w:rPr>
              <w:t>国</w:t>
            </w:r>
            <w:r>
              <w:rPr>
                <w:rFonts w:ascii="宋体" w:hAnsi="宋体" w:cs="宋体" w:eastAsia="宋体" w:hint="default"/>
                <w:spacing w:val="-52"/>
                <w:sz w:val="20"/>
                <w:szCs w:val="20"/>
              </w:rPr>
              <w:t> </w:t>
            </w:r>
            <w:r>
              <w:rPr>
                <w:rFonts w:ascii="Arial" w:hAnsi="Arial" w:cs="Arial" w:eastAsia="Arial" w:hint="default"/>
                <w:sz w:val="20"/>
                <w:szCs w:val="20"/>
              </w:rPr>
              <w:t>A</w:t>
            </w:r>
            <w:r>
              <w:rPr>
                <w:rFonts w:ascii="Arial" w:hAnsi="Arial" w:cs="Arial" w:eastAsia="Arial" w:hint="default"/>
                <w:spacing w:val="-6"/>
                <w:sz w:val="20"/>
                <w:szCs w:val="20"/>
              </w:rPr>
              <w:t> </w:t>
            </w:r>
            <w:r>
              <w:rPr>
                <w:rFonts w:ascii="宋体" w:hAnsi="宋体" w:cs="宋体" w:eastAsia="宋体" w:hint="default"/>
                <w:sz w:val="20"/>
                <w:szCs w:val="20"/>
              </w:rPr>
              <w:t>股基金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right="21"/>
              <w:jc w:val="right"/>
              <w:rPr>
                <w:rFonts w:ascii="Arial" w:hAnsi="Arial" w:cs="Arial" w:eastAsia="Arial" w:hint="default"/>
                <w:sz w:val="20"/>
                <w:szCs w:val="20"/>
              </w:rPr>
            </w:pPr>
            <w:r>
              <w:rPr>
                <w:rFonts w:ascii="Arial"/>
                <w:spacing w:val="-1"/>
                <w:w w:val="95"/>
                <w:sz w:val="20"/>
              </w:rPr>
              <w:t>1.48</w:t>
            </w:r>
            <w:r>
              <w:rPr>
                <w:rFonts w:ascii="Arial"/>
                <w:spacing w:val="-1"/>
                <w:sz w:val="20"/>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right="21"/>
              <w:jc w:val="right"/>
              <w:rPr>
                <w:rFonts w:ascii="Arial" w:hAnsi="Arial" w:cs="Arial" w:eastAsia="Arial" w:hint="default"/>
                <w:sz w:val="20"/>
                <w:szCs w:val="20"/>
              </w:rPr>
            </w:pPr>
            <w:r>
              <w:rPr>
                <w:rFonts w:ascii="Arial"/>
                <w:spacing w:val="-2"/>
                <w:w w:val="95"/>
                <w:sz w:val="20"/>
              </w:rPr>
              <w:t>11,172,563</w:t>
            </w:r>
            <w:r>
              <w:rPr>
                <w:rFonts w:ascii="Arial"/>
                <w:spacing w:val="-2"/>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增加</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right="20"/>
              <w:jc w:val="right"/>
              <w:rPr>
                <w:rFonts w:ascii="Arial" w:hAnsi="Arial" w:cs="Arial" w:eastAsia="Arial" w:hint="default"/>
                <w:sz w:val="20"/>
                <w:szCs w:val="20"/>
              </w:rPr>
            </w:pPr>
            <w:r>
              <w:rPr>
                <w:rFonts w:ascii="Arial"/>
                <w:w w:val="99"/>
                <w:sz w:val="20"/>
              </w:rPr>
              <w:t>0</w:t>
            </w:r>
            <w:r>
              <w:rPr>
                <w:rFonts w:ascii="Arial"/>
                <w:sz w:val="20"/>
              </w:rPr>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left="260" w:right="0"/>
              <w:jc w:val="left"/>
              <w:rPr>
                <w:rFonts w:ascii="Arial" w:hAnsi="Arial" w:cs="Arial" w:eastAsia="Arial" w:hint="default"/>
                <w:sz w:val="20"/>
                <w:szCs w:val="20"/>
              </w:rPr>
            </w:pPr>
            <w:r>
              <w:rPr>
                <w:rFonts w:ascii="Arial"/>
                <w:sz w:val="20"/>
              </w:rPr>
              <w:t>11,172,563</w:t>
            </w:r>
          </w:p>
        </w:tc>
        <w:tc>
          <w:tcPr>
            <w:tcW w:w="709" w:type="dxa"/>
            <w:gridSpan w:val="2"/>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夏郁葱</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2" w:right="75"/>
              <w:jc w:val="left"/>
              <w:rPr>
                <w:rFonts w:ascii="宋体" w:hAnsi="宋体" w:cs="宋体" w:eastAsia="宋体" w:hint="default"/>
                <w:sz w:val="20"/>
                <w:szCs w:val="20"/>
              </w:rPr>
            </w:pPr>
            <w:r>
              <w:rPr>
                <w:rFonts w:ascii="宋体" w:hAnsi="宋体" w:cs="宋体" w:eastAsia="宋体" w:hint="default"/>
                <w:sz w:val="20"/>
                <w:szCs w:val="20"/>
              </w:rPr>
              <w:t>境内自</w:t>
            </w:r>
            <w:r>
              <w:rPr>
                <w:rFonts w:ascii="宋体" w:hAnsi="宋体" w:cs="宋体" w:eastAsia="宋体" w:hint="default"/>
                <w:w w:val="99"/>
                <w:sz w:val="20"/>
                <w:szCs w:val="20"/>
              </w:rPr>
              <w:t> </w:t>
            </w:r>
            <w:r>
              <w:rPr>
                <w:rFonts w:ascii="宋体" w:hAnsi="宋体" w:cs="宋体" w:eastAsia="宋体" w:hint="default"/>
                <w:sz w:val="20"/>
                <w:szCs w:val="20"/>
              </w:rPr>
              <w:t>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Arial" w:hAnsi="Arial" w:cs="Arial" w:eastAsia="Arial" w:hint="default"/>
                <w:sz w:val="20"/>
                <w:szCs w:val="20"/>
              </w:rPr>
            </w:pPr>
            <w:r>
              <w:rPr>
                <w:rFonts w:ascii="Arial"/>
                <w:spacing w:val="-1"/>
                <w:w w:val="95"/>
                <w:sz w:val="20"/>
              </w:rPr>
              <w:t>1.37</w:t>
            </w:r>
            <w:r>
              <w:rPr>
                <w:rFonts w:ascii="Arial"/>
                <w:spacing w:val="-1"/>
                <w:sz w:val="20"/>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Arial" w:hAnsi="Arial" w:cs="Arial" w:eastAsia="Arial" w:hint="default"/>
                <w:sz w:val="20"/>
                <w:szCs w:val="20"/>
              </w:rPr>
            </w:pPr>
            <w:r>
              <w:rPr>
                <w:rFonts w:ascii="Arial"/>
                <w:spacing w:val="-1"/>
                <w:sz w:val="20"/>
              </w:rPr>
              <w:t>10,316,318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不变</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Arial" w:hAnsi="Arial" w:cs="Arial" w:eastAsia="Arial" w:hint="default"/>
                <w:sz w:val="20"/>
                <w:szCs w:val="20"/>
              </w:rPr>
            </w:pPr>
            <w:r>
              <w:rPr>
                <w:rFonts w:ascii="Arial"/>
                <w:w w:val="99"/>
                <w:sz w:val="20"/>
              </w:rPr>
              <w:t>0</w:t>
            </w:r>
            <w:r>
              <w:rPr>
                <w:rFonts w:ascii="Arial"/>
                <w:sz w:val="20"/>
              </w:rPr>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45" w:right="0"/>
              <w:jc w:val="left"/>
              <w:rPr>
                <w:rFonts w:ascii="Arial" w:hAnsi="Arial" w:cs="Arial" w:eastAsia="Arial" w:hint="default"/>
                <w:sz w:val="20"/>
                <w:szCs w:val="20"/>
              </w:rPr>
            </w:pPr>
            <w:r>
              <w:rPr>
                <w:rFonts w:ascii="Arial"/>
                <w:sz w:val="20"/>
              </w:rPr>
              <w:t>10,316,318</w:t>
            </w:r>
          </w:p>
        </w:tc>
        <w:tc>
          <w:tcPr>
            <w:tcW w:w="709" w:type="dxa"/>
            <w:gridSpan w:val="2"/>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王莉丽</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75"/>
              <w:jc w:val="left"/>
              <w:rPr>
                <w:rFonts w:ascii="宋体" w:hAnsi="宋体" w:cs="宋体" w:eastAsia="宋体" w:hint="default"/>
                <w:sz w:val="20"/>
                <w:szCs w:val="20"/>
              </w:rPr>
            </w:pPr>
            <w:r>
              <w:rPr>
                <w:rFonts w:ascii="宋体" w:hAnsi="宋体" w:cs="宋体" w:eastAsia="宋体" w:hint="default"/>
                <w:sz w:val="20"/>
                <w:szCs w:val="20"/>
              </w:rPr>
              <w:t>境内自</w:t>
            </w:r>
            <w:r>
              <w:rPr>
                <w:rFonts w:ascii="宋体" w:hAnsi="宋体" w:cs="宋体" w:eastAsia="宋体" w:hint="default"/>
                <w:w w:val="99"/>
                <w:sz w:val="20"/>
                <w:szCs w:val="20"/>
              </w:rPr>
              <w:t> </w:t>
            </w:r>
            <w:r>
              <w:rPr>
                <w:rFonts w:ascii="宋体" w:hAnsi="宋体" w:cs="宋体" w:eastAsia="宋体" w:hint="default"/>
                <w:sz w:val="20"/>
                <w:szCs w:val="20"/>
              </w:rPr>
              <w:t>然人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Arial" w:hAnsi="Arial" w:cs="Arial" w:eastAsia="Arial" w:hint="default"/>
                <w:sz w:val="20"/>
                <w:szCs w:val="20"/>
              </w:rPr>
            </w:pPr>
            <w:r>
              <w:rPr>
                <w:rFonts w:ascii="Arial"/>
                <w:spacing w:val="-1"/>
                <w:w w:val="95"/>
                <w:sz w:val="20"/>
              </w:rPr>
              <w:t>1.35</w:t>
            </w:r>
            <w:r>
              <w:rPr>
                <w:rFonts w:ascii="Arial"/>
                <w:spacing w:val="-1"/>
                <w:sz w:val="20"/>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Arial" w:hAnsi="Arial" w:cs="Arial" w:eastAsia="Arial" w:hint="default"/>
                <w:sz w:val="20"/>
                <w:szCs w:val="20"/>
              </w:rPr>
            </w:pPr>
            <w:r>
              <w:rPr>
                <w:rFonts w:ascii="Arial"/>
                <w:spacing w:val="-1"/>
                <w:sz w:val="20"/>
              </w:rPr>
              <w:t>10,209,392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不变</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Arial" w:hAnsi="Arial" w:cs="Arial" w:eastAsia="Arial" w:hint="default"/>
                <w:sz w:val="20"/>
                <w:szCs w:val="20"/>
              </w:rPr>
            </w:pPr>
            <w:r>
              <w:rPr>
                <w:rFonts w:ascii="Arial"/>
                <w:spacing w:val="-1"/>
                <w:sz w:val="20"/>
              </w:rPr>
              <w:t>10,209,392</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Arial" w:hAnsi="Arial" w:cs="Arial" w:eastAsia="Arial" w:hint="default"/>
                <w:sz w:val="20"/>
                <w:szCs w:val="20"/>
              </w:rPr>
            </w:pPr>
            <w:r>
              <w:rPr>
                <w:rFonts w:ascii="Arial"/>
                <w:w w:val="99"/>
                <w:sz w:val="20"/>
              </w:rPr>
              <w:t>0</w:t>
            </w:r>
            <w:r>
              <w:rPr>
                <w:rFonts w:ascii="Arial"/>
                <w:sz w:val="20"/>
              </w:rPr>
            </w:r>
          </w:p>
        </w:tc>
        <w:tc>
          <w:tcPr>
            <w:tcW w:w="709" w:type="dxa"/>
            <w:gridSpan w:val="2"/>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331"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w w:val="99"/>
                <w:sz w:val="20"/>
                <w:szCs w:val="20"/>
              </w:rPr>
              <w:t>战</w:t>
            </w:r>
            <w:r>
              <w:rPr>
                <w:rFonts w:ascii="宋体" w:hAnsi="宋体" w:cs="宋体" w:eastAsia="宋体" w:hint="default"/>
                <w:spacing w:val="2"/>
                <w:w w:val="99"/>
                <w:sz w:val="20"/>
                <w:szCs w:val="20"/>
              </w:rPr>
              <w:t>略</w:t>
            </w:r>
            <w:r>
              <w:rPr>
                <w:rFonts w:ascii="宋体" w:hAnsi="宋体" w:cs="宋体" w:eastAsia="宋体" w:hint="default"/>
                <w:w w:val="99"/>
                <w:sz w:val="20"/>
                <w:szCs w:val="20"/>
              </w:rPr>
              <w:t>投资</w:t>
            </w:r>
            <w:r>
              <w:rPr>
                <w:rFonts w:ascii="宋体" w:hAnsi="宋体" w:cs="宋体" w:eastAsia="宋体" w:hint="default"/>
                <w:spacing w:val="2"/>
                <w:w w:val="99"/>
                <w:sz w:val="20"/>
                <w:szCs w:val="20"/>
              </w:rPr>
              <w:t>者</w:t>
            </w:r>
            <w:r>
              <w:rPr>
                <w:rFonts w:ascii="宋体" w:hAnsi="宋体" w:cs="宋体" w:eastAsia="宋体" w:hint="default"/>
                <w:w w:val="99"/>
                <w:sz w:val="20"/>
                <w:szCs w:val="20"/>
              </w:rPr>
              <w:t>或一</w:t>
            </w:r>
            <w:r>
              <w:rPr>
                <w:rFonts w:ascii="宋体" w:hAnsi="宋体" w:cs="宋体" w:eastAsia="宋体" w:hint="default"/>
                <w:spacing w:val="2"/>
                <w:w w:val="99"/>
                <w:sz w:val="20"/>
                <w:szCs w:val="20"/>
              </w:rPr>
              <w:t>般</w:t>
            </w:r>
            <w:r>
              <w:rPr>
                <w:rFonts w:ascii="宋体" w:hAnsi="宋体" w:cs="宋体" w:eastAsia="宋体" w:hint="default"/>
                <w:w w:val="99"/>
                <w:sz w:val="20"/>
                <w:szCs w:val="20"/>
              </w:rPr>
              <w:t>法人</w:t>
            </w:r>
            <w:r>
              <w:rPr>
                <w:rFonts w:ascii="宋体" w:hAnsi="宋体" w:cs="宋体" w:eastAsia="宋体" w:hint="default"/>
                <w:spacing w:val="2"/>
                <w:w w:val="99"/>
                <w:sz w:val="20"/>
                <w:szCs w:val="20"/>
              </w:rPr>
              <w:t>因</w:t>
            </w:r>
            <w:r>
              <w:rPr>
                <w:rFonts w:ascii="宋体" w:hAnsi="宋体" w:cs="宋体" w:eastAsia="宋体" w:hint="default"/>
                <w:w w:val="99"/>
                <w:sz w:val="20"/>
                <w:szCs w:val="20"/>
              </w:rPr>
              <w:t>配售</w:t>
            </w:r>
            <w:r>
              <w:rPr>
                <w:rFonts w:ascii="宋体" w:hAnsi="宋体" w:cs="宋体" w:eastAsia="宋体" w:hint="default"/>
                <w:spacing w:val="2"/>
                <w:w w:val="99"/>
                <w:sz w:val="20"/>
                <w:szCs w:val="20"/>
              </w:rPr>
              <w:t>新</w:t>
            </w:r>
            <w:r>
              <w:rPr>
                <w:rFonts w:ascii="宋体" w:hAnsi="宋体" w:cs="宋体" w:eastAsia="宋体" w:hint="default"/>
                <w:w w:val="99"/>
                <w:sz w:val="20"/>
                <w:szCs w:val="20"/>
              </w:rPr>
              <w:t>股成</w:t>
            </w:r>
            <w:r>
              <w:rPr>
                <w:rFonts w:ascii="宋体" w:hAnsi="宋体" w:cs="宋体" w:eastAsia="宋体" w:hint="default"/>
                <w:spacing w:val="2"/>
                <w:w w:val="99"/>
                <w:sz w:val="20"/>
                <w:szCs w:val="20"/>
              </w:rPr>
              <w:t>为</w:t>
            </w:r>
            <w:r>
              <w:rPr>
                <w:rFonts w:ascii="宋体" w:hAnsi="宋体" w:cs="宋体" w:eastAsia="宋体" w:hint="default"/>
                <w:w w:val="99"/>
                <w:sz w:val="20"/>
                <w:szCs w:val="20"/>
              </w:rPr>
              <w:t>前</w:t>
            </w:r>
            <w:r>
              <w:rPr>
                <w:rFonts w:ascii="宋体" w:hAnsi="宋体" w:cs="宋体" w:eastAsia="宋体" w:hint="default"/>
                <w:spacing w:val="-50"/>
                <w:sz w:val="20"/>
                <w:szCs w:val="20"/>
              </w:rPr>
              <w:t> </w:t>
            </w:r>
            <w:r>
              <w:rPr>
                <w:rFonts w:ascii="Arial" w:hAnsi="Arial" w:cs="Arial" w:eastAsia="Arial" w:hint="default"/>
                <w:spacing w:val="-1"/>
                <w:w w:val="99"/>
                <w:sz w:val="20"/>
                <w:szCs w:val="20"/>
              </w:rPr>
              <w:t>1</w:t>
            </w:r>
            <w:r>
              <w:rPr>
                <w:rFonts w:ascii="Arial" w:hAnsi="Arial" w:cs="Arial" w:eastAsia="Arial" w:hint="default"/>
                <w:w w:val="99"/>
                <w:sz w:val="20"/>
                <w:szCs w:val="20"/>
              </w:rPr>
              <w:t>0</w:t>
            </w:r>
            <w:r>
              <w:rPr>
                <w:rFonts w:ascii="Arial" w:hAnsi="Arial" w:cs="Arial" w:eastAsia="Arial" w:hint="default"/>
                <w:spacing w:val="-6"/>
                <w:sz w:val="20"/>
                <w:szCs w:val="20"/>
              </w:rPr>
              <w:t> </w:t>
            </w:r>
            <w:r>
              <w:rPr>
                <w:rFonts w:ascii="宋体" w:hAnsi="宋体" w:cs="宋体" w:eastAsia="宋体" w:hint="default"/>
                <w:w w:val="99"/>
                <w:sz w:val="20"/>
                <w:szCs w:val="20"/>
              </w:rPr>
              <w:t>名</w:t>
            </w:r>
            <w:r>
              <w:rPr>
                <w:rFonts w:ascii="宋体" w:hAnsi="宋体" w:cs="宋体" w:eastAsia="宋体" w:hint="default"/>
                <w:spacing w:val="2"/>
                <w:w w:val="99"/>
                <w:sz w:val="20"/>
                <w:szCs w:val="20"/>
              </w:rPr>
              <w:t>股</w:t>
            </w:r>
            <w:r>
              <w:rPr>
                <w:rFonts w:ascii="宋体" w:hAnsi="宋体" w:cs="宋体" w:eastAsia="宋体" w:hint="default"/>
                <w:w w:val="99"/>
                <w:sz w:val="20"/>
                <w:szCs w:val="20"/>
              </w:rPr>
              <w:t>东的</w:t>
            </w:r>
            <w:r>
              <w:rPr>
                <w:rFonts w:ascii="宋体" w:hAnsi="宋体" w:cs="宋体" w:eastAsia="宋体" w:hint="default"/>
                <w:spacing w:val="2"/>
                <w:w w:val="99"/>
                <w:sz w:val="20"/>
                <w:szCs w:val="20"/>
              </w:rPr>
              <w:t>情</w:t>
            </w:r>
            <w:r>
              <w:rPr>
                <w:rFonts w:ascii="宋体" w:hAnsi="宋体" w:cs="宋体" w:eastAsia="宋体" w:hint="default"/>
                <w:w w:val="99"/>
                <w:sz w:val="20"/>
                <w:szCs w:val="20"/>
              </w:rPr>
              <w:t>况（</w:t>
            </w:r>
            <w:r>
              <w:rPr>
                <w:rFonts w:ascii="宋体" w:hAnsi="宋体" w:cs="宋体" w:eastAsia="宋体" w:hint="default"/>
                <w:spacing w:val="2"/>
                <w:w w:val="99"/>
                <w:sz w:val="20"/>
                <w:szCs w:val="20"/>
              </w:rPr>
              <w:t>如</w:t>
            </w:r>
            <w:r>
              <w:rPr>
                <w:rFonts w:ascii="宋体" w:hAnsi="宋体" w:cs="宋体" w:eastAsia="宋体" w:hint="default"/>
                <w:w w:val="99"/>
                <w:sz w:val="20"/>
                <w:szCs w:val="20"/>
              </w:rPr>
              <w:t>有</w:t>
            </w:r>
            <w:r>
              <w:rPr>
                <w:rFonts w:ascii="宋体" w:hAnsi="宋体" w:cs="宋体" w:eastAsia="宋体" w:hint="default"/>
                <w:spacing w:val="-99"/>
                <w:w w:val="99"/>
                <w:sz w:val="20"/>
                <w:szCs w:val="20"/>
              </w:rPr>
              <w:t>）</w:t>
            </w:r>
            <w:r>
              <w:rPr>
                <w:rFonts w:ascii="宋体" w:hAnsi="宋体" w:cs="宋体" w:eastAsia="宋体" w:hint="default"/>
                <w:w w:val="99"/>
                <w:sz w:val="20"/>
                <w:szCs w:val="20"/>
              </w:rPr>
              <w:t>（</w:t>
            </w:r>
            <w:r>
              <w:rPr>
                <w:rFonts w:ascii="宋体" w:hAnsi="宋体" w:cs="宋体" w:eastAsia="宋体" w:hint="default"/>
                <w:spacing w:val="2"/>
                <w:w w:val="99"/>
                <w:sz w:val="20"/>
                <w:szCs w:val="20"/>
              </w:rPr>
              <w:t>参</w:t>
            </w:r>
            <w:r>
              <w:rPr>
                <w:rFonts w:ascii="宋体" w:hAnsi="宋体" w:cs="宋体" w:eastAsia="宋体" w:hint="default"/>
                <w:w w:val="99"/>
                <w:sz w:val="20"/>
                <w:szCs w:val="20"/>
              </w:rPr>
              <w:t>见注</w:t>
            </w:r>
            <w:r>
              <w:rPr>
                <w:rFonts w:ascii="宋体" w:hAnsi="宋体" w:cs="宋体" w:eastAsia="宋体" w:hint="default"/>
                <w:spacing w:val="-50"/>
                <w:sz w:val="20"/>
                <w:szCs w:val="20"/>
              </w:rPr>
              <w:t> </w:t>
            </w:r>
            <w:r>
              <w:rPr>
                <w:rFonts w:ascii="Arial" w:hAnsi="Arial" w:cs="Arial" w:eastAsia="Arial" w:hint="default"/>
                <w:spacing w:val="-1"/>
                <w:w w:val="99"/>
                <w:sz w:val="20"/>
                <w:szCs w:val="20"/>
              </w:rPr>
              <w:t>4</w:t>
            </w:r>
            <w:r>
              <w:rPr>
                <w:rFonts w:ascii="宋体" w:hAnsi="宋体" w:cs="宋体" w:eastAsia="宋体" w:hint="default"/>
                <w:w w:val="99"/>
                <w:sz w:val="20"/>
                <w:szCs w:val="20"/>
              </w:rPr>
              <w:t>）</w:t>
            </w:r>
            <w:r>
              <w:rPr>
                <w:rFonts w:ascii="宋体" w:hAnsi="宋体" w:cs="宋体" w:eastAsia="宋体" w:hint="default"/>
                <w:sz w:val="20"/>
                <w:szCs w:val="20"/>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1026" w:hRule="exact"/>
        </w:trPr>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85" w:lineRule="auto"/>
              <w:ind w:left="22" w:right="60"/>
              <w:jc w:val="left"/>
              <w:rPr>
                <w:rFonts w:ascii="宋体" w:hAnsi="宋体" w:cs="宋体" w:eastAsia="宋体" w:hint="default"/>
                <w:sz w:val="20"/>
                <w:szCs w:val="20"/>
              </w:rPr>
            </w:pPr>
            <w:r>
              <w:rPr>
                <w:rFonts w:ascii="宋体" w:hAnsi="宋体" w:cs="宋体" w:eastAsia="宋体" w:hint="default"/>
                <w:sz w:val="20"/>
                <w:szCs w:val="20"/>
              </w:rPr>
              <w:t>上述股东关联关系或一</w:t>
            </w:r>
            <w:r>
              <w:rPr>
                <w:rFonts w:ascii="宋体" w:hAnsi="宋体" w:cs="宋体" w:eastAsia="宋体" w:hint="default"/>
                <w:w w:val="99"/>
                <w:sz w:val="20"/>
                <w:szCs w:val="20"/>
              </w:rPr>
              <w:t> </w:t>
            </w:r>
            <w:r>
              <w:rPr>
                <w:rFonts w:ascii="宋体" w:hAnsi="宋体" w:cs="宋体" w:eastAsia="宋体" w:hint="default"/>
                <w:sz w:val="20"/>
                <w:szCs w:val="20"/>
              </w:rPr>
              <w:t>致行动的说明</w:t>
            </w:r>
          </w:p>
        </w:tc>
        <w:tc>
          <w:tcPr>
            <w:tcW w:w="7473" w:type="dxa"/>
            <w:gridSpan w:val="9"/>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3" w:right="38"/>
              <w:jc w:val="both"/>
              <w:rPr>
                <w:rFonts w:ascii="宋体" w:hAnsi="宋体" w:cs="宋体" w:eastAsia="宋体" w:hint="default"/>
                <w:sz w:val="20"/>
                <w:szCs w:val="20"/>
              </w:rPr>
            </w:pPr>
            <w:r>
              <w:rPr>
                <w:rFonts w:ascii="宋体" w:hAnsi="宋体" w:cs="宋体" w:eastAsia="宋体" w:hint="default"/>
                <w:sz w:val="20"/>
                <w:szCs w:val="20"/>
              </w:rPr>
              <w:t>邵学先生为公司董事长，任涛先生为公司董事，任刚先生为联奕科技董事长，以上三</w:t>
            </w:r>
            <w:r>
              <w:rPr>
                <w:rFonts w:ascii="宋体" w:hAnsi="宋体" w:cs="宋体" w:eastAsia="宋体" w:hint="default"/>
                <w:w w:val="99"/>
                <w:sz w:val="20"/>
                <w:szCs w:val="20"/>
              </w:rPr>
              <w:t> </w:t>
            </w:r>
            <w:r>
              <w:rPr>
                <w:rFonts w:ascii="宋体" w:hAnsi="宋体" w:cs="宋体" w:eastAsia="宋体" w:hint="default"/>
                <w:sz w:val="20"/>
                <w:szCs w:val="20"/>
              </w:rPr>
              <w:t>人与其他股东之间不存在关联关系或一致行动关系。除此之外，公司未知其他股东之</w:t>
            </w:r>
            <w:r>
              <w:rPr>
                <w:rFonts w:ascii="宋体" w:hAnsi="宋体" w:cs="宋体" w:eastAsia="宋体" w:hint="default"/>
                <w:w w:val="99"/>
                <w:sz w:val="20"/>
                <w:szCs w:val="20"/>
              </w:rPr>
              <w:t> </w:t>
            </w:r>
            <w:r>
              <w:rPr>
                <w:rFonts w:ascii="宋体" w:hAnsi="宋体" w:cs="宋体" w:eastAsia="宋体" w:hint="default"/>
                <w:sz w:val="20"/>
                <w:szCs w:val="20"/>
              </w:rPr>
              <w:t>间是否存在关联关系或一致行动关系。</w:t>
            </w:r>
          </w:p>
        </w:tc>
      </w:tr>
      <w:tr>
        <w:trPr>
          <w:trHeight w:val="402" w:hRule="exact"/>
        </w:trPr>
        <w:tc>
          <w:tcPr>
            <w:tcW w:w="9567"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1" w:right="0"/>
              <w:jc w:val="center"/>
              <w:rPr>
                <w:rFonts w:ascii="宋体" w:hAnsi="宋体" w:cs="宋体" w:eastAsia="宋体" w:hint="default"/>
                <w:sz w:val="20"/>
                <w:szCs w:val="20"/>
              </w:rPr>
            </w:pPr>
            <w:r>
              <w:rPr>
                <w:rFonts w:ascii="宋体" w:hAnsi="宋体" w:cs="宋体" w:eastAsia="宋体" w:hint="default"/>
                <w:sz w:val="20"/>
                <w:szCs w:val="20"/>
              </w:rPr>
              <w:t>前</w:t>
            </w:r>
            <w:r>
              <w:rPr>
                <w:rFonts w:ascii="宋体" w:hAnsi="宋体" w:cs="宋体" w:eastAsia="宋体" w:hint="default"/>
                <w:spacing w:val="-54"/>
                <w:sz w:val="20"/>
                <w:szCs w:val="20"/>
              </w:rPr>
              <w:t> </w:t>
            </w:r>
            <w:r>
              <w:rPr>
                <w:rFonts w:ascii="Arial" w:hAnsi="Arial" w:cs="Arial" w:eastAsia="Arial" w:hint="default"/>
                <w:sz w:val="20"/>
                <w:szCs w:val="20"/>
              </w:rPr>
              <w:t>10</w:t>
            </w:r>
            <w:r>
              <w:rPr>
                <w:rFonts w:ascii="Arial" w:hAnsi="Arial" w:cs="Arial" w:eastAsia="Arial" w:hint="default"/>
                <w:spacing w:val="-10"/>
                <w:sz w:val="20"/>
                <w:szCs w:val="20"/>
              </w:rPr>
              <w:t> </w:t>
            </w:r>
            <w:r>
              <w:rPr>
                <w:rFonts w:ascii="宋体" w:hAnsi="宋体" w:cs="宋体" w:eastAsia="宋体" w:hint="default"/>
                <w:sz w:val="20"/>
                <w:szCs w:val="20"/>
              </w:rPr>
              <w:t>名无限售条件股东持股情况</w:t>
            </w:r>
          </w:p>
        </w:tc>
      </w:tr>
      <w:tr>
        <w:trPr>
          <w:trHeight w:val="402" w:hRule="exact"/>
        </w:trPr>
        <w:tc>
          <w:tcPr>
            <w:tcW w:w="20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642" w:right="0"/>
              <w:jc w:val="left"/>
              <w:rPr>
                <w:rFonts w:ascii="宋体" w:hAnsi="宋体" w:cs="宋体" w:eastAsia="宋体" w:hint="default"/>
                <w:sz w:val="20"/>
                <w:szCs w:val="20"/>
              </w:rPr>
            </w:pPr>
            <w:r>
              <w:rPr>
                <w:rFonts w:ascii="宋体" w:hAnsi="宋体" w:cs="宋体" w:eastAsia="宋体" w:hint="default"/>
                <w:sz w:val="20"/>
                <w:szCs w:val="20"/>
              </w:rPr>
              <w:t>股东名称</w:t>
            </w:r>
          </w:p>
        </w:tc>
        <w:tc>
          <w:tcPr>
            <w:tcW w:w="4394"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691" w:right="0"/>
              <w:jc w:val="left"/>
              <w:rPr>
                <w:rFonts w:ascii="宋体" w:hAnsi="宋体" w:cs="宋体" w:eastAsia="宋体" w:hint="default"/>
                <w:sz w:val="20"/>
                <w:szCs w:val="20"/>
              </w:rPr>
            </w:pPr>
            <w:r>
              <w:rPr>
                <w:rFonts w:ascii="宋体" w:hAnsi="宋体" w:cs="宋体" w:eastAsia="宋体" w:hint="default"/>
                <w:sz w:val="20"/>
                <w:szCs w:val="20"/>
              </w:rPr>
              <w:t>报告期末持有无限售条件股份数量</w:t>
            </w:r>
          </w:p>
        </w:tc>
        <w:tc>
          <w:tcPr>
            <w:tcW w:w="307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right="2"/>
              <w:jc w:val="center"/>
              <w:rPr>
                <w:rFonts w:ascii="宋体" w:hAnsi="宋体" w:cs="宋体" w:eastAsia="宋体" w:hint="default"/>
                <w:sz w:val="20"/>
                <w:szCs w:val="20"/>
              </w:rPr>
            </w:pPr>
            <w:r>
              <w:rPr>
                <w:rFonts w:ascii="宋体" w:hAnsi="宋体" w:cs="宋体" w:eastAsia="宋体" w:hint="default"/>
                <w:sz w:val="20"/>
                <w:szCs w:val="20"/>
              </w:rPr>
              <w:t>股份种类</w:t>
            </w:r>
          </w:p>
        </w:tc>
      </w:tr>
      <w:tr>
        <w:trPr>
          <w:trHeight w:val="402" w:hRule="exact"/>
        </w:trPr>
        <w:tc>
          <w:tcPr>
            <w:tcW w:w="2094" w:type="dxa"/>
            <w:gridSpan w:val="2"/>
            <w:vMerge/>
            <w:tcBorders>
              <w:left w:val="single" w:sz="4" w:space="0" w:color="000000"/>
              <w:bottom w:val="single" w:sz="4" w:space="0" w:color="000000"/>
              <w:right w:val="single" w:sz="4" w:space="0" w:color="000000"/>
            </w:tcBorders>
            <w:shd w:val="clear" w:color="auto" w:fill="D2D2D2"/>
          </w:tcPr>
          <w:p>
            <w:pPr/>
          </w:p>
        </w:tc>
        <w:tc>
          <w:tcPr>
            <w:tcW w:w="4394" w:type="dxa"/>
            <w:gridSpan w:val="5"/>
            <w:vMerge/>
            <w:tcBorders>
              <w:left w:val="single" w:sz="4" w:space="0" w:color="000000"/>
              <w:bottom w:val="single" w:sz="4" w:space="0" w:color="000000"/>
              <w:right w:val="single" w:sz="4" w:space="0" w:color="000000"/>
            </w:tcBorders>
            <w:shd w:val="clear" w:color="auto" w:fill="D2D2D2"/>
          </w:tcPr>
          <w:p>
            <w:pP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444" w:right="0"/>
              <w:jc w:val="left"/>
              <w:rPr>
                <w:rFonts w:ascii="宋体" w:hAnsi="宋体" w:cs="宋体" w:eastAsia="宋体" w:hint="default"/>
                <w:sz w:val="20"/>
                <w:szCs w:val="20"/>
              </w:rPr>
            </w:pPr>
            <w:r>
              <w:rPr>
                <w:rFonts w:ascii="宋体" w:hAnsi="宋体" w:cs="宋体" w:eastAsia="宋体" w:hint="default"/>
                <w:sz w:val="20"/>
                <w:szCs w:val="20"/>
              </w:rPr>
              <w:t>股份种类</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1"/>
              <w:jc w:val="center"/>
              <w:rPr>
                <w:rFonts w:ascii="宋体" w:hAnsi="宋体" w:cs="宋体" w:eastAsia="宋体" w:hint="default"/>
                <w:sz w:val="20"/>
                <w:szCs w:val="20"/>
              </w:rPr>
            </w:pPr>
            <w:r>
              <w:rPr>
                <w:rFonts w:ascii="宋体" w:hAnsi="宋体" w:cs="宋体" w:eastAsia="宋体" w:hint="default"/>
                <w:sz w:val="20"/>
                <w:szCs w:val="20"/>
              </w:rPr>
              <w:t>数量</w:t>
            </w:r>
          </w:p>
        </w:tc>
      </w:tr>
      <w:tr>
        <w:trPr>
          <w:trHeight w:val="402" w:hRule="exact"/>
        </w:trPr>
        <w:tc>
          <w:tcPr>
            <w:tcW w:w="20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邵学</w:t>
            </w:r>
          </w:p>
        </w:tc>
        <w:tc>
          <w:tcPr>
            <w:tcW w:w="439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Arial" w:hAnsi="Arial" w:cs="Arial" w:eastAsia="Arial" w:hint="default"/>
                <w:sz w:val="20"/>
                <w:szCs w:val="20"/>
              </w:rPr>
            </w:pPr>
            <w:r>
              <w:rPr>
                <w:rFonts w:ascii="Arial"/>
                <w:spacing w:val="-1"/>
                <w:sz w:val="20"/>
              </w:rPr>
              <w:t>37,658,664</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1"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13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346" w:right="0"/>
              <w:jc w:val="left"/>
              <w:rPr>
                <w:rFonts w:ascii="Arial" w:hAnsi="Arial" w:cs="Arial" w:eastAsia="Arial" w:hint="default"/>
                <w:sz w:val="20"/>
                <w:szCs w:val="20"/>
              </w:rPr>
            </w:pPr>
            <w:r>
              <w:rPr>
                <w:rFonts w:ascii="Arial"/>
                <w:sz w:val="20"/>
              </w:rPr>
              <w:t>37,658,664</w:t>
            </w:r>
          </w:p>
        </w:tc>
      </w:tr>
      <w:tr>
        <w:trPr>
          <w:trHeight w:val="714" w:hRule="exact"/>
        </w:trPr>
        <w:tc>
          <w:tcPr>
            <w:tcW w:w="20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2" w:right="60"/>
              <w:jc w:val="left"/>
              <w:rPr>
                <w:rFonts w:ascii="宋体" w:hAnsi="宋体" w:cs="宋体" w:eastAsia="宋体" w:hint="default"/>
                <w:sz w:val="20"/>
                <w:szCs w:val="20"/>
              </w:rPr>
            </w:pPr>
            <w:r>
              <w:rPr>
                <w:rFonts w:ascii="宋体" w:hAnsi="宋体" w:cs="宋体" w:eastAsia="宋体" w:hint="default"/>
                <w:sz w:val="20"/>
                <w:szCs w:val="20"/>
              </w:rPr>
              <w:t>中国证券金融股份有限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439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Arial" w:hAnsi="Arial" w:cs="Arial" w:eastAsia="Arial" w:hint="default"/>
                <w:sz w:val="20"/>
                <w:szCs w:val="20"/>
              </w:rPr>
            </w:pPr>
            <w:r>
              <w:rPr>
                <w:rFonts w:ascii="Arial"/>
                <w:spacing w:val="-1"/>
                <w:sz w:val="20"/>
              </w:rPr>
              <w:t>16,732,802</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13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346" w:right="0"/>
              <w:jc w:val="left"/>
              <w:rPr>
                <w:rFonts w:ascii="Arial" w:hAnsi="Arial" w:cs="Arial" w:eastAsia="Arial" w:hint="default"/>
                <w:sz w:val="20"/>
                <w:szCs w:val="20"/>
              </w:rPr>
            </w:pPr>
            <w:r>
              <w:rPr>
                <w:rFonts w:ascii="Arial"/>
                <w:sz w:val="20"/>
              </w:rPr>
              <w:t>16,732,802</w:t>
            </w:r>
          </w:p>
        </w:tc>
      </w:tr>
      <w:tr>
        <w:trPr>
          <w:trHeight w:val="402" w:hRule="exact"/>
        </w:trPr>
        <w:tc>
          <w:tcPr>
            <w:tcW w:w="20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香港中央结算有限公司</w:t>
            </w:r>
          </w:p>
        </w:tc>
        <w:tc>
          <w:tcPr>
            <w:tcW w:w="439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Arial" w:hAnsi="Arial" w:cs="Arial" w:eastAsia="Arial" w:hint="default"/>
                <w:sz w:val="20"/>
                <w:szCs w:val="20"/>
              </w:rPr>
            </w:pPr>
            <w:r>
              <w:rPr>
                <w:rFonts w:ascii="Arial"/>
                <w:spacing w:val="-1"/>
                <w:sz w:val="20"/>
              </w:rPr>
              <w:t>16,031,653</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1"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13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346" w:right="0"/>
              <w:jc w:val="left"/>
              <w:rPr>
                <w:rFonts w:ascii="Arial" w:hAnsi="Arial" w:cs="Arial" w:eastAsia="Arial" w:hint="default"/>
                <w:sz w:val="20"/>
                <w:szCs w:val="20"/>
              </w:rPr>
            </w:pPr>
            <w:r>
              <w:rPr>
                <w:rFonts w:ascii="Arial"/>
                <w:sz w:val="20"/>
              </w:rPr>
              <w:t>16,031,653</w:t>
            </w:r>
          </w:p>
        </w:tc>
      </w:tr>
      <w:tr>
        <w:trPr>
          <w:trHeight w:val="714" w:hRule="exact"/>
        </w:trPr>
        <w:tc>
          <w:tcPr>
            <w:tcW w:w="20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2" w:right="60"/>
              <w:jc w:val="left"/>
              <w:rPr>
                <w:rFonts w:ascii="宋体" w:hAnsi="宋体" w:cs="宋体" w:eastAsia="宋体" w:hint="default"/>
                <w:sz w:val="20"/>
                <w:szCs w:val="20"/>
              </w:rPr>
            </w:pPr>
            <w:r>
              <w:rPr>
                <w:rFonts w:ascii="宋体" w:hAnsi="宋体" w:cs="宋体" w:eastAsia="宋体" w:hint="default"/>
                <w:sz w:val="20"/>
                <w:szCs w:val="20"/>
              </w:rPr>
              <w:t>中信证券卓越成长股票</w:t>
            </w:r>
            <w:r>
              <w:rPr>
                <w:rFonts w:ascii="宋体" w:hAnsi="宋体" w:cs="宋体" w:eastAsia="宋体" w:hint="default"/>
                <w:w w:val="99"/>
                <w:sz w:val="20"/>
                <w:szCs w:val="20"/>
              </w:rPr>
              <w:t> </w:t>
            </w:r>
            <w:r>
              <w:rPr>
                <w:rFonts w:ascii="宋体" w:hAnsi="宋体" w:cs="宋体" w:eastAsia="宋体" w:hint="default"/>
                <w:sz w:val="20"/>
                <w:szCs w:val="20"/>
              </w:rPr>
              <w:t>集合资产管理计划</w:t>
            </w:r>
          </w:p>
        </w:tc>
        <w:tc>
          <w:tcPr>
            <w:tcW w:w="439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Arial" w:hAnsi="Arial" w:cs="Arial" w:eastAsia="Arial" w:hint="default"/>
                <w:sz w:val="20"/>
                <w:szCs w:val="20"/>
              </w:rPr>
            </w:pPr>
            <w:r>
              <w:rPr>
                <w:rFonts w:ascii="Arial"/>
                <w:spacing w:val="-1"/>
                <w:sz w:val="20"/>
              </w:rPr>
              <w:t>13,539,291</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13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346" w:right="0"/>
              <w:jc w:val="left"/>
              <w:rPr>
                <w:rFonts w:ascii="Arial" w:hAnsi="Arial" w:cs="Arial" w:eastAsia="Arial" w:hint="default"/>
                <w:sz w:val="20"/>
                <w:szCs w:val="20"/>
              </w:rPr>
            </w:pPr>
            <w:r>
              <w:rPr>
                <w:rFonts w:ascii="Arial"/>
                <w:sz w:val="20"/>
              </w:rPr>
              <w:t>13,539,291</w:t>
            </w:r>
          </w:p>
        </w:tc>
      </w:tr>
      <w:tr>
        <w:trPr>
          <w:trHeight w:val="714" w:hRule="exact"/>
        </w:trPr>
        <w:tc>
          <w:tcPr>
            <w:tcW w:w="20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60"/>
              <w:jc w:val="left"/>
              <w:rPr>
                <w:rFonts w:ascii="宋体" w:hAnsi="宋体" w:cs="宋体" w:eastAsia="宋体" w:hint="default"/>
                <w:sz w:val="20"/>
                <w:szCs w:val="20"/>
              </w:rPr>
            </w:pPr>
            <w:r>
              <w:rPr>
                <w:rFonts w:ascii="宋体" w:hAnsi="宋体" w:cs="宋体" w:eastAsia="宋体" w:hint="default"/>
                <w:sz w:val="20"/>
                <w:szCs w:val="20"/>
              </w:rPr>
              <w:t>易方达创业板交易型开</w:t>
            </w:r>
            <w:r>
              <w:rPr>
                <w:rFonts w:ascii="宋体" w:hAnsi="宋体" w:cs="宋体" w:eastAsia="宋体" w:hint="default"/>
                <w:w w:val="99"/>
                <w:sz w:val="20"/>
                <w:szCs w:val="20"/>
              </w:rPr>
              <w:t> </w:t>
            </w:r>
            <w:r>
              <w:rPr>
                <w:rFonts w:ascii="宋体" w:hAnsi="宋体" w:cs="宋体" w:eastAsia="宋体" w:hint="default"/>
                <w:sz w:val="20"/>
                <w:szCs w:val="20"/>
              </w:rPr>
              <w:t>放式指数证券投资基金</w:t>
            </w:r>
          </w:p>
        </w:tc>
        <w:tc>
          <w:tcPr>
            <w:tcW w:w="439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Arial" w:hAnsi="Arial" w:cs="Arial" w:eastAsia="Arial" w:hint="default"/>
                <w:sz w:val="20"/>
                <w:szCs w:val="20"/>
              </w:rPr>
            </w:pPr>
            <w:r>
              <w:rPr>
                <w:rFonts w:ascii="Arial"/>
                <w:spacing w:val="-2"/>
                <w:w w:val="95"/>
                <w:sz w:val="20"/>
              </w:rPr>
              <w:t>11,590,986</w:t>
            </w:r>
            <w:r>
              <w:rPr>
                <w:rFonts w:ascii="Arial"/>
                <w:spacing w:val="-2"/>
                <w:sz w:val="20"/>
              </w:rPr>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13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361" w:right="0"/>
              <w:jc w:val="left"/>
              <w:rPr>
                <w:rFonts w:ascii="Arial" w:hAnsi="Arial" w:cs="Arial" w:eastAsia="Arial" w:hint="default"/>
                <w:sz w:val="20"/>
                <w:szCs w:val="20"/>
              </w:rPr>
            </w:pPr>
            <w:r>
              <w:rPr>
                <w:rFonts w:ascii="Arial"/>
                <w:sz w:val="20"/>
              </w:rPr>
              <w:t>11,590,986</w:t>
            </w:r>
          </w:p>
        </w:tc>
      </w:tr>
      <w:tr>
        <w:trPr>
          <w:trHeight w:val="400" w:hRule="exact"/>
        </w:trPr>
        <w:tc>
          <w:tcPr>
            <w:tcW w:w="20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20"/>
                <w:szCs w:val="20"/>
              </w:rPr>
            </w:pPr>
            <w:r>
              <w:rPr>
                <w:rFonts w:ascii="宋体" w:hAnsi="宋体" w:cs="宋体" w:eastAsia="宋体" w:hint="default"/>
                <w:sz w:val="20"/>
                <w:szCs w:val="20"/>
              </w:rPr>
              <w:t>摩根士丹利投资管理公</w:t>
            </w:r>
          </w:p>
        </w:tc>
        <w:tc>
          <w:tcPr>
            <w:tcW w:w="439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Arial" w:hAnsi="Arial" w:cs="Arial" w:eastAsia="Arial" w:hint="default"/>
                <w:sz w:val="20"/>
                <w:szCs w:val="20"/>
              </w:rPr>
            </w:pPr>
            <w:r>
              <w:rPr>
                <w:rFonts w:ascii="Arial"/>
                <w:spacing w:val="-2"/>
                <w:w w:val="95"/>
                <w:sz w:val="20"/>
              </w:rPr>
              <w:t>11,172,563</w:t>
            </w:r>
            <w:r>
              <w:rPr>
                <w:rFonts w:ascii="Arial"/>
                <w:spacing w:val="-2"/>
                <w:sz w:val="20"/>
              </w:rPr>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1"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13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61" w:right="0"/>
              <w:jc w:val="left"/>
              <w:rPr>
                <w:rFonts w:ascii="Arial" w:hAnsi="Arial" w:cs="Arial" w:eastAsia="Arial" w:hint="default"/>
                <w:sz w:val="20"/>
                <w:szCs w:val="20"/>
              </w:rPr>
            </w:pPr>
            <w:r>
              <w:rPr>
                <w:rFonts w:ascii="Arial"/>
                <w:sz w:val="20"/>
              </w:rPr>
              <w:t>11,172,563</w:t>
            </w:r>
          </w:p>
        </w:tc>
      </w:tr>
    </w:tbl>
    <w:p>
      <w:pPr>
        <w:spacing w:after="0" w:line="240" w:lineRule="auto"/>
        <w:jc w:val="left"/>
        <w:rPr>
          <w:rFonts w:ascii="Arial" w:hAnsi="Arial" w:cs="Arial" w:eastAsia="Arial" w:hint="default"/>
          <w:sz w:val="20"/>
          <w:szCs w:val="20"/>
        </w:rPr>
        <w:sectPr>
          <w:pgSz w:w="11910" w:h="16840"/>
          <w:pgMar w:header="878" w:footer="978" w:top="1100" w:bottom="116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094"/>
        <w:gridCol w:w="4394"/>
        <w:gridCol w:w="1701"/>
        <w:gridCol w:w="1378"/>
      </w:tblGrid>
      <w:tr>
        <w:trPr>
          <w:trHeight w:val="674" w:hRule="exact"/>
        </w:trPr>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2" w:right="0"/>
              <w:jc w:val="left"/>
              <w:rPr>
                <w:rFonts w:ascii="Arial" w:hAnsi="Arial" w:cs="Arial" w:eastAsia="Arial" w:hint="default"/>
                <w:sz w:val="20"/>
                <w:szCs w:val="20"/>
              </w:rPr>
            </w:pPr>
            <w:r>
              <w:rPr>
                <w:rFonts w:ascii="宋体" w:hAnsi="宋体" w:cs="宋体" w:eastAsia="宋体" w:hint="default"/>
                <w:sz w:val="20"/>
                <w:szCs w:val="20"/>
              </w:rPr>
              <w:t>司－摩根士丹利中国</w:t>
            </w:r>
            <w:r>
              <w:rPr>
                <w:rFonts w:ascii="宋体" w:hAnsi="宋体" w:cs="宋体" w:eastAsia="宋体" w:hint="default"/>
                <w:spacing w:val="-54"/>
                <w:sz w:val="20"/>
                <w:szCs w:val="20"/>
              </w:rPr>
              <w:t> </w:t>
            </w:r>
            <w:r>
              <w:rPr>
                <w:rFonts w:ascii="Arial" w:hAnsi="Arial" w:cs="Arial" w:eastAsia="Arial" w:hint="default"/>
                <w:sz w:val="20"/>
                <w:szCs w:val="20"/>
              </w:rPr>
              <w:t>A</w:t>
            </w:r>
          </w:p>
          <w:p>
            <w:pPr>
              <w:pStyle w:val="TableParagraph"/>
              <w:spacing w:line="240" w:lineRule="auto" w:before="36"/>
              <w:ind w:left="22" w:right="0"/>
              <w:jc w:val="left"/>
              <w:rPr>
                <w:rFonts w:ascii="宋体" w:hAnsi="宋体" w:cs="宋体" w:eastAsia="宋体" w:hint="default"/>
                <w:sz w:val="20"/>
                <w:szCs w:val="20"/>
              </w:rPr>
            </w:pPr>
            <w:r>
              <w:rPr>
                <w:rFonts w:ascii="宋体" w:hAnsi="宋体" w:cs="宋体" w:eastAsia="宋体" w:hint="default"/>
                <w:sz w:val="20"/>
                <w:szCs w:val="20"/>
              </w:rPr>
              <w:t>股基金</w:t>
            </w:r>
          </w:p>
        </w:tc>
        <w:tc>
          <w:tcPr>
            <w:tcW w:w="4394"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夏郁葱</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Arial" w:hAnsi="Arial" w:cs="Arial" w:eastAsia="Arial" w:hint="default"/>
                <w:sz w:val="20"/>
                <w:szCs w:val="20"/>
              </w:rPr>
            </w:pPr>
            <w:r>
              <w:rPr>
                <w:rFonts w:ascii="Arial"/>
                <w:spacing w:val="-1"/>
                <w:sz w:val="20"/>
              </w:rPr>
              <w:t>10,316,318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1"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Arial" w:hAnsi="Arial" w:cs="Arial" w:eastAsia="Arial" w:hint="default"/>
                <w:sz w:val="20"/>
                <w:szCs w:val="20"/>
              </w:rPr>
            </w:pPr>
            <w:r>
              <w:rPr>
                <w:rFonts w:ascii="Arial"/>
                <w:spacing w:val="-1"/>
                <w:sz w:val="20"/>
              </w:rPr>
              <w:t>10,316,318</w:t>
            </w:r>
          </w:p>
        </w:tc>
      </w:tr>
      <w:tr>
        <w:trPr>
          <w:trHeight w:val="714" w:hRule="exact"/>
        </w:trPr>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60"/>
              <w:jc w:val="left"/>
              <w:rPr>
                <w:rFonts w:ascii="宋体" w:hAnsi="宋体" w:cs="宋体" w:eastAsia="宋体" w:hint="default"/>
                <w:sz w:val="20"/>
                <w:szCs w:val="20"/>
              </w:rPr>
            </w:pPr>
            <w:r>
              <w:rPr>
                <w:rFonts w:ascii="宋体" w:hAnsi="宋体" w:cs="宋体" w:eastAsia="宋体" w:hint="default"/>
                <w:sz w:val="20"/>
                <w:szCs w:val="20"/>
              </w:rPr>
              <w:t>全国社保基金四一八组</w:t>
            </w:r>
            <w:r>
              <w:rPr>
                <w:rFonts w:ascii="宋体" w:hAnsi="宋体" w:cs="宋体" w:eastAsia="宋体" w:hint="default"/>
                <w:w w:val="99"/>
                <w:sz w:val="20"/>
                <w:szCs w:val="20"/>
              </w:rPr>
              <w:t> </w:t>
            </w:r>
            <w:r>
              <w:rPr>
                <w:rFonts w:ascii="宋体" w:hAnsi="宋体" w:cs="宋体" w:eastAsia="宋体" w:hint="default"/>
                <w:sz w:val="20"/>
                <w:szCs w:val="20"/>
              </w:rPr>
              <w:t>合</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Arial" w:hAnsi="Arial" w:cs="Arial" w:eastAsia="Arial" w:hint="default"/>
                <w:sz w:val="20"/>
                <w:szCs w:val="20"/>
              </w:rPr>
            </w:pPr>
            <w:r>
              <w:rPr>
                <w:rFonts w:ascii="Arial"/>
                <w:spacing w:val="-1"/>
                <w:sz w:val="20"/>
              </w:rPr>
              <w:t>9,985,180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Arial" w:hAnsi="Arial" w:cs="Arial" w:eastAsia="Arial" w:hint="default"/>
                <w:sz w:val="20"/>
                <w:szCs w:val="20"/>
              </w:rPr>
            </w:pPr>
            <w:r>
              <w:rPr>
                <w:rFonts w:ascii="Arial"/>
                <w:w w:val="95"/>
                <w:sz w:val="20"/>
              </w:rPr>
              <w:t>9,985,180</w:t>
            </w:r>
            <w:r>
              <w:rPr>
                <w:rFonts w:ascii="Arial"/>
                <w:sz w:val="20"/>
              </w:rPr>
            </w:r>
          </w:p>
        </w:tc>
      </w:tr>
      <w:tr>
        <w:trPr>
          <w:trHeight w:val="714" w:hRule="exact"/>
        </w:trPr>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4"/>
              <w:ind w:left="22" w:right="60"/>
              <w:jc w:val="left"/>
              <w:rPr>
                <w:rFonts w:ascii="宋体" w:hAnsi="宋体" w:cs="宋体" w:eastAsia="宋体" w:hint="default"/>
                <w:sz w:val="20"/>
                <w:szCs w:val="20"/>
              </w:rPr>
            </w:pPr>
            <w:r>
              <w:rPr>
                <w:rFonts w:ascii="宋体" w:hAnsi="宋体" w:cs="宋体" w:eastAsia="宋体" w:hint="default"/>
                <w:sz w:val="20"/>
                <w:szCs w:val="20"/>
              </w:rPr>
              <w:t>兴全全球视野股票型证</w:t>
            </w:r>
            <w:r>
              <w:rPr>
                <w:rFonts w:ascii="宋体" w:hAnsi="宋体" w:cs="宋体" w:eastAsia="宋体" w:hint="default"/>
                <w:w w:val="99"/>
                <w:sz w:val="20"/>
                <w:szCs w:val="20"/>
              </w:rPr>
              <w:t> </w:t>
            </w:r>
            <w:r>
              <w:rPr>
                <w:rFonts w:ascii="宋体" w:hAnsi="宋体" w:cs="宋体" w:eastAsia="宋体" w:hint="default"/>
                <w:sz w:val="20"/>
                <w:szCs w:val="20"/>
              </w:rPr>
              <w:t>券投资基金</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Arial" w:hAnsi="Arial" w:cs="Arial" w:eastAsia="Arial" w:hint="default"/>
                <w:sz w:val="20"/>
                <w:szCs w:val="20"/>
              </w:rPr>
            </w:pPr>
            <w:r>
              <w:rPr>
                <w:rFonts w:ascii="Arial"/>
                <w:spacing w:val="-1"/>
                <w:sz w:val="20"/>
              </w:rPr>
              <w:t>6,587,782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Arial" w:hAnsi="Arial" w:cs="Arial" w:eastAsia="Arial" w:hint="default"/>
                <w:sz w:val="20"/>
                <w:szCs w:val="20"/>
              </w:rPr>
            </w:pPr>
            <w:r>
              <w:rPr>
                <w:rFonts w:ascii="Arial"/>
                <w:w w:val="95"/>
                <w:sz w:val="20"/>
              </w:rPr>
              <w:t>6,587,782</w:t>
            </w:r>
            <w:r>
              <w:rPr>
                <w:rFonts w:ascii="Arial"/>
                <w:sz w:val="20"/>
              </w:rPr>
            </w:r>
          </w:p>
        </w:tc>
      </w:tr>
      <w:tr>
        <w:trPr>
          <w:trHeight w:val="402" w:hRule="exact"/>
        </w:trPr>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任刚</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Arial" w:hAnsi="Arial" w:cs="Arial" w:eastAsia="Arial" w:hint="default"/>
                <w:sz w:val="20"/>
                <w:szCs w:val="20"/>
              </w:rPr>
            </w:pPr>
            <w:r>
              <w:rPr>
                <w:rFonts w:ascii="Arial"/>
                <w:spacing w:val="-1"/>
                <w:sz w:val="20"/>
              </w:rPr>
              <w:t>6,544,224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1"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Arial" w:hAnsi="Arial" w:cs="Arial" w:eastAsia="Arial" w:hint="default"/>
                <w:sz w:val="20"/>
                <w:szCs w:val="20"/>
              </w:rPr>
            </w:pPr>
            <w:r>
              <w:rPr>
                <w:rFonts w:ascii="Arial"/>
                <w:w w:val="95"/>
                <w:sz w:val="20"/>
              </w:rPr>
              <w:t>6,544,224</w:t>
            </w:r>
            <w:r>
              <w:rPr>
                <w:rFonts w:ascii="Arial"/>
                <w:sz w:val="20"/>
              </w:rPr>
            </w:r>
          </w:p>
        </w:tc>
      </w:tr>
      <w:tr>
        <w:trPr>
          <w:trHeight w:val="1650" w:hRule="exact"/>
        </w:trPr>
        <w:tc>
          <w:tcPr>
            <w:tcW w:w="2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2" w:right="0"/>
              <w:jc w:val="left"/>
              <w:rPr>
                <w:rFonts w:ascii="宋体" w:hAnsi="宋体" w:cs="宋体" w:eastAsia="宋体" w:hint="default"/>
                <w:sz w:val="20"/>
                <w:szCs w:val="20"/>
              </w:rPr>
            </w:pPr>
            <w:r>
              <w:rPr>
                <w:rFonts w:ascii="宋体" w:hAnsi="宋体" w:cs="宋体" w:eastAsia="宋体" w:hint="default"/>
                <w:sz w:val="20"/>
                <w:szCs w:val="20"/>
              </w:rPr>
              <w:t>前</w:t>
            </w:r>
            <w:r>
              <w:rPr>
                <w:rFonts w:ascii="宋体" w:hAnsi="宋体" w:cs="宋体" w:eastAsia="宋体" w:hint="default"/>
                <w:spacing w:val="-53"/>
                <w:sz w:val="20"/>
                <w:szCs w:val="20"/>
              </w:rPr>
              <w:t> </w:t>
            </w:r>
            <w:r>
              <w:rPr>
                <w:rFonts w:ascii="Arial" w:hAnsi="Arial" w:cs="Arial" w:eastAsia="Arial" w:hint="default"/>
                <w:sz w:val="20"/>
                <w:szCs w:val="20"/>
              </w:rPr>
              <w:t>10</w:t>
            </w:r>
            <w:r>
              <w:rPr>
                <w:rFonts w:ascii="Arial" w:hAnsi="Arial" w:cs="Arial" w:eastAsia="Arial" w:hint="default"/>
                <w:spacing w:val="-7"/>
                <w:sz w:val="20"/>
                <w:szCs w:val="20"/>
              </w:rPr>
              <w:t> </w:t>
            </w:r>
            <w:r>
              <w:rPr>
                <w:rFonts w:ascii="宋体" w:hAnsi="宋体" w:cs="宋体" w:eastAsia="宋体" w:hint="default"/>
                <w:sz w:val="20"/>
                <w:szCs w:val="20"/>
              </w:rPr>
              <w:t>名无限售流通股</w:t>
            </w:r>
          </w:p>
          <w:p>
            <w:pPr>
              <w:pStyle w:val="TableParagraph"/>
              <w:spacing w:line="276" w:lineRule="auto" w:before="36"/>
              <w:ind w:left="22" w:right="60"/>
              <w:jc w:val="left"/>
              <w:rPr>
                <w:rFonts w:ascii="宋体" w:hAnsi="宋体" w:cs="宋体" w:eastAsia="宋体" w:hint="default"/>
                <w:sz w:val="20"/>
                <w:szCs w:val="20"/>
              </w:rPr>
            </w:pPr>
            <w:r>
              <w:rPr>
                <w:rFonts w:ascii="宋体" w:hAnsi="宋体" w:cs="宋体" w:eastAsia="宋体" w:hint="default"/>
                <w:sz w:val="20"/>
                <w:szCs w:val="20"/>
              </w:rPr>
              <w:t>股东之间，以及前</w:t>
            </w:r>
            <w:r>
              <w:rPr>
                <w:rFonts w:ascii="宋体" w:hAnsi="宋体" w:cs="宋体" w:eastAsia="宋体" w:hint="default"/>
                <w:spacing w:val="-49"/>
                <w:sz w:val="20"/>
                <w:szCs w:val="20"/>
              </w:rPr>
              <w:t> </w:t>
            </w:r>
            <w:r>
              <w:rPr>
                <w:rFonts w:ascii="Arial" w:hAnsi="Arial" w:cs="Arial" w:eastAsia="Arial" w:hint="default"/>
                <w:sz w:val="20"/>
                <w:szCs w:val="20"/>
              </w:rPr>
              <w:t>10</w:t>
            </w:r>
            <w:r>
              <w:rPr>
                <w:rFonts w:ascii="Arial" w:hAnsi="Arial" w:cs="Arial" w:eastAsia="Arial" w:hint="default"/>
                <w:w w:val="99"/>
                <w:sz w:val="20"/>
                <w:szCs w:val="20"/>
              </w:rPr>
              <w:t> </w:t>
            </w:r>
            <w:r>
              <w:rPr>
                <w:rFonts w:ascii="宋体" w:hAnsi="宋体" w:cs="宋体" w:eastAsia="宋体" w:hint="default"/>
                <w:sz w:val="20"/>
                <w:szCs w:val="20"/>
              </w:rPr>
              <w:t>名无限售流通股股东和</w:t>
            </w:r>
            <w:r>
              <w:rPr>
                <w:rFonts w:ascii="宋体" w:hAnsi="宋体" w:cs="宋体" w:eastAsia="宋体" w:hint="default"/>
                <w:w w:val="99"/>
                <w:sz w:val="20"/>
                <w:szCs w:val="20"/>
              </w:rPr>
              <w:t> </w:t>
            </w:r>
            <w:r>
              <w:rPr>
                <w:rFonts w:ascii="宋体" w:hAnsi="宋体" w:cs="宋体" w:eastAsia="宋体" w:hint="default"/>
                <w:sz w:val="20"/>
                <w:szCs w:val="20"/>
              </w:rPr>
              <w:t>前</w:t>
            </w:r>
            <w:r>
              <w:rPr>
                <w:rFonts w:ascii="宋体" w:hAnsi="宋体" w:cs="宋体" w:eastAsia="宋体" w:hint="default"/>
                <w:spacing w:val="-52"/>
                <w:sz w:val="20"/>
                <w:szCs w:val="20"/>
              </w:rPr>
              <w:t> </w:t>
            </w:r>
            <w:r>
              <w:rPr>
                <w:rFonts w:ascii="Arial" w:hAnsi="Arial" w:cs="Arial" w:eastAsia="Arial" w:hint="default"/>
                <w:sz w:val="20"/>
                <w:szCs w:val="20"/>
              </w:rPr>
              <w:t>10</w:t>
            </w:r>
            <w:r>
              <w:rPr>
                <w:rFonts w:ascii="Arial" w:hAnsi="Arial" w:cs="Arial" w:eastAsia="Arial" w:hint="default"/>
                <w:spacing w:val="-5"/>
                <w:sz w:val="20"/>
                <w:szCs w:val="20"/>
              </w:rPr>
              <w:t> </w:t>
            </w:r>
            <w:r>
              <w:rPr>
                <w:rFonts w:ascii="宋体" w:hAnsi="宋体" w:cs="宋体" w:eastAsia="宋体" w:hint="default"/>
                <w:sz w:val="20"/>
                <w:szCs w:val="20"/>
              </w:rPr>
              <w:t>名股东之间关联</w:t>
            </w:r>
            <w:r>
              <w:rPr>
                <w:rFonts w:ascii="宋体" w:hAnsi="宋体" w:cs="宋体" w:eastAsia="宋体" w:hint="default"/>
                <w:w w:val="99"/>
                <w:sz w:val="20"/>
                <w:szCs w:val="20"/>
              </w:rPr>
              <w:t> </w:t>
            </w:r>
            <w:r>
              <w:rPr>
                <w:rFonts w:ascii="宋体" w:hAnsi="宋体" w:cs="宋体" w:eastAsia="宋体" w:hint="default"/>
                <w:sz w:val="20"/>
                <w:szCs w:val="20"/>
              </w:rPr>
              <w:t>关系或一致行动的说明</w:t>
            </w:r>
          </w:p>
        </w:tc>
        <w:tc>
          <w:tcPr>
            <w:tcW w:w="74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85" w:lineRule="auto"/>
              <w:ind w:left="23" w:right="38"/>
              <w:jc w:val="left"/>
              <w:rPr>
                <w:rFonts w:ascii="宋体" w:hAnsi="宋体" w:cs="宋体" w:eastAsia="宋体" w:hint="default"/>
                <w:sz w:val="20"/>
                <w:szCs w:val="20"/>
              </w:rPr>
            </w:pPr>
            <w:r>
              <w:rPr>
                <w:rFonts w:ascii="宋体" w:hAnsi="宋体" w:cs="宋体" w:eastAsia="宋体" w:hint="default"/>
                <w:sz w:val="20"/>
                <w:szCs w:val="20"/>
              </w:rPr>
              <w:t>邵学为公司董事长，与其他股东间不存在关联关系或一致行动关系。除此之外，公司</w:t>
            </w:r>
            <w:r>
              <w:rPr>
                <w:rFonts w:ascii="宋体" w:hAnsi="宋体" w:cs="宋体" w:eastAsia="宋体" w:hint="default"/>
                <w:w w:val="99"/>
                <w:sz w:val="20"/>
                <w:szCs w:val="20"/>
              </w:rPr>
              <w:t> </w:t>
            </w:r>
            <w:r>
              <w:rPr>
                <w:rFonts w:ascii="宋体" w:hAnsi="宋体" w:cs="宋体" w:eastAsia="宋体" w:hint="default"/>
                <w:sz w:val="20"/>
                <w:szCs w:val="20"/>
              </w:rPr>
              <w:t>未知其他股东之间是否存在关联关系或一致行动关系。</w:t>
            </w:r>
          </w:p>
        </w:tc>
      </w:tr>
      <w:tr>
        <w:trPr>
          <w:trHeight w:val="1026" w:hRule="exact"/>
        </w:trPr>
        <w:tc>
          <w:tcPr>
            <w:tcW w:w="2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35"/>
              <w:ind w:left="22" w:right="22"/>
              <w:jc w:val="both"/>
              <w:rPr>
                <w:rFonts w:ascii="宋体" w:hAnsi="宋体" w:cs="宋体" w:eastAsia="宋体" w:hint="default"/>
                <w:sz w:val="20"/>
                <w:szCs w:val="20"/>
              </w:rPr>
            </w:pPr>
            <w:r>
              <w:rPr>
                <w:rFonts w:ascii="宋体" w:hAnsi="宋体" w:cs="宋体" w:eastAsia="宋体" w:hint="default"/>
                <w:sz w:val="20"/>
                <w:szCs w:val="20"/>
              </w:rPr>
              <w:t>参与融资融券业务股东</w:t>
            </w:r>
            <w:r>
              <w:rPr>
                <w:rFonts w:ascii="宋体" w:hAnsi="宋体" w:cs="宋体" w:eastAsia="宋体" w:hint="default"/>
                <w:w w:val="99"/>
                <w:sz w:val="20"/>
                <w:szCs w:val="20"/>
              </w:rPr>
              <w:t> </w:t>
            </w:r>
            <w:r>
              <w:rPr>
                <w:rFonts w:ascii="宋体" w:hAnsi="宋体" w:cs="宋体" w:eastAsia="宋体" w:hint="default"/>
                <w:spacing w:val="-15"/>
                <w:w w:val="99"/>
                <w:sz w:val="20"/>
                <w:szCs w:val="20"/>
              </w:rPr>
              <w:t>情况说明（如有）（参见</w:t>
            </w:r>
            <w:r>
              <w:rPr>
                <w:rFonts w:ascii="宋体" w:hAnsi="宋体" w:cs="宋体" w:eastAsia="宋体" w:hint="default"/>
                <w:spacing w:val="-90"/>
                <w:w w:val="99"/>
                <w:sz w:val="20"/>
                <w:szCs w:val="20"/>
              </w:rPr>
              <w:t> </w:t>
            </w:r>
            <w:r>
              <w:rPr>
                <w:rFonts w:ascii="宋体" w:hAnsi="宋体" w:cs="宋体" w:eastAsia="宋体" w:hint="default"/>
                <w:spacing w:val="-90"/>
                <w:w w:val="99"/>
                <w:sz w:val="20"/>
                <w:szCs w:val="20"/>
              </w:rPr>
            </w:r>
            <w:r>
              <w:rPr>
                <w:rFonts w:ascii="宋体" w:hAnsi="宋体" w:cs="宋体" w:eastAsia="宋体" w:hint="default"/>
                <w:sz w:val="20"/>
                <w:szCs w:val="20"/>
              </w:rPr>
              <w:t>注</w:t>
            </w:r>
            <w:r>
              <w:rPr>
                <w:rFonts w:ascii="宋体" w:hAnsi="宋体" w:cs="宋体" w:eastAsia="宋体" w:hint="default"/>
                <w:spacing w:val="-51"/>
                <w:sz w:val="20"/>
                <w:szCs w:val="20"/>
              </w:rPr>
              <w:t> </w:t>
            </w:r>
            <w:r>
              <w:rPr>
                <w:rFonts w:ascii="Arial" w:hAnsi="Arial" w:cs="Arial" w:eastAsia="Arial" w:hint="default"/>
                <w:sz w:val="20"/>
                <w:szCs w:val="20"/>
              </w:rPr>
              <w:t>5</w:t>
            </w:r>
            <w:r>
              <w:rPr>
                <w:rFonts w:ascii="宋体" w:hAnsi="宋体" w:cs="宋体" w:eastAsia="宋体" w:hint="default"/>
                <w:sz w:val="20"/>
                <w:szCs w:val="20"/>
              </w:rPr>
              <w:t>）</w:t>
            </w:r>
          </w:p>
        </w:tc>
        <w:tc>
          <w:tcPr>
            <w:tcW w:w="74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23"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bl>
    <w:p>
      <w:pPr>
        <w:pStyle w:val="Heading3"/>
        <w:spacing w:line="240" w:lineRule="auto" w:before="2"/>
        <w:ind w:right="996"/>
        <w:jc w:val="left"/>
      </w:pPr>
      <w:r>
        <w:rPr/>
        <w:t>公司前</w:t>
      </w:r>
      <w:r>
        <w:rPr>
          <w:spacing w:val="-64"/>
        </w:rPr>
        <w:t> </w:t>
      </w:r>
      <w:r>
        <w:rPr>
          <w:rFonts w:ascii="Arial" w:hAnsi="Arial" w:cs="Arial" w:eastAsia="Arial" w:hint="default"/>
        </w:rPr>
        <w:t>10</w:t>
      </w:r>
      <w:r>
        <w:rPr>
          <w:rFonts w:ascii="Arial" w:hAnsi="Arial" w:cs="Arial" w:eastAsia="Arial" w:hint="default"/>
          <w:spacing w:val="-13"/>
        </w:rPr>
        <w:t> </w:t>
      </w:r>
      <w:r>
        <w:rPr/>
        <w:t>名普通股股东、前</w:t>
      </w:r>
      <w:r>
        <w:rPr>
          <w:spacing w:val="-64"/>
        </w:rPr>
        <w:t> </w:t>
      </w:r>
      <w:r>
        <w:rPr>
          <w:rFonts w:ascii="Arial" w:hAnsi="Arial" w:cs="Arial" w:eastAsia="Arial" w:hint="default"/>
        </w:rPr>
        <w:t>10</w:t>
      </w:r>
      <w:r>
        <w:rPr>
          <w:rFonts w:ascii="Arial" w:hAnsi="Arial" w:cs="Arial" w:eastAsia="Arial" w:hint="default"/>
          <w:spacing w:val="-13"/>
        </w:rPr>
        <w:t> </w:t>
      </w:r>
      <w:r>
        <w:rPr/>
        <w:t>名无限售条件普通股股东在报告期内是否进行约定购回交易</w:t>
      </w:r>
    </w:p>
    <w:p>
      <w:pPr>
        <w:pStyle w:val="Heading3"/>
        <w:spacing w:line="240" w:lineRule="auto" w:before="21"/>
        <w:ind w:right="996"/>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8"/>
        </w:rPr>
        <w:t> </w:t>
      </w:r>
      <w:r>
        <w:rPr/>
        <w:t>否</w:t>
      </w:r>
    </w:p>
    <w:p>
      <w:pPr>
        <w:pStyle w:val="Heading3"/>
        <w:spacing w:line="240" w:lineRule="auto" w:before="21"/>
        <w:ind w:right="996"/>
        <w:jc w:val="left"/>
      </w:pPr>
      <w:r>
        <w:rPr/>
        <w:t>公司前</w:t>
      </w:r>
      <w:r>
        <w:rPr>
          <w:spacing w:val="-61"/>
        </w:rPr>
        <w:t> </w:t>
      </w:r>
      <w:r>
        <w:rPr>
          <w:rFonts w:ascii="Arial" w:hAnsi="Arial" w:cs="Arial" w:eastAsia="Arial" w:hint="default"/>
        </w:rPr>
        <w:t>10</w:t>
      </w:r>
      <w:r>
        <w:rPr>
          <w:rFonts w:ascii="Arial" w:hAnsi="Arial" w:cs="Arial" w:eastAsia="Arial" w:hint="default"/>
          <w:spacing w:val="-10"/>
        </w:rPr>
        <w:t> </w:t>
      </w:r>
      <w:r>
        <w:rPr/>
        <w:t>名普通股股东、前</w:t>
      </w:r>
      <w:r>
        <w:rPr>
          <w:spacing w:val="-61"/>
        </w:rPr>
        <w:t> </w:t>
      </w:r>
      <w:r>
        <w:rPr>
          <w:rFonts w:ascii="Arial" w:hAnsi="Arial" w:cs="Arial" w:eastAsia="Arial" w:hint="default"/>
        </w:rPr>
        <w:t>10</w:t>
      </w:r>
      <w:r>
        <w:rPr>
          <w:rFonts w:ascii="Arial" w:hAnsi="Arial" w:cs="Arial" w:eastAsia="Arial" w:hint="default"/>
          <w:spacing w:val="-7"/>
        </w:rPr>
        <w:t> </w:t>
      </w:r>
      <w:r>
        <w:rPr/>
        <w:t>名无限售条件普通股股东在报告期内未进行约定购回交易。</w:t>
      </w:r>
    </w:p>
    <w:p>
      <w:pPr>
        <w:spacing w:line="240" w:lineRule="auto" w:before="3"/>
        <w:rPr>
          <w:rFonts w:ascii="宋体" w:hAnsi="宋体" w:cs="宋体" w:eastAsia="宋体" w:hint="default"/>
          <w:sz w:val="23"/>
          <w:szCs w:val="23"/>
        </w:rPr>
      </w:pPr>
    </w:p>
    <w:p>
      <w:pPr>
        <w:pStyle w:val="Heading4"/>
        <w:spacing w:line="240" w:lineRule="auto"/>
        <w:ind w:right="996"/>
        <w:jc w:val="left"/>
        <w:rPr>
          <w:b w:val="0"/>
          <w:bCs w:val="0"/>
        </w:rPr>
      </w:pPr>
      <w:bookmarkStart w:name="2、公司控股股东情况" w:id="111"/>
      <w:bookmarkEnd w:id="111"/>
      <w:r>
        <w:rPr>
          <w:b w:val="0"/>
          <w:bCs w:val="0"/>
        </w:rPr>
      </w:r>
      <w:r>
        <w:rPr>
          <w:rFonts w:ascii="Arial" w:hAnsi="Arial" w:cs="Arial" w:eastAsia="Arial" w:hint="default"/>
        </w:rPr>
        <w:t>2</w:t>
      </w:r>
      <w:r>
        <w:rPr/>
        <w:t>、公司控股股东情况</w:t>
      </w:r>
      <w:r>
        <w:rPr>
          <w:b w:val="0"/>
          <w:bCs w:val="0"/>
        </w:rPr>
      </w:r>
    </w:p>
    <w:p>
      <w:pPr>
        <w:spacing w:line="240" w:lineRule="auto" w:before="11"/>
        <w:rPr>
          <w:rFonts w:ascii="宋体" w:hAnsi="宋体" w:cs="宋体" w:eastAsia="宋体" w:hint="default"/>
          <w:b/>
          <w:bCs/>
          <w:sz w:val="22"/>
          <w:szCs w:val="22"/>
        </w:rPr>
      </w:pPr>
    </w:p>
    <w:p>
      <w:pPr>
        <w:pStyle w:val="Heading3"/>
        <w:spacing w:line="268" w:lineRule="auto"/>
        <w:ind w:right="7874"/>
        <w:jc w:val="left"/>
      </w:pPr>
      <w:r>
        <w:rPr/>
        <w:t>控股股东性质：自然人控股 控股股东类型：自然人</w:t>
      </w:r>
    </w:p>
    <w:p>
      <w:pPr>
        <w:spacing w:line="240" w:lineRule="auto" w:before="7"/>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3417"/>
        <w:gridCol w:w="2030"/>
        <w:gridCol w:w="4120"/>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073" w:right="0"/>
              <w:jc w:val="left"/>
              <w:rPr>
                <w:rFonts w:ascii="宋体" w:hAnsi="宋体" w:cs="宋体" w:eastAsia="宋体" w:hint="default"/>
                <w:sz w:val="21"/>
                <w:szCs w:val="21"/>
              </w:rPr>
            </w:pPr>
            <w:r>
              <w:rPr>
                <w:rFonts w:ascii="宋体" w:hAnsi="宋体" w:cs="宋体" w:eastAsia="宋体" w:hint="default"/>
                <w:sz w:val="21"/>
                <w:szCs w:val="21"/>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585"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邵学</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22" w:right="24"/>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报告期内控股和参股的其他境内外上</w:t>
            </w:r>
            <w:r>
              <w:rPr>
                <w:rFonts w:ascii="宋体" w:hAnsi="宋体" w:cs="宋体" w:eastAsia="宋体" w:hint="default"/>
                <w:w w:val="99"/>
                <w:sz w:val="21"/>
                <w:szCs w:val="21"/>
              </w:rPr>
              <w:t> </w:t>
            </w:r>
            <w:r>
              <w:rPr>
                <w:rFonts w:ascii="宋体" w:hAnsi="宋体" w:cs="宋体" w:eastAsia="宋体" w:hint="default"/>
                <w:sz w:val="21"/>
                <w:szCs w:val="21"/>
              </w:rPr>
              <w:t>市公司的股权情况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bl>
    <w:p>
      <w:pPr>
        <w:pStyle w:val="Heading3"/>
        <w:spacing w:line="240" w:lineRule="auto" w:before="2"/>
        <w:ind w:right="996"/>
        <w:jc w:val="left"/>
      </w:pPr>
      <w:r>
        <w:rPr/>
        <w:t>控股股东报告期内变更</w:t>
      </w:r>
    </w:p>
    <w:p>
      <w:pPr>
        <w:pStyle w:val="Heading3"/>
        <w:spacing w:line="256" w:lineRule="auto" w:before="38"/>
        <w:ind w:right="715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公司报告期控股股东未发生变更。</w:t>
      </w:r>
    </w:p>
    <w:p>
      <w:pPr>
        <w:spacing w:line="240" w:lineRule="auto" w:before="3"/>
        <w:rPr>
          <w:rFonts w:ascii="宋体" w:hAnsi="宋体" w:cs="宋体" w:eastAsia="宋体" w:hint="default"/>
          <w:sz w:val="23"/>
          <w:szCs w:val="23"/>
        </w:rPr>
      </w:pPr>
    </w:p>
    <w:p>
      <w:pPr>
        <w:pStyle w:val="Heading4"/>
        <w:spacing w:line="240" w:lineRule="auto"/>
        <w:ind w:right="996"/>
        <w:jc w:val="left"/>
        <w:rPr>
          <w:b w:val="0"/>
          <w:bCs w:val="0"/>
        </w:rPr>
      </w:pPr>
      <w:bookmarkStart w:name="3、公司实际控制人及其一致行动人" w:id="112"/>
      <w:bookmarkEnd w:id="112"/>
      <w:r>
        <w:rPr>
          <w:b w:val="0"/>
          <w:bCs w:val="0"/>
        </w:rPr>
      </w:r>
      <w:r>
        <w:rPr>
          <w:rFonts w:ascii="Arial" w:hAnsi="Arial" w:cs="Arial" w:eastAsia="Arial" w:hint="default"/>
        </w:rPr>
        <w:t>3</w:t>
      </w:r>
      <w:r>
        <w:rPr/>
        <w:t>、公司实际控制人及其一致行动人</w:t>
      </w:r>
      <w:r>
        <w:rPr>
          <w:b w:val="0"/>
          <w:bCs w:val="0"/>
        </w:rPr>
      </w:r>
    </w:p>
    <w:p>
      <w:pPr>
        <w:spacing w:line="240" w:lineRule="auto" w:before="11"/>
        <w:rPr>
          <w:rFonts w:ascii="宋体" w:hAnsi="宋体" w:cs="宋体" w:eastAsia="宋体" w:hint="default"/>
          <w:b/>
          <w:bCs/>
          <w:sz w:val="22"/>
          <w:szCs w:val="22"/>
        </w:rPr>
      </w:pPr>
    </w:p>
    <w:p>
      <w:pPr>
        <w:pStyle w:val="Heading3"/>
        <w:spacing w:line="268" w:lineRule="auto"/>
        <w:ind w:right="7634"/>
        <w:jc w:val="left"/>
      </w:pPr>
      <w:r>
        <w:rPr/>
        <w:t>实际控制人性质：境内自然人 实际控制人类型：自然人</w:t>
      </w:r>
    </w:p>
    <w:p>
      <w:pPr>
        <w:spacing w:line="240" w:lineRule="auto" w:before="8"/>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71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457" w:right="0"/>
              <w:jc w:val="left"/>
              <w:rPr>
                <w:rFonts w:ascii="宋体" w:hAnsi="宋体" w:cs="宋体" w:eastAsia="宋体" w:hint="default"/>
                <w:sz w:val="21"/>
                <w:szCs w:val="21"/>
              </w:rPr>
            </w:pPr>
            <w:r>
              <w:rPr>
                <w:rFonts w:ascii="宋体" w:hAnsi="宋体" w:cs="宋体" w:eastAsia="宋体" w:hint="default"/>
                <w:sz w:val="21"/>
                <w:szCs w:val="21"/>
              </w:rPr>
              <w:t>实际控制人姓名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49" w:right="0"/>
              <w:jc w:val="left"/>
              <w:rPr>
                <w:rFonts w:ascii="宋体" w:hAnsi="宋体" w:cs="宋体" w:eastAsia="宋体" w:hint="default"/>
                <w:sz w:val="21"/>
                <w:szCs w:val="21"/>
              </w:rPr>
            </w:pPr>
            <w:r>
              <w:rPr>
                <w:rFonts w:ascii="宋体" w:hAnsi="宋体" w:cs="宋体" w:eastAsia="宋体" w:hint="default"/>
                <w:sz w:val="21"/>
                <w:szCs w:val="21"/>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4"/>
              <w:ind w:left="877" w:right="34" w:hanging="840"/>
              <w:jc w:val="left"/>
              <w:rPr>
                <w:rFonts w:ascii="宋体" w:hAnsi="宋体" w:cs="宋体" w:eastAsia="宋体" w:hint="default"/>
                <w:sz w:val="21"/>
                <w:szCs w:val="21"/>
              </w:rPr>
            </w:pPr>
            <w:r>
              <w:rPr>
                <w:rFonts w:ascii="宋体" w:hAnsi="宋体" w:cs="宋体" w:eastAsia="宋体" w:hint="default"/>
                <w:sz w:val="21"/>
                <w:szCs w:val="21"/>
              </w:rPr>
              <w:t>是否取得其他国家或地区</w:t>
            </w:r>
            <w:r>
              <w:rPr>
                <w:rFonts w:ascii="宋体" w:hAnsi="宋体" w:cs="宋体" w:eastAsia="宋体" w:hint="default"/>
                <w:w w:val="99"/>
                <w:sz w:val="21"/>
                <w:szCs w:val="21"/>
              </w:rPr>
              <w:t> </w:t>
            </w:r>
            <w:r>
              <w:rPr>
                <w:rFonts w:ascii="宋体" w:hAnsi="宋体" w:cs="宋体" w:eastAsia="宋体" w:hint="default"/>
                <w:sz w:val="21"/>
                <w:szCs w:val="21"/>
              </w:rPr>
              <w:t>居留权</w:t>
            </w:r>
          </w:p>
        </w:tc>
      </w:tr>
    </w:tbl>
    <w:p>
      <w:pPr>
        <w:spacing w:after="0" w:line="273" w:lineRule="auto"/>
        <w:jc w:val="left"/>
        <w:rPr>
          <w:rFonts w:ascii="宋体" w:hAnsi="宋体" w:cs="宋体" w:eastAsia="宋体" w:hint="default"/>
          <w:sz w:val="21"/>
          <w:szCs w:val="21"/>
        </w:rPr>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邵学</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27"/>
              <w:ind w:left="22" w:right="130"/>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5"/>
                <w:sz w:val="21"/>
                <w:szCs w:val="21"/>
              </w:rPr>
              <w:t> </w:t>
            </w:r>
            <w:r>
              <w:rPr>
                <w:rFonts w:ascii="Arial" w:hAnsi="Arial" w:cs="Arial" w:eastAsia="Arial" w:hint="default"/>
                <w:sz w:val="21"/>
                <w:szCs w:val="21"/>
              </w:rPr>
              <w:t>10</w:t>
            </w:r>
            <w:r>
              <w:rPr>
                <w:rFonts w:ascii="Arial" w:hAnsi="Arial" w:cs="Arial" w:eastAsia="Arial" w:hint="default"/>
                <w:spacing w:val="-9"/>
                <w:sz w:val="21"/>
                <w:szCs w:val="21"/>
              </w:rPr>
              <w:t> </w:t>
            </w:r>
            <w:r>
              <w:rPr>
                <w:rFonts w:ascii="宋体" w:hAnsi="宋体" w:cs="宋体" w:eastAsia="宋体" w:hint="default"/>
                <w:sz w:val="21"/>
                <w:szCs w:val="21"/>
              </w:rPr>
              <w:t>年曾控股的境内</w:t>
            </w:r>
            <w:r>
              <w:rPr>
                <w:rFonts w:ascii="宋体" w:hAnsi="宋体" w:cs="宋体" w:eastAsia="宋体" w:hint="default"/>
                <w:w w:val="99"/>
                <w:sz w:val="21"/>
                <w:szCs w:val="21"/>
              </w:rPr>
              <w:t> </w:t>
            </w:r>
            <w:r>
              <w:rPr>
                <w:rFonts w:ascii="宋体" w:hAnsi="宋体" w:cs="宋体" w:eastAsia="宋体" w:hint="default"/>
                <w:sz w:val="21"/>
                <w:szCs w:val="21"/>
              </w:rPr>
              <w:t>外上市公司情况</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bl>
    <w:p>
      <w:pPr>
        <w:pStyle w:val="Heading3"/>
        <w:spacing w:line="240" w:lineRule="auto" w:before="2"/>
        <w:ind w:right="996"/>
        <w:jc w:val="left"/>
      </w:pPr>
      <w:r>
        <w:rPr/>
        <w:t>实际控制人报告期内变更</w:t>
      </w:r>
    </w:p>
    <w:p>
      <w:pPr>
        <w:pStyle w:val="Heading3"/>
        <w:spacing w:line="261" w:lineRule="auto" w:before="38"/>
        <w:ind w:right="547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公司报告期实际控制人未发生变更。 公司与实际控制人之间的产权及控制关系的方框图</w:t>
      </w:r>
    </w:p>
    <w:p>
      <w:pPr>
        <w:spacing w:line="240" w:lineRule="auto" w:before="3"/>
        <w:rPr>
          <w:rFonts w:ascii="宋体" w:hAnsi="宋体" w:cs="宋体" w:eastAsia="宋体" w:hint="default"/>
          <w:sz w:val="23"/>
          <w:szCs w:val="23"/>
        </w:rPr>
      </w:pPr>
    </w:p>
    <w:p>
      <w:pPr>
        <w:spacing w:line="2934" w:lineRule="exact"/>
        <w:ind w:left="2292" w:right="0" w:firstLine="0"/>
        <w:rPr>
          <w:rFonts w:ascii="宋体" w:hAnsi="宋体" w:cs="宋体" w:eastAsia="宋体" w:hint="default"/>
          <w:sz w:val="20"/>
          <w:szCs w:val="20"/>
        </w:rPr>
      </w:pPr>
      <w:r>
        <w:rPr>
          <w:rFonts w:ascii="宋体" w:hAnsi="宋体" w:cs="宋体" w:eastAsia="宋体" w:hint="default"/>
          <w:position w:val="-58"/>
          <w:sz w:val="20"/>
          <w:szCs w:val="20"/>
        </w:rPr>
        <w:drawing>
          <wp:inline distT="0" distB="0" distL="0" distR="0">
            <wp:extent cx="3350590" cy="1863471"/>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30" cstate="print"/>
                    <a:stretch>
                      <a:fillRect/>
                    </a:stretch>
                  </pic:blipFill>
                  <pic:spPr>
                    <a:xfrm>
                      <a:off x="0" y="0"/>
                      <a:ext cx="3350590" cy="1863471"/>
                    </a:xfrm>
                    <a:prstGeom prst="rect">
                      <a:avLst/>
                    </a:prstGeom>
                  </pic:spPr>
                </pic:pic>
              </a:graphicData>
            </a:graphic>
          </wp:inline>
        </w:drawing>
      </w:r>
      <w:r>
        <w:rPr>
          <w:rFonts w:ascii="宋体" w:hAnsi="宋体" w:cs="宋体" w:eastAsia="宋体" w:hint="default"/>
          <w:position w:val="-58"/>
          <w:sz w:val="20"/>
          <w:szCs w:val="20"/>
        </w:rPr>
      </w:r>
    </w:p>
    <w:p>
      <w:pPr>
        <w:spacing w:line="240" w:lineRule="auto" w:before="11"/>
        <w:rPr>
          <w:rFonts w:ascii="宋体" w:hAnsi="宋体" w:cs="宋体" w:eastAsia="宋体" w:hint="default"/>
          <w:sz w:val="19"/>
          <w:szCs w:val="19"/>
        </w:rPr>
      </w:pPr>
    </w:p>
    <w:p>
      <w:pPr>
        <w:pStyle w:val="Heading3"/>
        <w:spacing w:line="240" w:lineRule="auto"/>
        <w:ind w:right="996"/>
        <w:jc w:val="left"/>
      </w:pPr>
      <w:r>
        <w:rPr/>
        <w:t>实际控制人通过信托或其他资产管理方式控制公司</w:t>
      </w:r>
    </w:p>
    <w:p>
      <w:pPr>
        <w:pStyle w:val="Heading3"/>
        <w:spacing w:line="240" w:lineRule="auto" w:before="197"/>
        <w:ind w:right="996"/>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5"/>
        <w:rPr>
          <w:rFonts w:ascii="宋体" w:hAnsi="宋体" w:cs="宋体" w:eastAsia="宋体" w:hint="default"/>
          <w:sz w:val="23"/>
          <w:szCs w:val="23"/>
        </w:rPr>
      </w:pPr>
    </w:p>
    <w:p>
      <w:pPr>
        <w:pStyle w:val="Heading4"/>
        <w:spacing w:line="240" w:lineRule="auto"/>
        <w:ind w:right="996"/>
        <w:jc w:val="left"/>
        <w:rPr>
          <w:b w:val="0"/>
          <w:bCs w:val="0"/>
        </w:rPr>
      </w:pPr>
      <w:bookmarkStart w:name="4、其他持股在10%以上的法人股东" w:id="113"/>
      <w:bookmarkEnd w:id="113"/>
      <w:r>
        <w:rPr>
          <w:b w:val="0"/>
          <w:bCs w:val="0"/>
        </w:rPr>
      </w:r>
      <w:r>
        <w:rPr>
          <w:rFonts w:ascii="Arial" w:hAnsi="Arial" w:cs="Arial" w:eastAsia="Arial" w:hint="default"/>
        </w:rPr>
        <w:t>4</w:t>
      </w:r>
      <w:r>
        <w:rPr/>
        <w:t>、其他持股在</w:t>
      </w:r>
      <w:r>
        <w:rPr>
          <w:spacing w:val="-60"/>
        </w:rPr>
        <w:t> </w:t>
      </w:r>
      <w:r>
        <w:rPr>
          <w:rFonts w:ascii="Arial" w:hAnsi="Arial" w:cs="Arial" w:eastAsia="Arial" w:hint="default"/>
        </w:rPr>
        <w:t>10%</w:t>
      </w:r>
      <w:r>
        <w:rPr/>
        <w:t>以上的法人股东</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right="996"/>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3"/>
        <w:rPr>
          <w:rFonts w:ascii="宋体" w:hAnsi="宋体" w:cs="宋体" w:eastAsia="宋体" w:hint="default"/>
          <w:sz w:val="23"/>
          <w:szCs w:val="23"/>
        </w:rPr>
      </w:pPr>
    </w:p>
    <w:p>
      <w:pPr>
        <w:pStyle w:val="Heading4"/>
        <w:spacing w:line="240" w:lineRule="auto"/>
        <w:ind w:right="996"/>
        <w:jc w:val="left"/>
        <w:rPr>
          <w:b w:val="0"/>
          <w:bCs w:val="0"/>
        </w:rPr>
      </w:pPr>
      <w:bookmarkStart w:name="5、控股股东、实际控制人、重组方及其他承诺主体股份限制减持情况" w:id="114"/>
      <w:bookmarkEnd w:id="114"/>
      <w:r>
        <w:rPr>
          <w:b w:val="0"/>
          <w:bCs w:val="0"/>
        </w:rPr>
      </w:r>
      <w:r>
        <w:rPr>
          <w:rFonts w:ascii="Arial" w:hAnsi="Arial" w:cs="Arial" w:eastAsia="Arial" w:hint="default"/>
        </w:rPr>
        <w:t>5</w:t>
      </w:r>
      <w:r>
        <w:rPr/>
        <w:t>、控股股东、实际控制人、重组方及其他承诺主体股份限制减持情况</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right="996"/>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after="0" w:line="240" w:lineRule="auto"/>
        <w:jc w:val="left"/>
        <w:sectPr>
          <w:pgSz w:w="11910" w:h="16840"/>
          <w:pgMar w:header="878" w:footer="978" w:top="110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Heading1"/>
        <w:spacing w:line="439" w:lineRule="exact"/>
        <w:ind w:left="3252" w:right="996"/>
        <w:jc w:val="left"/>
        <w:rPr>
          <w:b w:val="0"/>
          <w:bCs w:val="0"/>
        </w:rPr>
      </w:pPr>
      <w:bookmarkStart w:name="第七节 优先股相关情况" w:id="115"/>
      <w:bookmarkEnd w:id="115"/>
      <w:r>
        <w:rPr>
          <w:b w:val="0"/>
          <w:bCs w:val="0"/>
        </w:rPr>
      </w:r>
      <w:bookmarkStart w:name="_bookmark5" w:id="116"/>
      <w:bookmarkEnd w:id="116"/>
      <w:r>
        <w:rPr>
          <w:b w:val="0"/>
          <w:bCs w:val="0"/>
        </w:rPr>
      </w:r>
      <w:r>
        <w:rPr/>
        <w:t>第七节</w:t>
      </w:r>
      <w:r>
        <w:rPr>
          <w:spacing w:val="61"/>
        </w:rPr>
        <w:t> </w:t>
      </w:r>
      <w:r>
        <w:rPr/>
        <w:t>优先股相关情况</w:t>
      </w:r>
      <w:r>
        <w:rPr>
          <w:b w:val="0"/>
          <w:bCs w:val="0"/>
        </w:rPr>
      </w:r>
    </w:p>
    <w:p>
      <w:pPr>
        <w:spacing w:line="240" w:lineRule="auto" w:before="16"/>
        <w:rPr>
          <w:rFonts w:ascii="微软雅黑" w:hAnsi="微软雅黑" w:cs="微软雅黑" w:eastAsia="微软雅黑" w:hint="default"/>
          <w:b/>
          <w:bCs/>
          <w:sz w:val="24"/>
          <w:szCs w:val="24"/>
        </w:rPr>
      </w:pPr>
    </w:p>
    <w:p>
      <w:pPr>
        <w:pStyle w:val="Heading3"/>
        <w:spacing w:line="256" w:lineRule="auto" w:before="26"/>
        <w:ind w:right="787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报告期公司不存在优先股。</w:t>
      </w:r>
    </w:p>
    <w:p>
      <w:pPr>
        <w:spacing w:after="0" w:line="256" w:lineRule="auto"/>
        <w:jc w:val="left"/>
        <w:sectPr>
          <w:footerReference w:type="default" r:id="rId31"/>
          <w:pgSz w:w="11910" w:h="16840"/>
          <w:pgMar w:footer="978" w:header="878" w:top="1100" w:bottom="1160" w:left="1020" w:right="0"/>
          <w:pgNumType w:start="7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Heading1"/>
        <w:spacing w:line="439" w:lineRule="exact"/>
        <w:ind w:left="1653" w:right="996"/>
        <w:jc w:val="left"/>
        <w:rPr>
          <w:b w:val="0"/>
          <w:bCs w:val="0"/>
        </w:rPr>
      </w:pPr>
      <w:bookmarkStart w:name="第八节 董事、监事、高级管理人员和员工情况" w:id="117"/>
      <w:bookmarkEnd w:id="117"/>
      <w:r>
        <w:rPr>
          <w:b w:val="0"/>
          <w:bCs w:val="0"/>
        </w:rPr>
      </w:r>
      <w:bookmarkStart w:name="_bookmark6" w:id="118"/>
      <w:bookmarkEnd w:id="118"/>
      <w:r>
        <w:rPr>
          <w:b w:val="0"/>
          <w:bCs w:val="0"/>
        </w:rPr>
      </w:r>
      <w:r>
        <w:rPr/>
        <w:t>第八节</w:t>
      </w:r>
      <w:r>
        <w:rPr>
          <w:spacing w:val="55"/>
        </w:rPr>
        <w:t> </w:t>
      </w:r>
      <w:r>
        <w:rPr/>
        <w:t>董事、监事、高级管理人员和员工情况</w:t>
      </w:r>
      <w:r>
        <w:rPr>
          <w:b w:val="0"/>
          <w:bCs w:val="0"/>
        </w:rPr>
      </w:r>
    </w:p>
    <w:p>
      <w:pPr>
        <w:spacing w:line="240" w:lineRule="auto" w:before="8"/>
        <w:rPr>
          <w:rFonts w:ascii="微软雅黑" w:hAnsi="微软雅黑" w:cs="微软雅黑" w:eastAsia="微软雅黑" w:hint="default"/>
          <w:b/>
          <w:bCs/>
          <w:sz w:val="26"/>
          <w:szCs w:val="26"/>
        </w:rPr>
      </w:pPr>
    </w:p>
    <w:p>
      <w:pPr>
        <w:pStyle w:val="Heading2"/>
        <w:spacing w:line="240" w:lineRule="auto" w:before="0"/>
        <w:ind w:right="996"/>
        <w:jc w:val="left"/>
        <w:rPr>
          <w:b w:val="0"/>
          <w:bCs w:val="0"/>
        </w:rPr>
      </w:pPr>
      <w:bookmarkStart w:name="一、董事、监事和高级管理人员持股变动" w:id="119"/>
      <w:bookmarkEnd w:id="119"/>
      <w:r>
        <w:rPr>
          <w:b w:val="0"/>
          <w:bCs w:val="0"/>
        </w:rPr>
      </w: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09"/>
        <w:gridCol w:w="818"/>
        <w:gridCol w:w="567"/>
        <w:gridCol w:w="425"/>
        <w:gridCol w:w="283"/>
        <w:gridCol w:w="993"/>
        <w:gridCol w:w="992"/>
        <w:gridCol w:w="1134"/>
        <w:gridCol w:w="709"/>
        <w:gridCol w:w="1134"/>
        <w:gridCol w:w="708"/>
        <w:gridCol w:w="1100"/>
      </w:tblGrid>
      <w:tr>
        <w:trPr>
          <w:trHeight w:val="1338" w:hRule="exact"/>
        </w:trPr>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98" w:right="9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45" w:right="46"/>
              <w:jc w:val="left"/>
              <w:rPr>
                <w:rFonts w:ascii="宋体" w:hAnsi="宋体" w:cs="宋体" w:eastAsia="宋体" w:hint="default"/>
                <w:sz w:val="18"/>
                <w:szCs w:val="18"/>
              </w:rPr>
            </w:pPr>
            <w:r>
              <w:rPr>
                <w:rFonts w:ascii="宋体" w:hAnsi="宋体" w:cs="宋体" w:eastAsia="宋体" w:hint="default"/>
                <w:sz w:val="18"/>
                <w:szCs w:val="18"/>
              </w:rPr>
              <w:t>年 龄</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400" w:right="40"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401" w:right="39"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0" w:right="77"/>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80" w:right="0"/>
              <w:jc w:val="both"/>
              <w:rPr>
                <w:rFonts w:ascii="宋体" w:hAnsi="宋体" w:cs="宋体" w:eastAsia="宋体" w:hint="default"/>
                <w:sz w:val="18"/>
                <w:szCs w:val="18"/>
              </w:rPr>
            </w:pPr>
            <w:r>
              <w:rPr>
                <w:rFonts w:ascii="宋体" w:hAnsi="宋体" w:cs="宋体" w:eastAsia="宋体" w:hint="default"/>
                <w:sz w:val="18"/>
                <w:szCs w:val="18"/>
              </w:rPr>
              <w:t>（股）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18" w:firstLine="88"/>
              <w:jc w:val="left"/>
              <w:rPr>
                <w:rFonts w:ascii="宋体" w:hAnsi="宋体" w:cs="宋体" w:eastAsia="宋体" w:hint="default"/>
                <w:sz w:val="18"/>
                <w:szCs w:val="18"/>
              </w:rPr>
            </w:pPr>
            <w:r>
              <w:rPr>
                <w:rFonts w:ascii="宋体" w:hAnsi="宋体" w:cs="宋体" w:eastAsia="宋体" w:hint="default"/>
                <w:sz w:val="18"/>
                <w:szCs w:val="18"/>
              </w:rPr>
              <w:t>本期减持股 份数量（股）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78" w:right="78"/>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19"/>
              <w:ind w:left="7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邵学</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0" w:right="0"/>
              <w:jc w:val="left"/>
              <w:rPr>
                <w:rFonts w:ascii="Arial" w:hAnsi="Arial" w:cs="Arial" w:eastAsia="Arial" w:hint="default"/>
                <w:sz w:val="18"/>
                <w:szCs w:val="18"/>
              </w:rPr>
            </w:pPr>
            <w:r>
              <w:rPr>
                <w:rFonts w:ascii="Arial"/>
                <w:sz w:val="18"/>
              </w:rPr>
              <w:t>57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Arial" w:hAnsi="Arial" w:cs="Arial" w:eastAsia="Arial" w:hint="default"/>
                <w:sz w:val="18"/>
                <w:szCs w:val="18"/>
              </w:rPr>
            </w:pPr>
            <w:r>
              <w:rPr>
                <w:rFonts w:ascii="Arial" w:hAnsi="Arial" w:cs="Arial" w:eastAsia="Arial" w:hint="default"/>
                <w:sz w:val="18"/>
                <w:szCs w:val="18"/>
              </w:rPr>
              <w:t>2003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w:hAnsi="Arial" w:cs="Arial" w:eastAsia="Arial"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14</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Arial" w:hAnsi="Arial" w:cs="Arial" w:eastAsia="Arial" w:hint="default"/>
                <w:sz w:val="18"/>
                <w:szCs w:val="18"/>
              </w:rPr>
            </w:pPr>
            <w:r>
              <w:rPr>
                <w:rFonts w:ascii="Arial" w:hAnsi="Arial" w:cs="Arial" w:eastAsia="Arial"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04</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150,634,655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Arial" w:hAnsi="Arial" w:cs="Arial" w:eastAsia="Arial" w:hint="default"/>
                <w:sz w:val="18"/>
                <w:szCs w:val="18"/>
              </w:rPr>
            </w:pPr>
            <w:r>
              <w:rPr>
                <w:rFonts w:ascii="Arial"/>
                <w:w w:val="99"/>
                <w:sz w:val="18"/>
              </w:rPr>
              <w:t>0</w:t>
            </w:r>
            <w:r>
              <w:rPr>
                <w:rFonts w:ascii="Arial"/>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Arial" w:hAnsi="Arial" w:cs="Arial" w:eastAsia="Arial" w:hint="default"/>
                <w:sz w:val="18"/>
                <w:szCs w:val="18"/>
              </w:rPr>
            </w:pPr>
            <w:r>
              <w:rPr>
                <w:rFonts w:ascii="Arial"/>
                <w:w w:val="99"/>
                <w:sz w:val="18"/>
              </w:rPr>
              <w:t>0</w:t>
            </w:r>
            <w:r>
              <w:rPr>
                <w:rFonts w:ascii="Arial"/>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150,634,655</w:t>
            </w:r>
          </w:p>
        </w:tc>
      </w:tr>
      <w:tr>
        <w:trPr>
          <w:trHeight w:val="75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吕宾</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24" w:right="242"/>
              <w:jc w:val="left"/>
              <w:rPr>
                <w:rFonts w:ascii="宋体" w:hAnsi="宋体" w:cs="宋体" w:eastAsia="宋体" w:hint="default"/>
                <w:sz w:val="18"/>
                <w:szCs w:val="18"/>
              </w:rPr>
            </w:pPr>
            <w:r>
              <w:rPr>
                <w:rFonts w:ascii="宋体" w:hAnsi="宋体" w:cs="宋体" w:eastAsia="宋体" w:hint="default"/>
                <w:sz w:val="18"/>
                <w:szCs w:val="18"/>
              </w:rPr>
              <w:t>董事 总经理</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50" w:right="0"/>
              <w:jc w:val="left"/>
              <w:rPr>
                <w:rFonts w:ascii="Arial" w:hAnsi="Arial" w:cs="Arial" w:eastAsia="Arial" w:hint="default"/>
                <w:sz w:val="18"/>
                <w:szCs w:val="18"/>
              </w:rPr>
            </w:pPr>
            <w:r>
              <w:rPr>
                <w:rFonts w:ascii="Arial"/>
                <w:sz w:val="18"/>
              </w:rPr>
              <w:t>45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Arial" w:hAnsi="Arial" w:cs="Arial" w:eastAsia="Arial" w:hint="default"/>
                <w:sz w:val="18"/>
                <w:szCs w:val="18"/>
              </w:rPr>
            </w:pPr>
            <w:r>
              <w:rPr>
                <w:rFonts w:ascii="Arial" w:hAnsi="Arial" w:cs="Arial" w:eastAsia="Arial" w:hint="default"/>
                <w:sz w:val="18"/>
                <w:szCs w:val="18"/>
              </w:rPr>
              <w:t>2006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w:hAnsi="Arial" w:cs="Arial" w:eastAsia="Arial"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03</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Arial" w:hAnsi="Arial" w:cs="Arial" w:eastAsia="Arial" w:hint="default"/>
                <w:sz w:val="18"/>
                <w:szCs w:val="18"/>
              </w:rPr>
            </w:pPr>
            <w:r>
              <w:rPr>
                <w:rFonts w:ascii="Arial" w:hAnsi="Arial" w:cs="Arial" w:eastAsia="Arial"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04</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9"/>
              <w:jc w:val="right"/>
              <w:rPr>
                <w:rFonts w:ascii="Arial" w:hAnsi="Arial" w:cs="Arial" w:eastAsia="Arial" w:hint="default"/>
                <w:sz w:val="18"/>
                <w:szCs w:val="18"/>
              </w:rPr>
            </w:pPr>
            <w:r>
              <w:rPr>
                <w:rFonts w:ascii="Arial"/>
                <w:spacing w:val="-2"/>
                <w:sz w:val="18"/>
              </w:rPr>
              <w:t>3,110,392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9"/>
              <w:jc w:val="right"/>
              <w:rPr>
                <w:rFonts w:ascii="Arial" w:hAnsi="Arial" w:cs="Arial" w:eastAsia="Arial" w:hint="default"/>
                <w:sz w:val="18"/>
                <w:szCs w:val="18"/>
              </w:rPr>
            </w:pPr>
            <w:r>
              <w:rPr>
                <w:rFonts w:ascii="Arial"/>
                <w:spacing w:val="-1"/>
                <w:sz w:val="18"/>
              </w:rPr>
              <w:t>644,400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1"/>
              <w:jc w:val="right"/>
              <w:rPr>
                <w:rFonts w:ascii="Arial" w:hAnsi="Arial" w:cs="Arial" w:eastAsia="Arial" w:hint="default"/>
                <w:sz w:val="18"/>
                <w:szCs w:val="18"/>
              </w:rPr>
            </w:pPr>
            <w:r>
              <w:rPr>
                <w:rFonts w:ascii="Arial"/>
                <w:w w:val="99"/>
                <w:sz w:val="18"/>
              </w:rPr>
              <w:t>0</w:t>
            </w:r>
            <w:r>
              <w:rPr>
                <w:rFonts w:ascii="Arial"/>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1"/>
              <w:jc w:val="right"/>
              <w:rPr>
                <w:rFonts w:ascii="Arial" w:hAnsi="Arial" w:cs="Arial" w:eastAsia="Arial" w:hint="default"/>
                <w:sz w:val="18"/>
                <w:szCs w:val="18"/>
              </w:rPr>
            </w:pPr>
            <w:r>
              <w:rPr>
                <w:rFonts w:ascii="Arial"/>
                <w:spacing w:val="-1"/>
                <w:sz w:val="18"/>
              </w:rPr>
              <w:t>2,465,992</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任涛</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50" w:right="0"/>
              <w:jc w:val="left"/>
              <w:rPr>
                <w:rFonts w:ascii="Arial" w:hAnsi="Arial" w:cs="Arial" w:eastAsia="Arial" w:hint="default"/>
                <w:sz w:val="18"/>
                <w:szCs w:val="18"/>
              </w:rPr>
            </w:pPr>
            <w:r>
              <w:rPr>
                <w:rFonts w:ascii="Arial"/>
                <w:sz w:val="18"/>
              </w:rPr>
              <w:t>45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Arial" w:hAnsi="Arial" w:cs="Arial" w:eastAsia="Arial" w:hint="default"/>
                <w:sz w:val="18"/>
                <w:szCs w:val="18"/>
              </w:rPr>
            </w:pPr>
            <w:r>
              <w:rPr>
                <w:rFonts w:ascii="Arial" w:hAnsi="Arial" w:cs="Arial" w:eastAsia="Arial" w:hint="default"/>
                <w:sz w:val="18"/>
                <w:szCs w:val="18"/>
              </w:rPr>
              <w:t>2009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w:hAnsi="Arial" w:cs="Arial" w:eastAsia="Arial"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28</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Arial" w:hAnsi="Arial" w:cs="Arial" w:eastAsia="Arial" w:hint="default"/>
                <w:sz w:val="18"/>
                <w:szCs w:val="18"/>
              </w:rPr>
            </w:pPr>
            <w:r>
              <w:rPr>
                <w:rFonts w:ascii="Arial" w:hAnsi="Arial" w:cs="Arial" w:eastAsia="Arial"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04</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21,818,961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4,028,566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1"/>
              <w:jc w:val="right"/>
              <w:rPr>
                <w:rFonts w:ascii="Arial" w:hAnsi="Arial" w:cs="Arial" w:eastAsia="Arial" w:hint="default"/>
                <w:sz w:val="18"/>
                <w:szCs w:val="18"/>
              </w:rPr>
            </w:pPr>
            <w:r>
              <w:rPr>
                <w:rFonts w:ascii="Arial"/>
                <w:w w:val="99"/>
                <w:sz w:val="18"/>
              </w:rPr>
              <w:t>0</w:t>
            </w:r>
            <w:r>
              <w:rPr>
                <w:rFonts w:ascii="Arial"/>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17,790,395</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赵晓明</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0"/>
              <w:ind w:left="24" w:right="194"/>
              <w:jc w:val="left"/>
              <w:rPr>
                <w:rFonts w:ascii="宋体" w:hAnsi="宋体" w:cs="宋体" w:eastAsia="宋体" w:hint="default"/>
                <w:sz w:val="18"/>
                <w:szCs w:val="18"/>
              </w:rPr>
            </w:pPr>
            <w:r>
              <w:rPr>
                <w:rFonts w:ascii="宋体" w:hAnsi="宋体" w:cs="宋体" w:eastAsia="宋体" w:hint="default"/>
                <w:sz w:val="18"/>
                <w:szCs w:val="18"/>
              </w:rPr>
              <w:t>董事</w:t>
            </w:r>
            <w:r>
              <w:rPr>
                <w:rFonts w:ascii="Arial" w:hAnsi="Arial" w:cs="Arial" w:eastAsia="Arial" w:hint="default"/>
                <w:sz w:val="18"/>
                <w:szCs w:val="18"/>
              </w:rPr>
              <w:t>/</w:t>
            </w:r>
            <w:r>
              <w:rPr>
                <w:rFonts w:ascii="宋体" w:hAnsi="宋体" w:cs="宋体" w:eastAsia="宋体" w:hint="default"/>
                <w:sz w:val="18"/>
                <w:szCs w:val="18"/>
              </w:rPr>
              <w:t>副 总经理</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0" w:right="0"/>
              <w:jc w:val="left"/>
              <w:rPr>
                <w:rFonts w:ascii="Arial" w:hAnsi="Arial" w:cs="Arial" w:eastAsia="Arial" w:hint="default"/>
                <w:sz w:val="18"/>
                <w:szCs w:val="18"/>
              </w:rPr>
            </w:pPr>
            <w:r>
              <w:rPr>
                <w:rFonts w:ascii="Arial"/>
                <w:sz w:val="18"/>
              </w:rPr>
              <w:t>47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Arial" w:hAnsi="Arial" w:cs="Arial" w:eastAsia="Arial" w:hint="default"/>
                <w:sz w:val="18"/>
                <w:szCs w:val="18"/>
              </w:rPr>
            </w:pPr>
            <w:r>
              <w:rPr>
                <w:rFonts w:ascii="Arial" w:hAnsi="Arial" w:cs="Arial" w:eastAsia="Arial" w:hint="default"/>
                <w:sz w:val="18"/>
                <w:szCs w:val="18"/>
              </w:rPr>
              <w:t>2002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w:hAnsi="Arial" w:cs="Arial" w:eastAsia="Arial"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26</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Arial" w:hAnsi="Arial" w:cs="Arial" w:eastAsia="Arial" w:hint="default"/>
                <w:sz w:val="18"/>
                <w:szCs w:val="18"/>
              </w:rPr>
            </w:pPr>
            <w:r>
              <w:rPr>
                <w:rFonts w:ascii="Arial" w:hAnsi="Arial" w:cs="Arial" w:eastAsia="Arial"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04</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9,522,756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268,489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Arial" w:hAnsi="Arial" w:cs="Arial" w:eastAsia="Arial" w:hint="default"/>
                <w:sz w:val="18"/>
                <w:szCs w:val="18"/>
              </w:rPr>
            </w:pPr>
            <w:r>
              <w:rPr>
                <w:rFonts w:ascii="Arial"/>
                <w:w w:val="99"/>
                <w:sz w:val="18"/>
              </w:rPr>
              <w:t>0</w:t>
            </w:r>
            <w:r>
              <w:rPr>
                <w:rFonts w:ascii="Arial"/>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9,254,267</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50" w:right="0"/>
              <w:jc w:val="left"/>
              <w:rPr>
                <w:rFonts w:ascii="Arial" w:hAnsi="Arial" w:cs="Arial" w:eastAsia="Arial" w:hint="default"/>
                <w:sz w:val="18"/>
                <w:szCs w:val="18"/>
              </w:rPr>
            </w:pPr>
            <w:r>
              <w:rPr>
                <w:rFonts w:ascii="Arial"/>
                <w:sz w:val="18"/>
              </w:rPr>
              <w:t>62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Arial" w:hAnsi="Arial" w:cs="Arial" w:eastAsia="Arial" w:hint="default"/>
                <w:sz w:val="18"/>
                <w:szCs w:val="18"/>
              </w:rPr>
            </w:pPr>
            <w:r>
              <w:rPr>
                <w:rFonts w:ascii="Arial" w:hAnsi="Arial" w:cs="Arial" w:eastAsia="Arial" w:hint="default"/>
                <w:sz w:val="18"/>
                <w:szCs w:val="18"/>
              </w:rPr>
              <w:t>2015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w:hAnsi="Arial" w:cs="Arial" w:eastAsia="Arial"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14</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Arial" w:hAnsi="Arial" w:cs="Arial" w:eastAsia="Arial" w:hint="default"/>
                <w:sz w:val="18"/>
                <w:szCs w:val="18"/>
              </w:rPr>
            </w:pPr>
            <w:r>
              <w:rPr>
                <w:rFonts w:ascii="Arial" w:hAnsi="Arial" w:cs="Arial" w:eastAsia="Arial"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04</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1"/>
              <w:jc w:val="right"/>
              <w:rPr>
                <w:rFonts w:ascii="Arial" w:hAnsi="Arial" w:cs="Arial" w:eastAsia="Arial" w:hint="default"/>
                <w:sz w:val="18"/>
                <w:szCs w:val="18"/>
              </w:rPr>
            </w:pPr>
            <w:r>
              <w:rPr>
                <w:rFonts w:ascii="Arial"/>
                <w:w w:val="99"/>
                <w:sz w:val="18"/>
              </w:rPr>
              <w:t>0</w:t>
            </w:r>
            <w:r>
              <w:rPr>
                <w:rFonts w:ascii="Arial"/>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1"/>
              <w:jc w:val="right"/>
              <w:rPr>
                <w:rFonts w:ascii="Arial" w:hAnsi="Arial" w:cs="Arial" w:eastAsia="Arial" w:hint="default"/>
                <w:sz w:val="18"/>
                <w:szCs w:val="18"/>
              </w:rPr>
            </w:pPr>
            <w:r>
              <w:rPr>
                <w:rFonts w:ascii="Arial"/>
                <w:w w:val="99"/>
                <w:sz w:val="18"/>
              </w:rPr>
              <w:t>0</w:t>
            </w:r>
            <w:r>
              <w:rPr>
                <w:rFonts w:ascii="Arial"/>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1"/>
              <w:jc w:val="right"/>
              <w:rPr>
                <w:rFonts w:ascii="Arial" w:hAnsi="Arial" w:cs="Arial" w:eastAsia="Arial" w:hint="default"/>
                <w:sz w:val="18"/>
                <w:szCs w:val="18"/>
              </w:rPr>
            </w:pPr>
            <w:r>
              <w:rPr>
                <w:rFonts w:ascii="Arial"/>
                <w:w w:val="99"/>
                <w:sz w:val="18"/>
              </w:rPr>
              <w:t>0</w:t>
            </w:r>
            <w:r>
              <w:rPr>
                <w:rFonts w:ascii="Arial"/>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18"/>
                <w:szCs w:val="18"/>
              </w:rPr>
            </w:pPr>
            <w:r>
              <w:rPr>
                <w:rFonts w:ascii="Arial"/>
                <w:w w:val="99"/>
                <w:sz w:val="18"/>
              </w:rPr>
              <w:t>0</w:t>
            </w:r>
            <w:r>
              <w:rPr>
                <w:rFonts w:ascii="Arial"/>
                <w:sz w:val="18"/>
              </w:rPr>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王琨</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0" w:right="0"/>
              <w:jc w:val="left"/>
              <w:rPr>
                <w:rFonts w:ascii="Arial" w:hAnsi="Arial" w:cs="Arial" w:eastAsia="Arial" w:hint="default"/>
                <w:sz w:val="18"/>
                <w:szCs w:val="18"/>
              </w:rPr>
            </w:pPr>
            <w:r>
              <w:rPr>
                <w:rFonts w:ascii="Arial"/>
                <w:sz w:val="18"/>
              </w:rPr>
              <w:t>43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Arial" w:hAnsi="Arial" w:cs="Arial" w:eastAsia="Arial" w:hint="default"/>
                <w:sz w:val="18"/>
                <w:szCs w:val="18"/>
              </w:rPr>
            </w:pPr>
            <w:r>
              <w:rPr>
                <w:rFonts w:ascii="Arial" w:hAnsi="Arial" w:cs="Arial" w:eastAsia="Arial" w:hint="default"/>
                <w:sz w:val="18"/>
                <w:szCs w:val="18"/>
              </w:rPr>
              <w:t>2013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w:hAnsi="Arial" w:cs="Arial" w:eastAsia="Arial"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21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Arial" w:hAnsi="Arial" w:cs="Arial" w:eastAsia="Arial" w:hint="default"/>
                <w:sz w:val="18"/>
                <w:szCs w:val="18"/>
              </w:rPr>
            </w:pPr>
            <w:r>
              <w:rPr>
                <w:rFonts w:ascii="Arial" w:hAnsi="Arial" w:cs="Arial" w:eastAsia="Arial"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04</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Arial" w:hAnsi="Arial" w:cs="Arial" w:eastAsia="Arial" w:hint="default"/>
                <w:sz w:val="18"/>
                <w:szCs w:val="18"/>
              </w:rPr>
            </w:pPr>
            <w:r>
              <w:rPr>
                <w:rFonts w:ascii="Arial"/>
                <w:w w:val="99"/>
                <w:sz w:val="18"/>
              </w:rPr>
              <w:t>0</w:t>
            </w:r>
            <w:r>
              <w:rPr>
                <w:rFonts w:ascii="Arial"/>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Arial" w:hAnsi="Arial" w:cs="Arial" w:eastAsia="Arial" w:hint="default"/>
                <w:sz w:val="18"/>
                <w:szCs w:val="18"/>
              </w:rPr>
            </w:pPr>
            <w:r>
              <w:rPr>
                <w:rFonts w:ascii="Arial"/>
                <w:w w:val="99"/>
                <w:sz w:val="18"/>
              </w:rPr>
              <w:t>0</w:t>
            </w:r>
            <w:r>
              <w:rPr>
                <w:rFonts w:ascii="Arial"/>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Arial" w:hAnsi="Arial" w:cs="Arial" w:eastAsia="Arial" w:hint="default"/>
                <w:sz w:val="18"/>
                <w:szCs w:val="18"/>
              </w:rPr>
            </w:pPr>
            <w:r>
              <w:rPr>
                <w:rFonts w:ascii="Arial"/>
                <w:w w:val="99"/>
                <w:sz w:val="18"/>
              </w:rPr>
              <w:t>0</w:t>
            </w:r>
            <w:r>
              <w:rPr>
                <w:rFonts w:ascii="Arial"/>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Arial" w:hAnsi="Arial" w:cs="Arial" w:eastAsia="Arial" w:hint="default"/>
                <w:sz w:val="18"/>
                <w:szCs w:val="18"/>
              </w:rPr>
            </w:pPr>
            <w:r>
              <w:rPr>
                <w:rFonts w:ascii="Arial"/>
                <w:w w:val="99"/>
                <w:sz w:val="18"/>
              </w:rPr>
              <w:t>0</w:t>
            </w:r>
            <w:r>
              <w:rPr>
                <w:rFonts w:ascii="Arial"/>
                <w:sz w:val="18"/>
              </w:rPr>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朱恒源</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50" w:right="0"/>
              <w:jc w:val="left"/>
              <w:rPr>
                <w:rFonts w:ascii="Arial" w:hAnsi="Arial" w:cs="Arial" w:eastAsia="Arial" w:hint="default"/>
                <w:sz w:val="18"/>
                <w:szCs w:val="18"/>
              </w:rPr>
            </w:pPr>
            <w:r>
              <w:rPr>
                <w:rFonts w:ascii="Arial"/>
                <w:sz w:val="18"/>
              </w:rPr>
              <w:t>50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Arial" w:hAnsi="Arial" w:cs="Arial" w:eastAsia="Arial" w:hint="default"/>
                <w:sz w:val="18"/>
                <w:szCs w:val="18"/>
              </w:rPr>
            </w:pPr>
            <w:r>
              <w:rPr>
                <w:rFonts w:ascii="Arial" w:hAnsi="Arial" w:cs="Arial" w:eastAsia="Arial" w:hint="default"/>
                <w:sz w:val="18"/>
                <w:szCs w:val="18"/>
              </w:rPr>
              <w:t>2016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w:hAnsi="Arial" w:cs="Arial" w:eastAsia="Arial"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04</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Arial" w:hAnsi="Arial" w:cs="Arial" w:eastAsia="Arial" w:hint="default"/>
                <w:sz w:val="18"/>
                <w:szCs w:val="18"/>
              </w:rPr>
            </w:pPr>
            <w:r>
              <w:rPr>
                <w:rFonts w:ascii="Arial" w:hAnsi="Arial" w:cs="Arial" w:eastAsia="Arial"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04</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1"/>
              <w:jc w:val="right"/>
              <w:rPr>
                <w:rFonts w:ascii="Arial" w:hAnsi="Arial" w:cs="Arial" w:eastAsia="Arial" w:hint="default"/>
                <w:sz w:val="18"/>
                <w:szCs w:val="18"/>
              </w:rPr>
            </w:pPr>
            <w:r>
              <w:rPr>
                <w:rFonts w:ascii="Arial"/>
                <w:w w:val="99"/>
                <w:sz w:val="18"/>
              </w:rPr>
              <w:t>0</w:t>
            </w:r>
            <w:r>
              <w:rPr>
                <w:rFonts w:ascii="Arial"/>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1"/>
              <w:jc w:val="right"/>
              <w:rPr>
                <w:rFonts w:ascii="Arial" w:hAnsi="Arial" w:cs="Arial" w:eastAsia="Arial" w:hint="default"/>
                <w:sz w:val="18"/>
                <w:szCs w:val="18"/>
              </w:rPr>
            </w:pPr>
            <w:r>
              <w:rPr>
                <w:rFonts w:ascii="Arial"/>
                <w:w w:val="99"/>
                <w:sz w:val="18"/>
              </w:rPr>
              <w:t>0</w:t>
            </w:r>
            <w:r>
              <w:rPr>
                <w:rFonts w:ascii="Arial"/>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1"/>
              <w:jc w:val="right"/>
              <w:rPr>
                <w:rFonts w:ascii="Arial" w:hAnsi="Arial" w:cs="Arial" w:eastAsia="Arial" w:hint="default"/>
                <w:sz w:val="18"/>
                <w:szCs w:val="18"/>
              </w:rPr>
            </w:pPr>
            <w:r>
              <w:rPr>
                <w:rFonts w:ascii="Arial"/>
                <w:w w:val="99"/>
                <w:sz w:val="18"/>
              </w:rPr>
              <w:t>0</w:t>
            </w:r>
            <w:r>
              <w:rPr>
                <w:rFonts w:ascii="Arial"/>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18"/>
                <w:szCs w:val="18"/>
              </w:rPr>
            </w:pPr>
            <w:r>
              <w:rPr>
                <w:rFonts w:ascii="Arial"/>
                <w:w w:val="99"/>
                <w:sz w:val="18"/>
              </w:rPr>
              <w:t>0</w:t>
            </w:r>
            <w:r>
              <w:rPr>
                <w:rFonts w:ascii="Arial"/>
                <w:sz w:val="18"/>
              </w:rPr>
            </w:r>
          </w:p>
        </w:tc>
      </w:tr>
      <w:tr>
        <w:trPr>
          <w:trHeight w:val="75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樊娇娇</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0"/>
              <w:ind w:left="24" w:right="242"/>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50" w:right="0"/>
              <w:jc w:val="left"/>
              <w:rPr>
                <w:rFonts w:ascii="Arial" w:hAnsi="Arial" w:cs="Arial" w:eastAsia="Arial" w:hint="default"/>
                <w:sz w:val="18"/>
                <w:szCs w:val="18"/>
              </w:rPr>
            </w:pPr>
            <w:r>
              <w:rPr>
                <w:rFonts w:ascii="Arial"/>
                <w:sz w:val="18"/>
              </w:rPr>
              <w:t>36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3" w:right="0"/>
              <w:jc w:val="left"/>
              <w:rPr>
                <w:rFonts w:ascii="Arial" w:hAnsi="Arial" w:cs="Arial" w:eastAsia="Arial" w:hint="default"/>
                <w:sz w:val="18"/>
                <w:szCs w:val="18"/>
              </w:rPr>
            </w:pPr>
            <w:r>
              <w:rPr>
                <w:rFonts w:ascii="Arial" w:hAnsi="Arial" w:cs="Arial" w:eastAsia="Arial" w:hint="default"/>
                <w:sz w:val="18"/>
                <w:szCs w:val="18"/>
              </w:rPr>
              <w:t>2013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w:hAnsi="Arial" w:cs="Arial" w:eastAsia="Arial"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21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2" w:right="0"/>
              <w:jc w:val="left"/>
              <w:rPr>
                <w:rFonts w:ascii="Arial" w:hAnsi="Arial" w:cs="Arial" w:eastAsia="Arial" w:hint="default"/>
                <w:sz w:val="18"/>
                <w:szCs w:val="18"/>
              </w:rPr>
            </w:pPr>
            <w:r>
              <w:rPr>
                <w:rFonts w:ascii="Arial" w:hAnsi="Arial" w:cs="Arial" w:eastAsia="Arial"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04</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1"/>
              <w:jc w:val="right"/>
              <w:rPr>
                <w:rFonts w:ascii="Arial" w:hAnsi="Arial" w:cs="Arial" w:eastAsia="Arial" w:hint="default"/>
                <w:sz w:val="18"/>
                <w:szCs w:val="18"/>
              </w:rPr>
            </w:pPr>
            <w:r>
              <w:rPr>
                <w:rFonts w:ascii="Arial"/>
                <w:w w:val="99"/>
                <w:sz w:val="18"/>
              </w:rPr>
              <w:t>0</w:t>
            </w:r>
            <w:r>
              <w:rPr>
                <w:rFonts w:ascii="Arial"/>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1"/>
              <w:jc w:val="right"/>
              <w:rPr>
                <w:rFonts w:ascii="Arial" w:hAnsi="Arial" w:cs="Arial" w:eastAsia="Arial" w:hint="default"/>
                <w:sz w:val="18"/>
                <w:szCs w:val="18"/>
              </w:rPr>
            </w:pPr>
            <w:r>
              <w:rPr>
                <w:rFonts w:ascii="Arial"/>
                <w:w w:val="99"/>
                <w:sz w:val="18"/>
              </w:rPr>
              <w:t>0</w:t>
            </w:r>
            <w:r>
              <w:rPr>
                <w:rFonts w:ascii="Arial"/>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1"/>
              <w:jc w:val="right"/>
              <w:rPr>
                <w:rFonts w:ascii="Arial" w:hAnsi="Arial" w:cs="Arial" w:eastAsia="Arial" w:hint="default"/>
                <w:sz w:val="18"/>
                <w:szCs w:val="18"/>
              </w:rPr>
            </w:pPr>
            <w:r>
              <w:rPr>
                <w:rFonts w:ascii="Arial"/>
                <w:w w:val="99"/>
                <w:sz w:val="18"/>
              </w:rPr>
              <w:t>0</w:t>
            </w:r>
            <w:r>
              <w:rPr>
                <w:rFonts w:ascii="Arial"/>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2"/>
              <w:jc w:val="right"/>
              <w:rPr>
                <w:rFonts w:ascii="Arial" w:hAnsi="Arial" w:cs="Arial" w:eastAsia="Arial" w:hint="default"/>
                <w:sz w:val="18"/>
                <w:szCs w:val="18"/>
              </w:rPr>
            </w:pPr>
            <w:r>
              <w:rPr>
                <w:rFonts w:ascii="Arial"/>
                <w:w w:val="99"/>
                <w:sz w:val="18"/>
              </w:rPr>
              <w:t>0</w:t>
            </w:r>
            <w:r>
              <w:rPr>
                <w:rFonts w:ascii="Arial"/>
                <w:sz w:val="18"/>
              </w:rPr>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王珍</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50" w:right="0"/>
              <w:jc w:val="left"/>
              <w:rPr>
                <w:rFonts w:ascii="Arial" w:hAnsi="Arial" w:cs="Arial" w:eastAsia="Arial" w:hint="default"/>
                <w:sz w:val="18"/>
                <w:szCs w:val="18"/>
              </w:rPr>
            </w:pPr>
            <w:r>
              <w:rPr>
                <w:rFonts w:ascii="Arial"/>
                <w:sz w:val="18"/>
              </w:rPr>
              <w:t>32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Arial" w:hAnsi="Arial" w:cs="Arial" w:eastAsia="Arial" w:hint="default"/>
                <w:sz w:val="18"/>
                <w:szCs w:val="18"/>
              </w:rPr>
            </w:pPr>
            <w:r>
              <w:rPr>
                <w:rFonts w:ascii="Arial" w:hAnsi="Arial" w:cs="Arial" w:eastAsia="Arial" w:hint="default"/>
                <w:sz w:val="18"/>
                <w:szCs w:val="18"/>
              </w:rPr>
              <w:t>2016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w:hAnsi="Arial" w:cs="Arial" w:eastAsia="Arial"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04</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Arial" w:hAnsi="Arial" w:cs="Arial" w:eastAsia="Arial" w:hint="default"/>
                <w:sz w:val="18"/>
                <w:szCs w:val="18"/>
              </w:rPr>
            </w:pPr>
            <w:r>
              <w:rPr>
                <w:rFonts w:ascii="Arial" w:hAnsi="Arial" w:cs="Arial" w:eastAsia="Arial"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04</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Arial" w:hAnsi="Arial" w:cs="Arial" w:eastAsia="Arial" w:hint="default"/>
                <w:sz w:val="18"/>
                <w:szCs w:val="18"/>
              </w:rPr>
            </w:pPr>
            <w:r>
              <w:rPr>
                <w:rFonts w:ascii="Arial"/>
                <w:w w:val="99"/>
                <w:sz w:val="18"/>
              </w:rPr>
              <w:t>0</w:t>
            </w:r>
            <w:r>
              <w:rPr>
                <w:rFonts w:ascii="Arial"/>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Arial" w:hAnsi="Arial" w:cs="Arial" w:eastAsia="Arial" w:hint="default"/>
                <w:sz w:val="18"/>
                <w:szCs w:val="18"/>
              </w:rPr>
            </w:pPr>
            <w:r>
              <w:rPr>
                <w:rFonts w:ascii="Arial"/>
                <w:w w:val="99"/>
                <w:sz w:val="18"/>
              </w:rPr>
              <w:t>0</w:t>
            </w:r>
            <w:r>
              <w:rPr>
                <w:rFonts w:ascii="Arial"/>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Arial" w:hAnsi="Arial" w:cs="Arial" w:eastAsia="Arial" w:hint="default"/>
                <w:sz w:val="18"/>
                <w:szCs w:val="18"/>
              </w:rPr>
            </w:pPr>
            <w:r>
              <w:rPr>
                <w:rFonts w:ascii="Arial"/>
                <w:w w:val="99"/>
                <w:sz w:val="18"/>
              </w:rPr>
              <w:t>0</w:t>
            </w:r>
            <w:r>
              <w:rPr>
                <w:rFonts w:ascii="Arial"/>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18"/>
                <w:szCs w:val="18"/>
              </w:rPr>
            </w:pPr>
            <w:r>
              <w:rPr>
                <w:rFonts w:ascii="Arial"/>
                <w:w w:val="99"/>
                <w:sz w:val="18"/>
              </w:rPr>
              <w:t>0</w:t>
            </w:r>
            <w:r>
              <w:rPr>
                <w:rFonts w:ascii="Arial"/>
                <w:sz w:val="18"/>
              </w:rPr>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王月</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50" w:right="0"/>
              <w:jc w:val="left"/>
              <w:rPr>
                <w:rFonts w:ascii="Arial" w:hAnsi="Arial" w:cs="Arial" w:eastAsia="Arial" w:hint="default"/>
                <w:sz w:val="18"/>
                <w:szCs w:val="18"/>
              </w:rPr>
            </w:pPr>
            <w:r>
              <w:rPr>
                <w:rFonts w:ascii="Arial"/>
                <w:sz w:val="18"/>
              </w:rPr>
              <w:t>25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Arial" w:hAnsi="Arial" w:cs="Arial" w:eastAsia="Arial" w:hint="default"/>
                <w:sz w:val="18"/>
                <w:szCs w:val="18"/>
              </w:rPr>
            </w:pPr>
            <w:r>
              <w:rPr>
                <w:rFonts w:ascii="Arial" w:hAnsi="Arial" w:cs="Arial" w:eastAsia="Arial" w:hint="default"/>
                <w:sz w:val="18"/>
                <w:szCs w:val="18"/>
              </w:rPr>
              <w:t>2017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w:hAnsi="Arial" w:cs="Arial" w:eastAsia="Arial"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06</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Arial" w:hAnsi="Arial" w:cs="Arial" w:eastAsia="Arial" w:hint="default"/>
                <w:sz w:val="18"/>
                <w:szCs w:val="18"/>
              </w:rPr>
            </w:pPr>
            <w:r>
              <w:rPr>
                <w:rFonts w:ascii="Arial" w:hAnsi="Arial" w:cs="Arial" w:eastAsia="Arial"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04</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Arial" w:hAnsi="Arial" w:cs="Arial" w:eastAsia="Arial" w:hint="default"/>
                <w:sz w:val="18"/>
                <w:szCs w:val="18"/>
              </w:rPr>
            </w:pPr>
            <w:r>
              <w:rPr>
                <w:rFonts w:ascii="Arial"/>
                <w:w w:val="99"/>
                <w:sz w:val="18"/>
              </w:rPr>
              <w:t>0</w:t>
            </w:r>
            <w:r>
              <w:rPr>
                <w:rFonts w:ascii="Arial"/>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Arial" w:hAnsi="Arial" w:cs="Arial" w:eastAsia="Arial" w:hint="default"/>
                <w:sz w:val="18"/>
                <w:szCs w:val="18"/>
              </w:rPr>
            </w:pPr>
            <w:r>
              <w:rPr>
                <w:rFonts w:ascii="Arial"/>
                <w:w w:val="99"/>
                <w:sz w:val="18"/>
              </w:rPr>
              <w:t>0</w:t>
            </w:r>
            <w:r>
              <w:rPr>
                <w:rFonts w:ascii="Arial"/>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Arial" w:hAnsi="Arial" w:cs="Arial" w:eastAsia="Arial" w:hint="default"/>
                <w:sz w:val="18"/>
                <w:szCs w:val="18"/>
              </w:rPr>
            </w:pPr>
            <w:r>
              <w:rPr>
                <w:rFonts w:ascii="Arial"/>
                <w:w w:val="99"/>
                <w:sz w:val="18"/>
              </w:rPr>
              <w:t>0</w:t>
            </w:r>
            <w:r>
              <w:rPr>
                <w:rFonts w:ascii="Arial"/>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Arial" w:hAnsi="Arial" w:cs="Arial" w:eastAsia="Arial" w:hint="default"/>
                <w:sz w:val="18"/>
                <w:szCs w:val="18"/>
              </w:rPr>
            </w:pPr>
            <w:r>
              <w:rPr>
                <w:rFonts w:ascii="Arial"/>
                <w:w w:val="99"/>
                <w:sz w:val="18"/>
              </w:rPr>
              <w:t>0</w:t>
            </w:r>
            <w:r>
              <w:rPr>
                <w:rFonts w:ascii="Arial"/>
                <w:sz w:val="18"/>
              </w:rPr>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王琰</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2"/>
              <w:jc w:val="left"/>
              <w:rPr>
                <w:rFonts w:ascii="宋体" w:hAnsi="宋体" w:cs="宋体" w:eastAsia="宋体" w:hint="default"/>
                <w:sz w:val="18"/>
                <w:szCs w:val="18"/>
              </w:rPr>
            </w:pPr>
            <w:r>
              <w:rPr>
                <w:rFonts w:ascii="宋体" w:hAnsi="宋体" w:cs="宋体" w:eastAsia="宋体" w:hint="default"/>
                <w:sz w:val="18"/>
                <w:szCs w:val="18"/>
              </w:rPr>
              <w:t>副总经理 财务总监</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50" w:right="0"/>
              <w:jc w:val="left"/>
              <w:rPr>
                <w:rFonts w:ascii="Arial" w:hAnsi="Arial" w:cs="Arial" w:eastAsia="Arial" w:hint="default"/>
                <w:sz w:val="18"/>
                <w:szCs w:val="18"/>
              </w:rPr>
            </w:pPr>
            <w:r>
              <w:rPr>
                <w:rFonts w:ascii="Arial"/>
                <w:sz w:val="18"/>
              </w:rPr>
              <w:t>46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Arial" w:hAnsi="Arial" w:cs="Arial" w:eastAsia="Arial" w:hint="default"/>
                <w:sz w:val="18"/>
                <w:szCs w:val="18"/>
              </w:rPr>
            </w:pPr>
            <w:r>
              <w:rPr>
                <w:rFonts w:ascii="Arial" w:hAnsi="Arial" w:cs="Arial" w:eastAsia="Arial" w:hint="default"/>
                <w:sz w:val="18"/>
                <w:szCs w:val="18"/>
              </w:rPr>
              <w:t>2014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w:hAnsi="Arial" w:cs="Arial" w:eastAsia="Arial"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01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Arial" w:hAnsi="Arial" w:cs="Arial" w:eastAsia="Arial" w:hint="default"/>
                <w:sz w:val="18"/>
                <w:szCs w:val="18"/>
              </w:rPr>
            </w:pPr>
            <w:r>
              <w:rPr>
                <w:rFonts w:ascii="Arial" w:hAnsi="Arial" w:cs="Arial" w:eastAsia="Arial"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05</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321,633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80,000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Arial" w:hAnsi="Arial" w:cs="Arial" w:eastAsia="Arial" w:hint="default"/>
                <w:sz w:val="18"/>
                <w:szCs w:val="18"/>
              </w:rPr>
            </w:pPr>
            <w:r>
              <w:rPr>
                <w:rFonts w:ascii="Arial"/>
                <w:w w:val="99"/>
                <w:sz w:val="18"/>
              </w:rPr>
              <w:t>0</w:t>
            </w:r>
            <w:r>
              <w:rPr>
                <w:rFonts w:ascii="Arial"/>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241,633</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邢立君</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2"/>
              <w:jc w:val="left"/>
              <w:rPr>
                <w:rFonts w:ascii="宋体" w:hAnsi="宋体" w:cs="宋体" w:eastAsia="宋体" w:hint="default"/>
                <w:sz w:val="18"/>
                <w:szCs w:val="18"/>
              </w:rPr>
            </w:pPr>
            <w:r>
              <w:rPr>
                <w:rFonts w:ascii="宋体" w:hAnsi="宋体" w:cs="宋体" w:eastAsia="宋体" w:hint="default"/>
                <w:sz w:val="18"/>
                <w:szCs w:val="18"/>
              </w:rPr>
              <w:t>人力资源 总监</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50" w:right="0"/>
              <w:jc w:val="left"/>
              <w:rPr>
                <w:rFonts w:ascii="Arial" w:hAnsi="Arial" w:cs="Arial" w:eastAsia="Arial" w:hint="default"/>
                <w:sz w:val="18"/>
                <w:szCs w:val="18"/>
              </w:rPr>
            </w:pPr>
            <w:r>
              <w:rPr>
                <w:rFonts w:ascii="Arial"/>
                <w:sz w:val="18"/>
              </w:rPr>
              <w:t>47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Arial" w:hAnsi="Arial" w:cs="Arial" w:eastAsia="Arial" w:hint="default"/>
                <w:sz w:val="18"/>
                <w:szCs w:val="18"/>
              </w:rPr>
            </w:pPr>
            <w:r>
              <w:rPr>
                <w:rFonts w:ascii="Arial" w:hAnsi="Arial" w:cs="Arial" w:eastAsia="Arial" w:hint="default"/>
                <w:sz w:val="18"/>
                <w:szCs w:val="18"/>
              </w:rPr>
              <w:t>2014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w:hAnsi="Arial" w:cs="Arial" w:eastAsia="Arial"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01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Arial" w:hAnsi="Arial" w:cs="Arial" w:eastAsia="Arial" w:hint="default"/>
                <w:sz w:val="18"/>
                <w:szCs w:val="18"/>
              </w:rPr>
            </w:pPr>
            <w:r>
              <w:rPr>
                <w:rFonts w:ascii="Arial" w:hAnsi="Arial" w:cs="Arial" w:eastAsia="Arial"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05</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298,713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20,000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Arial" w:hAnsi="Arial" w:cs="Arial" w:eastAsia="Arial" w:hint="default"/>
                <w:sz w:val="18"/>
                <w:szCs w:val="18"/>
              </w:rPr>
            </w:pPr>
            <w:r>
              <w:rPr>
                <w:rFonts w:ascii="Arial"/>
                <w:w w:val="99"/>
                <w:sz w:val="18"/>
              </w:rPr>
              <w:t>0</w:t>
            </w:r>
            <w:r>
              <w:rPr>
                <w:rFonts w:ascii="Arial"/>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278,713</w:t>
            </w:r>
          </w:p>
        </w:tc>
      </w:tr>
      <w:tr>
        <w:trPr>
          <w:trHeight w:val="75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韦光宇</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24" w:right="242"/>
              <w:jc w:val="left"/>
              <w:rPr>
                <w:rFonts w:ascii="宋体" w:hAnsi="宋体" w:cs="宋体" w:eastAsia="宋体" w:hint="default"/>
                <w:sz w:val="18"/>
                <w:szCs w:val="18"/>
              </w:rPr>
            </w:pPr>
            <w:r>
              <w:rPr>
                <w:rFonts w:ascii="宋体" w:hAnsi="宋体" w:cs="宋体" w:eastAsia="宋体" w:hint="default"/>
                <w:sz w:val="18"/>
                <w:szCs w:val="18"/>
              </w:rPr>
              <w:t>董事会 秘书</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50" w:right="0"/>
              <w:jc w:val="left"/>
              <w:rPr>
                <w:rFonts w:ascii="Arial" w:hAnsi="Arial" w:cs="Arial" w:eastAsia="Arial" w:hint="default"/>
                <w:sz w:val="18"/>
                <w:szCs w:val="18"/>
              </w:rPr>
            </w:pPr>
            <w:r>
              <w:rPr>
                <w:rFonts w:ascii="Arial"/>
                <w:sz w:val="18"/>
              </w:rPr>
              <w:t>39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3" w:right="0"/>
              <w:jc w:val="left"/>
              <w:rPr>
                <w:rFonts w:ascii="Arial" w:hAnsi="Arial" w:cs="Arial" w:eastAsia="Arial" w:hint="default"/>
                <w:sz w:val="18"/>
                <w:szCs w:val="18"/>
              </w:rPr>
            </w:pPr>
            <w:r>
              <w:rPr>
                <w:rFonts w:ascii="Arial" w:hAnsi="Arial" w:cs="Arial" w:eastAsia="Arial" w:hint="default"/>
                <w:sz w:val="18"/>
                <w:szCs w:val="18"/>
              </w:rPr>
              <w:t>2016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w:hAnsi="Arial" w:cs="Arial" w:eastAsia="Arial"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04</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2" w:right="0"/>
              <w:jc w:val="left"/>
              <w:rPr>
                <w:rFonts w:ascii="Arial" w:hAnsi="Arial" w:cs="Arial" w:eastAsia="Arial" w:hint="default"/>
                <w:sz w:val="18"/>
                <w:szCs w:val="18"/>
              </w:rPr>
            </w:pPr>
            <w:r>
              <w:rPr>
                <w:rFonts w:ascii="Arial" w:hAnsi="Arial" w:cs="Arial" w:eastAsia="Arial"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05</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9"/>
              <w:jc w:val="right"/>
              <w:rPr>
                <w:rFonts w:ascii="Arial" w:hAnsi="Arial" w:cs="Arial" w:eastAsia="Arial" w:hint="default"/>
                <w:sz w:val="18"/>
                <w:szCs w:val="18"/>
              </w:rPr>
            </w:pPr>
            <w:r>
              <w:rPr>
                <w:rFonts w:ascii="Arial"/>
                <w:spacing w:val="-1"/>
                <w:sz w:val="18"/>
              </w:rPr>
              <w:t>249,195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0"/>
              <w:jc w:val="right"/>
              <w:rPr>
                <w:rFonts w:ascii="Arial" w:hAnsi="Arial" w:cs="Arial" w:eastAsia="Arial" w:hint="default"/>
                <w:sz w:val="18"/>
                <w:szCs w:val="18"/>
              </w:rPr>
            </w:pPr>
            <w:r>
              <w:rPr>
                <w:rFonts w:ascii="Arial"/>
                <w:w w:val="99"/>
                <w:sz w:val="18"/>
              </w:rPr>
              <w:t>0</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1"/>
              <w:jc w:val="right"/>
              <w:rPr>
                <w:rFonts w:ascii="Arial" w:hAnsi="Arial" w:cs="Arial" w:eastAsia="Arial" w:hint="default"/>
                <w:sz w:val="18"/>
                <w:szCs w:val="18"/>
              </w:rPr>
            </w:pPr>
            <w:r>
              <w:rPr>
                <w:rFonts w:ascii="Arial"/>
                <w:w w:val="99"/>
                <w:sz w:val="18"/>
              </w:rPr>
              <w:t>0</w:t>
            </w:r>
            <w:r>
              <w:rPr>
                <w:rFonts w:ascii="Arial"/>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1"/>
              <w:jc w:val="right"/>
              <w:rPr>
                <w:rFonts w:ascii="Arial" w:hAnsi="Arial" w:cs="Arial" w:eastAsia="Arial" w:hint="default"/>
                <w:sz w:val="18"/>
                <w:szCs w:val="18"/>
              </w:rPr>
            </w:pPr>
            <w:r>
              <w:rPr>
                <w:rFonts w:ascii="Arial"/>
                <w:w w:val="99"/>
                <w:sz w:val="18"/>
              </w:rPr>
              <w:t>0</w:t>
            </w:r>
            <w:r>
              <w:rPr>
                <w:rFonts w:ascii="Arial"/>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9"/>
              <w:jc w:val="right"/>
              <w:rPr>
                <w:rFonts w:ascii="Arial" w:hAnsi="Arial" w:cs="Arial" w:eastAsia="Arial" w:hint="default"/>
                <w:sz w:val="18"/>
                <w:szCs w:val="18"/>
              </w:rPr>
            </w:pPr>
            <w:r>
              <w:rPr>
                <w:rFonts w:ascii="Arial"/>
                <w:spacing w:val="-1"/>
                <w:sz w:val="18"/>
              </w:rPr>
              <w:t>249,195</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Arial" w:hAnsi="Arial" w:cs="Arial" w:eastAsia="Arial" w:hint="default"/>
                <w:sz w:val="18"/>
                <w:szCs w:val="18"/>
              </w:rPr>
            </w:pPr>
            <w:r>
              <w:rPr>
                <w:rFonts w:ascii="Arial"/>
                <w:sz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16"/>
              <w:jc w:val="right"/>
              <w:rPr>
                <w:rFonts w:ascii="Arial" w:hAnsi="Arial" w:cs="Arial" w:eastAsia="Arial" w:hint="default"/>
                <w:sz w:val="18"/>
                <w:szCs w:val="18"/>
              </w:rPr>
            </w:pPr>
            <w:r>
              <w:rPr>
                <w:rFonts w:ascii="Arial"/>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Arial" w:hAnsi="Arial" w:cs="Arial" w:eastAsia="Arial" w:hint="default"/>
                <w:sz w:val="18"/>
                <w:szCs w:val="18"/>
              </w:rPr>
            </w:pPr>
            <w:r>
              <w:rPr>
                <w:rFonts w:ascii="Arial"/>
                <w:sz w:val="18"/>
              </w:rPr>
              <w:t>--</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76" w:right="0"/>
              <w:jc w:val="left"/>
              <w:rPr>
                <w:rFonts w:ascii="Arial" w:hAnsi="Arial" w:cs="Arial" w:eastAsia="Arial" w:hint="default"/>
                <w:sz w:val="18"/>
                <w:szCs w:val="18"/>
              </w:rPr>
            </w:pPr>
            <w:r>
              <w:rPr>
                <w:rFonts w:ascii="Arial"/>
                <w:sz w:val="18"/>
              </w:rPr>
              <w:t>--</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Arial" w:hAnsi="Arial" w:cs="Arial" w:eastAsia="Arial" w:hint="default"/>
                <w:sz w:val="18"/>
                <w:szCs w:val="18"/>
              </w:rPr>
            </w:pPr>
            <w:r>
              <w:rPr>
                <w:rFonts w:ascii="Arial"/>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Arial" w:hAnsi="Arial" w:cs="Arial" w:eastAsia="Arial" w:hint="default"/>
                <w:sz w:val="18"/>
                <w:szCs w:val="18"/>
              </w:rPr>
            </w:pPr>
            <w:r>
              <w:rPr>
                <w:rFonts w:ascii="Arial"/>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185,956,305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w w:val="99"/>
                <w:sz w:val="18"/>
              </w:rPr>
              <w:t>0</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5,041,455</w:t>
            </w:r>
          </w:p>
        </w:tc>
        <w:tc>
          <w:tcPr>
            <w:tcW w:w="708"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180,914,850</w:t>
            </w:r>
          </w:p>
        </w:tc>
      </w:tr>
    </w:tbl>
    <w:p>
      <w:pPr>
        <w:spacing w:after="0" w:line="240" w:lineRule="auto"/>
        <w:jc w:val="right"/>
        <w:rPr>
          <w:rFonts w:ascii="Arial" w:hAnsi="Arial" w:cs="Arial" w:eastAsia="Arial" w:hint="default"/>
          <w:sz w:val="18"/>
          <w:szCs w:val="18"/>
        </w:rPr>
        <w:sectPr>
          <w:pgSz w:w="11910" w:h="16840"/>
          <w:pgMar w:header="878" w:footer="978" w:top="1100" w:bottom="1160" w:left="1020" w:right="0"/>
        </w:sectPr>
      </w:pPr>
    </w:p>
    <w:p>
      <w:pPr>
        <w:spacing w:line="240" w:lineRule="auto" w:before="10"/>
        <w:rPr>
          <w:rFonts w:ascii="宋体" w:hAnsi="宋体" w:cs="宋体" w:eastAsia="宋体" w:hint="default"/>
          <w:b/>
          <w:bCs/>
          <w:sz w:val="19"/>
          <w:szCs w:val="19"/>
        </w:rPr>
      </w:pPr>
    </w:p>
    <w:p>
      <w:pPr>
        <w:pStyle w:val="Heading2"/>
        <w:spacing w:line="240" w:lineRule="auto"/>
        <w:ind w:right="996"/>
        <w:jc w:val="left"/>
        <w:rPr>
          <w:b w:val="0"/>
          <w:bCs w:val="0"/>
        </w:rPr>
      </w:pPr>
      <w:bookmarkStart w:name="二、公司董事、监事、高级管理人员变动情况" w:id="120"/>
      <w:bookmarkEnd w:id="120"/>
      <w:r>
        <w:rPr>
          <w:b w:val="0"/>
          <w:bCs w:val="0"/>
        </w:rPr>
      </w:r>
      <w:r>
        <w:rPr/>
        <w:t>二、公司董事、监事、高级管理人员变动情况</w:t>
      </w:r>
      <w:r>
        <w:rPr>
          <w:b w:val="0"/>
          <w:bCs w:val="0"/>
        </w:rPr>
      </w:r>
    </w:p>
    <w:p>
      <w:pPr>
        <w:spacing w:line="240" w:lineRule="auto" w:before="10"/>
        <w:rPr>
          <w:rFonts w:ascii="宋体" w:hAnsi="宋体" w:cs="宋体" w:eastAsia="宋体" w:hint="default"/>
          <w:b/>
          <w:bCs/>
          <w:sz w:val="22"/>
          <w:szCs w:val="22"/>
        </w:rPr>
      </w:pPr>
    </w:p>
    <w:p>
      <w:pPr>
        <w:spacing w:line="444" w:lineRule="auto" w:before="0"/>
        <w:ind w:left="112" w:right="8114"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w:t>
      </w:r>
      <w:bookmarkStart w:name="三、任职情况" w:id="121"/>
      <w:bookmarkEnd w:id="121"/>
      <w:r>
        <w:rPr>
          <w:rFonts w:ascii="宋体" w:hAnsi="宋体" w:cs="宋体" w:eastAsia="宋体" w:hint="default"/>
          <w:sz w:val="24"/>
          <w:szCs w:val="24"/>
        </w:rPr>
      </w:r>
      <w:r>
        <w:rPr>
          <w:rFonts w:ascii="宋体" w:hAnsi="宋体" w:cs="宋体" w:eastAsia="宋体" w:hint="default"/>
          <w:b/>
          <w:bCs/>
          <w:sz w:val="24"/>
          <w:szCs w:val="24"/>
        </w:rPr>
        <w:t>三、任职情况</w:t>
      </w:r>
      <w:r>
        <w:rPr>
          <w:rFonts w:ascii="宋体" w:hAnsi="宋体" w:cs="宋体" w:eastAsia="宋体" w:hint="default"/>
          <w:sz w:val="24"/>
          <w:szCs w:val="24"/>
        </w:rPr>
      </w:r>
    </w:p>
    <w:p>
      <w:pPr>
        <w:pStyle w:val="Heading3"/>
        <w:spacing w:line="273" w:lineRule="auto" w:before="118"/>
        <w:ind w:left="592" w:right="996" w:hanging="480"/>
        <w:jc w:val="left"/>
      </w:pPr>
      <w:r>
        <w:rPr/>
        <w:t>公司现任董事、监事、高级管理人员专业背景、主要工作经历以及目前在公司的主要职责 </w:t>
      </w:r>
      <w:r>
        <w:rPr>
          <w:rFonts w:ascii="宋体" w:hAnsi="宋体" w:cs="宋体" w:eastAsia="宋体" w:hint="default"/>
          <w:b/>
          <w:bCs/>
        </w:rPr>
        <w:t>公司董事会共七名董事，具体情况如下：</w:t>
      </w:r>
      <w:r>
        <w:rPr>
          <w:rFonts w:ascii="宋体" w:hAnsi="宋体" w:cs="宋体" w:eastAsia="宋体" w:hint="default"/>
          <w:b/>
          <w:bCs/>
          <w:w w:val="99"/>
        </w:rPr>
        <w:t> </w:t>
      </w:r>
      <w:r>
        <w:rPr/>
        <w:t>邵学先生，中国国籍，</w:t>
      </w:r>
      <w:r>
        <w:rPr>
          <w:rFonts w:ascii="Arial" w:hAnsi="Arial" w:cs="Arial" w:eastAsia="Arial" w:hint="default"/>
        </w:rPr>
        <w:t>1961</w:t>
      </w:r>
      <w:r>
        <w:rPr/>
        <w:t>年</w:t>
      </w:r>
      <w:r>
        <w:rPr>
          <w:rFonts w:ascii="Arial" w:hAnsi="Arial" w:cs="Arial" w:eastAsia="Arial" w:hint="default"/>
        </w:rPr>
        <w:t>12</w:t>
      </w:r>
      <w:r>
        <w:rPr/>
        <w:t>月出生，硕士学位，工程师职称。</w:t>
      </w:r>
      <w:r>
        <w:rPr>
          <w:rFonts w:ascii="Arial" w:hAnsi="Arial" w:cs="Arial" w:eastAsia="Arial" w:hint="default"/>
        </w:rPr>
        <w:t>2001</w:t>
      </w:r>
      <w:r>
        <w:rPr/>
        <w:t>年至</w:t>
      </w:r>
      <w:r>
        <w:rPr>
          <w:rFonts w:ascii="Arial" w:hAnsi="Arial" w:cs="Arial" w:eastAsia="Arial" w:hint="default"/>
        </w:rPr>
        <w:t>2016</w:t>
      </w:r>
      <w:r>
        <w:rPr/>
        <w:t>年任</w:t>
      </w:r>
    </w:p>
    <w:p>
      <w:pPr>
        <w:pStyle w:val="Heading3"/>
        <w:spacing w:line="259" w:lineRule="auto"/>
        <w:ind w:right="996"/>
        <w:jc w:val="left"/>
      </w:pPr>
      <w:r>
        <w:rPr>
          <w:spacing w:val="-1"/>
        </w:rPr>
        <w:t>公司总经理，</w:t>
      </w:r>
      <w:r>
        <w:rPr>
          <w:rFonts w:ascii="Arial" w:hAnsi="Arial" w:cs="Arial" w:eastAsia="Arial" w:hint="default"/>
          <w:spacing w:val="-1"/>
        </w:rPr>
        <w:t>2003</w:t>
      </w:r>
      <w:r>
        <w:rPr>
          <w:spacing w:val="-1"/>
        </w:rPr>
        <w:t>年至今任公司董事长。目前还兼任华宇元典董事长，联奕科技董事，兼任</w:t>
      </w:r>
      <w:r>
        <w:rPr>
          <w:spacing w:val="-97"/>
        </w:rPr>
        <w:t> </w:t>
      </w:r>
      <w:r>
        <w:rPr>
          <w:spacing w:val="-97"/>
        </w:rPr>
      </w:r>
      <w:r>
        <w:rPr/>
        <w:t>北京华宇科创投资有限公司董事长。</w:t>
      </w:r>
    </w:p>
    <w:p>
      <w:pPr>
        <w:pStyle w:val="Heading3"/>
        <w:spacing w:line="268" w:lineRule="auto" w:before="26"/>
        <w:ind w:right="1123" w:firstLine="480"/>
        <w:jc w:val="both"/>
      </w:pPr>
      <w:r>
        <w:rPr>
          <w:spacing w:val="-1"/>
        </w:rPr>
        <w:t>吕宾先生，中国国籍，</w:t>
      </w:r>
      <w:r>
        <w:rPr>
          <w:rFonts w:ascii="Arial" w:hAnsi="Arial" w:cs="Arial" w:eastAsia="Arial" w:hint="default"/>
          <w:spacing w:val="-1"/>
        </w:rPr>
        <w:t>1973</w:t>
      </w:r>
      <w:r>
        <w:rPr>
          <w:spacing w:val="-1"/>
        </w:rPr>
        <w:t>年</w:t>
      </w:r>
      <w:r>
        <w:rPr>
          <w:rFonts w:ascii="Arial" w:hAnsi="Arial" w:cs="Arial" w:eastAsia="Arial" w:hint="default"/>
          <w:spacing w:val="-1"/>
        </w:rPr>
        <w:t>6</w:t>
      </w:r>
      <w:r>
        <w:rPr>
          <w:spacing w:val="-1"/>
        </w:rPr>
        <w:t>月出生，硕士学位，高级工程师职称。</w:t>
      </w:r>
      <w:r>
        <w:rPr>
          <w:rFonts w:ascii="Arial" w:hAnsi="Arial" w:cs="Arial" w:eastAsia="Arial" w:hint="default"/>
          <w:spacing w:val="-1"/>
        </w:rPr>
        <w:t>2006</w:t>
      </w:r>
      <w:r>
        <w:rPr>
          <w:spacing w:val="-1"/>
        </w:rPr>
        <w:t>年至</w:t>
      </w:r>
      <w:r>
        <w:rPr>
          <w:rFonts w:ascii="Arial" w:hAnsi="Arial" w:cs="Arial" w:eastAsia="Arial" w:hint="default"/>
          <w:spacing w:val="-1"/>
        </w:rPr>
        <w:t>2016</w:t>
      </w:r>
      <w:r>
        <w:rPr>
          <w:spacing w:val="-1"/>
        </w:rPr>
        <w:t>年</w:t>
      </w:r>
      <w:r>
        <w:rPr/>
        <w:t> 任公司董事、副总经理，现任公司董事、总经理。目前还兼任亿信华辰、万户网络董事长，</w:t>
      </w:r>
      <w:r>
        <w:rPr>
          <w:spacing w:val="-89"/>
        </w:rPr>
        <w:t> </w:t>
      </w:r>
      <w:r>
        <w:rPr>
          <w:spacing w:val="-89"/>
        </w:rPr>
      </w:r>
      <w:r>
        <w:rPr/>
        <w:t>兼任华宇信息、广州华宇、华宇金信、浦东华宇、联奕科技，华宇元典、溯源云董事，兼任</w:t>
      </w:r>
      <w:r>
        <w:rPr>
          <w:spacing w:val="-89"/>
        </w:rPr>
        <w:t> </w:t>
      </w:r>
      <w:r>
        <w:rPr>
          <w:spacing w:val="-89"/>
        </w:rPr>
      </w:r>
      <w:r>
        <w:rPr/>
        <w:t>北京宗弈远承文化传播有限责任公司执行董事、北京寰宇医道科技有限公司董事长。</w:t>
      </w:r>
    </w:p>
    <w:p>
      <w:pPr>
        <w:pStyle w:val="Heading3"/>
        <w:spacing w:line="259" w:lineRule="auto" w:before="17"/>
        <w:ind w:right="1128" w:firstLine="480"/>
        <w:jc w:val="both"/>
      </w:pPr>
      <w:r>
        <w:rPr/>
        <w:t>任涛先生，中国国籍，</w:t>
      </w:r>
      <w:r>
        <w:rPr>
          <w:rFonts w:ascii="Arial" w:hAnsi="Arial" w:cs="Arial" w:eastAsia="Arial" w:hint="default"/>
        </w:rPr>
        <w:t>1974</w:t>
      </w:r>
      <w:r>
        <w:rPr/>
        <w:t>年</w:t>
      </w:r>
      <w:r>
        <w:rPr>
          <w:rFonts w:ascii="Arial" w:hAnsi="Arial" w:cs="Arial" w:eastAsia="Arial" w:hint="default"/>
        </w:rPr>
        <w:t>1</w:t>
      </w:r>
      <w:r>
        <w:rPr/>
        <w:t>月出生，学士学位。</w:t>
      </w:r>
      <w:r>
        <w:rPr>
          <w:rFonts w:ascii="Arial" w:hAnsi="Arial" w:cs="Arial" w:eastAsia="Arial" w:hint="default"/>
        </w:rPr>
        <w:t>2009</w:t>
      </w:r>
      <w:r>
        <w:rPr/>
        <w:t>年至今任公司董事，现任数字 方舟董事长。</w:t>
      </w:r>
    </w:p>
    <w:p>
      <w:pPr>
        <w:pStyle w:val="Heading3"/>
        <w:spacing w:line="259" w:lineRule="auto" w:before="26"/>
        <w:ind w:right="996" w:firstLine="480"/>
        <w:jc w:val="left"/>
      </w:pPr>
      <w:r>
        <w:rPr/>
        <w:t>赵晓明先生，中国国籍，</w:t>
      </w:r>
      <w:r>
        <w:rPr>
          <w:rFonts w:ascii="Arial" w:hAnsi="Arial" w:cs="Arial" w:eastAsia="Arial" w:hint="default"/>
        </w:rPr>
        <w:t>1971</w:t>
      </w:r>
      <w:r>
        <w:rPr/>
        <w:t>年</w:t>
      </w:r>
      <w:r>
        <w:rPr>
          <w:rFonts w:ascii="Arial" w:hAnsi="Arial" w:cs="Arial" w:eastAsia="Arial" w:hint="default"/>
        </w:rPr>
        <w:t>9</w:t>
      </w:r>
      <w:r>
        <w:rPr/>
        <w:t>月出生，硕士学位，工程师职称。自</w:t>
      </w:r>
      <w:r>
        <w:rPr>
          <w:rFonts w:ascii="Arial" w:hAnsi="Arial" w:cs="Arial" w:eastAsia="Arial" w:hint="default"/>
        </w:rPr>
        <w:t>2002</w:t>
      </w:r>
      <w:r>
        <w:rPr/>
        <w:t>年起任公司 </w:t>
      </w:r>
      <w:r>
        <w:rPr>
          <w:spacing w:val="-4"/>
        </w:rPr>
        <w:t>副总经理，</w:t>
      </w:r>
      <w:r>
        <w:rPr>
          <w:rFonts w:ascii="Arial" w:hAnsi="Arial" w:cs="Arial" w:eastAsia="Arial" w:hint="default"/>
          <w:spacing w:val="-4"/>
        </w:rPr>
        <w:t>2007</w:t>
      </w:r>
      <w:r>
        <w:rPr>
          <w:spacing w:val="-4"/>
        </w:rPr>
        <w:t>年至今任公司董事。目前还兼任亿信华辰、联奕科技、华宇九品、广州华宇、</w:t>
      </w:r>
      <w:r>
        <w:rPr>
          <w:spacing w:val="-84"/>
        </w:rPr>
        <w:t> </w:t>
      </w:r>
      <w:r>
        <w:rPr>
          <w:spacing w:val="-84"/>
        </w:rPr>
      </w:r>
      <w:r>
        <w:rPr/>
        <w:t>浦东华宇董事。</w:t>
      </w:r>
    </w:p>
    <w:p>
      <w:pPr>
        <w:pStyle w:val="Heading3"/>
        <w:spacing w:line="266" w:lineRule="auto" w:before="24"/>
        <w:ind w:right="1130" w:firstLine="480"/>
        <w:jc w:val="both"/>
      </w:pPr>
      <w:r>
        <w:rPr/>
        <w:t>朱恒源先生，中国国籍，</w:t>
      </w:r>
      <w:r>
        <w:rPr>
          <w:rFonts w:ascii="Arial" w:hAnsi="Arial" w:cs="Arial" w:eastAsia="Arial" w:hint="default"/>
        </w:rPr>
        <w:t>1968</w:t>
      </w:r>
      <w:r>
        <w:rPr/>
        <w:t>年</w:t>
      </w:r>
      <w:r>
        <w:rPr>
          <w:rFonts w:ascii="Arial" w:hAnsi="Arial" w:cs="Arial" w:eastAsia="Arial" w:hint="default"/>
        </w:rPr>
        <w:t>7</w:t>
      </w:r>
      <w:r>
        <w:rPr/>
        <w:t>月出生，博士学历，清华大学经济管理学院副教授。 目前就职于清华大学经济管理学院，兼任中国全聚德（集团）股份有限公司独立董事、深圳</w:t>
      </w:r>
      <w:r>
        <w:rPr>
          <w:spacing w:val="-89"/>
        </w:rPr>
        <w:t> </w:t>
      </w:r>
      <w:r>
        <w:rPr>
          <w:spacing w:val="-89"/>
        </w:rPr>
      </w:r>
      <w:r>
        <w:rPr/>
        <w:t>艾勒可科技有限公司独立董事、海南京粮控股股份有限公司独立董事。</w:t>
      </w:r>
    </w:p>
    <w:p>
      <w:pPr>
        <w:pStyle w:val="Heading3"/>
        <w:spacing w:line="273" w:lineRule="auto" w:before="19"/>
        <w:ind w:right="1034" w:firstLine="480"/>
        <w:jc w:val="left"/>
      </w:pPr>
      <w:r>
        <w:rPr/>
        <w:t>甘培忠先生，中国国籍，1956年5月出生，博士学历，教授。2015年起任公司独立董事。 1983年至今就职于北京大学法学院，兼任最高人民法院特邀咨询员、最高人民法院案例指导</w:t>
      </w:r>
      <w:r>
        <w:rPr>
          <w:spacing w:val="-89"/>
        </w:rPr>
        <w:t> </w:t>
      </w:r>
      <w:r>
        <w:rPr>
          <w:spacing w:val="-89"/>
        </w:rPr>
      </w:r>
      <w:r>
        <w:rPr/>
        <w:t>专家委员会委员、中国商业法研究会会长、中国证券法学研究会副会长、中国经济法学研究</w:t>
      </w:r>
      <w:r>
        <w:rPr>
          <w:spacing w:val="-89"/>
        </w:rPr>
        <w:t> </w:t>
      </w:r>
      <w:r>
        <w:rPr>
          <w:spacing w:val="-89"/>
        </w:rPr>
      </w:r>
      <w:r>
        <w:rPr/>
        <w:t>会常务理事、辽宁省人民政府法律顾问、深圳国际仲裁院仲裁员；北京东方通科技股份有限</w:t>
      </w:r>
      <w:r>
        <w:rPr>
          <w:spacing w:val="-89"/>
        </w:rPr>
        <w:t> </w:t>
      </w:r>
      <w:r>
        <w:rPr>
          <w:spacing w:val="-89"/>
        </w:rPr>
      </w:r>
      <w:r>
        <w:rPr/>
        <w:t>公司独立董事、金徽酒股份有限公司独立董事、苏州道森钻采设备股份有限公司独立董事、</w:t>
      </w:r>
      <w:r>
        <w:rPr>
          <w:spacing w:val="-89"/>
        </w:rPr>
        <w:t> </w:t>
      </w:r>
      <w:r>
        <w:rPr>
          <w:spacing w:val="-89"/>
        </w:rPr>
      </w:r>
      <w:r>
        <w:rPr/>
        <w:t>中国邮政储蓄银行股份有限公司独立董事。</w:t>
      </w:r>
    </w:p>
    <w:p>
      <w:pPr>
        <w:pStyle w:val="Heading3"/>
        <w:spacing w:line="259" w:lineRule="auto" w:before="12"/>
        <w:ind w:right="1129" w:firstLine="480"/>
        <w:jc w:val="both"/>
      </w:pPr>
      <w:r>
        <w:rPr/>
        <w:t>王琨女士，中国国籍，</w:t>
      </w:r>
      <w:r>
        <w:rPr>
          <w:rFonts w:ascii="Arial" w:hAnsi="Arial" w:cs="Arial" w:eastAsia="Arial" w:hint="default"/>
        </w:rPr>
        <w:t>1976</w:t>
      </w:r>
      <w:r>
        <w:rPr/>
        <w:t>年</w:t>
      </w:r>
      <w:r>
        <w:rPr>
          <w:rFonts w:ascii="Arial" w:hAnsi="Arial" w:cs="Arial" w:eastAsia="Arial" w:hint="default"/>
        </w:rPr>
        <w:t>4</w:t>
      </w:r>
      <w:r>
        <w:rPr/>
        <w:t>月出生，博士学历，清华大学经济管理学院会计系副教 </w:t>
      </w:r>
      <w:r>
        <w:rPr>
          <w:spacing w:val="-1"/>
        </w:rPr>
        <w:t>授。</w:t>
      </w:r>
      <w:r>
        <w:rPr>
          <w:rFonts w:ascii="Arial" w:hAnsi="Arial" w:cs="Arial" w:eastAsia="Arial" w:hint="default"/>
          <w:spacing w:val="-1"/>
        </w:rPr>
        <w:t>2013</w:t>
      </w:r>
      <w:r>
        <w:rPr>
          <w:spacing w:val="-1"/>
        </w:rPr>
        <w:t>年起担任公司独立董事，目前任职于清华大学经济管理学院，兼任积成电子股份有</w:t>
      </w:r>
      <w:r>
        <w:rPr>
          <w:spacing w:val="-94"/>
        </w:rPr>
        <w:t> </w:t>
      </w:r>
      <w:r>
        <w:rPr>
          <w:spacing w:val="-94"/>
        </w:rPr>
      </w:r>
      <w:r>
        <w:rPr/>
        <w:t>限公司独立董事、江铃汽车股份有限公司独立董事、中国国际期货股份有限公司独立董事。</w:t>
      </w:r>
    </w:p>
    <w:p>
      <w:pPr>
        <w:spacing w:line="276" w:lineRule="auto" w:before="24"/>
        <w:ind w:left="592" w:right="996" w:firstLine="2"/>
        <w:jc w:val="left"/>
        <w:rPr>
          <w:rFonts w:ascii="宋体" w:hAnsi="宋体" w:cs="宋体" w:eastAsia="宋体" w:hint="default"/>
          <w:sz w:val="24"/>
          <w:szCs w:val="24"/>
        </w:rPr>
      </w:pPr>
      <w:r>
        <w:rPr>
          <w:rFonts w:ascii="宋体" w:hAnsi="宋体" w:cs="宋体" w:eastAsia="宋体" w:hint="default"/>
          <w:b/>
          <w:bCs/>
          <w:sz w:val="24"/>
          <w:szCs w:val="24"/>
        </w:rPr>
        <w:t>公司监事会共三名监事，具体情况如下：</w:t>
      </w:r>
      <w:r>
        <w:rPr>
          <w:rFonts w:ascii="宋体" w:hAnsi="宋体" w:cs="宋体" w:eastAsia="宋体" w:hint="default"/>
          <w:b/>
          <w:bCs/>
          <w:w w:val="99"/>
          <w:sz w:val="24"/>
          <w:szCs w:val="24"/>
        </w:rPr>
        <w:t> </w:t>
      </w:r>
      <w:r>
        <w:rPr>
          <w:rFonts w:ascii="宋体" w:hAnsi="宋体" w:cs="宋体" w:eastAsia="宋体" w:hint="default"/>
          <w:spacing w:val="-1"/>
          <w:sz w:val="24"/>
          <w:szCs w:val="24"/>
        </w:rPr>
        <w:t>樊娇娇女士，中国国籍，</w:t>
      </w:r>
      <w:r>
        <w:rPr>
          <w:rFonts w:ascii="Arial" w:hAnsi="Arial" w:cs="Arial" w:eastAsia="Arial" w:hint="default"/>
          <w:spacing w:val="-1"/>
          <w:sz w:val="24"/>
          <w:szCs w:val="24"/>
        </w:rPr>
        <w:t>1982</w:t>
      </w:r>
      <w:r>
        <w:rPr>
          <w:rFonts w:ascii="宋体" w:hAnsi="宋体" w:cs="宋体" w:eastAsia="宋体" w:hint="default"/>
          <w:spacing w:val="-1"/>
          <w:sz w:val="24"/>
          <w:szCs w:val="24"/>
        </w:rPr>
        <w:t>年</w:t>
      </w:r>
      <w:r>
        <w:rPr>
          <w:rFonts w:ascii="Arial" w:hAnsi="Arial" w:cs="Arial" w:eastAsia="Arial" w:hint="default"/>
          <w:spacing w:val="-1"/>
          <w:sz w:val="24"/>
          <w:szCs w:val="24"/>
        </w:rPr>
        <w:t>8</w:t>
      </w:r>
      <w:r>
        <w:rPr>
          <w:rFonts w:ascii="宋体" w:hAnsi="宋体" w:cs="宋体" w:eastAsia="宋体" w:hint="default"/>
          <w:spacing w:val="-1"/>
          <w:sz w:val="24"/>
          <w:szCs w:val="24"/>
        </w:rPr>
        <w:t>月出生，学士学位。</w:t>
      </w:r>
      <w:r>
        <w:rPr>
          <w:rFonts w:ascii="Arial" w:hAnsi="Arial" w:cs="Arial" w:eastAsia="Arial" w:hint="default"/>
          <w:spacing w:val="-1"/>
          <w:sz w:val="24"/>
          <w:szCs w:val="24"/>
        </w:rPr>
        <w:t>2007</w:t>
      </w:r>
      <w:r>
        <w:rPr>
          <w:rFonts w:ascii="宋体" w:hAnsi="宋体" w:cs="宋体" w:eastAsia="宋体" w:hint="default"/>
          <w:spacing w:val="-1"/>
          <w:sz w:val="24"/>
          <w:szCs w:val="24"/>
        </w:rPr>
        <w:t>年至</w:t>
      </w:r>
      <w:r>
        <w:rPr>
          <w:rFonts w:ascii="Arial" w:hAnsi="Arial" w:cs="Arial" w:eastAsia="Arial" w:hint="default"/>
          <w:spacing w:val="-1"/>
          <w:sz w:val="24"/>
          <w:szCs w:val="24"/>
        </w:rPr>
        <w:t>2016</w:t>
      </w:r>
      <w:r>
        <w:rPr>
          <w:rFonts w:ascii="宋体" w:hAnsi="宋体" w:cs="宋体" w:eastAsia="宋体" w:hint="default"/>
          <w:spacing w:val="-1"/>
          <w:sz w:val="24"/>
          <w:szCs w:val="24"/>
        </w:rPr>
        <w:t>年任公司监事，现</w:t>
      </w:r>
    </w:p>
    <w:p>
      <w:pPr>
        <w:pStyle w:val="Heading3"/>
        <w:spacing w:line="276" w:lineRule="auto"/>
        <w:ind w:left="592" w:right="996" w:hanging="480"/>
        <w:jc w:val="left"/>
      </w:pPr>
      <w:r>
        <w:rPr/>
        <w:t>任公司监事会主席，目前还担任公司党委书记、华宇信息行政部经理。 王珍女士，中国国籍，</w:t>
      </w:r>
      <w:r>
        <w:rPr>
          <w:rFonts w:ascii="Arial" w:hAnsi="Arial" w:cs="Arial" w:eastAsia="Arial" w:hint="default"/>
        </w:rPr>
        <w:t>1987</w:t>
      </w:r>
      <w:r>
        <w:rPr/>
        <w:t>年</w:t>
      </w:r>
      <w:r>
        <w:rPr>
          <w:rFonts w:ascii="Arial" w:hAnsi="Arial" w:cs="Arial" w:eastAsia="Arial" w:hint="default"/>
        </w:rPr>
        <w:t>1</w:t>
      </w:r>
      <w:r>
        <w:rPr/>
        <w:t>月出生，硕士学位。</w:t>
      </w:r>
      <w:r>
        <w:rPr>
          <w:rFonts w:ascii="Arial" w:hAnsi="Arial" w:cs="Arial" w:eastAsia="Arial" w:hint="default"/>
        </w:rPr>
        <w:t>2011</w:t>
      </w:r>
      <w:r>
        <w:rPr/>
        <w:t>年至</w:t>
      </w:r>
      <w:r>
        <w:rPr>
          <w:rFonts w:ascii="Arial" w:hAnsi="Arial" w:cs="Arial" w:eastAsia="Arial" w:hint="default"/>
        </w:rPr>
        <w:t>2013</w:t>
      </w:r>
      <w:r>
        <w:rPr/>
        <w:t>年就职于</w:t>
      </w:r>
      <w:r>
        <w:rPr>
          <w:rFonts w:ascii="Arial" w:hAnsi="Arial" w:cs="Arial" w:eastAsia="Arial" w:hint="default"/>
        </w:rPr>
        <w:t>K11</w:t>
      </w:r>
      <w:r>
        <w:rPr/>
        <w:t>购物艺</w:t>
      </w:r>
    </w:p>
    <w:p>
      <w:pPr>
        <w:pStyle w:val="Heading3"/>
        <w:spacing w:line="261" w:lineRule="auto"/>
        <w:ind w:left="592" w:right="996" w:hanging="480"/>
        <w:jc w:val="left"/>
        <w:rPr>
          <w:rFonts w:ascii="Arial" w:hAnsi="Arial" w:cs="Arial" w:eastAsia="Arial" w:hint="default"/>
        </w:rPr>
      </w:pPr>
      <w:r>
        <w:rPr/>
        <w:t>术中心，</w:t>
      </w:r>
      <w:r>
        <w:rPr>
          <w:rFonts w:ascii="Arial" w:hAnsi="Arial" w:cs="Arial" w:eastAsia="Arial" w:hint="default"/>
        </w:rPr>
        <w:t>2013</w:t>
      </w:r>
      <w:r>
        <w:rPr/>
        <w:t>年至今就职于华宇信息，担任培训经理。 </w:t>
      </w:r>
      <w:r>
        <w:rPr>
          <w:spacing w:val="-7"/>
        </w:rPr>
        <w:t>王月女士，</w:t>
      </w:r>
      <w:r>
        <w:rPr>
          <w:rFonts w:ascii="Arial" w:hAnsi="Arial" w:cs="Arial" w:eastAsia="Arial" w:hint="default"/>
          <w:spacing w:val="-7"/>
        </w:rPr>
        <w:t>1993</w:t>
      </w:r>
      <w:r>
        <w:rPr>
          <w:spacing w:val="-7"/>
        </w:rPr>
        <w:t>年</w:t>
      </w:r>
      <w:r>
        <w:rPr>
          <w:rFonts w:ascii="Arial" w:hAnsi="Arial" w:cs="Arial" w:eastAsia="Arial" w:hint="default"/>
          <w:spacing w:val="-7"/>
        </w:rPr>
        <w:t>6</w:t>
      </w:r>
      <w:r>
        <w:rPr>
          <w:spacing w:val="-7"/>
        </w:rPr>
        <w:t>月出生，</w:t>
      </w:r>
      <w:r>
        <w:rPr>
          <w:rFonts w:ascii="Arial" w:hAnsi="Arial" w:cs="Arial" w:eastAsia="Arial" w:hint="default"/>
          <w:spacing w:val="-7"/>
        </w:rPr>
        <w:t>2014</w:t>
      </w:r>
      <w:r>
        <w:rPr>
          <w:spacing w:val="-7"/>
        </w:rPr>
        <w:t>年毕业于河北经贸大学，获得学士学位。</w:t>
      </w:r>
      <w:r>
        <w:rPr>
          <w:rFonts w:ascii="Arial" w:hAnsi="Arial" w:cs="Arial" w:eastAsia="Arial" w:hint="default"/>
          <w:spacing w:val="-7"/>
        </w:rPr>
        <w:t>2014</w:t>
      </w:r>
      <w:r>
        <w:rPr>
          <w:spacing w:val="-7"/>
        </w:rPr>
        <w:t>年至</w:t>
      </w:r>
      <w:r>
        <w:rPr>
          <w:rFonts w:ascii="Arial" w:hAnsi="Arial" w:cs="Arial" w:eastAsia="Arial" w:hint="default"/>
          <w:spacing w:val="-7"/>
        </w:rPr>
        <w:t>2019</w:t>
      </w:r>
    </w:p>
    <w:p>
      <w:pPr>
        <w:pStyle w:val="Heading3"/>
        <w:spacing w:line="240" w:lineRule="auto" w:before="2"/>
        <w:ind w:right="996"/>
        <w:jc w:val="left"/>
      </w:pPr>
      <w:r>
        <w:rPr/>
        <w:t>年任华宇信息人事专员。</w:t>
      </w:r>
    </w:p>
    <w:p>
      <w:pPr>
        <w:spacing w:after="0" w:line="240" w:lineRule="auto"/>
        <w:jc w:val="left"/>
        <w:sectPr>
          <w:pgSz w:w="11910" w:h="16840"/>
          <w:pgMar w:header="878" w:footer="978" w:top="1100" w:bottom="1160" w:left="1020" w:right="0"/>
        </w:sectPr>
      </w:pPr>
    </w:p>
    <w:p>
      <w:pPr>
        <w:spacing w:line="240" w:lineRule="auto" w:before="6"/>
        <w:rPr>
          <w:rFonts w:ascii="宋体" w:hAnsi="宋体" w:cs="宋体" w:eastAsia="宋体" w:hint="default"/>
          <w:sz w:val="21"/>
          <w:szCs w:val="21"/>
        </w:rPr>
      </w:pPr>
    </w:p>
    <w:p>
      <w:pPr>
        <w:pStyle w:val="Heading3"/>
        <w:spacing w:line="273" w:lineRule="auto" w:before="26"/>
        <w:ind w:left="592" w:right="996" w:firstLine="2"/>
        <w:jc w:val="left"/>
      </w:pPr>
      <w:r>
        <w:rPr>
          <w:rFonts w:ascii="宋体" w:hAnsi="宋体" w:cs="宋体" w:eastAsia="宋体" w:hint="default"/>
          <w:b/>
          <w:bCs/>
        </w:rPr>
        <w:t>高级管理人员具体情况如下：</w:t>
      </w:r>
      <w:r>
        <w:rPr>
          <w:rFonts w:ascii="宋体" w:hAnsi="宋体" w:cs="宋体" w:eastAsia="宋体" w:hint="default"/>
          <w:b/>
          <w:bCs/>
          <w:w w:val="99"/>
        </w:rPr>
        <w:t> </w:t>
      </w:r>
      <w:r>
        <w:rPr/>
        <w:t>高级管理人员吕宾先生、赵晓明先生简历见上述董事会成员介绍。 邢立君女士，中国国籍，</w:t>
      </w:r>
      <w:r>
        <w:rPr>
          <w:rFonts w:ascii="Arial" w:hAnsi="Arial" w:cs="Arial" w:eastAsia="Arial" w:hint="default"/>
        </w:rPr>
        <w:t>1972</w:t>
      </w:r>
      <w:r>
        <w:rPr/>
        <w:t>年</w:t>
      </w:r>
      <w:r>
        <w:rPr>
          <w:rFonts w:ascii="Arial" w:hAnsi="Arial" w:cs="Arial" w:eastAsia="Arial" w:hint="default"/>
        </w:rPr>
        <w:t>1</w:t>
      </w:r>
      <w:r>
        <w:rPr/>
        <w:t>月出生，硕士学位。</w:t>
      </w:r>
      <w:r>
        <w:rPr>
          <w:rFonts w:ascii="Arial" w:hAnsi="Arial" w:cs="Arial" w:eastAsia="Arial" w:hint="default"/>
        </w:rPr>
        <w:t>2014</w:t>
      </w:r>
      <w:r>
        <w:rPr/>
        <w:t>年起任公司人力资源总监，</w:t>
      </w:r>
    </w:p>
    <w:p>
      <w:pPr>
        <w:pStyle w:val="Heading3"/>
        <w:spacing w:line="273" w:lineRule="auto"/>
        <w:ind w:left="592" w:right="996" w:hanging="480"/>
        <w:jc w:val="left"/>
        <w:rPr>
          <w:rFonts w:ascii="Arial" w:hAnsi="Arial" w:cs="Arial" w:eastAsia="Arial" w:hint="default"/>
        </w:rPr>
      </w:pPr>
      <w:r>
        <w:rPr/>
        <w:t>目前还兼任大连华宇董事。 王琰先生，中国国籍，</w:t>
      </w:r>
      <w:r>
        <w:rPr>
          <w:rFonts w:ascii="Arial" w:hAnsi="Arial" w:cs="Arial" w:eastAsia="Arial" w:hint="default"/>
        </w:rPr>
        <w:t>1972</w:t>
      </w:r>
      <w:r>
        <w:rPr/>
        <w:t>年</w:t>
      </w:r>
      <w:r>
        <w:rPr>
          <w:rFonts w:ascii="Arial" w:hAnsi="Arial" w:cs="Arial" w:eastAsia="Arial" w:hint="default"/>
        </w:rPr>
        <w:t>4</w:t>
      </w:r>
      <w:r>
        <w:rPr/>
        <w:t>月出生，学士学位，中国注册会计师非执业会员。</w:t>
      </w:r>
      <w:r>
        <w:rPr>
          <w:rFonts w:ascii="Arial" w:hAnsi="Arial" w:cs="Arial" w:eastAsia="Arial" w:hint="default"/>
        </w:rPr>
        <w:t>2014</w:t>
      </w:r>
    </w:p>
    <w:p>
      <w:pPr>
        <w:pStyle w:val="Heading3"/>
        <w:spacing w:line="259" w:lineRule="auto"/>
        <w:ind w:right="996"/>
        <w:jc w:val="left"/>
      </w:pPr>
      <w:r>
        <w:rPr>
          <w:spacing w:val="-1"/>
        </w:rPr>
        <w:t>年起任公司财务总监，</w:t>
      </w:r>
      <w:r>
        <w:rPr>
          <w:rFonts w:ascii="Arial" w:hAnsi="Arial" w:cs="Arial" w:eastAsia="Arial" w:hint="default"/>
          <w:spacing w:val="-1"/>
        </w:rPr>
        <w:t>2017</w:t>
      </w:r>
      <w:r>
        <w:rPr>
          <w:spacing w:val="-1"/>
        </w:rPr>
        <w:t>年</w:t>
      </w:r>
      <w:r>
        <w:rPr>
          <w:rFonts w:ascii="Arial" w:hAnsi="Arial" w:cs="Arial" w:eastAsia="Arial" w:hint="default"/>
          <w:spacing w:val="-1"/>
        </w:rPr>
        <w:t>9</w:t>
      </w:r>
      <w:r>
        <w:rPr>
          <w:spacing w:val="-1"/>
        </w:rPr>
        <w:t>月至今，任公司副总经理。目前还兼任华宇信息、华宇九品、</w:t>
      </w:r>
      <w:r>
        <w:rPr>
          <w:spacing w:val="-110"/>
        </w:rPr>
        <w:t> </w:t>
      </w:r>
      <w:r>
        <w:rPr>
          <w:spacing w:val="-110"/>
        </w:rPr>
      </w:r>
      <w:r>
        <w:rPr/>
        <w:t>华宇金信、广州华宇、万户网络、华宇元典、联奕科技董事，捷视飞通监事。</w:t>
      </w:r>
    </w:p>
    <w:p>
      <w:pPr>
        <w:pStyle w:val="Heading3"/>
        <w:spacing w:line="259" w:lineRule="auto" w:before="26"/>
        <w:ind w:right="1058" w:firstLine="480"/>
        <w:jc w:val="both"/>
      </w:pPr>
      <w:r>
        <w:rPr/>
        <w:t>韦光宇先生，中国国籍，</w:t>
      </w:r>
      <w:r>
        <w:rPr>
          <w:rFonts w:ascii="Arial" w:hAnsi="Arial" w:cs="Arial" w:eastAsia="Arial" w:hint="default"/>
        </w:rPr>
        <w:t>1980</w:t>
      </w:r>
      <w:r>
        <w:rPr/>
        <w:t>年</w:t>
      </w:r>
      <w:r>
        <w:rPr>
          <w:rFonts w:ascii="Arial" w:hAnsi="Arial" w:cs="Arial" w:eastAsia="Arial" w:hint="default"/>
        </w:rPr>
        <w:t>8</w:t>
      </w:r>
      <w:r>
        <w:rPr/>
        <w:t>月出生，硕士学位。</w:t>
      </w:r>
      <w:r>
        <w:rPr>
          <w:rFonts w:ascii="Arial" w:hAnsi="Arial" w:cs="Arial" w:eastAsia="Arial" w:hint="default"/>
        </w:rPr>
        <w:t>2002</w:t>
      </w:r>
      <w:r>
        <w:rPr/>
        <w:t>年至</w:t>
      </w:r>
      <w:r>
        <w:rPr>
          <w:rFonts w:ascii="Arial" w:hAnsi="Arial" w:cs="Arial" w:eastAsia="Arial" w:hint="default"/>
        </w:rPr>
        <w:t>2008</w:t>
      </w:r>
      <w:r>
        <w:rPr/>
        <w:t>年，就职于斯玛特 电子设备（北京）有限公司；</w:t>
      </w:r>
      <w:r>
        <w:rPr>
          <w:rFonts w:ascii="Arial" w:hAnsi="Arial" w:cs="Arial" w:eastAsia="Arial" w:hint="default"/>
        </w:rPr>
        <w:t>2010</w:t>
      </w:r>
      <w:r>
        <w:rPr/>
        <w:t>年至</w:t>
      </w:r>
      <w:r>
        <w:rPr>
          <w:rFonts w:ascii="Arial" w:hAnsi="Arial" w:cs="Arial" w:eastAsia="Arial" w:hint="default"/>
        </w:rPr>
        <w:t>2014</w:t>
      </w:r>
      <w:r>
        <w:rPr/>
        <w:t>年，就职于北京神州数码供应链服务有限公司； </w:t>
      </w:r>
      <w:r>
        <w:rPr>
          <w:rFonts w:ascii="Arial" w:hAnsi="Arial" w:cs="Arial" w:eastAsia="Arial" w:hint="default"/>
        </w:rPr>
        <w:t>2014</w:t>
      </w:r>
      <w:r>
        <w:rPr/>
        <w:t>年</w:t>
      </w:r>
      <w:r>
        <w:rPr>
          <w:rFonts w:ascii="Arial" w:hAnsi="Arial" w:cs="Arial" w:eastAsia="Arial" w:hint="default"/>
        </w:rPr>
        <w:t>3</w:t>
      </w:r>
      <w:r>
        <w:rPr/>
        <w:t>月至</w:t>
      </w:r>
      <w:r>
        <w:rPr>
          <w:rFonts w:ascii="Arial" w:hAnsi="Arial" w:cs="Arial" w:eastAsia="Arial" w:hint="default"/>
        </w:rPr>
        <w:t>2016</w:t>
      </w:r>
      <w:r>
        <w:rPr/>
        <w:t>年任公司总经理助理，</w:t>
      </w:r>
      <w:r>
        <w:rPr>
          <w:rFonts w:ascii="Arial" w:hAnsi="Arial" w:cs="Arial" w:eastAsia="Arial" w:hint="default"/>
        </w:rPr>
        <w:t>2016</w:t>
      </w:r>
      <w:r>
        <w:rPr/>
        <w:t>年</w:t>
      </w:r>
      <w:r>
        <w:rPr>
          <w:rFonts w:ascii="Arial" w:hAnsi="Arial" w:cs="Arial" w:eastAsia="Arial" w:hint="default"/>
        </w:rPr>
        <w:t>7</w:t>
      </w:r>
      <w:r>
        <w:rPr/>
        <w:t>月至今任公司董事会秘书，目前兼任华宇</w:t>
      </w:r>
      <w:r>
        <w:rPr>
          <w:spacing w:val="-46"/>
        </w:rPr>
        <w:t> </w:t>
      </w:r>
      <w:r>
        <w:rPr>
          <w:spacing w:val="-46"/>
        </w:rPr>
      </w:r>
      <w:r>
        <w:rPr/>
        <w:t>九品董事。</w:t>
      </w:r>
    </w:p>
    <w:p>
      <w:pPr>
        <w:pStyle w:val="Heading3"/>
        <w:spacing w:line="240" w:lineRule="auto" w:before="43"/>
        <w:ind w:right="996"/>
        <w:jc w:val="left"/>
      </w:pPr>
      <w:r>
        <w:rPr/>
        <w:t>在股东单位任职情况</w:t>
      </w:r>
    </w:p>
    <w:p>
      <w:pPr>
        <w:pStyle w:val="Heading3"/>
        <w:spacing w:line="256" w:lineRule="auto" w:before="36"/>
        <w:ind w:right="859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 在其他单位任职情况</w:t>
      </w:r>
    </w:p>
    <w:p>
      <w:pPr>
        <w:pStyle w:val="Heading3"/>
        <w:spacing w:line="240" w:lineRule="auto" w:before="22"/>
        <w:ind w:right="996"/>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6"/>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960"/>
        <w:gridCol w:w="3543"/>
        <w:gridCol w:w="993"/>
        <w:gridCol w:w="1984"/>
        <w:gridCol w:w="851"/>
        <w:gridCol w:w="1237"/>
      </w:tblGrid>
      <w:tr>
        <w:trPr>
          <w:trHeight w:val="946"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0"/>
              <w:ind w:left="265" w:right="56" w:hanging="212"/>
              <w:jc w:val="left"/>
              <w:rPr>
                <w:rFonts w:ascii="宋体" w:hAnsi="宋体" w:cs="宋体" w:eastAsia="宋体" w:hint="default"/>
                <w:sz w:val="21"/>
                <w:szCs w:val="21"/>
              </w:rPr>
            </w:pPr>
            <w:r>
              <w:rPr>
                <w:rFonts w:ascii="宋体" w:hAnsi="宋体" w:cs="宋体" w:eastAsia="宋体" w:hint="default"/>
                <w:sz w:val="21"/>
                <w:szCs w:val="21"/>
              </w:rPr>
              <w:t>任职人员</w:t>
            </w:r>
            <w:r>
              <w:rPr>
                <w:rFonts w:ascii="宋体" w:hAnsi="宋体" w:cs="宋体" w:eastAsia="宋体" w:hint="default"/>
                <w:w w:val="99"/>
                <w:sz w:val="21"/>
                <w:szCs w:val="21"/>
              </w:rPr>
              <w:t> </w:t>
            </w:r>
            <w:r>
              <w:rPr>
                <w:rFonts w:ascii="宋体" w:hAnsi="宋体" w:cs="宋体" w:eastAsia="宋体" w:hint="default"/>
                <w:sz w:val="21"/>
                <w:szCs w:val="21"/>
              </w:rPr>
              <w:t>姓名</w:t>
            </w:r>
          </w:p>
        </w:tc>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136"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left="70" w:right="0"/>
              <w:jc w:val="left"/>
              <w:rPr>
                <w:rFonts w:ascii="宋体" w:hAnsi="宋体" w:cs="宋体" w:eastAsia="宋体" w:hint="default"/>
                <w:sz w:val="21"/>
                <w:szCs w:val="21"/>
              </w:rPr>
            </w:pPr>
            <w:r>
              <w:rPr>
                <w:rFonts w:ascii="宋体" w:hAnsi="宋体" w:cs="宋体" w:eastAsia="宋体" w:hint="default"/>
                <w:sz w:val="21"/>
                <w:szCs w:val="21"/>
              </w:rPr>
              <w:t>在其他单</w:t>
            </w:r>
          </w:p>
          <w:p>
            <w:pPr>
              <w:pStyle w:val="TableParagraph"/>
              <w:spacing w:line="273" w:lineRule="auto" w:before="37"/>
              <w:ind w:left="281" w:right="73" w:hanging="212"/>
              <w:jc w:val="left"/>
              <w:rPr>
                <w:rFonts w:ascii="宋体" w:hAnsi="宋体" w:cs="宋体" w:eastAsia="宋体" w:hint="default"/>
                <w:sz w:val="21"/>
                <w:szCs w:val="21"/>
              </w:rPr>
            </w:pPr>
            <w:r>
              <w:rPr>
                <w:rFonts w:ascii="宋体" w:hAnsi="宋体" w:cs="宋体" w:eastAsia="宋体" w:hint="default"/>
                <w:sz w:val="21"/>
                <w:szCs w:val="21"/>
              </w:rPr>
              <w:t>位担任的</w:t>
            </w:r>
            <w:r>
              <w:rPr>
                <w:rFonts w:ascii="宋体" w:hAnsi="宋体" w:cs="宋体" w:eastAsia="宋体" w:hint="default"/>
                <w:w w:val="99"/>
                <w:sz w:val="21"/>
                <w:szCs w:val="21"/>
              </w:rPr>
              <w:t> </w:t>
            </w:r>
            <w:r>
              <w:rPr>
                <w:rFonts w:ascii="宋体" w:hAnsi="宋体" w:cs="宋体" w:eastAsia="宋体" w:hint="default"/>
                <w:sz w:val="21"/>
                <w:szCs w:val="21"/>
              </w:rPr>
              <w:t>职务</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0"/>
              <w:ind w:left="105" w:right="105"/>
              <w:jc w:val="left"/>
              <w:rPr>
                <w:rFonts w:ascii="宋体" w:hAnsi="宋体" w:cs="宋体" w:eastAsia="宋体" w:hint="default"/>
                <w:sz w:val="21"/>
                <w:szCs w:val="21"/>
              </w:rPr>
            </w:pPr>
            <w:r>
              <w:rPr>
                <w:rFonts w:ascii="宋体" w:hAnsi="宋体" w:cs="宋体" w:eastAsia="宋体" w:hint="default"/>
                <w:sz w:val="21"/>
                <w:szCs w:val="21"/>
              </w:rPr>
              <w:t>任期终</w:t>
            </w:r>
            <w:r>
              <w:rPr>
                <w:rFonts w:ascii="宋体" w:hAnsi="宋体" w:cs="宋体" w:eastAsia="宋体" w:hint="default"/>
                <w:w w:val="99"/>
                <w:sz w:val="21"/>
                <w:szCs w:val="21"/>
              </w:rPr>
              <w:t> </w:t>
            </w:r>
            <w:r>
              <w:rPr>
                <w:rFonts w:ascii="宋体" w:hAnsi="宋体" w:cs="宋体" w:eastAsia="宋体" w:hint="default"/>
                <w:sz w:val="21"/>
                <w:szCs w:val="21"/>
              </w:rPr>
              <w:t>止日期</w:t>
            </w:r>
          </w:p>
        </w:tc>
        <w:tc>
          <w:tcPr>
            <w:tcW w:w="1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left="86" w:right="0"/>
              <w:jc w:val="left"/>
              <w:rPr>
                <w:rFonts w:ascii="宋体" w:hAnsi="宋体" w:cs="宋体" w:eastAsia="宋体" w:hint="default"/>
                <w:sz w:val="21"/>
                <w:szCs w:val="21"/>
              </w:rPr>
            </w:pPr>
            <w:r>
              <w:rPr>
                <w:rFonts w:ascii="宋体" w:hAnsi="宋体" w:cs="宋体" w:eastAsia="宋体" w:hint="default"/>
                <w:sz w:val="21"/>
                <w:szCs w:val="21"/>
              </w:rPr>
              <w:t>在其他单位</w:t>
            </w:r>
          </w:p>
          <w:p>
            <w:pPr>
              <w:pStyle w:val="TableParagraph"/>
              <w:spacing w:line="273" w:lineRule="auto" w:before="37"/>
              <w:ind w:left="298" w:right="89" w:hanging="212"/>
              <w:jc w:val="left"/>
              <w:rPr>
                <w:rFonts w:ascii="宋体" w:hAnsi="宋体" w:cs="宋体" w:eastAsia="宋体" w:hint="default"/>
                <w:sz w:val="21"/>
                <w:szCs w:val="21"/>
              </w:rPr>
            </w:pPr>
            <w:r>
              <w:rPr>
                <w:rFonts w:ascii="宋体" w:hAnsi="宋体" w:cs="宋体" w:eastAsia="宋体" w:hint="default"/>
                <w:sz w:val="21"/>
                <w:szCs w:val="21"/>
              </w:rPr>
              <w:t>是否领取报</w:t>
            </w:r>
            <w:r>
              <w:rPr>
                <w:rFonts w:ascii="宋体" w:hAnsi="宋体" w:cs="宋体" w:eastAsia="宋体" w:hint="default"/>
                <w:w w:val="99"/>
                <w:sz w:val="21"/>
                <w:szCs w:val="21"/>
              </w:rPr>
              <w:t> </w:t>
            </w:r>
            <w:r>
              <w:rPr>
                <w:rFonts w:ascii="宋体" w:hAnsi="宋体" w:cs="宋体" w:eastAsia="宋体" w:hint="default"/>
                <w:sz w:val="21"/>
                <w:szCs w:val="21"/>
              </w:rPr>
              <w:t>酬津贴</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邵学</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北京华宇科创投资有限公司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center"/>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10</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 w:right="0"/>
              <w:jc w:val="center"/>
              <w:rPr>
                <w:rFonts w:ascii="宋体" w:hAnsi="宋体" w:cs="宋体" w:eastAsia="宋体" w:hint="default"/>
                <w:sz w:val="21"/>
                <w:szCs w:val="21"/>
              </w:rPr>
            </w:pPr>
            <w:r>
              <w:rPr>
                <w:rFonts w:ascii="宋体"/>
                <w:w w:val="99"/>
                <w:sz w:val="21"/>
              </w:rPr>
              <w:t>/</w:t>
            </w:r>
            <w:r>
              <w:rPr>
                <w:rFonts w:ascii="宋体"/>
                <w:sz w:val="21"/>
              </w:rPr>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吕宾</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北京宗弈远承文化传播有限责任公司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center"/>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01</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01</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21"/>
                <w:szCs w:val="21"/>
              </w:rPr>
            </w:pPr>
            <w:r>
              <w:rPr>
                <w:rFonts w:ascii="宋体"/>
                <w:w w:val="99"/>
                <w:sz w:val="21"/>
              </w:rPr>
              <w:t>/</w:t>
            </w:r>
            <w:r>
              <w:rPr>
                <w:rFonts w:ascii="宋体"/>
                <w:sz w:val="21"/>
              </w:rPr>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吕宾</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北京寰宇医道科技有限公司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center"/>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01</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01</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 w:right="0"/>
              <w:jc w:val="center"/>
              <w:rPr>
                <w:rFonts w:ascii="宋体" w:hAnsi="宋体" w:cs="宋体" w:eastAsia="宋体" w:hint="default"/>
                <w:sz w:val="21"/>
                <w:szCs w:val="21"/>
              </w:rPr>
            </w:pPr>
            <w:r>
              <w:rPr>
                <w:rFonts w:ascii="宋体"/>
                <w:w w:val="99"/>
                <w:sz w:val="21"/>
              </w:rPr>
              <w:t>/</w:t>
            </w:r>
            <w:r>
              <w:rPr>
                <w:rFonts w:ascii="宋体"/>
                <w:sz w:val="21"/>
              </w:rPr>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甘培忠</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北京大学</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教授</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center"/>
              <w:rPr>
                <w:rFonts w:ascii="宋体" w:hAnsi="宋体" w:cs="宋体" w:eastAsia="宋体" w:hint="default"/>
                <w:sz w:val="21"/>
                <w:szCs w:val="21"/>
              </w:rPr>
            </w:pPr>
            <w:r>
              <w:rPr>
                <w:rFonts w:ascii="Arial" w:hAnsi="Arial" w:cs="Arial" w:eastAsia="Arial" w:hint="default"/>
                <w:sz w:val="21"/>
                <w:szCs w:val="21"/>
              </w:rPr>
              <w:t>1983</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01</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01</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21"/>
                <w:szCs w:val="21"/>
              </w:rPr>
            </w:pPr>
            <w:r>
              <w:rPr>
                <w:rFonts w:ascii="宋体"/>
                <w:w w:val="99"/>
                <w:sz w:val="21"/>
              </w:rPr>
              <w:t>/</w:t>
            </w:r>
            <w:r>
              <w:rPr>
                <w:rFonts w:ascii="宋体"/>
                <w:sz w:val="21"/>
              </w:rPr>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甘培忠</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北京东方通科技股份有限公司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center"/>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04</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01</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 w:right="0"/>
              <w:jc w:val="center"/>
              <w:rPr>
                <w:rFonts w:ascii="宋体" w:hAnsi="宋体" w:cs="宋体" w:eastAsia="宋体" w:hint="default"/>
                <w:sz w:val="21"/>
                <w:szCs w:val="21"/>
              </w:rPr>
            </w:pPr>
            <w:r>
              <w:rPr>
                <w:rFonts w:ascii="宋体"/>
                <w:w w:val="99"/>
                <w:sz w:val="21"/>
              </w:rPr>
              <w:t>/</w:t>
            </w:r>
            <w:r>
              <w:rPr>
                <w:rFonts w:ascii="宋体"/>
                <w:sz w:val="21"/>
              </w:rPr>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
              <w:jc w:val="center"/>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甘培忠</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苏州道森钻采设备股份有限公司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center"/>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01</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01</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21"/>
                <w:szCs w:val="21"/>
              </w:rPr>
            </w:pPr>
            <w:r>
              <w:rPr>
                <w:rFonts w:ascii="宋体"/>
                <w:w w:val="99"/>
                <w:sz w:val="21"/>
              </w:rPr>
              <w:t>/</w:t>
            </w:r>
            <w:r>
              <w:rPr>
                <w:rFonts w:ascii="宋体"/>
                <w:sz w:val="21"/>
              </w:rPr>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甘培忠</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中国邮政储蓄银行股份有限公司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center"/>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05</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01</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 w:right="0"/>
              <w:jc w:val="center"/>
              <w:rPr>
                <w:rFonts w:ascii="宋体" w:hAnsi="宋体" w:cs="宋体" w:eastAsia="宋体" w:hint="default"/>
                <w:sz w:val="21"/>
                <w:szCs w:val="21"/>
              </w:rPr>
            </w:pPr>
            <w:r>
              <w:rPr>
                <w:rFonts w:ascii="宋体"/>
                <w:w w:val="99"/>
                <w:sz w:val="21"/>
              </w:rPr>
              <w:t>/</w:t>
            </w:r>
            <w:r>
              <w:rPr>
                <w:rFonts w:ascii="宋体"/>
                <w:sz w:val="21"/>
              </w:rPr>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
              <w:jc w:val="center"/>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甘培忠</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金徽酒股份有限公司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7"/>
              <w:jc w:val="center"/>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05</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pacing w:val="-6"/>
                <w:sz w:val="21"/>
                <w:szCs w:val="21"/>
              </w:rPr>
              <w:t>11</w:t>
            </w:r>
            <w:r>
              <w:rPr>
                <w:rFonts w:ascii="Arial" w:hAnsi="Arial" w:cs="Arial" w:eastAsia="Arial" w:hint="default"/>
                <w:spacing w:val="-11"/>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21"/>
                <w:szCs w:val="21"/>
              </w:rPr>
            </w:pPr>
            <w:r>
              <w:rPr>
                <w:rFonts w:ascii="宋体"/>
                <w:w w:val="99"/>
                <w:sz w:val="21"/>
              </w:rPr>
              <w:t>/</w:t>
            </w:r>
            <w:r>
              <w:rPr>
                <w:rFonts w:ascii="宋体"/>
                <w:sz w:val="21"/>
              </w:rPr>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王琨</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清华大学</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副教授</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01</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01</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 w:right="0"/>
              <w:jc w:val="center"/>
              <w:rPr>
                <w:rFonts w:ascii="宋体" w:hAnsi="宋体" w:cs="宋体" w:eastAsia="宋体" w:hint="default"/>
                <w:sz w:val="21"/>
                <w:szCs w:val="21"/>
              </w:rPr>
            </w:pPr>
            <w:r>
              <w:rPr>
                <w:rFonts w:ascii="宋体"/>
                <w:w w:val="99"/>
                <w:sz w:val="21"/>
              </w:rPr>
              <w:t>/</w:t>
            </w:r>
            <w:r>
              <w:rPr>
                <w:rFonts w:ascii="宋体"/>
                <w:sz w:val="21"/>
              </w:rPr>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
              <w:jc w:val="center"/>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王琨</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积成电子股份有限公司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center"/>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01</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01</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21"/>
                <w:szCs w:val="21"/>
              </w:rPr>
            </w:pPr>
            <w:r>
              <w:rPr>
                <w:rFonts w:ascii="宋体"/>
                <w:w w:val="99"/>
                <w:sz w:val="21"/>
              </w:rPr>
              <w:t>/</w:t>
            </w:r>
            <w:r>
              <w:rPr>
                <w:rFonts w:ascii="宋体"/>
                <w:sz w:val="21"/>
              </w:rPr>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王琨</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江铃汽车股份有限公司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01</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01</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 w:right="0"/>
              <w:jc w:val="center"/>
              <w:rPr>
                <w:rFonts w:ascii="宋体" w:hAnsi="宋体" w:cs="宋体" w:eastAsia="宋体" w:hint="default"/>
                <w:sz w:val="21"/>
                <w:szCs w:val="21"/>
              </w:rPr>
            </w:pPr>
            <w:r>
              <w:rPr>
                <w:rFonts w:ascii="宋体"/>
                <w:w w:val="99"/>
                <w:sz w:val="21"/>
              </w:rPr>
              <w:t>/</w:t>
            </w:r>
            <w:r>
              <w:rPr>
                <w:rFonts w:ascii="宋体"/>
                <w:sz w:val="21"/>
              </w:rPr>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
              <w:jc w:val="center"/>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王琨</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中国国际期货股份有限公司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center"/>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05</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01</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21"/>
                <w:szCs w:val="21"/>
              </w:rPr>
            </w:pPr>
            <w:r>
              <w:rPr>
                <w:rFonts w:ascii="宋体"/>
                <w:w w:val="99"/>
                <w:sz w:val="21"/>
              </w:rPr>
              <w:t>/</w:t>
            </w:r>
            <w:r>
              <w:rPr>
                <w:rFonts w:ascii="宋体"/>
                <w:sz w:val="21"/>
              </w:rPr>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朱恒源</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清华大学</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副教授</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center"/>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01</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01</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 w:right="0"/>
              <w:jc w:val="center"/>
              <w:rPr>
                <w:rFonts w:ascii="宋体" w:hAnsi="宋体" w:cs="宋体" w:eastAsia="宋体" w:hint="default"/>
                <w:sz w:val="21"/>
                <w:szCs w:val="21"/>
              </w:rPr>
            </w:pPr>
            <w:r>
              <w:rPr>
                <w:rFonts w:ascii="宋体"/>
                <w:w w:val="99"/>
                <w:sz w:val="21"/>
              </w:rPr>
              <w:t>/</w:t>
            </w:r>
            <w:r>
              <w:rPr>
                <w:rFonts w:ascii="宋体"/>
                <w:sz w:val="21"/>
              </w:rPr>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
              <w:jc w:val="center"/>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朱恒源</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中国全聚德（集团）股份有限公司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center"/>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01</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01</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21"/>
                <w:szCs w:val="21"/>
              </w:rPr>
            </w:pPr>
            <w:r>
              <w:rPr>
                <w:rFonts w:ascii="宋体"/>
                <w:w w:val="99"/>
                <w:sz w:val="21"/>
              </w:rPr>
              <w:t>/</w:t>
            </w:r>
            <w:r>
              <w:rPr>
                <w:rFonts w:ascii="宋体"/>
                <w:sz w:val="21"/>
              </w:rPr>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朱恒源</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深圳艾勒可科技有限公司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center"/>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06</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06</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 w:right="0"/>
              <w:jc w:val="center"/>
              <w:rPr>
                <w:rFonts w:ascii="宋体" w:hAnsi="宋体" w:cs="宋体" w:eastAsia="宋体" w:hint="default"/>
                <w:sz w:val="21"/>
                <w:szCs w:val="21"/>
              </w:rPr>
            </w:pPr>
            <w:r>
              <w:rPr>
                <w:rFonts w:ascii="宋体"/>
                <w:w w:val="99"/>
                <w:sz w:val="21"/>
              </w:rPr>
              <w:t>/</w:t>
            </w:r>
            <w:r>
              <w:rPr>
                <w:rFonts w:ascii="宋体"/>
                <w:sz w:val="21"/>
              </w:rPr>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
              <w:jc w:val="center"/>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朱恒源</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海南京粮控股股份有限公司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center"/>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01</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01</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21"/>
                <w:szCs w:val="21"/>
              </w:rPr>
            </w:pPr>
            <w:r>
              <w:rPr>
                <w:rFonts w:ascii="宋体"/>
                <w:w w:val="99"/>
                <w:sz w:val="21"/>
              </w:rPr>
              <w:t>/</w:t>
            </w:r>
            <w:r>
              <w:rPr>
                <w:rFonts w:ascii="宋体"/>
                <w:sz w:val="21"/>
              </w:rPr>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322" w:hRule="exact"/>
        </w:trPr>
        <w:tc>
          <w:tcPr>
            <w:tcW w:w="549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40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bl>
    <w:p>
      <w:pPr>
        <w:pStyle w:val="Heading3"/>
        <w:spacing w:line="240" w:lineRule="auto" w:before="1"/>
        <w:ind w:right="996"/>
        <w:jc w:val="left"/>
      </w:pPr>
      <w:r>
        <w:rPr/>
        <w:t>公司现任及报告期内离任董事、监事和高级管理人员近三年证券监管机构处罚的情况</w:t>
      </w:r>
    </w:p>
    <w:p>
      <w:pPr>
        <w:pStyle w:val="Heading3"/>
        <w:spacing w:line="240" w:lineRule="auto" w:before="38"/>
        <w:ind w:right="996"/>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after="0" w:line="240" w:lineRule="auto"/>
        <w:jc w:val="left"/>
        <w:sectPr>
          <w:pgSz w:w="11910" w:h="16840"/>
          <w:pgMar w:header="878" w:footer="978" w:top="1100" w:bottom="1160" w:left="1020" w:right="0"/>
        </w:sectPr>
      </w:pPr>
    </w:p>
    <w:p>
      <w:pPr>
        <w:spacing w:line="240" w:lineRule="auto" w:before="10"/>
        <w:rPr>
          <w:rFonts w:ascii="宋体" w:hAnsi="宋体" w:cs="宋体" w:eastAsia="宋体" w:hint="default"/>
          <w:sz w:val="19"/>
          <w:szCs w:val="19"/>
        </w:rPr>
      </w:pPr>
    </w:p>
    <w:p>
      <w:pPr>
        <w:pStyle w:val="Heading2"/>
        <w:spacing w:line="240" w:lineRule="auto"/>
        <w:ind w:right="996"/>
        <w:jc w:val="left"/>
        <w:rPr>
          <w:b w:val="0"/>
          <w:bCs w:val="0"/>
        </w:rPr>
      </w:pPr>
      <w:bookmarkStart w:name="四、董事、监事、高级管理人员报酬情况" w:id="122"/>
      <w:bookmarkEnd w:id="122"/>
      <w:r>
        <w:rPr>
          <w:b w:val="0"/>
          <w:bCs w:val="0"/>
        </w:rPr>
      </w:r>
      <w:r>
        <w:rPr/>
        <w:t>四、董事、监事、高级管理人员报酬情况</w:t>
      </w:r>
      <w:r>
        <w:rPr>
          <w:b w:val="0"/>
          <w:bCs w:val="0"/>
        </w:rPr>
      </w:r>
    </w:p>
    <w:p>
      <w:pPr>
        <w:spacing w:line="240" w:lineRule="auto" w:before="10"/>
        <w:rPr>
          <w:rFonts w:ascii="宋体" w:hAnsi="宋体" w:cs="宋体" w:eastAsia="宋体" w:hint="default"/>
          <w:b/>
          <w:bCs/>
          <w:sz w:val="20"/>
          <w:szCs w:val="20"/>
        </w:rPr>
      </w:pPr>
    </w:p>
    <w:p>
      <w:pPr>
        <w:pStyle w:val="Heading3"/>
        <w:spacing w:line="240" w:lineRule="auto" w:before="26"/>
        <w:ind w:right="996"/>
        <w:jc w:val="left"/>
      </w:pPr>
      <w:r>
        <w:rPr/>
        <w:t>董事、监事、高级管理人员报酬的决策程序、确定依据、实际支付情况</w:t>
      </w:r>
    </w:p>
    <w:p>
      <w:pPr>
        <w:pStyle w:val="BodyText"/>
        <w:spacing w:line="240" w:lineRule="auto" w:before="90"/>
        <w:ind w:left="0" w:right="1067"/>
        <w:jc w:val="right"/>
      </w:pPr>
      <w:r>
        <w:rPr/>
        <w:pict>
          <v:shape style="position:absolute;margin-left:56.220001pt;margin-top:3.763696pt;width:481.85pt;height:163pt;mso-position-horizontal-relative:page;mso-position-vertical-relative:paragraph;z-index:2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40"/>
                    <w:gridCol w:w="8068"/>
                  </w:tblGrid>
                  <w:tr>
                    <w:trPr>
                      <w:trHeight w:val="976" w:hRule="exact"/>
                    </w:trPr>
                    <w:tc>
                      <w:tcPr>
                        <w:tcW w:w="1540"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1" w:right="0"/>
                          <w:jc w:val="both"/>
                          <w:rPr>
                            <w:rFonts w:ascii="宋体" w:hAnsi="宋体" w:cs="宋体" w:eastAsia="宋体" w:hint="default"/>
                            <w:sz w:val="21"/>
                            <w:szCs w:val="21"/>
                          </w:rPr>
                        </w:pPr>
                        <w:r>
                          <w:rPr>
                            <w:rFonts w:ascii="宋体" w:hAnsi="宋体" w:cs="宋体" w:eastAsia="宋体" w:hint="default"/>
                            <w:spacing w:val="7"/>
                            <w:sz w:val="21"/>
                            <w:szCs w:val="21"/>
                          </w:rPr>
                          <w:t>董事、监事、高</w:t>
                        </w:r>
                        <w:r>
                          <w:rPr>
                            <w:rFonts w:ascii="宋体" w:hAnsi="宋体" w:cs="宋体" w:eastAsia="宋体" w:hint="default"/>
                            <w:w w:val="99"/>
                            <w:sz w:val="21"/>
                            <w:szCs w:val="21"/>
                          </w:rPr>
                          <w:t> </w:t>
                        </w:r>
                        <w:r>
                          <w:rPr>
                            <w:rFonts w:ascii="宋体" w:hAnsi="宋体" w:cs="宋体" w:eastAsia="宋体" w:hint="default"/>
                            <w:spacing w:val="7"/>
                            <w:sz w:val="21"/>
                            <w:szCs w:val="21"/>
                          </w:rPr>
                          <w:t>级管理人员报酬</w:t>
                        </w:r>
                        <w:r>
                          <w:rPr>
                            <w:rFonts w:ascii="宋体" w:hAnsi="宋体" w:cs="宋体" w:eastAsia="宋体" w:hint="default"/>
                            <w:w w:val="99"/>
                            <w:sz w:val="21"/>
                            <w:szCs w:val="21"/>
                          </w:rPr>
                          <w:t> </w:t>
                        </w:r>
                        <w:r>
                          <w:rPr>
                            <w:rFonts w:ascii="宋体" w:hAnsi="宋体" w:cs="宋体" w:eastAsia="宋体" w:hint="default"/>
                            <w:sz w:val="21"/>
                            <w:szCs w:val="21"/>
                          </w:rPr>
                          <w:t>的决策程序</w:t>
                        </w:r>
                      </w:p>
                    </w:tc>
                    <w:tc>
                      <w:tcPr>
                        <w:tcW w:w="8068"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1" w:right="0"/>
                          <w:jc w:val="left"/>
                          <w:rPr>
                            <w:rFonts w:ascii="宋体" w:hAnsi="宋体" w:cs="宋体" w:eastAsia="宋体" w:hint="default"/>
                            <w:sz w:val="21"/>
                            <w:szCs w:val="21"/>
                          </w:rPr>
                        </w:pPr>
                        <w:r>
                          <w:rPr>
                            <w:rFonts w:ascii="宋体" w:hAnsi="宋体" w:cs="宋体" w:eastAsia="宋体" w:hint="default"/>
                            <w:sz w:val="21"/>
                            <w:szCs w:val="21"/>
                          </w:rPr>
                          <w:t>公司高管薪酬由董事会薪酬与考核委员会审核，并提交董事会审议决定。公司董事薪酬</w:t>
                        </w:r>
                        <w:r>
                          <w:rPr>
                            <w:rFonts w:ascii="宋体" w:hAnsi="宋体" w:cs="宋体" w:eastAsia="宋体" w:hint="default"/>
                            <w:w w:val="99"/>
                            <w:sz w:val="21"/>
                            <w:szCs w:val="21"/>
                          </w:rPr>
                          <w:t> </w:t>
                        </w:r>
                        <w:r>
                          <w:rPr>
                            <w:rFonts w:ascii="宋体" w:hAnsi="宋体" w:cs="宋体" w:eastAsia="宋体" w:hint="default"/>
                            <w:spacing w:val="2"/>
                            <w:sz w:val="21"/>
                            <w:szCs w:val="21"/>
                          </w:rPr>
                          <w:t>独立董事津贴由董事会审议，并提交股东大会审议决定。公司监事不在公司领取薪酬。</w:t>
                        </w:r>
                        <w:r>
                          <w:rPr>
                            <w:rFonts w:ascii="宋体" w:hAnsi="宋体" w:cs="宋体" w:eastAsia="宋体" w:hint="default"/>
                            <w:w w:val="99"/>
                            <w:sz w:val="21"/>
                            <w:szCs w:val="21"/>
                          </w:rPr>
                          <w:t> </w:t>
                        </w:r>
                        <w:r>
                          <w:rPr>
                            <w:rFonts w:ascii="宋体" w:hAnsi="宋体" w:cs="宋体" w:eastAsia="宋体" w:hint="default"/>
                            <w:sz w:val="21"/>
                            <w:szCs w:val="21"/>
                          </w:rPr>
                          <w:t>公司内部董事、监事按公司担任的职务发放薪酬。</w:t>
                        </w:r>
                      </w:p>
                    </w:tc>
                  </w:tr>
                  <w:tr>
                    <w:trPr>
                      <w:trHeight w:val="332" w:hRule="exact"/>
                    </w:trPr>
                    <w:tc>
                      <w:tcPr>
                        <w:tcW w:w="1540" w:type="dxa"/>
                        <w:tcBorders>
                          <w:top w:val="single" w:sz="8" w:space="0" w:color="000000"/>
                          <w:left w:val="single" w:sz="8" w:space="0" w:color="000000"/>
                          <w:bottom w:val="nil" w:sz="6" w:space="0" w:color="auto"/>
                          <w:right w:val="single" w:sz="8"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pacing w:val="7"/>
                            <w:sz w:val="21"/>
                            <w:szCs w:val="21"/>
                          </w:rPr>
                          <w:t>董事、监事、高</w:t>
                        </w:r>
                      </w:p>
                    </w:tc>
                    <w:tc>
                      <w:tcPr>
                        <w:tcW w:w="8068" w:type="dxa"/>
                        <w:tcBorders>
                          <w:top w:val="single" w:sz="8" w:space="0" w:color="000000"/>
                          <w:left w:val="single" w:sz="8" w:space="0" w:color="000000"/>
                          <w:bottom w:val="nil" w:sz="6" w:space="0" w:color="auto"/>
                          <w:right w:val="single" w:sz="8" w:space="0" w:color="000000"/>
                        </w:tcBorders>
                      </w:tcPr>
                      <w:p>
                        <w:pPr>
                          <w:pStyle w:val="TableParagraph"/>
                          <w:spacing w:line="271" w:lineRule="exact"/>
                          <w:ind w:left="-1" w:right="0"/>
                          <w:jc w:val="left"/>
                          <w:rPr>
                            <w:rFonts w:ascii="宋体" w:hAnsi="宋体" w:cs="宋体" w:eastAsia="宋体" w:hint="default"/>
                            <w:sz w:val="21"/>
                            <w:szCs w:val="21"/>
                          </w:rPr>
                        </w:pPr>
                        <w:r>
                          <w:rPr>
                            <w:rFonts w:ascii="宋体" w:hAnsi="宋体" w:cs="宋体" w:eastAsia="宋体" w:hint="default"/>
                            <w:spacing w:val="2"/>
                            <w:sz w:val="21"/>
                            <w:szCs w:val="21"/>
                          </w:rPr>
                          <w:t>公司高级管理人员的薪酬与其承担的责任、风险和经营业绩挂钩。薪酬主要考虑职位、</w:t>
                        </w:r>
                      </w:p>
                    </w:tc>
                  </w:tr>
                  <w:tr>
                    <w:trPr>
                      <w:trHeight w:val="312" w:hRule="exact"/>
                    </w:trPr>
                    <w:tc>
                      <w:tcPr>
                        <w:tcW w:w="1540" w:type="dxa"/>
                        <w:tcBorders>
                          <w:top w:val="nil" w:sz="6" w:space="0" w:color="auto"/>
                          <w:left w:val="single" w:sz="8" w:space="0" w:color="000000"/>
                          <w:bottom w:val="nil" w:sz="6" w:space="0" w:color="auto"/>
                          <w:right w:val="single" w:sz="8" w:space="0" w:color="000000"/>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pacing w:val="7"/>
                            <w:sz w:val="21"/>
                            <w:szCs w:val="21"/>
                          </w:rPr>
                          <w:t>级管理人员报酬</w:t>
                        </w:r>
                      </w:p>
                    </w:tc>
                    <w:tc>
                      <w:tcPr>
                        <w:tcW w:w="8068" w:type="dxa"/>
                        <w:tcBorders>
                          <w:top w:val="nil" w:sz="6" w:space="0" w:color="auto"/>
                          <w:left w:val="single" w:sz="8" w:space="0" w:color="000000"/>
                          <w:bottom w:val="nil" w:sz="6" w:space="0" w:color="auto"/>
                          <w:right w:val="single" w:sz="8" w:space="0" w:color="000000"/>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pacing w:val="2"/>
                            <w:sz w:val="21"/>
                            <w:szCs w:val="21"/>
                          </w:rPr>
                          <w:t>责任、能力、市场薪资行情等因素确定，按月发放。公司将根据经营业绩情况，在恰当</w:t>
                        </w:r>
                      </w:p>
                    </w:tc>
                  </w:tr>
                  <w:tr>
                    <w:trPr>
                      <w:trHeight w:val="312" w:hRule="exact"/>
                    </w:trPr>
                    <w:tc>
                      <w:tcPr>
                        <w:tcW w:w="1540" w:type="dxa"/>
                        <w:tcBorders>
                          <w:top w:val="nil" w:sz="6" w:space="0" w:color="auto"/>
                          <w:left w:val="single" w:sz="8" w:space="0" w:color="000000"/>
                          <w:bottom w:val="nil" w:sz="6" w:space="0" w:color="auto"/>
                          <w:right w:val="single" w:sz="8" w:space="0" w:color="000000"/>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z w:val="21"/>
                            <w:szCs w:val="21"/>
                          </w:rPr>
                          <w:t>确定依据</w:t>
                        </w:r>
                      </w:p>
                    </w:tc>
                    <w:tc>
                      <w:tcPr>
                        <w:tcW w:w="8068" w:type="dxa"/>
                        <w:tcBorders>
                          <w:top w:val="nil" w:sz="6" w:space="0" w:color="auto"/>
                          <w:left w:val="single" w:sz="8" w:space="0" w:color="000000"/>
                          <w:bottom w:val="nil" w:sz="6" w:space="0" w:color="auto"/>
                          <w:right w:val="single" w:sz="8" w:space="0" w:color="000000"/>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pacing w:val="2"/>
                            <w:sz w:val="21"/>
                            <w:szCs w:val="21"/>
                          </w:rPr>
                          <w:t>的时候对高级管理人员实施股权激励计划，具体激励计划根据其承担责任、风险和绩效</w:t>
                        </w:r>
                      </w:p>
                    </w:tc>
                  </w:tr>
                  <w:tr>
                    <w:trPr>
                      <w:trHeight w:val="332" w:hRule="exact"/>
                    </w:trPr>
                    <w:tc>
                      <w:tcPr>
                        <w:tcW w:w="1540" w:type="dxa"/>
                        <w:tcBorders>
                          <w:top w:val="nil" w:sz="6" w:space="0" w:color="auto"/>
                          <w:left w:val="single" w:sz="8" w:space="0" w:color="000000"/>
                          <w:bottom w:val="single" w:sz="8" w:space="0" w:color="000000"/>
                          <w:right w:val="single" w:sz="8" w:space="0" w:color="000000"/>
                        </w:tcBorders>
                      </w:tcPr>
                      <w:p>
                        <w:pPr/>
                      </w:p>
                    </w:tc>
                    <w:tc>
                      <w:tcPr>
                        <w:tcW w:w="8068" w:type="dxa"/>
                        <w:tcBorders>
                          <w:top w:val="nil" w:sz="6" w:space="0" w:color="auto"/>
                          <w:left w:val="single" w:sz="8" w:space="0" w:color="000000"/>
                          <w:bottom w:val="single" w:sz="8" w:space="0" w:color="000000"/>
                          <w:right w:val="single" w:sz="8" w:space="0" w:color="000000"/>
                        </w:tcBorders>
                      </w:tcPr>
                      <w:p>
                        <w:pPr>
                          <w:pStyle w:val="TableParagraph"/>
                          <w:spacing w:line="261" w:lineRule="exact"/>
                          <w:ind w:left="-1" w:right="0"/>
                          <w:jc w:val="left"/>
                          <w:rPr>
                            <w:rFonts w:ascii="宋体" w:hAnsi="宋体" w:cs="宋体" w:eastAsia="宋体" w:hint="default"/>
                            <w:sz w:val="21"/>
                            <w:szCs w:val="21"/>
                          </w:rPr>
                        </w:pPr>
                        <w:r>
                          <w:rPr>
                            <w:rFonts w:ascii="宋体" w:hAnsi="宋体" w:cs="宋体" w:eastAsia="宋体" w:hint="default"/>
                            <w:sz w:val="21"/>
                            <w:szCs w:val="21"/>
                          </w:rPr>
                          <w:t>决定。</w:t>
                        </w:r>
                      </w:p>
                    </w:tc>
                  </w:tr>
                  <w:tr>
                    <w:trPr>
                      <w:trHeight w:val="338" w:hRule="exact"/>
                    </w:trPr>
                    <w:tc>
                      <w:tcPr>
                        <w:tcW w:w="1540" w:type="dxa"/>
                        <w:tcBorders>
                          <w:top w:val="single" w:sz="8" w:space="0" w:color="000000"/>
                          <w:left w:val="single" w:sz="8" w:space="0" w:color="000000"/>
                          <w:bottom w:val="nil" w:sz="6" w:space="0" w:color="auto"/>
                          <w:right w:val="single" w:sz="8" w:space="0" w:color="000000"/>
                        </w:tcBorders>
                      </w:tcPr>
                      <w:p>
                        <w:pPr>
                          <w:pStyle w:val="TableParagraph"/>
                          <w:spacing w:line="272" w:lineRule="exact"/>
                          <w:ind w:left="1" w:right="0"/>
                          <w:jc w:val="left"/>
                          <w:rPr>
                            <w:rFonts w:ascii="宋体" w:hAnsi="宋体" w:cs="宋体" w:eastAsia="宋体" w:hint="default"/>
                            <w:sz w:val="21"/>
                            <w:szCs w:val="21"/>
                          </w:rPr>
                        </w:pPr>
                        <w:r>
                          <w:rPr>
                            <w:rFonts w:ascii="宋体" w:hAnsi="宋体" w:cs="宋体" w:eastAsia="宋体" w:hint="default"/>
                            <w:spacing w:val="7"/>
                            <w:sz w:val="21"/>
                            <w:szCs w:val="21"/>
                          </w:rPr>
                          <w:t>董事、监事和高</w:t>
                        </w:r>
                      </w:p>
                    </w:tc>
                    <w:tc>
                      <w:tcPr>
                        <w:tcW w:w="8068" w:type="dxa"/>
                        <w:tcBorders>
                          <w:top w:val="single" w:sz="8" w:space="0" w:color="000000"/>
                          <w:left w:val="single" w:sz="8" w:space="0" w:color="000000"/>
                          <w:bottom w:val="nil" w:sz="6" w:space="0" w:color="auto"/>
                          <w:right w:val="single" w:sz="8" w:space="0" w:color="000000"/>
                        </w:tcBorders>
                      </w:tcPr>
                      <w:p>
                        <w:pPr>
                          <w:pStyle w:val="TableParagraph"/>
                          <w:spacing w:line="287" w:lineRule="exact"/>
                          <w:ind w:left="-1" w:right="-11"/>
                          <w:jc w:val="left"/>
                          <w:rPr>
                            <w:rFonts w:ascii="宋体" w:hAnsi="宋体" w:cs="宋体" w:eastAsia="宋体" w:hint="default"/>
                            <w:sz w:val="21"/>
                            <w:szCs w:val="21"/>
                          </w:rPr>
                        </w:pPr>
                        <w:r>
                          <w:rPr>
                            <w:rFonts w:ascii="宋体" w:hAnsi="宋体" w:cs="宋体" w:eastAsia="宋体" w:hint="default"/>
                            <w:spacing w:val="8"/>
                            <w:w w:val="95"/>
                            <w:sz w:val="21"/>
                            <w:szCs w:val="21"/>
                          </w:rPr>
                          <w:t>截至</w:t>
                        </w:r>
                        <w:r>
                          <w:rPr>
                            <w:rFonts w:ascii="Arial" w:hAnsi="Arial" w:cs="Arial" w:eastAsia="Arial" w:hint="default"/>
                            <w:spacing w:val="8"/>
                            <w:w w:val="95"/>
                            <w:sz w:val="21"/>
                            <w:szCs w:val="21"/>
                          </w:rPr>
                          <w:t>2018</w:t>
                        </w:r>
                        <w:r>
                          <w:rPr>
                            <w:rFonts w:ascii="宋体" w:hAnsi="宋体" w:cs="宋体" w:eastAsia="宋体" w:hint="default"/>
                            <w:spacing w:val="8"/>
                            <w:w w:val="95"/>
                            <w:sz w:val="21"/>
                            <w:szCs w:val="21"/>
                          </w:rPr>
                          <w:t>年</w:t>
                        </w:r>
                        <w:r>
                          <w:rPr>
                            <w:rFonts w:ascii="Arial" w:hAnsi="Arial" w:cs="Arial" w:eastAsia="Arial" w:hint="default"/>
                            <w:spacing w:val="8"/>
                            <w:w w:val="95"/>
                            <w:sz w:val="21"/>
                            <w:szCs w:val="21"/>
                          </w:rPr>
                          <w:t>12</w:t>
                        </w:r>
                        <w:r>
                          <w:rPr>
                            <w:rFonts w:ascii="宋体" w:hAnsi="宋体" w:cs="宋体" w:eastAsia="宋体" w:hint="default"/>
                            <w:spacing w:val="8"/>
                            <w:w w:val="95"/>
                            <w:sz w:val="21"/>
                            <w:szCs w:val="21"/>
                          </w:rPr>
                          <w:t>月</w:t>
                        </w:r>
                        <w:r>
                          <w:rPr>
                            <w:rFonts w:ascii="Arial" w:hAnsi="Arial" w:cs="Arial" w:eastAsia="Arial" w:hint="default"/>
                            <w:spacing w:val="8"/>
                            <w:w w:val="95"/>
                            <w:sz w:val="21"/>
                            <w:szCs w:val="21"/>
                          </w:rPr>
                          <w:t>31</w:t>
                        </w:r>
                        <w:r>
                          <w:rPr>
                            <w:rFonts w:ascii="宋体" w:hAnsi="宋体" w:cs="宋体" w:eastAsia="宋体" w:hint="default"/>
                            <w:spacing w:val="8"/>
                            <w:w w:val="95"/>
                            <w:sz w:val="21"/>
                            <w:szCs w:val="21"/>
                          </w:rPr>
                          <w:t>日，公司现任董事、监事、高级管理人员</w:t>
                        </w:r>
                        <w:r>
                          <w:rPr>
                            <w:rFonts w:ascii="Arial" w:hAnsi="Arial" w:cs="Arial" w:eastAsia="Arial" w:hint="default"/>
                            <w:spacing w:val="8"/>
                            <w:w w:val="95"/>
                            <w:sz w:val="21"/>
                            <w:szCs w:val="21"/>
                          </w:rPr>
                          <w:t>13</w:t>
                        </w:r>
                        <w:r>
                          <w:rPr>
                            <w:rFonts w:ascii="宋体" w:hAnsi="宋体" w:cs="宋体" w:eastAsia="宋体" w:hint="default"/>
                            <w:spacing w:val="8"/>
                            <w:w w:val="95"/>
                            <w:sz w:val="21"/>
                            <w:szCs w:val="21"/>
                          </w:rPr>
                          <w:t>人，</w:t>
                        </w:r>
                        <w:r>
                          <w:rPr>
                            <w:rFonts w:ascii="Arial" w:hAnsi="Arial" w:cs="Arial" w:eastAsia="Arial" w:hint="default"/>
                            <w:spacing w:val="8"/>
                            <w:w w:val="95"/>
                            <w:sz w:val="21"/>
                            <w:szCs w:val="21"/>
                          </w:rPr>
                          <w:t>2018</w:t>
                        </w:r>
                        <w:r>
                          <w:rPr>
                            <w:rFonts w:ascii="宋体" w:hAnsi="宋体" w:cs="宋体" w:eastAsia="宋体" w:hint="default"/>
                            <w:spacing w:val="8"/>
                            <w:w w:val="95"/>
                            <w:sz w:val="21"/>
                            <w:szCs w:val="21"/>
                          </w:rPr>
                          <w:t>年实际支付</w:t>
                        </w:r>
                        <w:r>
                          <w:rPr>
                            <w:rFonts w:ascii="宋体" w:hAnsi="宋体" w:cs="宋体" w:eastAsia="宋体" w:hint="default"/>
                            <w:spacing w:val="8"/>
                            <w:sz w:val="21"/>
                            <w:szCs w:val="21"/>
                          </w:rPr>
                        </w:r>
                      </w:p>
                    </w:tc>
                  </w:tr>
                  <w:tr>
                    <w:trPr>
                      <w:trHeight w:val="312" w:hRule="exact"/>
                    </w:trPr>
                    <w:tc>
                      <w:tcPr>
                        <w:tcW w:w="1540" w:type="dxa"/>
                        <w:tcBorders>
                          <w:top w:val="nil" w:sz="6" w:space="0" w:color="auto"/>
                          <w:left w:val="single" w:sz="8" w:space="0" w:color="000000"/>
                          <w:bottom w:val="nil" w:sz="6" w:space="0" w:color="auto"/>
                          <w:right w:val="single" w:sz="8" w:space="0" w:color="000000"/>
                        </w:tcBorders>
                      </w:tcPr>
                      <w:p>
                        <w:pPr>
                          <w:pStyle w:val="TableParagraph"/>
                          <w:spacing w:line="256" w:lineRule="exact"/>
                          <w:ind w:left="1" w:right="0"/>
                          <w:jc w:val="left"/>
                          <w:rPr>
                            <w:rFonts w:ascii="宋体" w:hAnsi="宋体" w:cs="宋体" w:eastAsia="宋体" w:hint="default"/>
                            <w:sz w:val="21"/>
                            <w:szCs w:val="21"/>
                          </w:rPr>
                        </w:pPr>
                        <w:r>
                          <w:rPr>
                            <w:rFonts w:ascii="宋体" w:hAnsi="宋体" w:cs="宋体" w:eastAsia="宋体" w:hint="default"/>
                            <w:spacing w:val="7"/>
                            <w:sz w:val="21"/>
                            <w:szCs w:val="21"/>
                          </w:rPr>
                          <w:t>级管理人员报酬</w:t>
                        </w:r>
                      </w:p>
                    </w:tc>
                    <w:tc>
                      <w:tcPr>
                        <w:tcW w:w="8068" w:type="dxa"/>
                        <w:tcBorders>
                          <w:top w:val="nil" w:sz="6" w:space="0" w:color="auto"/>
                          <w:left w:val="single" w:sz="8" w:space="0" w:color="000000"/>
                          <w:bottom w:val="nil" w:sz="6" w:space="0" w:color="auto"/>
                          <w:right w:val="single" w:sz="8" w:space="0" w:color="000000"/>
                        </w:tcBorders>
                      </w:tcPr>
                      <w:p>
                        <w:pPr>
                          <w:pStyle w:val="TableParagraph"/>
                          <w:spacing w:line="270" w:lineRule="exact"/>
                          <w:ind w:left="-1" w:right="0"/>
                          <w:jc w:val="left"/>
                          <w:rPr>
                            <w:rFonts w:ascii="宋体" w:hAnsi="宋体" w:cs="宋体" w:eastAsia="宋体" w:hint="default"/>
                            <w:sz w:val="21"/>
                            <w:szCs w:val="21"/>
                          </w:rPr>
                        </w:pPr>
                        <w:r>
                          <w:rPr>
                            <w:rFonts w:ascii="Arial" w:hAnsi="Arial" w:cs="Arial" w:eastAsia="Arial" w:hint="default"/>
                            <w:sz w:val="21"/>
                            <w:szCs w:val="21"/>
                          </w:rPr>
                          <w:t>3,176,879</w:t>
                        </w:r>
                        <w:r>
                          <w:rPr>
                            <w:rFonts w:ascii="宋体" w:hAnsi="宋体" w:cs="宋体" w:eastAsia="宋体" w:hint="default"/>
                            <w:sz w:val="21"/>
                            <w:szCs w:val="21"/>
                          </w:rPr>
                          <w:t>元。</w:t>
                        </w:r>
                      </w:p>
                    </w:tc>
                  </w:tr>
                  <w:tr>
                    <w:trPr>
                      <w:trHeight w:val="326" w:hRule="exact"/>
                    </w:trPr>
                    <w:tc>
                      <w:tcPr>
                        <w:tcW w:w="1540" w:type="dxa"/>
                        <w:tcBorders>
                          <w:top w:val="nil" w:sz="6" w:space="0" w:color="auto"/>
                          <w:left w:val="single" w:sz="8" w:space="0" w:color="000000"/>
                          <w:bottom w:val="single" w:sz="8" w:space="0" w:color="000000"/>
                          <w:right w:val="single" w:sz="8" w:space="0" w:color="000000"/>
                        </w:tcBorders>
                      </w:tcPr>
                      <w:p>
                        <w:pPr>
                          <w:pStyle w:val="TableParagraph"/>
                          <w:spacing w:line="256" w:lineRule="exact"/>
                          <w:ind w:left="1" w:right="0"/>
                          <w:jc w:val="left"/>
                          <w:rPr>
                            <w:rFonts w:ascii="宋体" w:hAnsi="宋体" w:cs="宋体" w:eastAsia="宋体" w:hint="default"/>
                            <w:sz w:val="21"/>
                            <w:szCs w:val="21"/>
                          </w:rPr>
                        </w:pPr>
                        <w:r>
                          <w:rPr>
                            <w:rFonts w:ascii="宋体" w:hAnsi="宋体" w:cs="宋体" w:eastAsia="宋体" w:hint="default"/>
                            <w:sz w:val="21"/>
                            <w:szCs w:val="21"/>
                          </w:rPr>
                          <w:t>的实际支付情况</w:t>
                        </w:r>
                      </w:p>
                    </w:tc>
                    <w:tc>
                      <w:tcPr>
                        <w:tcW w:w="8068" w:type="dxa"/>
                        <w:tcBorders>
                          <w:top w:val="nil" w:sz="6" w:space="0" w:color="auto"/>
                          <w:left w:val="single" w:sz="8" w:space="0" w:color="000000"/>
                          <w:bottom w:val="single" w:sz="8" w:space="0" w:color="000000"/>
                          <w:right w:val="single" w:sz="8" w:space="0" w:color="000000"/>
                        </w:tcBorders>
                      </w:tcPr>
                      <w:p>
                        <w:pPr/>
                      </w:p>
                    </w:tc>
                  </w:tr>
                </w:tbl>
                <w:p>
                  <w:pPr/>
                </w:p>
              </w:txbxContent>
            </v:textbox>
            <w10:wrap type="none"/>
          </v:shape>
        </w:pict>
      </w:r>
      <w:r>
        <w:rPr>
          <w:w w:val="99"/>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8" w:footer="978" w:top="1100" w:bottom="1160" w:left="1020" w:right="0"/>
        </w:sectPr>
      </w:pPr>
    </w:p>
    <w:p>
      <w:pPr>
        <w:pStyle w:val="Heading3"/>
        <w:spacing w:line="240" w:lineRule="auto" w:before="26"/>
        <w:ind w:right="-20"/>
        <w:jc w:val="left"/>
      </w:pPr>
      <w:r>
        <w:rPr/>
        <w:t>公司报告期内董事、监事和高级管理人员报酬情况</w:t>
      </w:r>
    </w:p>
    <w:p>
      <w:pPr>
        <w:spacing w:line="240" w:lineRule="auto" w:before="0"/>
        <w:rPr>
          <w:rFonts w:ascii="宋体" w:hAnsi="宋体" w:cs="宋体" w:eastAsia="宋体" w:hint="default"/>
          <w:sz w:val="20"/>
          <w:szCs w:val="20"/>
        </w:rPr>
      </w:pPr>
      <w:r>
        <w:rPr/>
        <w:br w:type="column"/>
      </w:r>
      <w:r>
        <w:rPr>
          <w:rFonts w:ascii="宋体"/>
          <w:sz w:val="20"/>
        </w:rPr>
      </w:r>
    </w:p>
    <w:p>
      <w:pPr>
        <w:pStyle w:val="BodyText"/>
        <w:spacing w:line="240" w:lineRule="auto" w:before="140"/>
        <w:ind w:right="0"/>
        <w:jc w:val="left"/>
      </w:pPr>
      <w:r>
        <w:rPr/>
        <w:t>单位：万元</w:t>
      </w:r>
    </w:p>
    <w:p>
      <w:pPr>
        <w:spacing w:after="0" w:line="240" w:lineRule="auto"/>
        <w:jc w:val="left"/>
        <w:sectPr>
          <w:type w:val="continuous"/>
          <w:pgSz w:w="11910" w:h="16840"/>
          <w:pgMar w:top="1060" w:bottom="1160" w:left="1020" w:right="0"/>
          <w:cols w:num="2" w:equalWidth="0">
            <w:col w:w="5393" w:space="3196"/>
            <w:col w:w="2301"/>
          </w:cols>
        </w:sectPr>
      </w:pP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960"/>
        <w:gridCol w:w="1842"/>
        <w:gridCol w:w="1090"/>
        <w:gridCol w:w="1298"/>
        <w:gridCol w:w="1298"/>
        <w:gridCol w:w="1559"/>
        <w:gridCol w:w="1524"/>
      </w:tblGrid>
      <w:tr>
        <w:trPr>
          <w:trHeight w:val="728"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5"/>
              <w:jc w:val="right"/>
              <w:rPr>
                <w:rFonts w:ascii="宋体" w:hAnsi="宋体" w:cs="宋体" w:eastAsia="宋体" w:hint="default"/>
                <w:sz w:val="21"/>
                <w:szCs w:val="21"/>
              </w:rPr>
            </w:pPr>
            <w:r>
              <w:rPr>
                <w:rFonts w:ascii="宋体" w:hAnsi="宋体" w:cs="宋体" w:eastAsia="宋体" w:hint="default"/>
                <w:spacing w:val="-1"/>
                <w:w w:val="95"/>
                <w:sz w:val="21"/>
                <w:szCs w:val="21"/>
              </w:rPr>
              <w:t>姓名</w:t>
            </w:r>
            <w:r>
              <w:rPr>
                <w:rFonts w:ascii="宋体" w:hAnsi="宋体" w:cs="宋体" w:eastAsia="宋体" w:hint="default"/>
                <w:spacing w:val="-1"/>
                <w:sz w:val="21"/>
                <w:szCs w:val="21"/>
              </w:rPr>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职务</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1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任职状态</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9"/>
              <w:ind w:left="249" w:right="39" w:hanging="212"/>
              <w:jc w:val="left"/>
              <w:rPr>
                <w:rFonts w:ascii="宋体" w:hAnsi="宋体" w:cs="宋体" w:eastAsia="宋体" w:hint="default"/>
                <w:sz w:val="21"/>
                <w:szCs w:val="21"/>
              </w:rPr>
            </w:pPr>
            <w:r>
              <w:rPr>
                <w:rFonts w:ascii="宋体" w:hAnsi="宋体" w:cs="宋体" w:eastAsia="宋体" w:hint="default"/>
                <w:sz w:val="21"/>
                <w:szCs w:val="21"/>
              </w:rPr>
              <w:t>从公司获得的税</w:t>
            </w:r>
            <w:r>
              <w:rPr>
                <w:rFonts w:ascii="宋体" w:hAnsi="宋体" w:cs="宋体" w:eastAsia="宋体" w:hint="default"/>
                <w:w w:val="99"/>
                <w:sz w:val="21"/>
                <w:szCs w:val="21"/>
              </w:rPr>
              <w:t> </w:t>
            </w:r>
            <w:r>
              <w:rPr>
                <w:rFonts w:ascii="宋体" w:hAnsi="宋体" w:cs="宋体" w:eastAsia="宋体" w:hint="default"/>
                <w:sz w:val="21"/>
                <w:szCs w:val="21"/>
              </w:rPr>
              <w:t>前报酬总额</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9"/>
              <w:ind w:left="126" w:right="128"/>
              <w:jc w:val="left"/>
              <w:rPr>
                <w:rFonts w:ascii="宋体" w:hAnsi="宋体" w:cs="宋体" w:eastAsia="宋体" w:hint="default"/>
                <w:sz w:val="21"/>
                <w:szCs w:val="21"/>
              </w:rPr>
            </w:pPr>
            <w:r>
              <w:rPr>
                <w:rFonts w:ascii="宋体" w:hAnsi="宋体" w:cs="宋体" w:eastAsia="宋体" w:hint="default"/>
                <w:sz w:val="21"/>
                <w:szCs w:val="21"/>
              </w:rPr>
              <w:t>是否在公司关</w:t>
            </w:r>
            <w:r>
              <w:rPr>
                <w:rFonts w:ascii="宋体" w:hAnsi="宋体" w:cs="宋体" w:eastAsia="宋体" w:hint="default"/>
                <w:w w:val="99"/>
                <w:sz w:val="21"/>
                <w:szCs w:val="21"/>
              </w:rPr>
              <w:t> </w:t>
            </w:r>
            <w:r>
              <w:rPr>
                <w:rFonts w:ascii="宋体" w:hAnsi="宋体" w:cs="宋体" w:eastAsia="宋体" w:hint="default"/>
                <w:sz w:val="21"/>
                <w:szCs w:val="21"/>
              </w:rPr>
              <w:t>联方获取报酬</w:t>
            </w:r>
          </w:p>
        </w:tc>
      </w:tr>
      <w:tr>
        <w:trPr>
          <w:trHeight w:val="36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21"/>
                <w:szCs w:val="21"/>
              </w:rPr>
            </w:pPr>
            <w:r>
              <w:rPr>
                <w:rFonts w:ascii="宋体" w:hAnsi="宋体" w:cs="宋体" w:eastAsia="宋体" w:hint="default"/>
                <w:sz w:val="21"/>
                <w:szCs w:val="21"/>
              </w:rPr>
              <w:t>邵学</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Arial" w:hAnsi="Arial" w:cs="Arial" w:eastAsia="Arial" w:hint="default"/>
                <w:sz w:val="21"/>
                <w:szCs w:val="21"/>
              </w:rPr>
            </w:pPr>
            <w:r>
              <w:rPr>
                <w:rFonts w:ascii="Arial"/>
                <w:sz w:val="21"/>
              </w:rPr>
              <w:t>57</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9"/>
              <w:jc w:val="right"/>
              <w:rPr>
                <w:rFonts w:ascii="Arial" w:hAnsi="Arial" w:cs="Arial" w:eastAsia="Arial" w:hint="default"/>
                <w:sz w:val="21"/>
                <w:szCs w:val="21"/>
              </w:rPr>
            </w:pPr>
            <w:r>
              <w:rPr>
                <w:rFonts w:ascii="Arial"/>
                <w:w w:val="95"/>
                <w:sz w:val="21"/>
              </w:rPr>
              <w:t>31.44</w:t>
            </w:r>
            <w:r>
              <w:rPr>
                <w:rFonts w:ascii="Arial"/>
                <w:sz w:val="21"/>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51"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6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0"/>
              <w:jc w:val="left"/>
              <w:rPr>
                <w:rFonts w:ascii="宋体" w:hAnsi="宋体" w:cs="宋体" w:eastAsia="宋体" w:hint="default"/>
                <w:sz w:val="21"/>
                <w:szCs w:val="21"/>
              </w:rPr>
            </w:pPr>
            <w:r>
              <w:rPr>
                <w:rFonts w:ascii="宋体" w:hAnsi="宋体" w:cs="宋体" w:eastAsia="宋体" w:hint="default"/>
                <w:sz w:val="21"/>
                <w:szCs w:val="21"/>
              </w:rPr>
              <w:t>吕宾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Arial" w:hAnsi="Arial" w:cs="Arial" w:eastAsia="Arial" w:hint="default"/>
                <w:sz w:val="21"/>
                <w:szCs w:val="21"/>
              </w:rPr>
              <w:t>/</w:t>
            </w:r>
            <w:r>
              <w:rPr>
                <w:rFonts w:ascii="宋体" w:hAnsi="宋体" w:cs="宋体" w:eastAsia="宋体" w:hint="default"/>
                <w:sz w:val="21"/>
                <w:szCs w:val="21"/>
              </w:rPr>
              <w:t>总经理</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Arial" w:hAnsi="Arial" w:cs="Arial" w:eastAsia="Arial" w:hint="default"/>
                <w:sz w:val="21"/>
                <w:szCs w:val="21"/>
              </w:rPr>
            </w:pPr>
            <w:r>
              <w:rPr>
                <w:rFonts w:ascii="Arial"/>
                <w:sz w:val="21"/>
              </w:rPr>
              <w:t>45</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Arial" w:hAnsi="Arial" w:cs="Arial" w:eastAsia="Arial" w:hint="default"/>
                <w:sz w:val="21"/>
                <w:szCs w:val="21"/>
              </w:rPr>
            </w:pPr>
            <w:r>
              <w:rPr>
                <w:rFonts w:ascii="Arial"/>
                <w:w w:val="95"/>
                <w:sz w:val="21"/>
              </w:rPr>
              <w:t>31.44</w:t>
            </w:r>
            <w:r>
              <w:rPr>
                <w:rFonts w:ascii="Arial"/>
                <w:sz w:val="21"/>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51"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6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21"/>
                <w:szCs w:val="21"/>
              </w:rPr>
            </w:pPr>
            <w:r>
              <w:rPr>
                <w:rFonts w:ascii="宋体" w:hAnsi="宋体" w:cs="宋体" w:eastAsia="宋体" w:hint="default"/>
                <w:sz w:val="21"/>
                <w:szCs w:val="21"/>
              </w:rPr>
              <w:t>赵晓明</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Arial" w:hAnsi="Arial" w:cs="Arial" w:eastAsia="Arial" w:hint="default"/>
                <w:sz w:val="21"/>
                <w:szCs w:val="21"/>
              </w:rPr>
              <w:t>/</w:t>
            </w:r>
            <w:r>
              <w:rPr>
                <w:rFonts w:ascii="宋体" w:hAnsi="宋体" w:cs="宋体" w:eastAsia="宋体" w:hint="default"/>
                <w:sz w:val="21"/>
                <w:szCs w:val="21"/>
              </w:rPr>
              <w:t>副总经理</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Arial" w:hAnsi="Arial" w:cs="Arial" w:eastAsia="Arial" w:hint="default"/>
                <w:sz w:val="21"/>
                <w:szCs w:val="21"/>
              </w:rPr>
            </w:pPr>
            <w:r>
              <w:rPr>
                <w:rFonts w:ascii="Arial"/>
                <w:sz w:val="21"/>
              </w:rPr>
              <w:t>47</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9"/>
              <w:jc w:val="right"/>
              <w:rPr>
                <w:rFonts w:ascii="Arial" w:hAnsi="Arial" w:cs="Arial" w:eastAsia="Arial" w:hint="default"/>
                <w:sz w:val="21"/>
                <w:szCs w:val="21"/>
              </w:rPr>
            </w:pPr>
            <w:r>
              <w:rPr>
                <w:rFonts w:ascii="Arial"/>
                <w:w w:val="95"/>
                <w:sz w:val="21"/>
              </w:rPr>
              <w:t>31.44</w:t>
            </w:r>
            <w:r>
              <w:rPr>
                <w:rFonts w:ascii="Arial"/>
                <w:sz w:val="21"/>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51"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6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21"/>
                <w:szCs w:val="21"/>
              </w:rPr>
            </w:pPr>
            <w:r>
              <w:rPr>
                <w:rFonts w:ascii="宋体" w:hAnsi="宋体" w:cs="宋体" w:eastAsia="宋体" w:hint="default"/>
                <w:sz w:val="21"/>
                <w:szCs w:val="21"/>
              </w:rPr>
              <w:t>任涛</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Arial" w:hAnsi="Arial" w:cs="Arial" w:eastAsia="Arial" w:hint="default"/>
                <w:sz w:val="21"/>
                <w:szCs w:val="21"/>
              </w:rPr>
            </w:pPr>
            <w:r>
              <w:rPr>
                <w:rFonts w:ascii="Arial"/>
                <w:sz w:val="21"/>
              </w:rPr>
              <w:t>45</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Arial" w:hAnsi="Arial" w:cs="Arial" w:eastAsia="Arial" w:hint="default"/>
                <w:sz w:val="21"/>
                <w:szCs w:val="21"/>
              </w:rPr>
            </w:pPr>
            <w:r>
              <w:rPr>
                <w:rFonts w:ascii="Arial"/>
                <w:spacing w:val="-1"/>
                <w:w w:val="95"/>
                <w:sz w:val="21"/>
              </w:rPr>
              <w:t>30</w:t>
            </w:r>
            <w:r>
              <w:rPr>
                <w:rFonts w:ascii="Arial"/>
                <w:spacing w:val="-1"/>
                <w:sz w:val="21"/>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51"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6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0"/>
              <w:jc w:val="left"/>
              <w:rPr>
                <w:rFonts w:ascii="宋体" w:hAnsi="宋体" w:cs="宋体" w:eastAsia="宋体" w:hint="default"/>
                <w:sz w:val="21"/>
                <w:szCs w:val="21"/>
              </w:rPr>
            </w:pPr>
            <w:r>
              <w:rPr>
                <w:rFonts w:ascii="宋体" w:hAnsi="宋体" w:cs="宋体" w:eastAsia="宋体" w:hint="default"/>
                <w:sz w:val="21"/>
                <w:szCs w:val="21"/>
              </w:rPr>
              <w:t>甘培忠</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Arial" w:hAnsi="Arial" w:cs="Arial" w:eastAsia="Arial" w:hint="default"/>
                <w:sz w:val="21"/>
                <w:szCs w:val="21"/>
              </w:rPr>
            </w:pPr>
            <w:r>
              <w:rPr>
                <w:rFonts w:ascii="Arial"/>
                <w:sz w:val="21"/>
              </w:rPr>
              <w:t>62</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2"/>
              <w:jc w:val="right"/>
              <w:rPr>
                <w:rFonts w:ascii="Arial" w:hAnsi="Arial" w:cs="Arial" w:eastAsia="Arial" w:hint="default"/>
                <w:sz w:val="21"/>
                <w:szCs w:val="21"/>
              </w:rPr>
            </w:pPr>
            <w:r>
              <w:rPr>
                <w:rFonts w:ascii="Arial"/>
                <w:spacing w:val="-1"/>
                <w:w w:val="95"/>
                <w:sz w:val="21"/>
              </w:rPr>
              <w:t>20</w:t>
            </w:r>
            <w:r>
              <w:rPr>
                <w:rFonts w:ascii="Arial"/>
                <w:spacing w:val="-1"/>
                <w:sz w:val="21"/>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51"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6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21"/>
                <w:szCs w:val="21"/>
              </w:rPr>
            </w:pPr>
            <w:r>
              <w:rPr>
                <w:rFonts w:ascii="宋体" w:hAnsi="宋体" w:cs="宋体" w:eastAsia="宋体" w:hint="default"/>
                <w:sz w:val="21"/>
                <w:szCs w:val="21"/>
              </w:rPr>
              <w:t>王琨</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w w:val="99"/>
                <w:sz w:val="21"/>
                <w:szCs w:val="21"/>
              </w:rPr>
              <w:t>女</w:t>
            </w:r>
            <w:r>
              <w:rPr>
                <w:rFonts w:ascii="宋体" w:hAnsi="宋体" w:cs="宋体" w:eastAsia="宋体" w:hint="default"/>
                <w:sz w:val="21"/>
                <w:szCs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Arial" w:hAnsi="Arial" w:cs="Arial" w:eastAsia="Arial" w:hint="default"/>
                <w:sz w:val="21"/>
                <w:szCs w:val="21"/>
              </w:rPr>
            </w:pPr>
            <w:r>
              <w:rPr>
                <w:rFonts w:ascii="Arial"/>
                <w:sz w:val="21"/>
              </w:rPr>
              <w:t>43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Arial" w:hAnsi="Arial" w:cs="Arial" w:eastAsia="Arial" w:hint="default"/>
                <w:sz w:val="21"/>
                <w:szCs w:val="21"/>
              </w:rPr>
            </w:pPr>
            <w:r>
              <w:rPr>
                <w:rFonts w:ascii="Arial"/>
                <w:spacing w:val="-1"/>
                <w:w w:val="95"/>
                <w:sz w:val="21"/>
              </w:rPr>
              <w:t>20</w:t>
            </w:r>
            <w:r>
              <w:rPr>
                <w:rFonts w:ascii="Arial"/>
                <w:spacing w:val="-1"/>
                <w:sz w:val="21"/>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651"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6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21"/>
                <w:szCs w:val="21"/>
              </w:rPr>
            </w:pPr>
            <w:r>
              <w:rPr>
                <w:rFonts w:ascii="宋体" w:hAnsi="宋体" w:cs="宋体" w:eastAsia="宋体" w:hint="default"/>
                <w:sz w:val="21"/>
                <w:szCs w:val="21"/>
              </w:rPr>
              <w:t>朱恒源</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Arial" w:hAnsi="Arial" w:cs="Arial" w:eastAsia="Arial" w:hint="default"/>
                <w:sz w:val="21"/>
                <w:szCs w:val="21"/>
              </w:rPr>
            </w:pPr>
            <w:r>
              <w:rPr>
                <w:rFonts w:ascii="Arial"/>
                <w:sz w:val="21"/>
              </w:rPr>
              <w:t>50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2"/>
              <w:jc w:val="right"/>
              <w:rPr>
                <w:rFonts w:ascii="Arial" w:hAnsi="Arial" w:cs="Arial" w:eastAsia="Arial" w:hint="default"/>
                <w:sz w:val="21"/>
                <w:szCs w:val="21"/>
              </w:rPr>
            </w:pPr>
            <w:r>
              <w:rPr>
                <w:rFonts w:ascii="Arial"/>
                <w:spacing w:val="-1"/>
                <w:w w:val="95"/>
                <w:sz w:val="21"/>
              </w:rPr>
              <w:t>20</w:t>
            </w:r>
            <w:r>
              <w:rPr>
                <w:rFonts w:ascii="Arial"/>
                <w:spacing w:val="-1"/>
                <w:sz w:val="21"/>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51"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6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0"/>
              <w:jc w:val="left"/>
              <w:rPr>
                <w:rFonts w:ascii="宋体" w:hAnsi="宋体" w:cs="宋体" w:eastAsia="宋体" w:hint="default"/>
                <w:sz w:val="21"/>
                <w:szCs w:val="21"/>
              </w:rPr>
            </w:pPr>
            <w:r>
              <w:rPr>
                <w:rFonts w:ascii="宋体" w:hAnsi="宋体" w:cs="宋体" w:eastAsia="宋体" w:hint="default"/>
                <w:sz w:val="21"/>
                <w:szCs w:val="21"/>
              </w:rPr>
              <w:t>樊娇娇</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w w:val="99"/>
                <w:sz w:val="21"/>
                <w:szCs w:val="21"/>
              </w:rPr>
              <w:t>女</w:t>
            </w:r>
            <w:r>
              <w:rPr>
                <w:rFonts w:ascii="宋体" w:hAnsi="宋体" w:cs="宋体" w:eastAsia="宋体" w:hint="default"/>
                <w:sz w:val="21"/>
                <w:szCs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Arial" w:hAnsi="Arial" w:cs="Arial" w:eastAsia="Arial" w:hint="default"/>
                <w:sz w:val="21"/>
                <w:szCs w:val="21"/>
              </w:rPr>
            </w:pPr>
            <w:r>
              <w:rPr>
                <w:rFonts w:ascii="Arial"/>
                <w:sz w:val="21"/>
              </w:rPr>
              <w:t>36</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Arial" w:hAnsi="Arial" w:cs="Arial" w:eastAsia="Arial" w:hint="default"/>
                <w:sz w:val="21"/>
                <w:szCs w:val="21"/>
              </w:rPr>
            </w:pPr>
            <w:r>
              <w:rPr>
                <w:rFonts w:ascii="Arial"/>
                <w:w w:val="95"/>
                <w:sz w:val="21"/>
              </w:rPr>
              <w:t>21.05</w:t>
            </w:r>
            <w:r>
              <w:rPr>
                <w:rFonts w:ascii="Arial"/>
                <w:sz w:val="21"/>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51"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6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21"/>
                <w:szCs w:val="21"/>
              </w:rPr>
            </w:pPr>
            <w:r>
              <w:rPr>
                <w:rFonts w:ascii="宋体" w:hAnsi="宋体" w:cs="宋体" w:eastAsia="宋体" w:hint="default"/>
                <w:sz w:val="21"/>
                <w:szCs w:val="21"/>
              </w:rPr>
              <w:t>王珍</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w w:val="99"/>
                <w:sz w:val="21"/>
                <w:szCs w:val="21"/>
              </w:rPr>
              <w:t>女</w:t>
            </w:r>
            <w:r>
              <w:rPr>
                <w:rFonts w:ascii="宋体" w:hAnsi="宋体" w:cs="宋体" w:eastAsia="宋体" w:hint="default"/>
                <w:sz w:val="21"/>
                <w:szCs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Arial" w:hAnsi="Arial" w:cs="Arial" w:eastAsia="Arial" w:hint="default"/>
                <w:sz w:val="21"/>
                <w:szCs w:val="21"/>
              </w:rPr>
            </w:pPr>
            <w:r>
              <w:rPr>
                <w:rFonts w:ascii="Arial"/>
                <w:sz w:val="21"/>
              </w:rPr>
              <w:t>32</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Arial" w:hAnsi="Arial" w:cs="Arial" w:eastAsia="Arial" w:hint="default"/>
                <w:sz w:val="21"/>
                <w:szCs w:val="21"/>
              </w:rPr>
            </w:pPr>
            <w:r>
              <w:rPr>
                <w:rFonts w:ascii="Arial"/>
                <w:w w:val="95"/>
                <w:sz w:val="21"/>
              </w:rPr>
              <w:t>15.78</w:t>
            </w:r>
            <w:r>
              <w:rPr>
                <w:rFonts w:ascii="Arial"/>
                <w:sz w:val="21"/>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51"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6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21"/>
                <w:szCs w:val="21"/>
              </w:rPr>
            </w:pPr>
            <w:r>
              <w:rPr>
                <w:rFonts w:ascii="宋体" w:hAnsi="宋体" w:cs="宋体" w:eastAsia="宋体" w:hint="default"/>
                <w:sz w:val="21"/>
                <w:szCs w:val="21"/>
              </w:rPr>
              <w:t>王月</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w w:val="99"/>
                <w:sz w:val="21"/>
                <w:szCs w:val="21"/>
              </w:rPr>
              <w:t>女</w:t>
            </w:r>
            <w:r>
              <w:rPr>
                <w:rFonts w:ascii="宋体" w:hAnsi="宋体" w:cs="宋体" w:eastAsia="宋体" w:hint="default"/>
                <w:sz w:val="21"/>
                <w:szCs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Arial" w:hAnsi="Arial" w:cs="Arial" w:eastAsia="Arial" w:hint="default"/>
                <w:sz w:val="21"/>
                <w:szCs w:val="21"/>
              </w:rPr>
            </w:pPr>
            <w:r>
              <w:rPr>
                <w:rFonts w:ascii="Arial"/>
                <w:sz w:val="21"/>
              </w:rPr>
              <w:t>25</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9"/>
              <w:jc w:val="right"/>
              <w:rPr>
                <w:rFonts w:ascii="Arial" w:hAnsi="Arial" w:cs="Arial" w:eastAsia="Arial" w:hint="default"/>
                <w:sz w:val="21"/>
                <w:szCs w:val="21"/>
              </w:rPr>
            </w:pPr>
            <w:r>
              <w:rPr>
                <w:rFonts w:ascii="Arial"/>
                <w:spacing w:val="-1"/>
                <w:sz w:val="21"/>
              </w:rPr>
              <w:t>7.85</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51"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6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0"/>
              <w:jc w:val="left"/>
              <w:rPr>
                <w:rFonts w:ascii="宋体" w:hAnsi="宋体" w:cs="宋体" w:eastAsia="宋体" w:hint="default"/>
                <w:sz w:val="21"/>
                <w:szCs w:val="21"/>
              </w:rPr>
            </w:pPr>
            <w:r>
              <w:rPr>
                <w:rFonts w:ascii="宋体" w:hAnsi="宋体" w:cs="宋体" w:eastAsia="宋体" w:hint="default"/>
                <w:sz w:val="21"/>
                <w:szCs w:val="21"/>
              </w:rPr>
              <w:t>王琰</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Arial" w:hAnsi="Arial" w:cs="Arial" w:eastAsia="Arial" w:hint="default"/>
                <w:sz w:val="21"/>
                <w:szCs w:val="21"/>
              </w:rPr>
              <w:t>/</w:t>
            </w:r>
            <w:r>
              <w:rPr>
                <w:rFonts w:ascii="宋体" w:hAnsi="宋体" w:cs="宋体" w:eastAsia="宋体" w:hint="default"/>
                <w:sz w:val="21"/>
                <w:szCs w:val="21"/>
              </w:rPr>
              <w:t>财务总监</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Arial" w:hAnsi="Arial" w:cs="Arial" w:eastAsia="Arial" w:hint="default"/>
                <w:sz w:val="21"/>
                <w:szCs w:val="21"/>
              </w:rPr>
            </w:pPr>
            <w:r>
              <w:rPr>
                <w:rFonts w:ascii="Arial"/>
                <w:sz w:val="21"/>
              </w:rPr>
              <w:t>46</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Arial" w:hAnsi="Arial" w:cs="Arial" w:eastAsia="Arial" w:hint="default"/>
                <w:sz w:val="21"/>
                <w:szCs w:val="21"/>
              </w:rPr>
            </w:pPr>
            <w:r>
              <w:rPr>
                <w:rFonts w:ascii="Arial"/>
                <w:w w:val="95"/>
                <w:sz w:val="21"/>
              </w:rPr>
              <w:t>30.36</w:t>
            </w:r>
            <w:r>
              <w:rPr>
                <w:rFonts w:ascii="Arial"/>
                <w:sz w:val="21"/>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51"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6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21"/>
                <w:szCs w:val="21"/>
              </w:rPr>
            </w:pPr>
            <w:r>
              <w:rPr>
                <w:rFonts w:ascii="宋体" w:hAnsi="宋体" w:cs="宋体" w:eastAsia="宋体" w:hint="default"/>
                <w:sz w:val="21"/>
                <w:szCs w:val="21"/>
              </w:rPr>
              <w:t>邢立君</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21"/>
                <w:szCs w:val="21"/>
              </w:rPr>
            </w:pPr>
            <w:r>
              <w:rPr>
                <w:rFonts w:ascii="宋体" w:hAnsi="宋体" w:cs="宋体" w:eastAsia="宋体" w:hint="default"/>
                <w:sz w:val="21"/>
                <w:szCs w:val="21"/>
              </w:rPr>
              <w:t>人力资源总监</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w w:val="99"/>
                <w:sz w:val="21"/>
                <w:szCs w:val="21"/>
              </w:rPr>
              <w:t>女</w:t>
            </w:r>
            <w:r>
              <w:rPr>
                <w:rFonts w:ascii="宋体" w:hAnsi="宋体" w:cs="宋体" w:eastAsia="宋体" w:hint="default"/>
                <w:sz w:val="21"/>
                <w:szCs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Arial" w:hAnsi="Arial" w:cs="Arial" w:eastAsia="Arial" w:hint="default"/>
                <w:sz w:val="21"/>
                <w:szCs w:val="21"/>
              </w:rPr>
            </w:pPr>
            <w:r>
              <w:rPr>
                <w:rFonts w:ascii="Arial"/>
                <w:sz w:val="21"/>
              </w:rPr>
              <w:t>47</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Arial" w:hAnsi="Arial" w:cs="Arial" w:eastAsia="Arial" w:hint="default"/>
                <w:sz w:val="21"/>
                <w:szCs w:val="21"/>
              </w:rPr>
            </w:pPr>
            <w:r>
              <w:rPr>
                <w:rFonts w:ascii="Arial"/>
                <w:w w:val="95"/>
                <w:sz w:val="21"/>
              </w:rPr>
              <w:t>30.36</w:t>
            </w:r>
            <w:r>
              <w:rPr>
                <w:rFonts w:ascii="Arial"/>
                <w:sz w:val="21"/>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651"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6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0"/>
              <w:jc w:val="left"/>
              <w:rPr>
                <w:rFonts w:ascii="宋体" w:hAnsi="宋体" w:cs="宋体" w:eastAsia="宋体" w:hint="default"/>
                <w:sz w:val="21"/>
                <w:szCs w:val="21"/>
              </w:rPr>
            </w:pPr>
            <w:r>
              <w:rPr>
                <w:rFonts w:ascii="宋体" w:hAnsi="宋体" w:cs="宋体" w:eastAsia="宋体" w:hint="default"/>
                <w:sz w:val="21"/>
                <w:szCs w:val="21"/>
              </w:rPr>
              <w:t>韦光宇</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Arial" w:hAnsi="Arial" w:cs="Arial" w:eastAsia="Arial" w:hint="default"/>
                <w:sz w:val="21"/>
                <w:szCs w:val="21"/>
              </w:rPr>
            </w:pPr>
            <w:r>
              <w:rPr>
                <w:rFonts w:ascii="Arial"/>
                <w:sz w:val="21"/>
              </w:rPr>
              <w:t>39</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Arial" w:hAnsi="Arial" w:cs="Arial" w:eastAsia="Arial" w:hint="default"/>
                <w:sz w:val="21"/>
                <w:szCs w:val="21"/>
              </w:rPr>
            </w:pPr>
            <w:r>
              <w:rPr>
                <w:rFonts w:ascii="Arial"/>
                <w:w w:val="95"/>
                <w:sz w:val="21"/>
              </w:rPr>
              <w:t>27.96</w:t>
            </w:r>
            <w:r>
              <w:rPr>
                <w:rFonts w:ascii="Arial"/>
                <w:sz w:val="21"/>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51"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369"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265"/>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spacing w:val="-1"/>
                <w:sz w:val="21"/>
                <w:szCs w:val="21"/>
              </w:rPr>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
              <w:jc w:val="center"/>
              <w:rPr>
                <w:rFonts w:ascii="Arial" w:hAnsi="Arial" w:cs="Arial" w:eastAsia="Arial" w:hint="default"/>
                <w:sz w:val="21"/>
                <w:szCs w:val="21"/>
              </w:rPr>
            </w:pPr>
            <w:r>
              <w:rPr>
                <w:rFonts w:ascii="Arial"/>
                <w:sz w:val="21"/>
              </w:rPr>
              <w:t>--</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Arial" w:hAnsi="Arial" w:cs="Arial" w:eastAsia="Arial" w:hint="default"/>
                <w:sz w:val="21"/>
                <w:szCs w:val="21"/>
              </w:rPr>
            </w:pPr>
            <w:r>
              <w:rPr>
                <w:rFonts w:ascii="Arial"/>
                <w:sz w:val="21"/>
              </w:rPr>
              <w:t>--</w:t>
            </w:r>
          </w:p>
        </w:tc>
        <w:tc>
          <w:tcPr>
            <w:tcW w:w="1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 w:right="0"/>
              <w:jc w:val="center"/>
              <w:rPr>
                <w:rFonts w:ascii="Arial" w:hAnsi="Arial" w:cs="Arial" w:eastAsia="Arial" w:hint="default"/>
                <w:sz w:val="21"/>
                <w:szCs w:val="21"/>
              </w:rPr>
            </w:pPr>
            <w:r>
              <w:rPr>
                <w:rFonts w:ascii="Arial"/>
                <w:sz w:val="21"/>
              </w:rPr>
              <w:t>--</w:t>
            </w:r>
          </w:p>
        </w:tc>
        <w:tc>
          <w:tcPr>
            <w:tcW w:w="1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Arial" w:hAnsi="Arial" w:cs="Arial" w:eastAsia="Arial" w:hint="default"/>
                <w:sz w:val="21"/>
                <w:szCs w:val="21"/>
              </w:rPr>
            </w:pPr>
            <w:r>
              <w:rPr>
                <w:rFonts w:ascii="Arial"/>
                <w:sz w:val="21"/>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Arial" w:hAnsi="Arial" w:cs="Arial" w:eastAsia="Arial" w:hint="default"/>
                <w:sz w:val="21"/>
                <w:szCs w:val="21"/>
              </w:rPr>
            </w:pPr>
            <w:r>
              <w:rPr>
                <w:rFonts w:ascii="Arial"/>
                <w:w w:val="95"/>
                <w:sz w:val="21"/>
              </w:rPr>
              <w:t>317.69</w:t>
            </w:r>
            <w:r>
              <w:rPr>
                <w:rFonts w:ascii="Arial"/>
                <w:sz w:val="21"/>
              </w:rPr>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87" w:right="0"/>
              <w:jc w:val="left"/>
              <w:rPr>
                <w:rFonts w:ascii="Arial" w:hAnsi="Arial" w:cs="Arial" w:eastAsia="Arial" w:hint="default"/>
                <w:sz w:val="21"/>
                <w:szCs w:val="21"/>
              </w:rPr>
            </w:pPr>
            <w:r>
              <w:rPr>
                <w:rFonts w:ascii="Arial"/>
                <w:sz w:val="21"/>
              </w:rPr>
              <w:t>--</w:t>
            </w:r>
          </w:p>
        </w:tc>
      </w:tr>
    </w:tbl>
    <w:p>
      <w:pPr>
        <w:spacing w:after="0" w:line="240" w:lineRule="auto"/>
        <w:jc w:val="left"/>
        <w:rPr>
          <w:rFonts w:ascii="Arial" w:hAnsi="Arial" w:cs="Arial" w:eastAsia="Arial" w:hint="default"/>
          <w:sz w:val="21"/>
          <w:szCs w:val="21"/>
        </w:rPr>
        <w:sectPr>
          <w:type w:val="continuous"/>
          <w:pgSz w:w="11910" w:h="16840"/>
          <w:pgMar w:top="1060" w:bottom="1160" w:left="1020" w:right="0"/>
        </w:sectPr>
      </w:pPr>
    </w:p>
    <w:p>
      <w:pPr>
        <w:pStyle w:val="Heading3"/>
        <w:spacing w:line="240" w:lineRule="auto" w:before="4"/>
        <w:ind w:right="-20"/>
        <w:jc w:val="left"/>
      </w:pPr>
      <w:r>
        <w:rPr/>
        <w:t>公司董事、高级管理人员报告期内被授予的股权激励情况</w:t>
      </w:r>
    </w:p>
    <w:p>
      <w:pPr>
        <w:pStyle w:val="Heading3"/>
        <w:spacing w:line="240" w:lineRule="auto" w:before="36"/>
        <w:ind w:right="-2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before="0"/>
        <w:ind w:right="0"/>
        <w:jc w:val="left"/>
      </w:pPr>
      <w:r>
        <w:rPr/>
        <w:t>单位：股</w:t>
      </w:r>
    </w:p>
    <w:p>
      <w:pPr>
        <w:spacing w:after="0" w:line="240" w:lineRule="auto"/>
        <w:jc w:val="left"/>
        <w:sectPr>
          <w:type w:val="continuous"/>
          <w:pgSz w:w="11910" w:h="16840"/>
          <w:pgMar w:top="1060" w:bottom="1160" w:left="1020" w:right="0"/>
          <w:cols w:num="2" w:equalWidth="0">
            <w:col w:w="6113" w:space="2685"/>
            <w:col w:w="2092"/>
          </w:cols>
        </w:sectPr>
      </w:pP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865"/>
        <w:gridCol w:w="870"/>
        <w:gridCol w:w="869"/>
        <w:gridCol w:w="869"/>
        <w:gridCol w:w="870"/>
        <w:gridCol w:w="870"/>
        <w:gridCol w:w="870"/>
        <w:gridCol w:w="870"/>
        <w:gridCol w:w="870"/>
        <w:gridCol w:w="870"/>
        <w:gridCol w:w="870"/>
      </w:tblGrid>
      <w:tr>
        <w:trPr>
          <w:trHeight w:val="1960" w:hRule="exact"/>
        </w:trPr>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7"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73" w:lineRule="auto"/>
              <w:ind w:left="114" w:right="114"/>
              <w:jc w:val="both"/>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w w:val="99"/>
                <w:sz w:val="21"/>
                <w:szCs w:val="21"/>
              </w:rPr>
              <w:t> </w:t>
            </w:r>
            <w:r>
              <w:rPr>
                <w:rFonts w:ascii="宋体" w:hAnsi="宋体" w:cs="宋体" w:eastAsia="宋体" w:hint="default"/>
                <w:sz w:val="21"/>
                <w:szCs w:val="21"/>
              </w:rPr>
              <w:t>内可行</w:t>
            </w:r>
            <w:r>
              <w:rPr>
                <w:rFonts w:ascii="宋体" w:hAnsi="宋体" w:cs="宋体" w:eastAsia="宋体" w:hint="default"/>
                <w:w w:val="99"/>
                <w:sz w:val="21"/>
                <w:szCs w:val="21"/>
              </w:rPr>
              <w:t> </w:t>
            </w:r>
            <w:r>
              <w:rPr>
                <w:rFonts w:ascii="宋体" w:hAnsi="宋体" w:cs="宋体" w:eastAsia="宋体" w:hint="default"/>
                <w:sz w:val="21"/>
                <w:szCs w:val="21"/>
              </w:rPr>
              <w:t>权股数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73" w:lineRule="auto"/>
              <w:ind w:left="113" w:right="114"/>
              <w:jc w:val="both"/>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w w:val="99"/>
                <w:sz w:val="21"/>
                <w:szCs w:val="21"/>
              </w:rPr>
              <w:t> </w:t>
            </w:r>
            <w:r>
              <w:rPr>
                <w:rFonts w:ascii="宋体" w:hAnsi="宋体" w:cs="宋体" w:eastAsia="宋体" w:hint="default"/>
                <w:sz w:val="21"/>
                <w:szCs w:val="21"/>
              </w:rPr>
              <w:t>内已行</w:t>
            </w:r>
            <w:r>
              <w:rPr>
                <w:rFonts w:ascii="宋体" w:hAnsi="宋体" w:cs="宋体" w:eastAsia="宋体" w:hint="default"/>
                <w:w w:val="99"/>
                <w:sz w:val="21"/>
                <w:szCs w:val="21"/>
              </w:rPr>
              <w:t> </w:t>
            </w:r>
            <w:r>
              <w:rPr>
                <w:rFonts w:ascii="宋体" w:hAnsi="宋体" w:cs="宋体" w:eastAsia="宋体" w:hint="default"/>
                <w:sz w:val="21"/>
                <w:szCs w:val="21"/>
              </w:rPr>
              <w:t>权股数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auto" w:before="25"/>
              <w:ind w:left="85" w:right="84" w:firstLine="31"/>
              <w:jc w:val="both"/>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w w:val="99"/>
                <w:sz w:val="21"/>
                <w:szCs w:val="21"/>
              </w:rPr>
              <w:t> </w:t>
            </w:r>
            <w:r>
              <w:rPr>
                <w:rFonts w:ascii="宋体" w:hAnsi="宋体" w:cs="宋体" w:eastAsia="宋体" w:hint="default"/>
                <w:sz w:val="21"/>
                <w:szCs w:val="21"/>
              </w:rPr>
              <w:t>内已行</w:t>
            </w:r>
            <w:r>
              <w:rPr>
                <w:rFonts w:ascii="宋体" w:hAnsi="宋体" w:cs="宋体" w:eastAsia="宋体" w:hint="default"/>
                <w:w w:val="99"/>
                <w:sz w:val="21"/>
                <w:szCs w:val="21"/>
              </w:rPr>
              <w:t> </w:t>
            </w:r>
            <w:r>
              <w:rPr>
                <w:rFonts w:ascii="宋体" w:hAnsi="宋体" w:cs="宋体" w:eastAsia="宋体" w:hint="default"/>
                <w:sz w:val="21"/>
                <w:szCs w:val="21"/>
              </w:rPr>
              <w:t>权股数</w:t>
            </w:r>
            <w:r>
              <w:rPr>
                <w:rFonts w:ascii="宋体" w:hAnsi="宋体" w:cs="宋体" w:eastAsia="宋体" w:hint="default"/>
                <w:w w:val="99"/>
                <w:sz w:val="21"/>
                <w:szCs w:val="21"/>
              </w:rPr>
              <w:t> </w:t>
            </w:r>
            <w:r>
              <w:rPr>
                <w:rFonts w:ascii="宋体" w:hAnsi="宋体" w:cs="宋体" w:eastAsia="宋体" w:hint="default"/>
                <w:sz w:val="21"/>
                <w:szCs w:val="21"/>
              </w:rPr>
              <w:t>行权价</w:t>
            </w:r>
            <w:r>
              <w:rPr>
                <w:rFonts w:ascii="宋体" w:hAnsi="宋体" w:cs="宋体" w:eastAsia="宋体" w:hint="default"/>
                <w:w w:val="99"/>
                <w:sz w:val="21"/>
                <w:szCs w:val="21"/>
              </w:rPr>
              <w:t> </w:t>
            </w:r>
            <w:r>
              <w:rPr>
                <w:rFonts w:ascii="宋体" w:hAnsi="宋体" w:cs="宋体" w:eastAsia="宋体" w:hint="default"/>
                <w:sz w:val="21"/>
                <w:szCs w:val="21"/>
              </w:rPr>
              <w:t>格（元</w:t>
            </w:r>
            <w:r>
              <w:rPr>
                <w:rFonts w:ascii="Arial" w:hAnsi="Arial" w:cs="Arial" w:eastAsia="Arial" w:hint="default"/>
                <w:sz w:val="21"/>
                <w:szCs w:val="21"/>
              </w:rPr>
              <w:t>/</w:t>
            </w:r>
            <w:r>
              <w:rPr>
                <w:rFonts w:ascii="Arial" w:hAnsi="Arial" w:cs="Arial" w:eastAsia="Arial" w:hint="default"/>
                <w:w w:val="99"/>
                <w:sz w:val="21"/>
                <w:szCs w:val="21"/>
              </w:rPr>
              <w:t> </w:t>
            </w:r>
            <w:r>
              <w:rPr>
                <w:rFonts w:ascii="宋体" w:hAnsi="宋体" w:cs="宋体" w:eastAsia="宋体" w:hint="default"/>
                <w:sz w:val="21"/>
                <w:szCs w:val="21"/>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73" w:lineRule="auto"/>
              <w:ind w:left="114" w:right="114"/>
              <w:jc w:val="left"/>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w w:val="99"/>
                <w:sz w:val="21"/>
                <w:szCs w:val="21"/>
              </w:rPr>
              <w:t> </w:t>
            </w:r>
            <w:r>
              <w:rPr>
                <w:rFonts w:ascii="宋体" w:hAnsi="宋体" w:cs="宋体" w:eastAsia="宋体" w:hint="default"/>
                <w:sz w:val="21"/>
                <w:szCs w:val="21"/>
              </w:rPr>
              <w:t>末市价</w:t>
            </w:r>
          </w:p>
          <w:p>
            <w:pPr>
              <w:pStyle w:val="TableParagraph"/>
              <w:spacing w:line="240" w:lineRule="auto" w:before="7"/>
              <w:ind w:left="23" w:right="0"/>
              <w:jc w:val="left"/>
              <w:rPr>
                <w:rFonts w:ascii="宋体" w:hAnsi="宋体" w:cs="宋体" w:eastAsia="宋体" w:hint="default"/>
                <w:sz w:val="21"/>
                <w:szCs w:val="21"/>
              </w:rPr>
            </w:pP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3"/>
                <w:szCs w:val="23"/>
              </w:rPr>
            </w:pPr>
          </w:p>
          <w:p>
            <w:pPr>
              <w:pStyle w:val="TableParagraph"/>
              <w:spacing w:line="310" w:lineRule="atLeast"/>
              <w:ind w:left="116" w:right="113"/>
              <w:jc w:val="both"/>
              <w:rPr>
                <w:rFonts w:ascii="宋体" w:hAnsi="宋体" w:cs="宋体" w:eastAsia="宋体" w:hint="default"/>
                <w:sz w:val="21"/>
                <w:szCs w:val="21"/>
              </w:rPr>
            </w:pPr>
            <w:r>
              <w:rPr>
                <w:rFonts w:ascii="宋体" w:hAnsi="宋体" w:cs="宋体" w:eastAsia="宋体" w:hint="default"/>
                <w:sz w:val="21"/>
                <w:szCs w:val="21"/>
              </w:rPr>
              <w:t>期初持</w:t>
            </w:r>
            <w:r>
              <w:rPr>
                <w:rFonts w:ascii="宋体" w:hAnsi="宋体" w:cs="宋体" w:eastAsia="宋体" w:hint="default"/>
                <w:w w:val="99"/>
                <w:sz w:val="21"/>
                <w:szCs w:val="21"/>
              </w:rPr>
              <w:t> </w:t>
            </w:r>
            <w:r>
              <w:rPr>
                <w:rFonts w:ascii="宋体" w:hAnsi="宋体" w:cs="宋体" w:eastAsia="宋体" w:hint="default"/>
                <w:sz w:val="21"/>
                <w:szCs w:val="21"/>
              </w:rPr>
              <w:t>有限制</w:t>
            </w:r>
            <w:r>
              <w:rPr>
                <w:rFonts w:ascii="宋体" w:hAnsi="宋体" w:cs="宋体" w:eastAsia="宋体" w:hint="default"/>
                <w:w w:val="99"/>
                <w:sz w:val="21"/>
                <w:szCs w:val="21"/>
              </w:rPr>
              <w:t> </w:t>
            </w:r>
            <w:r>
              <w:rPr>
                <w:rFonts w:ascii="宋体" w:hAnsi="宋体" w:cs="宋体" w:eastAsia="宋体" w:hint="default"/>
                <w:sz w:val="21"/>
                <w:szCs w:val="21"/>
              </w:rPr>
              <w:t>性股票</w:t>
            </w:r>
          </w:p>
          <w:p>
            <w:pPr>
              <w:pStyle w:val="TableParagraph"/>
              <w:spacing w:line="97" w:lineRule="exact"/>
              <w:ind w:left="-160" w:right="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p>
            <w:pPr>
              <w:pStyle w:val="TableParagraph"/>
              <w:spacing w:line="215" w:lineRule="exact"/>
              <w:ind w:left="219"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73" w:lineRule="auto"/>
              <w:ind w:left="114" w:right="114"/>
              <w:jc w:val="both"/>
              <w:rPr>
                <w:rFonts w:ascii="宋体" w:hAnsi="宋体" w:cs="宋体" w:eastAsia="宋体" w:hint="default"/>
                <w:sz w:val="21"/>
                <w:szCs w:val="21"/>
              </w:rPr>
            </w:pPr>
            <w:r>
              <w:rPr>
                <w:rFonts w:ascii="宋体" w:hAnsi="宋体" w:cs="宋体" w:eastAsia="宋体" w:hint="default"/>
                <w:sz w:val="21"/>
                <w:szCs w:val="21"/>
              </w:rPr>
              <w:t>本期已</w:t>
            </w:r>
            <w:r>
              <w:rPr>
                <w:rFonts w:ascii="宋体" w:hAnsi="宋体" w:cs="宋体" w:eastAsia="宋体" w:hint="default"/>
                <w:w w:val="99"/>
                <w:sz w:val="21"/>
                <w:szCs w:val="21"/>
              </w:rPr>
              <w:t> </w:t>
            </w:r>
            <w:r>
              <w:rPr>
                <w:rFonts w:ascii="宋体" w:hAnsi="宋体" w:cs="宋体" w:eastAsia="宋体" w:hint="default"/>
                <w:sz w:val="21"/>
                <w:szCs w:val="21"/>
              </w:rPr>
              <w:t>解锁股</w:t>
            </w:r>
            <w:r>
              <w:rPr>
                <w:rFonts w:ascii="宋体" w:hAnsi="宋体" w:cs="宋体" w:eastAsia="宋体" w:hint="default"/>
                <w:w w:val="99"/>
                <w:sz w:val="21"/>
                <w:szCs w:val="21"/>
              </w:rPr>
              <w:t> </w:t>
            </w:r>
            <w:r>
              <w:rPr>
                <w:rFonts w:ascii="宋体" w:hAnsi="宋体" w:cs="宋体" w:eastAsia="宋体" w:hint="default"/>
                <w:sz w:val="21"/>
                <w:szCs w:val="21"/>
              </w:rPr>
              <w:t>份数量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3"/>
                <w:szCs w:val="13"/>
              </w:rPr>
            </w:pPr>
          </w:p>
          <w:p>
            <w:pPr>
              <w:pStyle w:val="TableParagraph"/>
              <w:spacing w:line="273" w:lineRule="auto"/>
              <w:ind w:left="116" w:right="113"/>
              <w:jc w:val="center"/>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w w:val="99"/>
                <w:sz w:val="21"/>
                <w:szCs w:val="21"/>
              </w:rPr>
              <w:t> </w:t>
            </w:r>
            <w:r>
              <w:rPr>
                <w:rFonts w:ascii="宋体" w:hAnsi="宋体" w:cs="宋体" w:eastAsia="宋体" w:hint="default"/>
                <w:sz w:val="21"/>
                <w:szCs w:val="21"/>
              </w:rPr>
              <w:t>新授予</w:t>
            </w:r>
            <w:r>
              <w:rPr>
                <w:rFonts w:ascii="宋体" w:hAnsi="宋体" w:cs="宋体" w:eastAsia="宋体" w:hint="default"/>
                <w:w w:val="99"/>
                <w:sz w:val="21"/>
                <w:szCs w:val="21"/>
              </w:rPr>
              <w:t> </w:t>
            </w:r>
            <w:r>
              <w:rPr>
                <w:rFonts w:ascii="宋体" w:hAnsi="宋体" w:cs="宋体" w:eastAsia="宋体" w:hint="default"/>
                <w:sz w:val="21"/>
                <w:szCs w:val="21"/>
              </w:rPr>
              <w:t>限制性</w:t>
            </w:r>
            <w:r>
              <w:rPr>
                <w:rFonts w:ascii="宋体" w:hAnsi="宋体" w:cs="宋体" w:eastAsia="宋体" w:hint="default"/>
                <w:w w:val="99"/>
                <w:sz w:val="21"/>
                <w:szCs w:val="21"/>
              </w:rPr>
              <w:t> </w:t>
            </w:r>
            <w:r>
              <w:rPr>
                <w:rFonts w:ascii="宋体" w:hAnsi="宋体" w:cs="宋体" w:eastAsia="宋体" w:hint="default"/>
                <w:sz w:val="21"/>
                <w:szCs w:val="21"/>
              </w:rPr>
              <w:t>股票数</w:t>
            </w:r>
            <w:r>
              <w:rPr>
                <w:rFonts w:ascii="宋体" w:hAnsi="宋体" w:cs="宋体" w:eastAsia="宋体" w:hint="default"/>
                <w:w w:val="99"/>
                <w:sz w:val="21"/>
                <w:szCs w:val="21"/>
              </w:rPr>
              <w:t> </w:t>
            </w:r>
            <w:r>
              <w:rPr>
                <w:rFonts w:ascii="宋体" w:hAnsi="宋体" w:cs="宋体" w:eastAsia="宋体" w:hint="default"/>
                <w:sz w:val="21"/>
                <w:szCs w:val="21"/>
              </w:rPr>
              <w:t>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3"/>
                <w:szCs w:val="13"/>
              </w:rPr>
            </w:pPr>
          </w:p>
          <w:p>
            <w:pPr>
              <w:pStyle w:val="TableParagraph"/>
              <w:spacing w:line="268" w:lineRule="auto"/>
              <w:ind w:left="86" w:right="85" w:firstLine="28"/>
              <w:jc w:val="both"/>
              <w:rPr>
                <w:rFonts w:ascii="宋体" w:hAnsi="宋体" w:cs="宋体" w:eastAsia="宋体" w:hint="default"/>
                <w:sz w:val="21"/>
                <w:szCs w:val="21"/>
              </w:rPr>
            </w:pPr>
            <w:r>
              <w:rPr>
                <w:rFonts w:ascii="宋体" w:hAnsi="宋体" w:cs="宋体" w:eastAsia="宋体" w:hint="default"/>
                <w:sz w:val="21"/>
                <w:szCs w:val="21"/>
              </w:rPr>
              <w:t>限制性</w:t>
            </w:r>
            <w:r>
              <w:rPr>
                <w:rFonts w:ascii="宋体" w:hAnsi="宋体" w:cs="宋体" w:eastAsia="宋体" w:hint="default"/>
                <w:w w:val="99"/>
                <w:sz w:val="21"/>
                <w:szCs w:val="21"/>
              </w:rPr>
              <w:t> </w:t>
            </w:r>
            <w:r>
              <w:rPr>
                <w:rFonts w:ascii="宋体" w:hAnsi="宋体" w:cs="宋体" w:eastAsia="宋体" w:hint="default"/>
                <w:sz w:val="21"/>
                <w:szCs w:val="21"/>
              </w:rPr>
              <w:t>股票的</w:t>
            </w:r>
            <w:r>
              <w:rPr>
                <w:rFonts w:ascii="宋体" w:hAnsi="宋体" w:cs="宋体" w:eastAsia="宋体" w:hint="default"/>
                <w:w w:val="99"/>
                <w:sz w:val="21"/>
                <w:szCs w:val="21"/>
              </w:rPr>
              <w:t> </w:t>
            </w:r>
            <w:r>
              <w:rPr>
                <w:rFonts w:ascii="宋体" w:hAnsi="宋体" w:cs="宋体" w:eastAsia="宋体" w:hint="default"/>
                <w:sz w:val="21"/>
                <w:szCs w:val="21"/>
              </w:rPr>
              <w:t>授予价</w:t>
            </w:r>
            <w:r>
              <w:rPr>
                <w:rFonts w:ascii="宋体" w:hAnsi="宋体" w:cs="宋体" w:eastAsia="宋体" w:hint="default"/>
                <w:w w:val="99"/>
                <w:sz w:val="21"/>
                <w:szCs w:val="21"/>
              </w:rPr>
              <w:t> </w:t>
            </w:r>
            <w:r>
              <w:rPr>
                <w:rFonts w:ascii="宋体" w:hAnsi="宋体" w:cs="宋体" w:eastAsia="宋体" w:hint="default"/>
                <w:sz w:val="21"/>
                <w:szCs w:val="21"/>
              </w:rPr>
              <w:t>格（元</w:t>
            </w:r>
            <w:r>
              <w:rPr>
                <w:rFonts w:ascii="Arial" w:hAnsi="Arial" w:cs="Arial" w:eastAsia="Arial" w:hint="default"/>
                <w:sz w:val="21"/>
                <w:szCs w:val="21"/>
              </w:rPr>
              <w:t>/</w:t>
            </w:r>
            <w:r>
              <w:rPr>
                <w:rFonts w:ascii="Arial" w:hAnsi="Arial" w:cs="Arial" w:eastAsia="Arial" w:hint="default"/>
                <w:w w:val="99"/>
                <w:sz w:val="21"/>
                <w:szCs w:val="21"/>
              </w:rPr>
              <w:t> </w:t>
            </w:r>
            <w:r>
              <w:rPr>
                <w:rFonts w:ascii="宋体" w:hAnsi="宋体" w:cs="宋体" w:eastAsia="宋体" w:hint="default"/>
                <w:sz w:val="21"/>
                <w:szCs w:val="21"/>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5"/>
                <w:szCs w:val="25"/>
              </w:rPr>
            </w:pPr>
          </w:p>
          <w:p>
            <w:pPr>
              <w:pStyle w:val="TableParagraph"/>
              <w:spacing w:line="273" w:lineRule="auto"/>
              <w:ind w:left="116" w:right="113"/>
              <w:jc w:val="both"/>
              <w:rPr>
                <w:rFonts w:ascii="宋体" w:hAnsi="宋体" w:cs="宋体" w:eastAsia="宋体" w:hint="default"/>
                <w:sz w:val="21"/>
                <w:szCs w:val="21"/>
              </w:rPr>
            </w:pPr>
            <w:r>
              <w:rPr>
                <w:rFonts w:ascii="宋体" w:hAnsi="宋体" w:cs="宋体" w:eastAsia="宋体" w:hint="default"/>
                <w:sz w:val="21"/>
                <w:szCs w:val="21"/>
              </w:rPr>
              <w:t>期末持</w:t>
            </w:r>
            <w:r>
              <w:rPr>
                <w:rFonts w:ascii="宋体" w:hAnsi="宋体" w:cs="宋体" w:eastAsia="宋体" w:hint="default"/>
                <w:w w:val="99"/>
                <w:sz w:val="21"/>
                <w:szCs w:val="21"/>
              </w:rPr>
              <w:t> </w:t>
            </w:r>
            <w:r>
              <w:rPr>
                <w:rFonts w:ascii="宋体" w:hAnsi="宋体" w:cs="宋体" w:eastAsia="宋体" w:hint="default"/>
                <w:sz w:val="21"/>
                <w:szCs w:val="21"/>
              </w:rPr>
              <w:t>有限制</w:t>
            </w:r>
            <w:r>
              <w:rPr>
                <w:rFonts w:ascii="宋体" w:hAnsi="宋体" w:cs="宋体" w:eastAsia="宋体" w:hint="default"/>
                <w:w w:val="99"/>
                <w:sz w:val="21"/>
                <w:szCs w:val="21"/>
              </w:rPr>
              <w:t> </w:t>
            </w:r>
            <w:r>
              <w:rPr>
                <w:rFonts w:ascii="宋体" w:hAnsi="宋体" w:cs="宋体" w:eastAsia="宋体" w:hint="default"/>
                <w:sz w:val="21"/>
                <w:szCs w:val="21"/>
              </w:rPr>
              <w:t>性股票</w:t>
            </w:r>
            <w:r>
              <w:rPr>
                <w:rFonts w:ascii="宋体" w:hAnsi="宋体" w:cs="宋体" w:eastAsia="宋体" w:hint="default"/>
                <w:w w:val="99"/>
                <w:sz w:val="21"/>
                <w:szCs w:val="21"/>
              </w:rPr>
              <w:t> </w:t>
            </w:r>
            <w:r>
              <w:rPr>
                <w:rFonts w:ascii="宋体" w:hAnsi="宋体" w:cs="宋体" w:eastAsia="宋体" w:hint="default"/>
                <w:sz w:val="21"/>
                <w:szCs w:val="21"/>
              </w:rPr>
              <w:t>数量</w:t>
            </w:r>
          </w:p>
        </w:tc>
      </w:tr>
    </w:tbl>
    <w:p>
      <w:pPr>
        <w:spacing w:after="0" w:line="273" w:lineRule="auto"/>
        <w:jc w:val="both"/>
        <w:rPr>
          <w:rFonts w:ascii="宋体" w:hAnsi="宋体" w:cs="宋体" w:eastAsia="宋体" w:hint="default"/>
          <w:sz w:val="21"/>
          <w:szCs w:val="21"/>
        </w:rPr>
        <w:sectPr>
          <w:type w:val="continuous"/>
          <w:pgSz w:w="11910" w:h="16840"/>
          <w:pgMar w:top="106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865"/>
        <w:gridCol w:w="870"/>
        <w:gridCol w:w="869"/>
        <w:gridCol w:w="869"/>
        <w:gridCol w:w="870"/>
        <w:gridCol w:w="870"/>
        <w:gridCol w:w="870"/>
        <w:gridCol w:w="870"/>
        <w:gridCol w:w="870"/>
        <w:gridCol w:w="870"/>
        <w:gridCol w:w="870"/>
      </w:tblGrid>
      <w:tr>
        <w:trPr>
          <w:trHeight w:val="1026"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王琰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27"/>
              <w:ind w:left="24" w:right="150"/>
              <w:jc w:val="both"/>
              <w:rPr>
                <w:rFonts w:ascii="宋体" w:hAnsi="宋体" w:cs="宋体" w:eastAsia="宋体" w:hint="default"/>
                <w:sz w:val="21"/>
                <w:szCs w:val="21"/>
              </w:rPr>
            </w:pPr>
            <w:r>
              <w:rPr>
                <w:rFonts w:ascii="宋体" w:hAnsi="宋体" w:cs="宋体" w:eastAsia="宋体" w:hint="default"/>
                <w:sz w:val="21"/>
                <w:szCs w:val="21"/>
              </w:rPr>
              <w:t>副总经</w:t>
            </w:r>
            <w:r>
              <w:rPr>
                <w:rFonts w:ascii="宋体" w:hAnsi="宋体" w:cs="宋体" w:eastAsia="宋体" w:hint="default"/>
                <w:w w:val="99"/>
                <w:sz w:val="21"/>
                <w:szCs w:val="21"/>
              </w:rPr>
              <w:t> </w:t>
            </w:r>
            <w:r>
              <w:rPr>
                <w:rFonts w:ascii="宋体" w:hAnsi="宋体" w:cs="宋体" w:eastAsia="宋体" w:hint="default"/>
                <w:sz w:val="21"/>
                <w:szCs w:val="21"/>
              </w:rPr>
              <w:t>理</w:t>
            </w:r>
            <w:r>
              <w:rPr>
                <w:rFonts w:ascii="Arial" w:hAnsi="Arial" w:cs="Arial" w:eastAsia="Arial" w:hint="default"/>
                <w:sz w:val="21"/>
                <w:szCs w:val="21"/>
              </w:rPr>
              <w:t>/</w:t>
            </w:r>
            <w:r>
              <w:rPr>
                <w:rFonts w:ascii="宋体" w:hAnsi="宋体" w:cs="宋体" w:eastAsia="宋体" w:hint="default"/>
                <w:sz w:val="21"/>
                <w:szCs w:val="21"/>
              </w:rPr>
              <w:t>财务</w:t>
            </w:r>
            <w:r>
              <w:rPr>
                <w:rFonts w:ascii="宋体" w:hAnsi="宋体" w:cs="宋体" w:eastAsia="宋体" w:hint="default"/>
                <w:w w:val="99"/>
                <w:sz w:val="21"/>
                <w:szCs w:val="21"/>
              </w:rPr>
              <w:t> </w:t>
            </w:r>
            <w:r>
              <w:rPr>
                <w:rFonts w:ascii="宋体" w:hAnsi="宋体" w:cs="宋体" w:eastAsia="宋体" w:hint="default"/>
                <w:sz w:val="21"/>
                <w:szCs w:val="21"/>
              </w:rPr>
              <w:t>总监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2"/>
              <w:jc w:val="right"/>
              <w:rPr>
                <w:rFonts w:ascii="Arial" w:hAnsi="Arial" w:cs="Arial" w:eastAsia="Arial" w:hint="default"/>
                <w:sz w:val="21"/>
                <w:szCs w:val="21"/>
              </w:rPr>
            </w:pPr>
            <w:r>
              <w:rPr>
                <w:rFonts w:ascii="Arial"/>
                <w:w w:val="99"/>
                <w:sz w:val="21"/>
              </w:rPr>
              <w:t>0</w:t>
            </w:r>
            <w:r>
              <w:rPr>
                <w:rFonts w:ascii="Arial"/>
                <w:sz w:val="21"/>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Arial" w:hAnsi="Arial" w:cs="Arial" w:eastAsia="Arial" w:hint="default"/>
                <w:sz w:val="21"/>
                <w:szCs w:val="21"/>
              </w:rPr>
            </w:pPr>
            <w:r>
              <w:rPr>
                <w:rFonts w:ascii="Arial"/>
                <w:w w:val="99"/>
                <w:sz w:val="21"/>
              </w:rPr>
              <w:t>0</w:t>
            </w:r>
            <w:r>
              <w:rPr>
                <w:rFonts w:ascii="Arial"/>
                <w:sz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Arial" w:hAnsi="Arial" w:cs="Arial" w:eastAsia="Arial" w:hint="default"/>
                <w:sz w:val="21"/>
                <w:szCs w:val="21"/>
              </w:rPr>
            </w:pPr>
            <w:r>
              <w:rPr>
                <w:rFonts w:ascii="Arial"/>
                <w:w w:val="99"/>
                <w:sz w:val="21"/>
              </w:rPr>
              <w:t>0</w:t>
            </w:r>
            <w:r>
              <w:rPr>
                <w:rFonts w:ascii="Arial"/>
                <w:sz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0"/>
              <w:jc w:val="right"/>
              <w:rPr>
                <w:rFonts w:ascii="Arial" w:hAnsi="Arial" w:cs="Arial" w:eastAsia="Arial" w:hint="default"/>
                <w:sz w:val="21"/>
                <w:szCs w:val="21"/>
              </w:rPr>
            </w:pPr>
            <w:r>
              <w:rPr>
                <w:rFonts w:ascii="Arial"/>
                <w:w w:val="95"/>
                <w:sz w:val="21"/>
              </w:rPr>
              <w:t>15.01</w:t>
            </w:r>
            <w:r>
              <w:rPr>
                <w:rFonts w:ascii="Arial"/>
                <w:sz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8"/>
              <w:jc w:val="right"/>
              <w:rPr>
                <w:rFonts w:ascii="Arial" w:hAnsi="Arial" w:cs="Arial" w:eastAsia="Arial" w:hint="default"/>
                <w:sz w:val="21"/>
                <w:szCs w:val="21"/>
              </w:rPr>
            </w:pPr>
            <w:r>
              <w:rPr>
                <w:rFonts w:ascii="Arial"/>
                <w:w w:val="95"/>
                <w:sz w:val="21"/>
              </w:rPr>
              <w:t>213,485</w:t>
            </w:r>
            <w:r>
              <w:rPr>
                <w:rFonts w:ascii="Arial"/>
                <w:sz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Arial" w:hAnsi="Arial" w:cs="Arial" w:eastAsia="Arial" w:hint="default"/>
                <w:sz w:val="21"/>
                <w:szCs w:val="21"/>
              </w:rPr>
            </w:pPr>
            <w:r>
              <w:rPr>
                <w:rFonts w:ascii="Arial"/>
                <w:w w:val="95"/>
                <w:sz w:val="21"/>
              </w:rPr>
              <w:t>108,485</w:t>
            </w:r>
            <w:r>
              <w:rPr>
                <w:rFonts w:ascii="Arial"/>
                <w:sz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Arial" w:hAnsi="Arial" w:cs="Arial" w:eastAsia="Arial" w:hint="default"/>
                <w:sz w:val="21"/>
                <w:szCs w:val="21"/>
              </w:rPr>
            </w:pPr>
            <w:r>
              <w:rPr>
                <w:rFonts w:ascii="Arial"/>
                <w:w w:val="99"/>
                <w:sz w:val="21"/>
              </w:rPr>
              <w:t>0</w:t>
            </w:r>
            <w:r>
              <w:rPr>
                <w:rFonts w:ascii="Arial"/>
                <w:sz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21"/>
              <w:jc w:val="right"/>
              <w:rPr>
                <w:rFonts w:ascii="Arial" w:hAnsi="Arial" w:cs="Arial" w:eastAsia="Arial" w:hint="default"/>
                <w:sz w:val="21"/>
                <w:szCs w:val="21"/>
              </w:rPr>
            </w:pPr>
            <w:r>
              <w:rPr>
                <w:rFonts w:ascii="Arial"/>
                <w:w w:val="99"/>
                <w:sz w:val="21"/>
              </w:rPr>
              <w:t>0</w:t>
            </w:r>
            <w:r>
              <w:rPr>
                <w:rFonts w:ascii="Arial"/>
                <w:sz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8"/>
              <w:jc w:val="right"/>
              <w:rPr>
                <w:rFonts w:ascii="Arial" w:hAnsi="Arial" w:cs="Arial" w:eastAsia="Arial" w:hint="default"/>
                <w:sz w:val="21"/>
                <w:szCs w:val="21"/>
              </w:rPr>
            </w:pPr>
            <w:r>
              <w:rPr>
                <w:rFonts w:ascii="Arial"/>
                <w:w w:val="95"/>
                <w:sz w:val="21"/>
              </w:rPr>
              <w:t>105,000</w:t>
            </w:r>
            <w:r>
              <w:rPr>
                <w:rFonts w:ascii="Arial"/>
                <w:sz w:val="21"/>
              </w:rPr>
            </w:r>
          </w:p>
        </w:tc>
      </w:tr>
      <w:tr>
        <w:trPr>
          <w:trHeight w:val="714"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邢立君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5"/>
              <w:ind w:left="24" w:right="205"/>
              <w:jc w:val="left"/>
              <w:rPr>
                <w:rFonts w:ascii="宋体" w:hAnsi="宋体" w:cs="宋体" w:eastAsia="宋体" w:hint="default"/>
                <w:sz w:val="21"/>
                <w:szCs w:val="21"/>
              </w:rPr>
            </w:pPr>
            <w:r>
              <w:rPr>
                <w:rFonts w:ascii="宋体" w:hAnsi="宋体" w:cs="宋体" w:eastAsia="宋体" w:hint="default"/>
                <w:sz w:val="21"/>
                <w:szCs w:val="21"/>
              </w:rPr>
              <w:t>人力资</w:t>
            </w:r>
            <w:r>
              <w:rPr>
                <w:rFonts w:ascii="宋体" w:hAnsi="宋体" w:cs="宋体" w:eastAsia="宋体" w:hint="default"/>
                <w:w w:val="99"/>
                <w:sz w:val="21"/>
                <w:szCs w:val="21"/>
              </w:rPr>
              <w:t> </w:t>
            </w:r>
            <w:r>
              <w:rPr>
                <w:rFonts w:ascii="宋体" w:hAnsi="宋体" w:cs="宋体" w:eastAsia="宋体" w:hint="default"/>
                <w:sz w:val="21"/>
                <w:szCs w:val="21"/>
              </w:rPr>
              <w:t>源总监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w w:val="99"/>
                <w:sz w:val="21"/>
              </w:rPr>
              <w:t>0</w:t>
            </w:r>
            <w:r>
              <w:rPr>
                <w:rFonts w:ascii="Arial"/>
                <w:sz w:val="21"/>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Arial" w:hAnsi="Arial" w:cs="Arial" w:eastAsia="Arial" w:hint="default"/>
                <w:sz w:val="21"/>
                <w:szCs w:val="21"/>
              </w:rPr>
            </w:pPr>
            <w:r>
              <w:rPr>
                <w:rFonts w:ascii="Arial"/>
                <w:w w:val="99"/>
                <w:sz w:val="21"/>
              </w:rPr>
              <w:t>0</w:t>
            </w:r>
            <w:r>
              <w:rPr>
                <w:rFonts w:ascii="Arial"/>
                <w:sz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Arial" w:hAnsi="Arial" w:cs="Arial" w:eastAsia="Arial" w:hint="default"/>
                <w:sz w:val="21"/>
                <w:szCs w:val="21"/>
              </w:rPr>
            </w:pPr>
            <w:r>
              <w:rPr>
                <w:rFonts w:ascii="Arial"/>
                <w:w w:val="99"/>
                <w:sz w:val="21"/>
              </w:rPr>
              <w:t>0</w:t>
            </w:r>
            <w:r>
              <w:rPr>
                <w:rFonts w:ascii="Arial"/>
                <w:sz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w w:val="95"/>
                <w:sz w:val="21"/>
              </w:rPr>
              <w:t>15.01</w:t>
            </w:r>
            <w:r>
              <w:rPr>
                <w:rFonts w:ascii="Arial"/>
                <w:sz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w w:val="95"/>
                <w:sz w:val="21"/>
              </w:rPr>
              <w:t>213,485</w:t>
            </w:r>
            <w:r>
              <w:rPr>
                <w:rFonts w:ascii="Arial"/>
                <w:sz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w w:val="95"/>
                <w:sz w:val="21"/>
              </w:rPr>
              <w:t>108,485</w:t>
            </w:r>
            <w:r>
              <w:rPr>
                <w:rFonts w:ascii="Arial"/>
                <w:sz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Arial" w:hAnsi="Arial" w:cs="Arial" w:eastAsia="Arial" w:hint="default"/>
                <w:sz w:val="21"/>
                <w:szCs w:val="21"/>
              </w:rPr>
            </w:pPr>
            <w:r>
              <w:rPr>
                <w:rFonts w:ascii="Arial"/>
                <w:w w:val="99"/>
                <w:sz w:val="21"/>
              </w:rPr>
              <w:t>0</w:t>
            </w:r>
            <w:r>
              <w:rPr>
                <w:rFonts w:ascii="Arial"/>
                <w:sz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Arial" w:hAnsi="Arial" w:cs="Arial" w:eastAsia="Arial" w:hint="default"/>
                <w:sz w:val="21"/>
                <w:szCs w:val="21"/>
              </w:rPr>
            </w:pPr>
            <w:r>
              <w:rPr>
                <w:rFonts w:ascii="Arial"/>
                <w:w w:val="99"/>
                <w:sz w:val="21"/>
              </w:rPr>
              <w:t>0</w:t>
            </w:r>
            <w:r>
              <w:rPr>
                <w:rFonts w:ascii="Arial"/>
                <w:sz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w w:val="95"/>
                <w:sz w:val="21"/>
              </w:rPr>
              <w:t>105,000</w:t>
            </w:r>
            <w:r>
              <w:rPr>
                <w:rFonts w:ascii="Arial"/>
                <w:sz w:val="21"/>
              </w:rPr>
            </w:r>
          </w:p>
        </w:tc>
      </w:tr>
      <w:tr>
        <w:trPr>
          <w:trHeight w:val="714"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韦光宇</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4" w:right="205"/>
              <w:jc w:val="left"/>
              <w:rPr>
                <w:rFonts w:ascii="宋体" w:hAnsi="宋体" w:cs="宋体" w:eastAsia="宋体" w:hint="default"/>
                <w:sz w:val="21"/>
                <w:szCs w:val="21"/>
              </w:rPr>
            </w:pPr>
            <w:r>
              <w:rPr>
                <w:rFonts w:ascii="宋体" w:hAnsi="宋体" w:cs="宋体" w:eastAsia="宋体" w:hint="default"/>
                <w:sz w:val="21"/>
                <w:szCs w:val="21"/>
              </w:rPr>
              <w:t>董事会</w:t>
            </w:r>
            <w:r>
              <w:rPr>
                <w:rFonts w:ascii="宋体" w:hAnsi="宋体" w:cs="宋体" w:eastAsia="宋体" w:hint="default"/>
                <w:w w:val="99"/>
                <w:sz w:val="21"/>
                <w:szCs w:val="21"/>
              </w:rPr>
              <w:t> </w:t>
            </w:r>
            <w:r>
              <w:rPr>
                <w:rFonts w:ascii="宋体" w:hAnsi="宋体" w:cs="宋体" w:eastAsia="宋体" w:hint="default"/>
                <w:sz w:val="21"/>
                <w:szCs w:val="21"/>
              </w:rPr>
              <w:t>秘书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w w:val="99"/>
                <w:sz w:val="21"/>
              </w:rPr>
              <w:t>0</w:t>
            </w:r>
            <w:r>
              <w:rPr>
                <w:rFonts w:ascii="Arial"/>
                <w:sz w:val="21"/>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Arial" w:hAnsi="Arial" w:cs="Arial" w:eastAsia="Arial" w:hint="default"/>
                <w:sz w:val="21"/>
                <w:szCs w:val="21"/>
              </w:rPr>
            </w:pPr>
            <w:r>
              <w:rPr>
                <w:rFonts w:ascii="Arial"/>
                <w:w w:val="99"/>
                <w:sz w:val="21"/>
              </w:rPr>
              <w:t>0</w:t>
            </w:r>
            <w:r>
              <w:rPr>
                <w:rFonts w:ascii="Arial"/>
                <w:sz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Arial" w:hAnsi="Arial" w:cs="Arial" w:eastAsia="Arial" w:hint="default"/>
                <w:sz w:val="21"/>
                <w:szCs w:val="21"/>
              </w:rPr>
            </w:pPr>
            <w:r>
              <w:rPr>
                <w:rFonts w:ascii="Arial"/>
                <w:w w:val="99"/>
                <w:sz w:val="21"/>
              </w:rPr>
              <w:t>0</w:t>
            </w:r>
            <w:r>
              <w:rPr>
                <w:rFonts w:ascii="Arial"/>
                <w:sz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w w:val="95"/>
                <w:sz w:val="21"/>
              </w:rPr>
              <w:t>15.01</w:t>
            </w:r>
            <w:r>
              <w:rPr>
                <w:rFonts w:ascii="Arial"/>
                <w:sz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w w:val="95"/>
                <w:sz w:val="21"/>
              </w:rPr>
              <w:t>189,677</w:t>
            </w:r>
            <w:r>
              <w:rPr>
                <w:rFonts w:ascii="Arial"/>
                <w:sz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84,677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Arial" w:hAnsi="Arial" w:cs="Arial" w:eastAsia="Arial" w:hint="default"/>
                <w:sz w:val="21"/>
                <w:szCs w:val="21"/>
              </w:rPr>
            </w:pPr>
            <w:r>
              <w:rPr>
                <w:rFonts w:ascii="Arial"/>
                <w:w w:val="99"/>
                <w:sz w:val="21"/>
              </w:rPr>
              <w:t>0</w:t>
            </w:r>
            <w:r>
              <w:rPr>
                <w:rFonts w:ascii="Arial"/>
                <w:sz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Arial" w:hAnsi="Arial" w:cs="Arial" w:eastAsia="Arial" w:hint="default"/>
                <w:sz w:val="21"/>
                <w:szCs w:val="21"/>
              </w:rPr>
            </w:pPr>
            <w:r>
              <w:rPr>
                <w:rFonts w:ascii="Arial"/>
                <w:w w:val="99"/>
                <w:sz w:val="21"/>
              </w:rPr>
              <w:t>0</w:t>
            </w:r>
            <w:r>
              <w:rPr>
                <w:rFonts w:ascii="Arial"/>
                <w:sz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w w:val="95"/>
                <w:sz w:val="21"/>
              </w:rPr>
              <w:t>105,000</w:t>
            </w:r>
            <w:r>
              <w:rPr>
                <w:rFonts w:ascii="Arial"/>
                <w:sz w:val="21"/>
              </w:rPr>
            </w:r>
          </w:p>
        </w:tc>
      </w:tr>
      <w:tr>
        <w:trPr>
          <w:trHeight w:val="714"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赵晓明</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5"/>
              <w:ind w:left="24" w:right="147"/>
              <w:jc w:val="left"/>
              <w:rPr>
                <w:rFonts w:ascii="宋体" w:hAnsi="宋体" w:cs="宋体" w:eastAsia="宋体" w:hint="default"/>
                <w:sz w:val="21"/>
                <w:szCs w:val="21"/>
              </w:rPr>
            </w:pPr>
            <w:r>
              <w:rPr>
                <w:rFonts w:ascii="宋体" w:hAnsi="宋体" w:cs="宋体" w:eastAsia="宋体" w:hint="default"/>
                <w:sz w:val="21"/>
                <w:szCs w:val="21"/>
              </w:rPr>
              <w:t>董事</w:t>
            </w:r>
            <w:r>
              <w:rPr>
                <w:rFonts w:ascii="Arial" w:hAnsi="Arial" w:cs="Arial" w:eastAsia="Arial" w:hint="default"/>
                <w:sz w:val="21"/>
                <w:szCs w:val="21"/>
              </w:rPr>
              <w:t>/</w:t>
            </w:r>
            <w:r>
              <w:rPr>
                <w:rFonts w:ascii="宋体" w:hAnsi="宋体" w:cs="宋体" w:eastAsia="宋体" w:hint="default"/>
                <w:sz w:val="21"/>
                <w:szCs w:val="21"/>
              </w:rPr>
              <w:t>副</w:t>
            </w:r>
            <w:r>
              <w:rPr>
                <w:rFonts w:ascii="宋体" w:hAnsi="宋体" w:cs="宋体" w:eastAsia="宋体" w:hint="default"/>
                <w:w w:val="99"/>
                <w:sz w:val="21"/>
                <w:szCs w:val="21"/>
              </w:rPr>
              <w:t> </w:t>
            </w:r>
            <w:r>
              <w:rPr>
                <w:rFonts w:ascii="宋体" w:hAnsi="宋体" w:cs="宋体" w:eastAsia="宋体" w:hint="default"/>
                <w:sz w:val="21"/>
                <w:szCs w:val="21"/>
              </w:rPr>
              <w:t>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w w:val="99"/>
                <w:sz w:val="21"/>
              </w:rPr>
              <w:t>0</w:t>
            </w:r>
            <w:r>
              <w:rPr>
                <w:rFonts w:ascii="Arial"/>
                <w:sz w:val="21"/>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Arial" w:hAnsi="Arial" w:cs="Arial" w:eastAsia="Arial" w:hint="default"/>
                <w:sz w:val="21"/>
                <w:szCs w:val="21"/>
              </w:rPr>
            </w:pPr>
            <w:r>
              <w:rPr>
                <w:rFonts w:ascii="Arial"/>
                <w:w w:val="99"/>
                <w:sz w:val="21"/>
              </w:rPr>
              <w:t>0</w:t>
            </w:r>
            <w:r>
              <w:rPr>
                <w:rFonts w:ascii="Arial"/>
                <w:sz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Arial" w:hAnsi="Arial" w:cs="Arial" w:eastAsia="Arial" w:hint="default"/>
                <w:sz w:val="21"/>
                <w:szCs w:val="21"/>
              </w:rPr>
            </w:pPr>
            <w:r>
              <w:rPr>
                <w:rFonts w:ascii="Arial"/>
                <w:w w:val="99"/>
                <w:sz w:val="21"/>
              </w:rPr>
              <w:t>0</w:t>
            </w:r>
            <w:r>
              <w:rPr>
                <w:rFonts w:ascii="Arial"/>
                <w:sz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w w:val="95"/>
                <w:sz w:val="21"/>
              </w:rPr>
              <w:t>15.01</w:t>
            </w:r>
            <w:r>
              <w:rPr>
                <w:rFonts w:ascii="Arial"/>
                <w:sz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w w:val="95"/>
                <w:sz w:val="21"/>
              </w:rPr>
              <w:t>63,485</w:t>
            </w:r>
            <w:r>
              <w:rPr>
                <w:rFonts w:ascii="Arial"/>
                <w:sz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63,485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Arial" w:hAnsi="Arial" w:cs="Arial" w:eastAsia="Arial" w:hint="default"/>
                <w:sz w:val="21"/>
                <w:szCs w:val="21"/>
              </w:rPr>
            </w:pPr>
            <w:r>
              <w:rPr>
                <w:rFonts w:ascii="Arial"/>
                <w:w w:val="99"/>
                <w:sz w:val="21"/>
              </w:rPr>
              <w:t>0</w:t>
            </w:r>
            <w:r>
              <w:rPr>
                <w:rFonts w:ascii="Arial"/>
                <w:sz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Arial" w:hAnsi="Arial" w:cs="Arial" w:eastAsia="Arial" w:hint="default"/>
                <w:sz w:val="21"/>
                <w:szCs w:val="21"/>
              </w:rPr>
            </w:pPr>
            <w:r>
              <w:rPr>
                <w:rFonts w:ascii="Arial"/>
                <w:w w:val="99"/>
                <w:sz w:val="21"/>
              </w:rPr>
              <w:t>0</w:t>
            </w:r>
            <w:r>
              <w:rPr>
                <w:rFonts w:ascii="Arial"/>
                <w:sz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Arial" w:hAnsi="Arial" w:cs="Arial" w:eastAsia="Arial" w:hint="default"/>
                <w:sz w:val="21"/>
                <w:szCs w:val="21"/>
              </w:rPr>
            </w:pPr>
            <w:r>
              <w:rPr>
                <w:rFonts w:ascii="Arial"/>
                <w:w w:val="99"/>
                <w:sz w:val="21"/>
              </w:rPr>
              <w:t>0</w:t>
            </w:r>
            <w:r>
              <w:rPr>
                <w:rFonts w:ascii="Arial"/>
                <w:sz w:val="21"/>
              </w:rPr>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Arial" w:hAnsi="Arial" w:cs="Arial" w:eastAsia="Arial" w:hint="default"/>
                <w:sz w:val="21"/>
                <w:szCs w:val="21"/>
              </w:rPr>
            </w:pPr>
            <w:r>
              <w:rPr>
                <w:rFonts w:ascii="Arial"/>
                <w:sz w:val="21"/>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Arial" w:hAnsi="Arial" w:cs="Arial" w:eastAsia="Arial" w:hint="default"/>
                <w:sz w:val="21"/>
                <w:szCs w:val="21"/>
              </w:rPr>
            </w:pPr>
            <w:r>
              <w:rPr>
                <w:rFonts w:ascii="Arial"/>
                <w:w w:val="99"/>
                <w:sz w:val="21"/>
              </w:rPr>
              <w:t>0</w:t>
            </w:r>
            <w:r>
              <w:rPr>
                <w:rFonts w:ascii="Arial"/>
                <w:sz w:val="21"/>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w w:val="99"/>
                <w:sz w:val="21"/>
              </w:rPr>
              <w:t>0</w:t>
            </w:r>
            <w:r>
              <w:rPr>
                <w:rFonts w:ascii="Arial"/>
                <w:sz w:val="21"/>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Arial" w:hAnsi="Arial" w:cs="Arial" w:eastAsia="Arial" w:hint="default"/>
                <w:sz w:val="21"/>
                <w:szCs w:val="21"/>
              </w:rPr>
            </w:pPr>
            <w:r>
              <w:rPr>
                <w:rFonts w:ascii="Arial"/>
                <w:sz w:val="21"/>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3" w:right="0"/>
              <w:jc w:val="center"/>
              <w:rPr>
                <w:rFonts w:ascii="Arial" w:hAnsi="Arial" w:cs="Arial" w:eastAsia="Arial" w:hint="default"/>
                <w:sz w:val="21"/>
                <w:szCs w:val="21"/>
              </w:rPr>
            </w:pPr>
            <w:r>
              <w:rPr>
                <w:rFonts w:ascii="Arial"/>
                <w:sz w:val="21"/>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w w:val="95"/>
                <w:sz w:val="21"/>
              </w:rPr>
              <w:t>680,132</w:t>
            </w:r>
            <w:r>
              <w:rPr>
                <w:rFonts w:ascii="Arial"/>
                <w:sz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Arial" w:hAnsi="Arial" w:cs="Arial" w:eastAsia="Arial" w:hint="default"/>
                <w:sz w:val="21"/>
                <w:szCs w:val="21"/>
              </w:rPr>
            </w:pPr>
            <w:r>
              <w:rPr>
                <w:rFonts w:ascii="Arial"/>
                <w:w w:val="95"/>
                <w:sz w:val="21"/>
              </w:rPr>
              <w:t>365,132</w:t>
            </w:r>
            <w:r>
              <w:rPr>
                <w:rFonts w:ascii="Arial"/>
                <w:sz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w w:val="99"/>
                <w:sz w:val="21"/>
              </w:rPr>
              <w:t>0</w:t>
            </w:r>
            <w:r>
              <w:rPr>
                <w:rFonts w:ascii="Arial"/>
                <w:sz w:val="21"/>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3" w:right="0"/>
              <w:jc w:val="center"/>
              <w:rPr>
                <w:rFonts w:ascii="Arial" w:hAnsi="Arial" w:cs="Arial" w:eastAsia="Arial" w:hint="default"/>
                <w:sz w:val="21"/>
                <w:szCs w:val="21"/>
              </w:rPr>
            </w:pPr>
            <w:r>
              <w:rPr>
                <w:rFonts w:ascii="Arial"/>
                <w:sz w:val="21"/>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w w:val="95"/>
                <w:sz w:val="21"/>
              </w:rPr>
              <w:t>315,000</w:t>
            </w:r>
            <w:r>
              <w:rPr>
                <w:rFonts w:ascii="Arial"/>
                <w:sz w:val="21"/>
              </w:rPr>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备注</w:t>
            </w:r>
          </w:p>
        </w:tc>
        <w:tc>
          <w:tcPr>
            <w:tcW w:w="86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bl>
    <w:p>
      <w:pPr>
        <w:spacing w:line="240" w:lineRule="auto" w:before="2"/>
        <w:rPr>
          <w:rFonts w:ascii="宋体" w:hAnsi="宋体" w:cs="宋体" w:eastAsia="宋体" w:hint="default"/>
          <w:sz w:val="18"/>
          <w:szCs w:val="18"/>
        </w:rPr>
      </w:pPr>
    </w:p>
    <w:p>
      <w:pPr>
        <w:pStyle w:val="Heading2"/>
        <w:spacing w:line="240" w:lineRule="auto"/>
        <w:ind w:right="996"/>
        <w:jc w:val="left"/>
        <w:rPr>
          <w:b w:val="0"/>
          <w:bCs w:val="0"/>
        </w:rPr>
      </w:pPr>
      <w:bookmarkStart w:name="五、公司员工情况" w:id="123"/>
      <w:bookmarkEnd w:id="123"/>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96"/>
        <w:jc w:val="left"/>
        <w:rPr>
          <w:b w:val="0"/>
          <w:bCs w:val="0"/>
        </w:rPr>
      </w:pPr>
      <w:bookmarkStart w:name="1、员工数量、专业构成及教育程度" w:id="124"/>
      <w:bookmarkEnd w:id="124"/>
      <w:r>
        <w:rPr>
          <w:b w:val="0"/>
          <w:bCs w:val="0"/>
        </w:rPr>
      </w:r>
      <w:r>
        <w:rPr>
          <w:rFonts w:ascii="Arial" w:hAnsi="Arial" w:cs="Arial" w:eastAsia="Arial" w:hint="default"/>
        </w:rPr>
        <w:t>1</w:t>
      </w:r>
      <w:r>
        <w:rPr/>
        <w:t>、员工数量、专业构成及教育程度</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5670"/>
        <w:gridCol w:w="3898"/>
      </w:tblGrid>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母公司在职员工的数量（人）</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Arial" w:hAnsi="Arial" w:cs="Arial" w:eastAsia="Arial" w:hint="default"/>
                <w:sz w:val="21"/>
                <w:szCs w:val="21"/>
              </w:rPr>
            </w:pPr>
            <w:r>
              <w:rPr>
                <w:rFonts w:ascii="Arial"/>
                <w:spacing w:val="-1"/>
                <w:w w:val="95"/>
                <w:sz w:val="21"/>
              </w:rPr>
              <w:t>48</w:t>
            </w:r>
            <w:r>
              <w:rPr>
                <w:rFonts w:ascii="Arial"/>
                <w:spacing w:val="-1"/>
                <w:sz w:val="21"/>
              </w:rPr>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主要子公司在职员工的数量（人）</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w w:val="95"/>
                <w:sz w:val="21"/>
              </w:rPr>
              <w:t>5,986</w:t>
            </w:r>
            <w:r>
              <w:rPr>
                <w:rFonts w:ascii="Arial"/>
                <w:sz w:val="21"/>
              </w:rPr>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在职员工的数量合计（人）</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95"/>
                <w:sz w:val="21"/>
              </w:rPr>
              <w:t>6,034</w:t>
            </w:r>
            <w:r>
              <w:rPr>
                <w:rFonts w:ascii="Arial"/>
                <w:sz w:val="21"/>
              </w:rPr>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当期领取薪酬员工总人数（人）</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w w:val="95"/>
                <w:sz w:val="21"/>
              </w:rPr>
              <w:t>7,639</w:t>
            </w:r>
            <w:r>
              <w:rPr>
                <w:rFonts w:ascii="Arial"/>
                <w:sz w:val="21"/>
              </w:rPr>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母公司及主要子公司需承担费用的离退休职工人数（人）</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Arial" w:hAnsi="Arial" w:cs="Arial" w:eastAsia="Arial" w:hint="default"/>
                <w:sz w:val="21"/>
                <w:szCs w:val="21"/>
              </w:rPr>
            </w:pPr>
            <w:r>
              <w:rPr>
                <w:rFonts w:ascii="Arial"/>
                <w:w w:val="99"/>
                <w:sz w:val="21"/>
              </w:rPr>
              <w:t>0</w:t>
            </w:r>
            <w:r>
              <w:rPr>
                <w:rFonts w:ascii="Arial"/>
                <w:sz w:val="21"/>
              </w:rPr>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1" w:right="1"/>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3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998" w:right="0"/>
              <w:jc w:val="left"/>
              <w:rPr>
                <w:rFonts w:ascii="宋体" w:hAnsi="宋体" w:cs="宋体" w:eastAsia="宋体" w:hint="default"/>
                <w:sz w:val="21"/>
                <w:szCs w:val="21"/>
              </w:rPr>
            </w:pPr>
            <w:r>
              <w:rPr>
                <w:rFonts w:ascii="宋体" w:hAnsi="宋体" w:cs="宋体" w:eastAsia="宋体" w:hint="default"/>
                <w:sz w:val="21"/>
                <w:szCs w:val="21"/>
              </w:rPr>
              <w:t>专业构成人数（人）</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w w:val="95"/>
                <w:sz w:val="21"/>
              </w:rPr>
              <w:t>413</w:t>
            </w:r>
            <w:r>
              <w:rPr>
                <w:rFonts w:ascii="Arial"/>
                <w:sz w:val="21"/>
              </w:rPr>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95"/>
                <w:sz w:val="21"/>
              </w:rPr>
              <w:t>4,907</w:t>
            </w:r>
            <w:r>
              <w:rPr>
                <w:rFonts w:ascii="Arial"/>
                <w:sz w:val="21"/>
              </w:rPr>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w w:val="95"/>
                <w:sz w:val="21"/>
              </w:rPr>
              <w:t>52</w:t>
            </w:r>
            <w:r>
              <w:rPr>
                <w:rFonts w:ascii="Arial"/>
                <w:spacing w:val="-1"/>
                <w:sz w:val="21"/>
              </w:rPr>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Arial" w:hAnsi="Arial" w:cs="Arial" w:eastAsia="Arial" w:hint="default"/>
                <w:sz w:val="21"/>
                <w:szCs w:val="21"/>
              </w:rPr>
            </w:pPr>
            <w:r>
              <w:rPr>
                <w:rFonts w:ascii="Arial"/>
                <w:w w:val="95"/>
                <w:sz w:val="21"/>
              </w:rPr>
              <w:t>662</w:t>
            </w:r>
            <w:r>
              <w:rPr>
                <w:rFonts w:ascii="Arial"/>
                <w:sz w:val="21"/>
              </w:rPr>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w w:val="95"/>
                <w:sz w:val="21"/>
              </w:rPr>
              <w:t>6,034</w:t>
            </w:r>
            <w:r>
              <w:rPr>
                <w:rFonts w:ascii="Arial"/>
                <w:sz w:val="21"/>
              </w:rPr>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1"/>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教育程度类别</w:t>
            </w:r>
          </w:p>
        </w:tc>
        <w:tc>
          <w:tcPr>
            <w:tcW w:w="3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right="22"/>
              <w:jc w:val="right"/>
              <w:rPr>
                <w:rFonts w:ascii="宋体" w:hAnsi="宋体" w:cs="宋体" w:eastAsia="宋体" w:hint="default"/>
                <w:sz w:val="21"/>
                <w:szCs w:val="21"/>
              </w:rPr>
            </w:pPr>
            <w:r>
              <w:rPr>
                <w:rFonts w:ascii="宋体" w:hAnsi="宋体" w:cs="宋体" w:eastAsia="宋体" w:hint="default"/>
                <w:w w:val="95"/>
                <w:sz w:val="21"/>
                <w:szCs w:val="21"/>
              </w:rPr>
              <w:t>数量（人）</w:t>
            </w:r>
            <w:r>
              <w:rPr>
                <w:rFonts w:ascii="宋体" w:hAnsi="宋体" w:cs="宋体" w:eastAsia="宋体" w:hint="default"/>
                <w:sz w:val="21"/>
                <w:szCs w:val="21"/>
              </w:rPr>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硕士研究生及以上学历</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Arial" w:hAnsi="Arial" w:cs="Arial" w:eastAsia="Arial" w:hint="default"/>
                <w:sz w:val="21"/>
                <w:szCs w:val="21"/>
              </w:rPr>
            </w:pPr>
            <w:r>
              <w:rPr>
                <w:rFonts w:ascii="Arial"/>
                <w:w w:val="95"/>
                <w:sz w:val="21"/>
              </w:rPr>
              <w:t>383</w:t>
            </w:r>
            <w:r>
              <w:rPr>
                <w:rFonts w:ascii="Arial"/>
                <w:sz w:val="21"/>
              </w:rPr>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大学本科学历</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w w:val="95"/>
                <w:sz w:val="21"/>
              </w:rPr>
              <w:t>4,483</w:t>
            </w:r>
            <w:r>
              <w:rPr>
                <w:rFonts w:ascii="Arial"/>
                <w:sz w:val="21"/>
              </w:rPr>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大专学历</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95"/>
                <w:sz w:val="21"/>
              </w:rPr>
              <w:t>1,076</w:t>
            </w:r>
            <w:r>
              <w:rPr>
                <w:rFonts w:ascii="Arial"/>
                <w:sz w:val="21"/>
              </w:rPr>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宋体" w:hAnsi="宋体" w:cs="宋体" w:eastAsia="宋体" w:hint="default"/>
                <w:sz w:val="21"/>
                <w:szCs w:val="21"/>
              </w:rPr>
            </w:pPr>
            <w:r>
              <w:rPr>
                <w:rFonts w:ascii="宋体" w:hAnsi="宋体" w:cs="宋体" w:eastAsia="宋体" w:hint="default"/>
                <w:sz w:val="21"/>
                <w:szCs w:val="21"/>
              </w:rPr>
              <w:t>大专以下学历</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w w:val="95"/>
                <w:sz w:val="21"/>
              </w:rPr>
              <w:t>92</w:t>
            </w:r>
            <w:r>
              <w:rPr>
                <w:rFonts w:ascii="Arial"/>
                <w:spacing w:val="-1"/>
                <w:sz w:val="21"/>
              </w:rPr>
            </w:r>
          </w:p>
        </w:tc>
      </w:tr>
      <w:tr>
        <w:trPr>
          <w:trHeight w:val="40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w w:val="95"/>
                <w:sz w:val="21"/>
              </w:rPr>
              <w:t>6,034</w:t>
            </w:r>
            <w:r>
              <w:rPr>
                <w:rFonts w:ascii="Arial"/>
                <w:sz w:val="21"/>
              </w:rPr>
            </w:r>
          </w:p>
        </w:tc>
      </w:tr>
    </w:tbl>
    <w:p>
      <w:pPr>
        <w:spacing w:after="0" w:line="240" w:lineRule="auto"/>
        <w:jc w:val="right"/>
        <w:rPr>
          <w:rFonts w:ascii="Arial" w:hAnsi="Arial" w:cs="Arial" w:eastAsia="Arial" w:hint="default"/>
          <w:sz w:val="21"/>
          <w:szCs w:val="21"/>
        </w:rPr>
        <w:sectPr>
          <w:pgSz w:w="11910" w:h="16840"/>
          <w:pgMar w:header="878" w:footer="978" w:top="1100" w:bottom="1160" w:left="1020" w:right="0"/>
        </w:sectPr>
      </w:pPr>
    </w:p>
    <w:p>
      <w:pPr>
        <w:spacing w:line="240" w:lineRule="auto" w:before="12"/>
        <w:rPr>
          <w:rFonts w:ascii="宋体" w:hAnsi="宋体" w:cs="宋体" w:eastAsia="宋体" w:hint="default"/>
          <w:b/>
          <w:bCs/>
          <w:sz w:val="20"/>
          <w:szCs w:val="20"/>
        </w:rPr>
      </w:pPr>
    </w:p>
    <w:p>
      <w:pPr>
        <w:pStyle w:val="Heading4"/>
        <w:spacing w:line="240" w:lineRule="auto" w:before="34"/>
        <w:ind w:right="996"/>
        <w:jc w:val="left"/>
        <w:rPr>
          <w:b w:val="0"/>
          <w:bCs w:val="0"/>
        </w:rPr>
      </w:pPr>
      <w:bookmarkStart w:name="2、薪酬政策" w:id="125"/>
      <w:bookmarkEnd w:id="125"/>
      <w:r>
        <w:rPr>
          <w:b w:val="0"/>
          <w:bCs w:val="0"/>
        </w:rPr>
      </w:r>
      <w:r>
        <w:rPr>
          <w:rFonts w:ascii="Arial" w:hAnsi="Arial" w:cs="Arial" w:eastAsia="Arial" w:hint="default"/>
        </w:rPr>
        <w:t>2</w:t>
      </w:r>
      <w:r>
        <w:rPr/>
        <w:t>、薪酬政策</w:t>
      </w:r>
      <w:r>
        <w:rPr>
          <w:b w:val="0"/>
          <w:bCs w:val="0"/>
        </w:rPr>
      </w:r>
    </w:p>
    <w:p>
      <w:pPr>
        <w:spacing w:line="240" w:lineRule="auto" w:before="9"/>
        <w:rPr>
          <w:rFonts w:ascii="宋体" w:hAnsi="宋体" w:cs="宋体" w:eastAsia="宋体" w:hint="default"/>
          <w:b/>
          <w:bCs/>
          <w:sz w:val="24"/>
          <w:szCs w:val="24"/>
        </w:rPr>
      </w:pPr>
    </w:p>
    <w:p>
      <w:pPr>
        <w:pStyle w:val="Heading3"/>
        <w:spacing w:line="273" w:lineRule="auto"/>
        <w:ind w:right="1171" w:firstLine="480"/>
        <w:jc w:val="both"/>
      </w:pPr>
      <w:r>
        <w:rPr/>
        <w:t>公司设有完善的薪酬体系，高级管理人员实行年薪制；员工薪酬根据岗位，并结合本地 区同行业薪资水平及公司实际情况进行确定。</w:t>
      </w:r>
    </w:p>
    <w:p>
      <w:pPr>
        <w:spacing w:line="240" w:lineRule="auto" w:before="10"/>
        <w:rPr>
          <w:rFonts w:ascii="宋体" w:hAnsi="宋体" w:cs="宋体" w:eastAsia="宋体" w:hint="default"/>
          <w:sz w:val="23"/>
          <w:szCs w:val="23"/>
        </w:rPr>
      </w:pPr>
    </w:p>
    <w:p>
      <w:pPr>
        <w:pStyle w:val="Heading4"/>
        <w:spacing w:line="240" w:lineRule="auto"/>
        <w:ind w:right="996"/>
        <w:jc w:val="left"/>
        <w:rPr>
          <w:b w:val="0"/>
          <w:bCs w:val="0"/>
        </w:rPr>
      </w:pPr>
      <w:bookmarkStart w:name="3、培训计划" w:id="126"/>
      <w:bookmarkEnd w:id="126"/>
      <w:r>
        <w:rPr>
          <w:b w:val="0"/>
          <w:bCs w:val="0"/>
        </w:rPr>
      </w:r>
      <w:r>
        <w:rPr>
          <w:rFonts w:ascii="Arial" w:hAnsi="Arial" w:cs="Arial" w:eastAsia="Arial" w:hint="default"/>
        </w:rPr>
        <w:t>3</w:t>
      </w:r>
      <w:r>
        <w:rPr/>
        <w:t>、培训计划</w:t>
      </w:r>
      <w:r>
        <w:rPr>
          <w:b w:val="0"/>
          <w:bCs w:val="0"/>
        </w:rPr>
      </w:r>
    </w:p>
    <w:p>
      <w:pPr>
        <w:spacing w:line="240" w:lineRule="auto" w:before="9"/>
        <w:rPr>
          <w:rFonts w:ascii="宋体" w:hAnsi="宋体" w:cs="宋体" w:eastAsia="宋体" w:hint="default"/>
          <w:b/>
          <w:bCs/>
          <w:sz w:val="24"/>
          <w:szCs w:val="24"/>
        </w:rPr>
      </w:pPr>
    </w:p>
    <w:p>
      <w:pPr>
        <w:pStyle w:val="Heading3"/>
        <w:spacing w:line="273" w:lineRule="auto"/>
        <w:ind w:right="1171" w:firstLine="480"/>
        <w:jc w:val="both"/>
      </w:pPr>
      <w:r>
        <w:rPr/>
        <w:t>公司建立健全了培训体系，采用外部培训与内部培训相结合的方式，根据不同岗位制定 具体培训计划，以提高员工素质与技能，促进员工职业发展。同时，为帮助新入职员工增进 对公司及工作环境的了解，迅速进入状态，根据当期新员工的数量，不定期开展新员工入职 培训。</w:t>
      </w:r>
    </w:p>
    <w:p>
      <w:pPr>
        <w:spacing w:line="240" w:lineRule="auto" w:before="10"/>
        <w:rPr>
          <w:rFonts w:ascii="宋体" w:hAnsi="宋体" w:cs="宋体" w:eastAsia="宋体" w:hint="default"/>
          <w:sz w:val="23"/>
          <w:szCs w:val="23"/>
        </w:rPr>
      </w:pPr>
    </w:p>
    <w:p>
      <w:pPr>
        <w:pStyle w:val="Heading4"/>
        <w:spacing w:line="240" w:lineRule="auto"/>
        <w:ind w:right="996"/>
        <w:jc w:val="left"/>
        <w:rPr>
          <w:b w:val="0"/>
          <w:bCs w:val="0"/>
        </w:rPr>
      </w:pPr>
      <w:bookmarkStart w:name="4、劳务外包情况" w:id="127"/>
      <w:bookmarkEnd w:id="127"/>
      <w:r>
        <w:rPr>
          <w:b w:val="0"/>
          <w:bCs w:val="0"/>
        </w:rPr>
      </w:r>
      <w:r>
        <w:rPr>
          <w:rFonts w:ascii="Arial" w:hAnsi="Arial" w:cs="Arial" w:eastAsia="Arial" w:hint="default"/>
        </w:rPr>
        <w:t>4</w:t>
      </w:r>
      <w:r>
        <w:rPr/>
        <w:t>、劳务外包情况</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right="996"/>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after="0" w:line="240" w:lineRule="auto"/>
        <w:jc w:val="left"/>
        <w:sectPr>
          <w:pgSz w:w="11910" w:h="16840"/>
          <w:pgMar w:header="878" w:footer="978" w:top="110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1"/>
        <w:spacing w:line="240" w:lineRule="auto"/>
        <w:ind w:left="2745" w:right="3762"/>
        <w:jc w:val="center"/>
        <w:rPr>
          <w:rFonts w:ascii="宋体" w:hAnsi="宋体" w:cs="宋体" w:eastAsia="宋体" w:hint="default"/>
          <w:b w:val="0"/>
          <w:bCs w:val="0"/>
        </w:rPr>
      </w:pPr>
      <w:bookmarkStart w:name="第九节 公司治理" w:id="128"/>
      <w:bookmarkEnd w:id="128"/>
      <w:r>
        <w:rPr>
          <w:b w:val="0"/>
          <w:bCs w:val="0"/>
        </w:rPr>
      </w:r>
      <w:bookmarkStart w:name="_bookmark7" w:id="129"/>
      <w:bookmarkEnd w:id="129"/>
      <w:r>
        <w:rPr>
          <w:b w:val="0"/>
          <w:bCs w:val="0"/>
        </w:rPr>
      </w:r>
      <w:r>
        <w:rPr>
          <w:rFonts w:ascii="宋体" w:hAnsi="宋体" w:cs="宋体" w:eastAsia="宋体" w:hint="default"/>
        </w:rPr>
        <w:t>第九节</w:t>
      </w:r>
      <w:r>
        <w:rPr>
          <w:rFonts w:ascii="宋体" w:hAnsi="宋体" w:cs="宋体" w:eastAsia="宋体" w:hint="default"/>
          <w:spacing w:val="-7"/>
        </w:rPr>
        <w:t> </w:t>
      </w:r>
      <w:r>
        <w:rPr>
          <w:rFonts w:ascii="宋体" w:hAnsi="宋体" w:cs="宋体" w:eastAsia="宋体" w:hint="default"/>
        </w:rPr>
        <w:t>公司治理</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ind w:right="996"/>
        <w:jc w:val="left"/>
        <w:rPr>
          <w:b w:val="0"/>
          <w:bCs w:val="0"/>
        </w:rPr>
      </w:pPr>
      <w:bookmarkStart w:name="一、公司治理的基本状况" w:id="130"/>
      <w:bookmarkEnd w:id="130"/>
      <w:r>
        <w:rPr>
          <w:b w:val="0"/>
          <w:bCs w:val="0"/>
        </w:rPr>
      </w:r>
      <w:r>
        <w:rPr/>
        <w:t>一、公司治理的基本状况</w:t>
      </w:r>
      <w:r>
        <w:rPr>
          <w:b w:val="0"/>
          <w:bCs w:val="0"/>
        </w:rPr>
      </w:r>
    </w:p>
    <w:p>
      <w:pPr>
        <w:spacing w:line="240" w:lineRule="auto" w:before="8"/>
        <w:rPr>
          <w:rFonts w:ascii="宋体" w:hAnsi="宋体" w:cs="宋体" w:eastAsia="宋体" w:hint="default"/>
          <w:b/>
          <w:bCs/>
          <w:sz w:val="24"/>
          <w:szCs w:val="24"/>
        </w:rPr>
      </w:pPr>
    </w:p>
    <w:p>
      <w:pPr>
        <w:pStyle w:val="Heading3"/>
        <w:spacing w:line="278" w:lineRule="auto"/>
        <w:ind w:right="996" w:firstLine="482"/>
        <w:jc w:val="left"/>
      </w:pPr>
      <w:r>
        <w:rPr/>
        <w:t>报告期内，公司严格按照《公司法》、《证券法》、《上市公司治理准则》、《深圳证 </w:t>
      </w:r>
      <w:r>
        <w:rPr>
          <w:spacing w:val="-3"/>
        </w:rPr>
        <w:t>券交易所创业板股票上市规则》、《深圳证券交易所创业板上市公司规范运作指引》等法律、</w:t>
      </w:r>
      <w:r>
        <w:rPr>
          <w:spacing w:val="-80"/>
        </w:rPr>
        <w:t> </w:t>
      </w:r>
      <w:r>
        <w:rPr>
          <w:spacing w:val="-80"/>
        </w:rPr>
      </w:r>
      <w:r>
        <w:rPr/>
        <w:t>法规和中国证监会有关法律法规等的要求，不断完善公司的法人治理结构，建立健全公司内 部管理和控制制度，规范公司运作，提高公司治理水平。 公司治理的实际状况与中国证监会发布的有关上市公司治理的规范性文件是否存在重大差异</w:t>
      </w:r>
    </w:p>
    <w:p>
      <w:pPr>
        <w:pStyle w:val="Heading3"/>
        <w:spacing w:line="256" w:lineRule="auto"/>
        <w:ind w:right="1154"/>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8"/>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21"/>
          <w:szCs w:val="21"/>
        </w:rPr>
      </w:pPr>
    </w:p>
    <w:p>
      <w:pPr>
        <w:spacing w:line="468" w:lineRule="auto" w:before="0"/>
        <w:ind w:left="592" w:right="1874" w:hanging="480"/>
        <w:jc w:val="left"/>
        <w:rPr>
          <w:rFonts w:ascii="宋体" w:hAnsi="宋体" w:cs="宋体" w:eastAsia="宋体" w:hint="default"/>
          <w:sz w:val="24"/>
          <w:szCs w:val="24"/>
        </w:rPr>
      </w:pPr>
      <w:bookmarkStart w:name="二、公司相对于控股股东在业务、人员、资产、机构、财务等方面的独立情况" w:id="131"/>
      <w:bookmarkEnd w:id="131"/>
      <w:r>
        <w:rPr/>
      </w:r>
      <w:r>
        <w:rPr>
          <w:rFonts w:ascii="宋体" w:hAnsi="宋体" w:cs="宋体" w:eastAsia="宋体" w:hint="default"/>
          <w:b/>
          <w:bCs/>
          <w:sz w:val="24"/>
          <w:szCs w:val="24"/>
        </w:rPr>
        <w:t>二、公司相对于控股股东在业务、人员、资产、机构、财务等方面的独立情况</w:t>
      </w:r>
      <w:r>
        <w:rPr>
          <w:rFonts w:ascii="宋体" w:hAnsi="宋体" w:cs="宋体" w:eastAsia="宋体" w:hint="default"/>
          <w:b/>
          <w:bCs/>
          <w:w w:val="99"/>
          <w:sz w:val="24"/>
          <w:szCs w:val="24"/>
        </w:rPr>
        <w:t> </w:t>
      </w:r>
      <w:r>
        <w:rPr>
          <w:rFonts w:ascii="宋体" w:hAnsi="宋体" w:cs="宋体" w:eastAsia="宋体" w:hint="default"/>
          <w:sz w:val="24"/>
          <w:szCs w:val="24"/>
        </w:rPr>
        <w:t>公司相对于控股股东在业务、人员、资产、机构、财务等方面能够保证独立性。</w:t>
      </w:r>
    </w:p>
    <w:p>
      <w:pPr>
        <w:pStyle w:val="Heading2"/>
        <w:spacing w:line="240" w:lineRule="auto" w:before="70"/>
        <w:ind w:right="996"/>
        <w:jc w:val="left"/>
        <w:rPr>
          <w:b w:val="0"/>
          <w:bCs w:val="0"/>
        </w:rPr>
      </w:pPr>
      <w:bookmarkStart w:name="三、同业竞争情况" w:id="132"/>
      <w:bookmarkEnd w:id="132"/>
      <w:r>
        <w:rPr>
          <w:b w:val="0"/>
          <w:bCs w:val="0"/>
        </w:rPr>
      </w:r>
      <w:r>
        <w:rPr/>
        <w:t>三、同业竞争情况</w:t>
      </w:r>
      <w:r>
        <w:rPr>
          <w:b w:val="0"/>
          <w:bCs w:val="0"/>
        </w:rPr>
      </w:r>
    </w:p>
    <w:p>
      <w:pPr>
        <w:spacing w:line="240" w:lineRule="auto" w:before="12"/>
        <w:rPr>
          <w:rFonts w:ascii="宋体" w:hAnsi="宋体" w:cs="宋体" w:eastAsia="宋体" w:hint="default"/>
          <w:b/>
          <w:bCs/>
          <w:sz w:val="22"/>
          <w:szCs w:val="22"/>
        </w:rPr>
      </w:pPr>
    </w:p>
    <w:p>
      <w:pPr>
        <w:spacing w:line="465" w:lineRule="auto" w:before="0"/>
        <w:ind w:left="112" w:right="4248" w:firstLine="0"/>
        <w:jc w:val="left"/>
        <w:rPr>
          <w:rFonts w:ascii="宋体" w:hAnsi="宋体" w:cs="宋体" w:eastAsia="宋体" w:hint="default"/>
          <w:sz w:val="21"/>
          <w:szCs w:val="21"/>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w:t>
      </w:r>
      <w:bookmarkStart w:name="四、报告期内召开的年度股东大会和临时股东大会的有关情况" w:id="133"/>
      <w:bookmarkEnd w:id="133"/>
      <w:r>
        <w:rPr>
          <w:rFonts w:ascii="宋体" w:hAnsi="宋体" w:cs="宋体" w:eastAsia="宋体" w:hint="default"/>
          <w:sz w:val="24"/>
          <w:szCs w:val="24"/>
        </w:rPr>
      </w:r>
      <w:r>
        <w:rPr>
          <w:rFonts w:ascii="宋体" w:hAnsi="宋体" w:cs="宋体" w:eastAsia="宋体" w:hint="default"/>
          <w:b/>
          <w:bCs/>
          <w:sz w:val="24"/>
          <w:szCs w:val="24"/>
        </w:rPr>
        <w:t>四、报告期内召开的年度股东大会和临时股东大会的有关情况</w:t>
      </w:r>
      <w:r>
        <w:rPr>
          <w:rFonts w:ascii="宋体" w:hAnsi="宋体" w:cs="宋体" w:eastAsia="宋体" w:hint="default"/>
          <w:b/>
          <w:bCs/>
          <w:w w:val="99"/>
          <w:sz w:val="24"/>
          <w:szCs w:val="24"/>
        </w:rPr>
        <w:t> </w:t>
      </w:r>
      <w:bookmarkStart w:name="1、本报告期股东大会情况" w:id="134"/>
      <w:bookmarkEnd w:id="134"/>
      <w:r>
        <w:rPr>
          <w:rFonts w:ascii="宋体" w:hAnsi="宋体" w:cs="宋体" w:eastAsia="宋体" w:hint="default"/>
          <w:b/>
          <w:bCs/>
          <w:w w:val="99"/>
          <w:sz w:val="24"/>
          <w:szCs w:val="24"/>
        </w:rPr>
      </w:r>
      <w:r>
        <w:rPr>
          <w:rFonts w:ascii="Arial" w:hAnsi="Arial" w:cs="Arial" w:eastAsia="Arial"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11"/>
        <w:rPr>
          <w:rFonts w:ascii="宋体" w:hAnsi="宋体" w:cs="宋体" w:eastAsia="宋体" w:hint="default"/>
          <w:b/>
          <w:bCs/>
          <w:sz w:val="8"/>
          <w:szCs w:val="8"/>
        </w:rPr>
      </w:pPr>
    </w:p>
    <w:tbl>
      <w:tblPr>
        <w:tblW w:w="0" w:type="auto"/>
        <w:jc w:val="left"/>
        <w:tblInd w:w="109" w:type="dxa"/>
        <w:tblLayout w:type="fixed"/>
        <w:tblCellMar>
          <w:top w:w="0" w:type="dxa"/>
          <w:left w:w="0" w:type="dxa"/>
          <w:bottom w:w="0" w:type="dxa"/>
          <w:right w:w="0" w:type="dxa"/>
        </w:tblCellMar>
        <w:tblLook w:val="01E0"/>
      </w:tblPr>
      <w:tblGrid>
        <w:gridCol w:w="1952"/>
        <w:gridCol w:w="1238"/>
        <w:gridCol w:w="921"/>
        <w:gridCol w:w="1668"/>
        <w:gridCol w:w="1985"/>
        <w:gridCol w:w="1802"/>
      </w:tblGrid>
      <w:tr>
        <w:trPr>
          <w:trHeight w:val="714" w:hRule="exact"/>
        </w:trPr>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610"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5" w:right="95" w:hanging="92"/>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627"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3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年年度股东大会</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28.74%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5"/>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05</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07</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05</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07</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 w:right="0"/>
              <w:jc w:val="left"/>
              <w:rPr>
                <w:rFonts w:ascii="Arial" w:hAnsi="Arial" w:cs="Arial" w:eastAsia="Arial" w:hint="default"/>
                <w:sz w:val="18"/>
                <w:szCs w:val="18"/>
              </w:rPr>
            </w:pPr>
            <w:hyperlink r:id="rId10">
              <w:r>
                <w:rPr>
                  <w:rFonts w:ascii="Arial"/>
                  <w:sz w:val="18"/>
                </w:rPr>
                <w:t>www.cninfo.com.cn</w:t>
              </w:r>
            </w:hyperlink>
          </w:p>
        </w:tc>
      </w:tr>
      <w:tr>
        <w:trPr>
          <w:trHeight w:val="40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年第一次股东大会</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31.48%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06</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pacing w:val="-5"/>
                <w:sz w:val="18"/>
                <w:szCs w:val="18"/>
              </w:rPr>
              <w:t>11</w:t>
            </w:r>
            <w:r>
              <w:rPr>
                <w:rFonts w:ascii="Arial" w:hAnsi="Arial" w:cs="Arial" w:eastAsia="Arial" w:hint="default"/>
                <w:spacing w:val="-9"/>
                <w:sz w:val="18"/>
                <w:szCs w:val="18"/>
              </w:rPr>
              <w:t> </w:t>
            </w:r>
            <w:r>
              <w:rPr>
                <w:rFonts w:ascii="宋体" w:hAnsi="宋体" w:cs="宋体" w:eastAsia="宋体" w:hint="default"/>
                <w:sz w:val="18"/>
                <w:szCs w:val="18"/>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06</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pacing w:val="-5"/>
                <w:sz w:val="18"/>
                <w:szCs w:val="18"/>
              </w:rPr>
              <w:t>11</w:t>
            </w:r>
            <w:r>
              <w:rPr>
                <w:rFonts w:ascii="Arial" w:hAnsi="Arial" w:cs="Arial" w:eastAsia="Arial" w:hint="default"/>
                <w:spacing w:val="-9"/>
                <w:sz w:val="18"/>
                <w:szCs w:val="18"/>
              </w:rPr>
              <w:t> </w:t>
            </w:r>
            <w:r>
              <w:rPr>
                <w:rFonts w:ascii="宋体" w:hAnsi="宋体" w:cs="宋体" w:eastAsia="宋体" w:hint="default"/>
                <w:sz w:val="18"/>
                <w:szCs w:val="18"/>
              </w:rPr>
              <w:t>日</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Arial" w:hAnsi="Arial" w:cs="Arial" w:eastAsia="Arial" w:hint="default"/>
                <w:sz w:val="18"/>
                <w:szCs w:val="18"/>
              </w:rPr>
            </w:pPr>
            <w:hyperlink r:id="rId10">
              <w:r>
                <w:rPr>
                  <w:rFonts w:ascii="Arial"/>
                  <w:sz w:val="18"/>
                </w:rPr>
                <w:t>www.cninfo.com.cn</w:t>
              </w:r>
            </w:hyperlink>
          </w:p>
        </w:tc>
      </w:tr>
      <w:tr>
        <w:trPr>
          <w:trHeight w:val="40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年第二次股东大会</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31.43%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5"/>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20</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20</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 w:right="0"/>
              <w:jc w:val="left"/>
              <w:rPr>
                <w:rFonts w:ascii="Arial" w:hAnsi="Arial" w:cs="Arial" w:eastAsia="Arial" w:hint="default"/>
                <w:sz w:val="18"/>
                <w:szCs w:val="18"/>
              </w:rPr>
            </w:pPr>
            <w:hyperlink r:id="rId10">
              <w:r>
                <w:rPr>
                  <w:rFonts w:ascii="Arial"/>
                  <w:sz w:val="18"/>
                </w:rPr>
                <w:t>www.cninfo.com.cn</w:t>
              </w:r>
            </w:hyperlink>
          </w:p>
        </w:tc>
      </w:tr>
    </w:tbl>
    <w:p>
      <w:pPr>
        <w:spacing w:line="240" w:lineRule="auto" w:before="5"/>
        <w:rPr>
          <w:rFonts w:ascii="宋体" w:hAnsi="宋体" w:cs="宋体" w:eastAsia="宋体" w:hint="default"/>
          <w:b/>
          <w:bCs/>
          <w:sz w:val="19"/>
          <w:szCs w:val="19"/>
        </w:rPr>
      </w:pPr>
    </w:p>
    <w:p>
      <w:pPr>
        <w:pStyle w:val="Heading4"/>
        <w:spacing w:line="240" w:lineRule="auto" w:before="34"/>
        <w:ind w:right="996"/>
        <w:jc w:val="left"/>
        <w:rPr>
          <w:b w:val="0"/>
          <w:bCs w:val="0"/>
        </w:rPr>
      </w:pPr>
      <w:bookmarkStart w:name="2、表决权恢复的优先股股东请求召开临时股东大会" w:id="135"/>
      <w:bookmarkEnd w:id="135"/>
      <w:r>
        <w:rPr>
          <w:b w:val="0"/>
          <w:bCs w:val="0"/>
        </w:rPr>
      </w:r>
      <w:r>
        <w:rPr>
          <w:rFonts w:ascii="Arial" w:hAnsi="Arial" w:cs="Arial" w:eastAsia="Arial" w:hint="default"/>
        </w:rPr>
        <w:t>2</w:t>
      </w:r>
      <w:r>
        <w:rPr/>
        <w:t>、表决权恢复的优先股股东请求召开临时股东大会</w:t>
      </w:r>
      <w:r>
        <w:rPr>
          <w:b w:val="0"/>
          <w:bCs w:val="0"/>
        </w:rPr>
      </w:r>
    </w:p>
    <w:p>
      <w:pPr>
        <w:spacing w:line="240" w:lineRule="auto" w:before="11"/>
        <w:rPr>
          <w:rFonts w:ascii="宋体" w:hAnsi="宋体" w:cs="宋体" w:eastAsia="宋体" w:hint="default"/>
          <w:b/>
          <w:bCs/>
          <w:sz w:val="22"/>
          <w:szCs w:val="22"/>
        </w:rPr>
      </w:pPr>
    </w:p>
    <w:p>
      <w:pPr>
        <w:spacing w:line="463" w:lineRule="auto" w:before="0"/>
        <w:ind w:left="112" w:right="6658" w:firstLine="0"/>
        <w:jc w:val="left"/>
        <w:rPr>
          <w:rFonts w:ascii="宋体" w:hAnsi="宋体" w:cs="宋体" w:eastAsia="宋体" w:hint="default"/>
          <w:sz w:val="21"/>
          <w:szCs w:val="21"/>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8"/>
          <w:sz w:val="24"/>
          <w:szCs w:val="24"/>
        </w:rPr>
        <w:t> </w:t>
      </w:r>
      <w:r>
        <w:rPr>
          <w:rFonts w:ascii="宋体" w:hAnsi="宋体" w:cs="宋体" w:eastAsia="宋体" w:hint="default"/>
          <w:sz w:val="24"/>
          <w:szCs w:val="24"/>
        </w:rPr>
        <w:t>不适用 </w:t>
      </w:r>
      <w:bookmarkStart w:name="五、报告期内独立董事履行职责的情况" w:id="136"/>
      <w:bookmarkEnd w:id="136"/>
      <w:r>
        <w:rPr>
          <w:rFonts w:ascii="宋体" w:hAnsi="宋体" w:cs="宋体" w:eastAsia="宋体" w:hint="default"/>
          <w:sz w:val="24"/>
          <w:szCs w:val="24"/>
        </w:rPr>
      </w:r>
      <w:r>
        <w:rPr>
          <w:rFonts w:ascii="宋体" w:hAnsi="宋体" w:cs="宋体" w:eastAsia="宋体" w:hint="default"/>
          <w:b/>
          <w:bCs/>
          <w:sz w:val="24"/>
          <w:szCs w:val="24"/>
        </w:rPr>
        <w:t>五、报告期内独立董事履行职责的情况</w:t>
      </w:r>
      <w:r>
        <w:rPr>
          <w:rFonts w:ascii="宋体" w:hAnsi="宋体" w:cs="宋体" w:eastAsia="宋体" w:hint="default"/>
          <w:b/>
          <w:bCs/>
          <w:w w:val="99"/>
          <w:sz w:val="24"/>
          <w:szCs w:val="24"/>
        </w:rPr>
        <w:t> </w:t>
      </w:r>
      <w:bookmarkStart w:name="1、独立董事出席董事会及股东大会的情况" w:id="137"/>
      <w:bookmarkEnd w:id="137"/>
      <w:r>
        <w:rPr>
          <w:rFonts w:ascii="宋体" w:hAnsi="宋体" w:cs="宋体" w:eastAsia="宋体" w:hint="default"/>
          <w:b/>
          <w:bCs/>
          <w:w w:val="99"/>
          <w:sz w:val="24"/>
          <w:szCs w:val="24"/>
        </w:rPr>
      </w:r>
      <w:r>
        <w:rPr>
          <w:rFonts w:ascii="Arial" w:hAnsi="Arial" w:cs="Arial" w:eastAsia="Arial"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3"/>
        <w:rPr>
          <w:rFonts w:ascii="宋体" w:hAnsi="宋体" w:cs="宋体" w:eastAsia="宋体" w:hint="default"/>
          <w:b/>
          <w:bCs/>
          <w:sz w:val="9"/>
          <w:szCs w:val="9"/>
        </w:rPr>
      </w:pPr>
    </w:p>
    <w:tbl>
      <w:tblPr>
        <w:tblW w:w="0" w:type="auto"/>
        <w:jc w:val="left"/>
        <w:tblInd w:w="109" w:type="dxa"/>
        <w:tblLayout w:type="fixed"/>
        <w:tblCellMar>
          <w:top w:w="0" w:type="dxa"/>
          <w:left w:w="0" w:type="dxa"/>
          <w:bottom w:w="0" w:type="dxa"/>
          <w:right w:w="0" w:type="dxa"/>
        </w:tblCellMar>
        <w:tblLook w:val="01E0"/>
      </w:tblPr>
      <w:tblGrid>
        <w:gridCol w:w="993"/>
        <w:gridCol w:w="1134"/>
        <w:gridCol w:w="1134"/>
        <w:gridCol w:w="1275"/>
        <w:gridCol w:w="1134"/>
        <w:gridCol w:w="993"/>
        <w:gridCol w:w="1984"/>
        <w:gridCol w:w="923"/>
      </w:tblGrid>
      <w:tr>
        <w:trPr>
          <w:trHeight w:val="402"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2994" w:right="0"/>
              <w:jc w:val="left"/>
              <w:rPr>
                <w:rFonts w:ascii="宋体" w:hAnsi="宋体" w:cs="宋体" w:eastAsia="宋体" w:hint="default"/>
                <w:sz w:val="21"/>
                <w:szCs w:val="21"/>
              </w:rPr>
            </w:pPr>
            <w:r>
              <w:rPr>
                <w:rFonts w:ascii="宋体" w:hAnsi="宋体" w:cs="宋体" w:eastAsia="宋体" w:hint="default"/>
                <w:sz w:val="21"/>
                <w:szCs w:val="21"/>
              </w:rPr>
              <w:t>独立董事出席董事会及股东大会的情况</w:t>
            </w:r>
          </w:p>
        </w:tc>
      </w:tr>
      <w:tr>
        <w:trPr>
          <w:trHeight w:val="360"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7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37" w:right="0"/>
              <w:jc w:val="left"/>
              <w:rPr>
                <w:rFonts w:ascii="宋体" w:hAnsi="宋体" w:cs="宋体" w:eastAsia="宋体" w:hint="default"/>
                <w:sz w:val="21"/>
                <w:szCs w:val="21"/>
              </w:rPr>
            </w:pPr>
            <w:r>
              <w:rPr>
                <w:rFonts w:ascii="宋体" w:hAnsi="宋体" w:cs="宋体" w:eastAsia="宋体" w:hint="default"/>
                <w:sz w:val="21"/>
                <w:szCs w:val="21"/>
              </w:rPr>
              <w:t>本报告期应</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36" w:right="0"/>
              <w:jc w:val="left"/>
              <w:rPr>
                <w:rFonts w:ascii="宋体" w:hAnsi="宋体" w:cs="宋体" w:eastAsia="宋体" w:hint="default"/>
                <w:sz w:val="21"/>
                <w:szCs w:val="21"/>
              </w:rPr>
            </w:pPr>
            <w:r>
              <w:rPr>
                <w:rFonts w:ascii="宋体" w:hAnsi="宋体" w:cs="宋体" w:eastAsia="宋体" w:hint="default"/>
                <w:sz w:val="21"/>
                <w:szCs w:val="21"/>
              </w:rPr>
              <w:t>现场出席董</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07" w:right="0"/>
              <w:jc w:val="left"/>
              <w:rPr>
                <w:rFonts w:ascii="宋体" w:hAnsi="宋体" w:cs="宋体" w:eastAsia="宋体" w:hint="default"/>
                <w:sz w:val="21"/>
                <w:szCs w:val="21"/>
              </w:rPr>
            </w:pPr>
            <w:r>
              <w:rPr>
                <w:rFonts w:ascii="宋体" w:hAnsi="宋体" w:cs="宋体" w:eastAsia="宋体" w:hint="default"/>
                <w:sz w:val="21"/>
                <w:szCs w:val="21"/>
              </w:rPr>
              <w:t>以通讯方式</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37" w:right="0"/>
              <w:jc w:val="left"/>
              <w:rPr>
                <w:rFonts w:ascii="宋体" w:hAnsi="宋体" w:cs="宋体" w:eastAsia="宋体" w:hint="default"/>
                <w:sz w:val="21"/>
                <w:szCs w:val="21"/>
              </w:rPr>
            </w:pPr>
            <w:r>
              <w:rPr>
                <w:rFonts w:ascii="宋体" w:hAnsi="宋体" w:cs="宋体" w:eastAsia="宋体" w:hint="default"/>
                <w:sz w:val="21"/>
                <w:szCs w:val="21"/>
              </w:rPr>
              <w:t>委托出席董</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72" w:right="0"/>
              <w:jc w:val="left"/>
              <w:rPr>
                <w:rFonts w:ascii="宋体" w:hAnsi="宋体" w:cs="宋体" w:eastAsia="宋体" w:hint="default"/>
                <w:sz w:val="21"/>
                <w:szCs w:val="21"/>
              </w:rPr>
            </w:pPr>
            <w:r>
              <w:rPr>
                <w:rFonts w:ascii="宋体" w:hAnsi="宋体" w:cs="宋体" w:eastAsia="宋体" w:hint="default"/>
                <w:sz w:val="21"/>
                <w:szCs w:val="21"/>
              </w:rPr>
              <w:t>缺席董事</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41" w:right="0"/>
              <w:jc w:val="left"/>
              <w:rPr>
                <w:rFonts w:ascii="宋体" w:hAnsi="宋体" w:cs="宋体" w:eastAsia="宋体" w:hint="default"/>
                <w:sz w:val="21"/>
                <w:szCs w:val="21"/>
              </w:rPr>
            </w:pPr>
            <w:r>
              <w:rPr>
                <w:rFonts w:ascii="宋体" w:hAnsi="宋体" w:cs="宋体" w:eastAsia="宋体" w:hint="default"/>
                <w:sz w:val="21"/>
                <w:szCs w:val="21"/>
              </w:rPr>
              <w:t>是否连续两次未亲自</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35" w:right="0"/>
              <w:jc w:val="left"/>
              <w:rPr>
                <w:rFonts w:ascii="宋体" w:hAnsi="宋体" w:cs="宋体" w:eastAsia="宋体" w:hint="default"/>
                <w:sz w:val="21"/>
                <w:szCs w:val="21"/>
              </w:rPr>
            </w:pPr>
            <w:r>
              <w:rPr>
                <w:rFonts w:ascii="宋体" w:hAnsi="宋体" w:cs="宋体" w:eastAsia="宋体" w:hint="default"/>
                <w:sz w:val="21"/>
                <w:szCs w:val="21"/>
              </w:rPr>
              <w:t>出席股东</w:t>
            </w:r>
          </w:p>
        </w:tc>
      </w:tr>
    </w:tbl>
    <w:p>
      <w:pPr>
        <w:spacing w:after="0" w:line="240" w:lineRule="auto"/>
        <w:jc w:val="left"/>
        <w:rPr>
          <w:rFonts w:ascii="宋体" w:hAnsi="宋体" w:cs="宋体" w:eastAsia="宋体" w:hint="default"/>
          <w:sz w:val="21"/>
          <w:szCs w:val="21"/>
        </w:rPr>
        <w:sectPr>
          <w:pgSz w:w="11910" w:h="16840"/>
          <w:pgMar w:header="878" w:footer="978" w:top="1100" w:bottom="1160" w:left="1020" w:right="0"/>
        </w:sectPr>
      </w:pPr>
    </w:p>
    <w:p>
      <w:pPr>
        <w:spacing w:line="240" w:lineRule="auto" w:before="8"/>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993"/>
        <w:gridCol w:w="1134"/>
        <w:gridCol w:w="1134"/>
        <w:gridCol w:w="1275"/>
        <w:gridCol w:w="1134"/>
        <w:gridCol w:w="993"/>
        <w:gridCol w:w="1984"/>
        <w:gridCol w:w="923"/>
      </w:tblGrid>
      <w:tr>
        <w:trPr>
          <w:trHeight w:val="674"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8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参加董事会</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42" w:right="0"/>
              <w:jc w:val="left"/>
              <w:rPr>
                <w:rFonts w:ascii="宋体" w:hAnsi="宋体" w:cs="宋体" w:eastAsia="宋体" w:hint="default"/>
                <w:sz w:val="21"/>
                <w:szCs w:val="21"/>
              </w:rPr>
            </w:pPr>
            <w:r>
              <w:rPr>
                <w:rFonts w:ascii="宋体" w:hAnsi="宋体" w:cs="宋体" w:eastAsia="宋体" w:hint="default"/>
                <w:sz w:val="21"/>
                <w:szCs w:val="21"/>
              </w:rPr>
              <w:t>事会次数</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参加董事会</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42" w:right="0"/>
              <w:jc w:val="left"/>
              <w:rPr>
                <w:rFonts w:ascii="宋体" w:hAnsi="宋体" w:cs="宋体" w:eastAsia="宋体" w:hint="default"/>
                <w:sz w:val="21"/>
                <w:szCs w:val="21"/>
              </w:rPr>
            </w:pPr>
            <w:r>
              <w:rPr>
                <w:rFonts w:ascii="宋体" w:hAnsi="宋体" w:cs="宋体" w:eastAsia="宋体" w:hint="default"/>
                <w:sz w:val="21"/>
                <w:szCs w:val="21"/>
              </w:rPr>
              <w:t>事会次数</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75" w:right="0"/>
              <w:jc w:val="left"/>
              <w:rPr>
                <w:rFonts w:ascii="宋体" w:hAnsi="宋体" w:cs="宋体" w:eastAsia="宋体" w:hint="default"/>
                <w:sz w:val="21"/>
                <w:szCs w:val="21"/>
              </w:rPr>
            </w:pPr>
            <w:r>
              <w:rPr>
                <w:rFonts w:ascii="宋体" w:hAnsi="宋体" w:cs="宋体" w:eastAsia="宋体" w:hint="default"/>
                <w:sz w:val="21"/>
                <w:szCs w:val="21"/>
              </w:rPr>
              <w:t>会次数</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参加董事会会议</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38"/>
              <w:jc w:val="right"/>
              <w:rPr>
                <w:rFonts w:ascii="宋体" w:hAnsi="宋体" w:cs="宋体" w:eastAsia="宋体" w:hint="default"/>
                <w:sz w:val="21"/>
                <w:szCs w:val="21"/>
              </w:rPr>
            </w:pPr>
            <w:r>
              <w:rPr>
                <w:rFonts w:ascii="宋体" w:hAnsi="宋体" w:cs="宋体" w:eastAsia="宋体" w:hint="default"/>
                <w:w w:val="95"/>
                <w:sz w:val="21"/>
                <w:szCs w:val="21"/>
              </w:rPr>
              <w:t>大会次数</w:t>
            </w:r>
            <w:r>
              <w:rPr>
                <w:rFonts w:ascii="宋体" w:hAnsi="宋体" w:cs="宋体" w:eastAsia="宋体" w:hint="default"/>
                <w:sz w:val="21"/>
                <w:szCs w:val="21"/>
              </w:rPr>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甘培忠</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Arial" w:hAnsi="Arial" w:cs="Arial" w:eastAsia="Arial" w:hint="default"/>
                <w:sz w:val="21"/>
                <w:szCs w:val="21"/>
              </w:rPr>
            </w:pPr>
            <w:r>
              <w:rPr>
                <w:rFonts w:ascii="Arial"/>
                <w:spacing w:val="-1"/>
                <w:w w:val="95"/>
                <w:sz w:val="21"/>
              </w:rPr>
              <w:t>12</w:t>
            </w:r>
            <w:r>
              <w:rPr>
                <w:rFonts w:ascii="Arial"/>
                <w:spacing w:val="-1"/>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w w:val="99"/>
                <w:sz w:val="21"/>
              </w:rPr>
              <w:t>8</w:t>
            </w:r>
            <w:r>
              <w:rPr>
                <w:rFonts w:ascii="Arial"/>
                <w:sz w:val="2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Arial" w:hAnsi="Arial" w:cs="Arial" w:eastAsia="Arial" w:hint="default"/>
                <w:sz w:val="21"/>
                <w:szCs w:val="21"/>
              </w:rPr>
            </w:pPr>
            <w:r>
              <w:rPr>
                <w:rFonts w:ascii="Arial"/>
                <w:w w:val="99"/>
                <w:sz w:val="21"/>
              </w:rPr>
              <w:t>3</w:t>
            </w:r>
            <w:r>
              <w:rPr>
                <w:rFonts w:ascii="Arial"/>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Arial" w:hAnsi="Arial" w:cs="Arial" w:eastAsia="Arial" w:hint="default"/>
                <w:sz w:val="21"/>
                <w:szCs w:val="21"/>
              </w:rPr>
            </w:pPr>
            <w:r>
              <w:rPr>
                <w:rFonts w:ascii="Arial"/>
                <w:w w:val="99"/>
                <w:sz w:val="21"/>
              </w:rPr>
              <w:t>1</w:t>
            </w:r>
            <w:r>
              <w:rPr>
                <w:rFonts w:ascii="Arial"/>
                <w:sz w:val="21"/>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w w:val="99"/>
                <w:sz w:val="21"/>
              </w:rPr>
              <w:t>0</w:t>
            </w:r>
            <w:r>
              <w:rPr>
                <w:rFonts w:ascii="Arial"/>
                <w:sz w:val="21"/>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Arial" w:hAnsi="Arial" w:cs="Arial" w:eastAsia="Arial" w:hint="default"/>
                <w:sz w:val="21"/>
                <w:szCs w:val="21"/>
              </w:rPr>
            </w:pPr>
            <w:r>
              <w:rPr>
                <w:rFonts w:ascii="Arial"/>
                <w:w w:val="99"/>
                <w:sz w:val="21"/>
              </w:rPr>
              <w:t>3</w:t>
            </w:r>
            <w:r>
              <w:rPr>
                <w:rFonts w:ascii="Arial"/>
                <w:sz w:val="21"/>
              </w:rPr>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王琨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Arial" w:hAnsi="Arial" w:cs="Arial" w:eastAsia="Arial" w:hint="default"/>
                <w:sz w:val="21"/>
                <w:szCs w:val="21"/>
              </w:rPr>
            </w:pPr>
            <w:r>
              <w:rPr>
                <w:rFonts w:ascii="Arial"/>
                <w:spacing w:val="-1"/>
                <w:w w:val="95"/>
                <w:sz w:val="21"/>
              </w:rPr>
              <w:t>12</w:t>
            </w:r>
            <w:r>
              <w:rPr>
                <w:rFonts w:ascii="Arial"/>
                <w:spacing w:val="-1"/>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Arial" w:hAnsi="Arial" w:cs="Arial" w:eastAsia="Arial" w:hint="default"/>
                <w:sz w:val="21"/>
                <w:szCs w:val="21"/>
              </w:rPr>
            </w:pPr>
            <w:r>
              <w:rPr>
                <w:rFonts w:ascii="Arial"/>
                <w:w w:val="99"/>
                <w:sz w:val="21"/>
              </w:rPr>
              <w:t>9</w:t>
            </w:r>
            <w:r>
              <w:rPr>
                <w:rFonts w:ascii="Arial"/>
                <w:sz w:val="2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Arial" w:hAnsi="Arial" w:cs="Arial" w:eastAsia="Arial" w:hint="default"/>
                <w:sz w:val="21"/>
                <w:szCs w:val="21"/>
              </w:rPr>
            </w:pPr>
            <w:r>
              <w:rPr>
                <w:rFonts w:ascii="Arial"/>
                <w:w w:val="99"/>
                <w:sz w:val="21"/>
              </w:rPr>
              <w:t>3</w:t>
            </w:r>
            <w:r>
              <w:rPr>
                <w:rFonts w:ascii="Arial"/>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Arial" w:hAnsi="Arial" w:cs="Arial" w:eastAsia="Arial" w:hint="default"/>
                <w:sz w:val="21"/>
                <w:szCs w:val="21"/>
              </w:rPr>
            </w:pPr>
            <w:r>
              <w:rPr>
                <w:rFonts w:ascii="Arial"/>
                <w:w w:val="99"/>
                <w:sz w:val="21"/>
              </w:rPr>
              <w:t>0</w:t>
            </w:r>
            <w:r>
              <w:rPr>
                <w:rFonts w:ascii="Arial"/>
                <w:sz w:val="21"/>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w w:val="99"/>
                <w:sz w:val="21"/>
              </w:rPr>
              <w:t>0</w:t>
            </w:r>
            <w:r>
              <w:rPr>
                <w:rFonts w:ascii="Arial"/>
                <w:sz w:val="21"/>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Arial" w:hAnsi="Arial" w:cs="Arial" w:eastAsia="Arial" w:hint="default"/>
                <w:sz w:val="21"/>
                <w:szCs w:val="21"/>
              </w:rPr>
            </w:pPr>
            <w:r>
              <w:rPr>
                <w:rFonts w:ascii="Arial"/>
                <w:w w:val="99"/>
                <w:sz w:val="21"/>
              </w:rPr>
              <w:t>3</w:t>
            </w:r>
            <w:r>
              <w:rPr>
                <w:rFonts w:ascii="Arial"/>
                <w:sz w:val="21"/>
              </w:rPr>
            </w:r>
          </w:p>
        </w:tc>
      </w:tr>
      <w:tr>
        <w:trPr>
          <w:trHeight w:val="402"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朱恒源</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Arial" w:hAnsi="Arial" w:cs="Arial" w:eastAsia="Arial" w:hint="default"/>
                <w:sz w:val="21"/>
                <w:szCs w:val="21"/>
              </w:rPr>
            </w:pPr>
            <w:r>
              <w:rPr>
                <w:rFonts w:ascii="Arial"/>
                <w:spacing w:val="-1"/>
                <w:w w:val="95"/>
                <w:sz w:val="21"/>
              </w:rPr>
              <w:t>12</w:t>
            </w:r>
            <w:r>
              <w:rPr>
                <w:rFonts w:ascii="Arial"/>
                <w:spacing w:val="-1"/>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w w:val="99"/>
                <w:sz w:val="21"/>
              </w:rPr>
              <w:t>9</w:t>
            </w:r>
            <w:r>
              <w:rPr>
                <w:rFonts w:ascii="Arial"/>
                <w:sz w:val="2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Arial" w:hAnsi="Arial" w:cs="Arial" w:eastAsia="Arial" w:hint="default"/>
                <w:sz w:val="21"/>
                <w:szCs w:val="21"/>
              </w:rPr>
            </w:pPr>
            <w:r>
              <w:rPr>
                <w:rFonts w:ascii="Arial"/>
                <w:w w:val="99"/>
                <w:sz w:val="21"/>
              </w:rPr>
              <w:t>3</w:t>
            </w:r>
            <w:r>
              <w:rPr>
                <w:rFonts w:ascii="Arial"/>
                <w:sz w:val="21"/>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Arial" w:hAnsi="Arial" w:cs="Arial" w:eastAsia="Arial" w:hint="default"/>
                <w:sz w:val="21"/>
                <w:szCs w:val="21"/>
              </w:rPr>
            </w:pPr>
            <w:r>
              <w:rPr>
                <w:rFonts w:ascii="Arial"/>
                <w:w w:val="99"/>
                <w:sz w:val="21"/>
              </w:rPr>
              <w:t>0</w:t>
            </w:r>
            <w:r>
              <w:rPr>
                <w:rFonts w:ascii="Arial"/>
                <w:sz w:val="21"/>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w w:val="99"/>
                <w:sz w:val="21"/>
              </w:rPr>
              <w:t>0</w:t>
            </w:r>
            <w:r>
              <w:rPr>
                <w:rFonts w:ascii="Arial"/>
                <w:sz w:val="21"/>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Arial" w:hAnsi="Arial" w:cs="Arial" w:eastAsia="Arial" w:hint="default"/>
                <w:sz w:val="21"/>
                <w:szCs w:val="21"/>
              </w:rPr>
            </w:pPr>
            <w:r>
              <w:rPr>
                <w:rFonts w:ascii="Arial"/>
                <w:w w:val="99"/>
                <w:sz w:val="21"/>
              </w:rPr>
              <w:t>3</w:t>
            </w:r>
            <w:r>
              <w:rPr>
                <w:rFonts w:ascii="Arial"/>
                <w:sz w:val="21"/>
              </w:rPr>
            </w:r>
          </w:p>
        </w:tc>
      </w:tr>
    </w:tbl>
    <w:p>
      <w:pPr>
        <w:spacing w:before="51"/>
        <w:ind w:left="112" w:right="0" w:firstLine="0"/>
        <w:jc w:val="both"/>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11"/>
        <w:rPr>
          <w:rFonts w:ascii="宋体" w:hAnsi="宋体" w:cs="宋体" w:eastAsia="宋体" w:hint="default"/>
          <w:sz w:val="26"/>
          <w:szCs w:val="26"/>
        </w:rPr>
      </w:pPr>
    </w:p>
    <w:p>
      <w:pPr>
        <w:pStyle w:val="Heading4"/>
        <w:spacing w:line="240" w:lineRule="auto"/>
        <w:ind w:right="0"/>
        <w:jc w:val="both"/>
        <w:rPr>
          <w:b w:val="0"/>
          <w:bCs w:val="0"/>
        </w:rPr>
      </w:pPr>
      <w:bookmarkStart w:name="2、独立董事对公司有关事项提出异议的情况" w:id="138"/>
      <w:bookmarkEnd w:id="138"/>
      <w:r>
        <w:rPr>
          <w:b w:val="0"/>
          <w:bCs w:val="0"/>
        </w:rPr>
      </w:r>
      <w:r>
        <w:rPr>
          <w:rFonts w:ascii="Arial" w:hAnsi="Arial" w:cs="Arial" w:eastAsia="Arial" w:hint="default"/>
        </w:rPr>
        <w:t>2</w:t>
      </w:r>
      <w:r>
        <w:rPr/>
        <w:t>、独立董事对公司有关事项提出异议的情况</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right="0"/>
        <w:jc w:val="both"/>
      </w:pPr>
      <w:r>
        <w:rPr/>
        <w:t>独立董事对公司有关事项是否提出异议</w:t>
      </w:r>
    </w:p>
    <w:p>
      <w:pPr>
        <w:pStyle w:val="Heading3"/>
        <w:spacing w:line="256" w:lineRule="auto" w:before="38"/>
        <w:ind w:right="5714"/>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8"/>
        </w:rPr>
        <w:t> </w:t>
      </w:r>
      <w:r>
        <w:rPr/>
        <w:t>否 报告期内独立董事对公司有关事项未提出异议。</w:t>
      </w:r>
    </w:p>
    <w:p>
      <w:pPr>
        <w:spacing w:line="240" w:lineRule="auto" w:before="3"/>
        <w:rPr>
          <w:rFonts w:ascii="宋体" w:hAnsi="宋体" w:cs="宋体" w:eastAsia="宋体" w:hint="default"/>
          <w:sz w:val="23"/>
          <w:szCs w:val="23"/>
        </w:rPr>
      </w:pPr>
    </w:p>
    <w:p>
      <w:pPr>
        <w:pStyle w:val="Heading4"/>
        <w:spacing w:line="240" w:lineRule="auto"/>
        <w:ind w:right="0"/>
        <w:jc w:val="both"/>
        <w:rPr>
          <w:b w:val="0"/>
          <w:bCs w:val="0"/>
        </w:rPr>
      </w:pPr>
      <w:bookmarkStart w:name="3、独立董事履行职责的其他说明" w:id="139"/>
      <w:bookmarkEnd w:id="139"/>
      <w:r>
        <w:rPr>
          <w:b w:val="0"/>
          <w:bCs w:val="0"/>
        </w:rPr>
      </w:r>
      <w:r>
        <w:rPr>
          <w:rFonts w:ascii="Arial" w:hAnsi="Arial" w:cs="Arial" w:eastAsia="Arial" w:hint="default"/>
        </w:rPr>
        <w:t>3</w:t>
      </w:r>
      <w:r>
        <w:rPr/>
        <w:t>、独立董事履行职责的其他说明</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right="0"/>
        <w:jc w:val="both"/>
      </w:pPr>
      <w:r>
        <w:rPr/>
        <w:t>独立董事对公司有关建议是否被采纳</w:t>
      </w:r>
    </w:p>
    <w:p>
      <w:pPr>
        <w:pStyle w:val="Heading3"/>
        <w:spacing w:line="254" w:lineRule="auto" w:before="38"/>
        <w:ind w:right="5474"/>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8"/>
        </w:rPr>
        <w:t> </w:t>
      </w:r>
      <w:r>
        <w:rPr/>
        <w:t>否 独立董事对公司有关建议被采纳或未被采纳的说明</w:t>
      </w:r>
    </w:p>
    <w:p>
      <w:pPr>
        <w:pStyle w:val="Heading3"/>
        <w:spacing w:line="273" w:lineRule="auto" w:before="48"/>
        <w:ind w:right="1171" w:firstLine="480"/>
        <w:jc w:val="both"/>
      </w:pPr>
      <w:r>
        <w:rPr/>
        <w:t>独立董事勤勉尽责，严格按照中国证监会的相关规定及《公司章程》、《董事会议事规 则》和《独立董事制度》开展工作，关注公司运作，独立履行职责，对公司内部控制建设、 管理体系建设、人才梯队建设和重大决策等方面提出了专业性建议，对公司财务及生产活动 进行了有效监督，提高了公司决策的科学性，为完善公司监督机制，维护公司和全体股东的 合法权益发挥了应有的作用。</w:t>
      </w:r>
    </w:p>
    <w:p>
      <w:pPr>
        <w:spacing w:line="612" w:lineRule="exact" w:before="79"/>
        <w:ind w:left="112" w:right="996" w:firstLine="0"/>
        <w:jc w:val="left"/>
        <w:rPr>
          <w:rFonts w:ascii="宋体" w:hAnsi="宋体" w:cs="宋体" w:eastAsia="宋体" w:hint="default"/>
          <w:sz w:val="24"/>
          <w:szCs w:val="24"/>
        </w:rPr>
      </w:pPr>
      <w:bookmarkStart w:name="六、董事会下设专门委员会在报告期内履行职责情况" w:id="140"/>
      <w:bookmarkEnd w:id="140"/>
      <w:r>
        <w:rPr/>
      </w:r>
      <w:r>
        <w:rPr>
          <w:rFonts w:ascii="宋体" w:hAnsi="宋体" w:cs="宋体" w:eastAsia="宋体" w:hint="default"/>
          <w:b/>
          <w:bCs/>
          <w:sz w:val="24"/>
          <w:szCs w:val="24"/>
        </w:rPr>
        <w:t>六、董事会下设专门委员会在报告期内履行职责情况</w:t>
      </w:r>
      <w:r>
        <w:rPr>
          <w:rFonts w:ascii="宋体" w:hAnsi="宋体" w:cs="宋体" w:eastAsia="宋体" w:hint="default"/>
          <w:b/>
          <w:bCs/>
          <w:w w:val="99"/>
          <w:sz w:val="24"/>
          <w:szCs w:val="24"/>
        </w:rPr>
        <w:t> </w:t>
      </w:r>
      <w:r>
        <w:rPr>
          <w:rFonts w:ascii="宋体" w:hAnsi="宋体" w:cs="宋体" w:eastAsia="宋体" w:hint="default"/>
          <w:spacing w:val="-2"/>
          <w:sz w:val="24"/>
          <w:szCs w:val="24"/>
        </w:rPr>
        <w:t>公司董事会下设审计委员会、战略委员会、提名委员会及薪酬与考核委员会四个专门委员会。</w:t>
      </w:r>
    </w:p>
    <w:p>
      <w:pPr>
        <w:pStyle w:val="Heading3"/>
        <w:spacing w:line="264" w:lineRule="exact"/>
        <w:ind w:right="0"/>
        <w:jc w:val="both"/>
      </w:pPr>
      <w:r>
        <w:rPr>
          <w:rFonts w:ascii="Arial" w:hAnsi="Arial" w:cs="Arial" w:eastAsia="Arial" w:hint="default"/>
        </w:rPr>
        <w:t>1</w:t>
      </w:r>
      <w:r>
        <w:rPr/>
        <w:t>、审计委员会的履职情况</w:t>
      </w:r>
    </w:p>
    <w:p>
      <w:pPr>
        <w:pStyle w:val="Heading3"/>
        <w:spacing w:line="268" w:lineRule="auto" w:before="26"/>
        <w:ind w:right="0" w:firstLine="480"/>
        <w:jc w:val="left"/>
      </w:pPr>
      <w:r>
        <w:rPr/>
        <w:t>报告期内，根据《董事会审计委员会工作细则》，审计委员会充分发挥了审核与监督作 用，主要负责公司财务监督和核查工作及外部审计机构的沟通、协调工作。审计委员会对公 </w:t>
      </w:r>
      <w:r>
        <w:rPr>
          <w:spacing w:val="-1"/>
        </w:rPr>
        <w:t>司</w:t>
      </w:r>
      <w:r>
        <w:rPr>
          <w:rFonts w:ascii="Arial" w:hAnsi="Arial" w:cs="Arial" w:eastAsia="Arial" w:hint="default"/>
          <w:spacing w:val="-1"/>
        </w:rPr>
        <w:t>2018</w:t>
      </w:r>
      <w:r>
        <w:rPr>
          <w:spacing w:val="-1"/>
        </w:rPr>
        <w:t>年内部控制情况进行了核查，认为公司已经建立的内控制度体系符合相关法规的规定，</w:t>
      </w:r>
      <w:r>
        <w:rPr>
          <w:spacing w:val="-97"/>
        </w:rPr>
        <w:t> </w:t>
      </w:r>
      <w:r>
        <w:rPr>
          <w:spacing w:val="-97"/>
        </w:rPr>
      </w:r>
      <w:r>
        <w:rPr/>
        <w:t>并能有效控制相关风险。</w:t>
      </w:r>
      <w:r>
        <w:rPr>
          <w:rFonts w:ascii="Arial" w:hAnsi="Arial" w:cs="Arial" w:eastAsia="Arial" w:hint="default"/>
        </w:rPr>
        <w:t>2018</w:t>
      </w:r>
      <w:r>
        <w:rPr/>
        <w:t>年，审计委员会共召开了</w:t>
      </w:r>
      <w:r>
        <w:rPr>
          <w:rFonts w:ascii="Arial" w:hAnsi="Arial" w:cs="Arial" w:eastAsia="Arial" w:hint="default"/>
        </w:rPr>
        <w:t>5</w:t>
      </w:r>
      <w:r>
        <w:rPr/>
        <w:t>次会议，重点对公司定期财务报告、 募集资金使用情况、监督公司内部审计制度实施、协助制定和审查公司内部控制制度，对重 大关联交易进行审计、监督等事项进行审议。审计委员会就会计师事务所从事公司年度审计 的工作进行了总结评价。</w:t>
      </w:r>
    </w:p>
    <w:p>
      <w:pPr>
        <w:pStyle w:val="Heading3"/>
        <w:spacing w:line="259" w:lineRule="auto" w:before="17"/>
        <w:ind w:left="592" w:right="1154" w:hanging="480"/>
        <w:jc w:val="left"/>
      </w:pPr>
      <w:r>
        <w:rPr>
          <w:rFonts w:ascii="Arial" w:hAnsi="Arial" w:cs="Arial" w:eastAsia="Arial" w:hint="default"/>
        </w:rPr>
        <w:t>2</w:t>
      </w:r>
      <w:r>
        <w:rPr/>
        <w:t>、薪酬与考核委员会的履职情况 报告期内，公司董事会薪酬与考核委员会依照相关法规及《公司章程》、《董事会薪酬</w:t>
      </w:r>
    </w:p>
    <w:p>
      <w:pPr>
        <w:pStyle w:val="Heading3"/>
        <w:spacing w:line="266" w:lineRule="auto" w:before="26"/>
        <w:ind w:right="1171"/>
        <w:jc w:val="both"/>
      </w:pPr>
      <w:r>
        <w:rPr/>
        <w:t>与考核委员会工作细则》的规定履行了对公司股权激励计划进行管理、审查公司董事及高级 管理人员的履行职责情况等相关职责。</w:t>
      </w:r>
      <w:r>
        <w:rPr>
          <w:rFonts w:ascii="Arial" w:hAnsi="Arial" w:cs="Arial" w:eastAsia="Arial" w:hint="default"/>
        </w:rPr>
        <w:t>2018</w:t>
      </w:r>
      <w:r>
        <w:rPr/>
        <w:t>年度，薪酬与考核委员会共召开了</w:t>
      </w:r>
      <w:r>
        <w:rPr>
          <w:rFonts w:ascii="Arial" w:hAnsi="Arial" w:cs="Arial" w:eastAsia="Arial" w:hint="default"/>
        </w:rPr>
        <w:t>7</w:t>
      </w:r>
      <w:r>
        <w:rPr/>
        <w:t>次会议，重 点对</w:t>
      </w:r>
      <w:r>
        <w:rPr>
          <w:rFonts w:ascii="Arial" w:hAnsi="Arial" w:cs="Arial" w:eastAsia="Arial" w:hint="default"/>
        </w:rPr>
        <w:t>2018</w:t>
      </w:r>
      <w:r>
        <w:rPr/>
        <w:t>年董事和高级管理人员薪酬情况、股权激励情况进行审核。</w:t>
      </w:r>
    </w:p>
    <w:p>
      <w:pPr>
        <w:spacing w:after="0" w:line="266" w:lineRule="auto"/>
        <w:jc w:val="both"/>
        <w:sectPr>
          <w:pgSz w:w="11910" w:h="16840"/>
          <w:pgMar w:header="878" w:footer="978" w:top="1100" w:bottom="1160" w:left="1020" w:right="0"/>
        </w:sectPr>
      </w:pPr>
    </w:p>
    <w:p>
      <w:pPr>
        <w:spacing w:line="240" w:lineRule="auto" w:before="6"/>
        <w:rPr>
          <w:rFonts w:ascii="宋体" w:hAnsi="宋体" w:cs="宋体" w:eastAsia="宋体" w:hint="default"/>
          <w:sz w:val="21"/>
          <w:szCs w:val="21"/>
        </w:rPr>
      </w:pPr>
    </w:p>
    <w:p>
      <w:pPr>
        <w:pStyle w:val="Heading3"/>
        <w:spacing w:line="261" w:lineRule="auto" w:before="26"/>
        <w:ind w:left="592" w:right="1154" w:hanging="480"/>
        <w:jc w:val="left"/>
      </w:pPr>
      <w:r>
        <w:rPr>
          <w:rFonts w:ascii="Arial" w:hAnsi="Arial" w:cs="Arial" w:eastAsia="Arial" w:hint="default"/>
        </w:rPr>
        <w:t>3</w:t>
      </w:r>
      <w:r>
        <w:rPr/>
        <w:t>、提名委员会的履职情况 报告期内，公司董事会提名委员会依照相关法规及《公司章程》、《董事会提名委员会</w:t>
      </w:r>
    </w:p>
    <w:p>
      <w:pPr>
        <w:pStyle w:val="Heading3"/>
        <w:spacing w:line="240" w:lineRule="auto" w:before="22"/>
        <w:ind w:right="996"/>
        <w:jc w:val="left"/>
      </w:pPr>
      <w:r>
        <w:rPr/>
        <w:t>工作细则》的规定，积极履行了职责。</w:t>
      </w:r>
    </w:p>
    <w:p>
      <w:pPr>
        <w:pStyle w:val="Heading3"/>
        <w:spacing w:line="259" w:lineRule="auto" w:before="46"/>
        <w:ind w:left="592" w:right="1154" w:hanging="480"/>
        <w:jc w:val="left"/>
      </w:pPr>
      <w:r>
        <w:rPr>
          <w:rFonts w:ascii="Arial" w:hAnsi="Arial" w:cs="Arial" w:eastAsia="Arial" w:hint="default"/>
        </w:rPr>
        <w:t>4</w:t>
      </w:r>
      <w:r>
        <w:rPr/>
        <w:t>、战略委员会的履职情况 报告期内，公司战略委员会依照相关法规及《公司章程》、《董事会战略委员会工作细</w:t>
      </w:r>
    </w:p>
    <w:p>
      <w:pPr>
        <w:pStyle w:val="Heading3"/>
        <w:spacing w:line="259" w:lineRule="auto" w:before="26"/>
        <w:ind w:right="996"/>
        <w:jc w:val="left"/>
      </w:pPr>
      <w:r>
        <w:rPr>
          <w:spacing w:val="-3"/>
        </w:rPr>
        <w:t>则》的规定，报告期内召开了</w:t>
      </w:r>
      <w:r>
        <w:rPr>
          <w:rFonts w:ascii="Arial" w:hAnsi="Arial" w:cs="Arial" w:eastAsia="Arial" w:hint="default"/>
          <w:spacing w:val="-3"/>
        </w:rPr>
        <w:t>5</w:t>
      </w:r>
      <w:r>
        <w:rPr>
          <w:spacing w:val="-3"/>
        </w:rPr>
        <w:t>次会议，重点对公司战略执行情况进行回顾总结，根据公司所</w:t>
      </w:r>
      <w:r>
        <w:rPr>
          <w:spacing w:val="-93"/>
        </w:rPr>
        <w:t> </w:t>
      </w:r>
      <w:r>
        <w:rPr>
          <w:spacing w:val="-93"/>
        </w:rPr>
      </w:r>
      <w:r>
        <w:rPr/>
        <w:t>处的行业和市场形势及时进行了战略规划研究，并对公司的发展战略提出了合理的建议。</w:t>
      </w:r>
    </w:p>
    <w:p>
      <w:pPr>
        <w:spacing w:line="610" w:lineRule="atLeast" w:before="6"/>
        <w:ind w:left="112" w:right="4994" w:firstLine="0"/>
        <w:jc w:val="left"/>
        <w:rPr>
          <w:rFonts w:ascii="宋体" w:hAnsi="宋体" w:cs="宋体" w:eastAsia="宋体" w:hint="default"/>
          <w:sz w:val="24"/>
          <w:szCs w:val="24"/>
        </w:rPr>
      </w:pPr>
      <w:bookmarkStart w:name="七、监事会工作情况" w:id="141"/>
      <w:bookmarkEnd w:id="141"/>
      <w:r>
        <w:rPr/>
      </w:r>
      <w:r>
        <w:rPr>
          <w:rFonts w:ascii="宋体" w:hAnsi="宋体" w:cs="宋体" w:eastAsia="宋体" w:hint="default"/>
          <w:b/>
          <w:bCs/>
          <w:sz w:val="24"/>
          <w:szCs w:val="24"/>
        </w:rPr>
        <w:t>七、监事会工作情况</w:t>
      </w:r>
      <w:r>
        <w:rPr>
          <w:rFonts w:ascii="宋体" w:hAnsi="宋体" w:cs="宋体" w:eastAsia="宋体" w:hint="default"/>
          <w:b/>
          <w:bCs/>
          <w:w w:val="99"/>
          <w:sz w:val="24"/>
          <w:szCs w:val="24"/>
        </w:rPr>
        <w:t> </w:t>
      </w:r>
      <w:r>
        <w:rPr>
          <w:rFonts w:ascii="宋体" w:hAnsi="宋体" w:cs="宋体" w:eastAsia="宋体" w:hint="default"/>
          <w:sz w:val="24"/>
          <w:szCs w:val="24"/>
        </w:rPr>
        <w:t>监事会在报告期内的监督活动中发现公司是否存在风险</w:t>
      </w:r>
    </w:p>
    <w:p>
      <w:pPr>
        <w:pStyle w:val="Heading3"/>
        <w:spacing w:line="256" w:lineRule="auto" w:before="38"/>
        <w:ind w:right="6194"/>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8"/>
        </w:rPr>
        <w:t> </w:t>
      </w:r>
      <w:r>
        <w:rPr/>
        <w:t>否 公司监事会对报告期内的监督事项无异议。</w:t>
      </w:r>
    </w:p>
    <w:p>
      <w:pPr>
        <w:spacing w:line="636" w:lineRule="exact" w:before="52"/>
        <w:ind w:left="592" w:right="1154" w:hanging="480"/>
        <w:jc w:val="left"/>
        <w:rPr>
          <w:rFonts w:ascii="宋体" w:hAnsi="宋体" w:cs="宋体" w:eastAsia="宋体" w:hint="default"/>
          <w:sz w:val="24"/>
          <w:szCs w:val="24"/>
        </w:rPr>
      </w:pPr>
      <w:bookmarkStart w:name="八、高级管理人员的考评及激励情况" w:id="142"/>
      <w:bookmarkEnd w:id="142"/>
      <w:r>
        <w:rPr/>
      </w:r>
      <w:r>
        <w:rPr>
          <w:rFonts w:ascii="宋体" w:hAnsi="宋体" w:cs="宋体" w:eastAsia="宋体" w:hint="default"/>
          <w:b/>
          <w:bCs/>
          <w:sz w:val="24"/>
          <w:szCs w:val="24"/>
        </w:rPr>
        <w:t>八、高级管理人员的考评及激励情况</w:t>
      </w:r>
      <w:r>
        <w:rPr>
          <w:rFonts w:ascii="宋体" w:hAnsi="宋体" w:cs="宋体" w:eastAsia="宋体" w:hint="default"/>
          <w:b/>
          <w:bCs/>
          <w:w w:val="99"/>
          <w:sz w:val="24"/>
          <w:szCs w:val="24"/>
        </w:rPr>
        <w:t> </w:t>
      </w:r>
      <w:r>
        <w:rPr>
          <w:rFonts w:ascii="宋体" w:hAnsi="宋体" w:cs="宋体" w:eastAsia="宋体" w:hint="default"/>
          <w:sz w:val="24"/>
          <w:szCs w:val="24"/>
        </w:rPr>
        <w:t>公司建立了完善的高级管理人员绩效管理体系，明确了高级管理人员考核、晋升、培训</w:t>
      </w:r>
    </w:p>
    <w:p>
      <w:pPr>
        <w:pStyle w:val="Heading3"/>
        <w:spacing w:line="267" w:lineRule="exact"/>
        <w:ind w:right="996"/>
        <w:jc w:val="left"/>
      </w:pPr>
      <w:r>
        <w:rPr/>
        <w:t>和奖惩激励机制，有效的提升了公司治理水平，进一步完善高级管理人员绩效评价和激励、</w:t>
      </w:r>
    </w:p>
    <w:p>
      <w:pPr>
        <w:pStyle w:val="Heading3"/>
        <w:spacing w:line="276" w:lineRule="auto" w:before="43"/>
        <w:ind w:right="1154"/>
        <w:jc w:val="left"/>
      </w:pPr>
      <w:r>
        <w:rPr/>
        <w:t>约束机制，最大限度地调动公司高级管理人员的积极性及创造性，确保公司各项业务的顺利 开展，促进了公司业绩稳定持续发展，更好维护广大投资者的根本利益。</w:t>
      </w:r>
    </w:p>
    <w:p>
      <w:pPr>
        <w:spacing w:line="240" w:lineRule="auto" w:before="11"/>
        <w:rPr>
          <w:rFonts w:ascii="宋体" w:hAnsi="宋体" w:cs="宋体" w:eastAsia="宋体" w:hint="default"/>
          <w:sz w:val="21"/>
          <w:szCs w:val="21"/>
        </w:rPr>
      </w:pPr>
    </w:p>
    <w:p>
      <w:pPr>
        <w:pStyle w:val="Heading2"/>
        <w:spacing w:line="240" w:lineRule="auto" w:before="0"/>
        <w:ind w:right="996"/>
        <w:jc w:val="left"/>
        <w:rPr>
          <w:b w:val="0"/>
          <w:bCs w:val="0"/>
        </w:rPr>
      </w:pPr>
      <w:bookmarkStart w:name="九、内部控制评价报告" w:id="143"/>
      <w:bookmarkEnd w:id="143"/>
      <w:r>
        <w:rPr>
          <w:b w:val="0"/>
          <w:bCs w:val="0"/>
        </w:rPr>
      </w:r>
      <w:r>
        <w:rPr/>
        <w:t>九、内部控制评价报告</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96"/>
        <w:jc w:val="left"/>
        <w:rPr>
          <w:b w:val="0"/>
          <w:bCs w:val="0"/>
        </w:rPr>
      </w:pPr>
      <w:bookmarkStart w:name="1、报告期内发现的内部控制重大缺陷的具体情况" w:id="144"/>
      <w:bookmarkEnd w:id="144"/>
      <w:r>
        <w:rPr>
          <w:b w:val="0"/>
          <w:bCs w:val="0"/>
        </w:rPr>
      </w:r>
      <w:r>
        <w:rPr>
          <w:rFonts w:ascii="Arial" w:hAnsi="Arial" w:cs="Arial" w:eastAsia="Arial" w:hint="default"/>
        </w:rPr>
        <w:t>1</w:t>
      </w:r>
      <w:r>
        <w:rPr/>
        <w:t>、报告期内发现的内部控制重大缺陷的具体情况</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right="996"/>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8"/>
        </w:rPr>
        <w:t> </w:t>
      </w:r>
      <w:r>
        <w:rPr/>
        <w:t>否</w:t>
      </w:r>
    </w:p>
    <w:p>
      <w:pPr>
        <w:spacing w:line="240" w:lineRule="auto" w:before="5"/>
        <w:rPr>
          <w:rFonts w:ascii="宋体" w:hAnsi="宋体" w:cs="宋体" w:eastAsia="宋体" w:hint="default"/>
          <w:sz w:val="23"/>
          <w:szCs w:val="23"/>
        </w:rPr>
      </w:pPr>
    </w:p>
    <w:p>
      <w:pPr>
        <w:pStyle w:val="Heading4"/>
        <w:spacing w:line="240" w:lineRule="auto"/>
        <w:ind w:right="996"/>
        <w:jc w:val="left"/>
        <w:rPr>
          <w:b w:val="0"/>
          <w:bCs w:val="0"/>
        </w:rPr>
      </w:pPr>
      <w:bookmarkStart w:name="2、内控自我评价报告" w:id="145"/>
      <w:bookmarkEnd w:id="145"/>
      <w:r>
        <w:rPr>
          <w:b w:val="0"/>
          <w:bCs w:val="0"/>
        </w:rPr>
      </w:r>
      <w:r>
        <w:rPr>
          <w:rFonts w:ascii="Arial" w:hAnsi="Arial" w:cs="Arial" w:eastAsia="Arial"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53"/>
        <w:gridCol w:w="4251"/>
        <w:gridCol w:w="1560"/>
        <w:gridCol w:w="1842"/>
      </w:tblGrid>
      <w:tr>
        <w:trPr>
          <w:trHeight w:val="402" w:hRule="exact"/>
        </w:trPr>
        <w:tc>
          <w:tcPr>
            <w:tcW w:w="62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03"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04</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26</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02" w:hRule="exact"/>
        </w:trPr>
        <w:tc>
          <w:tcPr>
            <w:tcW w:w="62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832" w:right="0"/>
              <w:jc w:val="left"/>
              <w:rPr>
                <w:rFonts w:ascii="Arial" w:hAnsi="Arial" w:cs="Arial" w:eastAsia="Arial" w:hint="default"/>
                <w:sz w:val="18"/>
                <w:szCs w:val="18"/>
              </w:rPr>
            </w:pPr>
            <w:hyperlink r:id="rId10">
              <w:r>
                <w:rPr>
                  <w:rFonts w:ascii="Arial"/>
                  <w:sz w:val="18"/>
                </w:rPr>
                <w:t>www.cninfo.com.cn</w:t>
              </w:r>
            </w:hyperlink>
          </w:p>
        </w:tc>
      </w:tr>
      <w:tr>
        <w:trPr>
          <w:trHeight w:val="402" w:hRule="exact"/>
        </w:trPr>
        <w:tc>
          <w:tcPr>
            <w:tcW w:w="62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纳入评价范围单位资产总额占公司合并财务报表资产总额的比例</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99.00%</w:t>
            </w:r>
          </w:p>
        </w:tc>
      </w:tr>
      <w:tr>
        <w:trPr>
          <w:trHeight w:val="402" w:hRule="exact"/>
        </w:trPr>
        <w:tc>
          <w:tcPr>
            <w:tcW w:w="62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纳入评价范围单位营业收入占公司合并财务报表营业收入的比例</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100.00%</w:t>
            </w:r>
          </w:p>
        </w:tc>
      </w:tr>
      <w:tr>
        <w:trPr>
          <w:trHeight w:val="402" w:hRule="exact"/>
        </w:trPr>
        <w:tc>
          <w:tcPr>
            <w:tcW w:w="960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62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3" w:right="0"/>
              <w:jc w:val="left"/>
              <w:rPr>
                <w:rFonts w:ascii="宋体" w:hAnsi="宋体" w:cs="宋体" w:eastAsia="宋体" w:hint="default"/>
                <w:sz w:val="18"/>
                <w:szCs w:val="18"/>
              </w:rPr>
            </w:pPr>
            <w:r>
              <w:rPr>
                <w:rFonts w:ascii="宋体" w:hAnsi="宋体" w:cs="宋体" w:eastAsia="宋体" w:hint="default"/>
                <w:sz w:val="18"/>
                <w:szCs w:val="18"/>
              </w:rPr>
              <w:t>财务报告</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6" w:right="0"/>
              <w:jc w:val="left"/>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88" w:hRule="exact"/>
        </w:trPr>
        <w:tc>
          <w:tcPr>
            <w:tcW w:w="1953"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一、重大缺陷：</w:t>
            </w:r>
          </w:p>
        </w:tc>
        <w:tc>
          <w:tcPr>
            <w:tcW w:w="3402"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一、重大缺陷：</w:t>
            </w:r>
          </w:p>
        </w:tc>
      </w:tr>
      <w:tr>
        <w:trPr>
          <w:trHeight w:val="337" w:hRule="exact"/>
        </w:trPr>
        <w:tc>
          <w:tcPr>
            <w:tcW w:w="1953" w:type="dxa"/>
            <w:tcBorders>
              <w:top w:val="nil" w:sz="6" w:space="0" w:color="auto"/>
              <w:left w:val="single" w:sz="4" w:space="0" w:color="000000"/>
              <w:bottom w:val="nil" w:sz="6" w:space="0" w:color="auto"/>
              <w:right w:val="single" w:sz="4" w:space="0" w:color="000000"/>
            </w:tcBorders>
            <w:shd w:val="clear" w:color="auto" w:fill="D2D2D2"/>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Arial" w:hAnsi="Arial" w:cs="Arial" w:eastAsia="Arial" w:hint="default"/>
                <w:spacing w:val="-2"/>
                <w:sz w:val="18"/>
                <w:szCs w:val="18"/>
              </w:rPr>
              <w:t>1</w:t>
            </w:r>
            <w:r>
              <w:rPr>
                <w:rFonts w:ascii="宋体" w:hAnsi="宋体" w:cs="宋体" w:eastAsia="宋体" w:hint="default"/>
                <w:spacing w:val="-2"/>
                <w:sz w:val="18"/>
                <w:szCs w:val="18"/>
              </w:rPr>
              <w:t>、公司董事、监事和高级管理人员舞弊并给公司造成</w:t>
            </w:r>
          </w:p>
        </w:tc>
        <w:tc>
          <w:tcPr>
            <w:tcW w:w="3402"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、缺乏民主决策程序或重大事项违反决策</w:t>
            </w:r>
          </w:p>
        </w:tc>
      </w:tr>
      <w:tr>
        <w:trPr>
          <w:trHeight w:val="317" w:hRule="exact"/>
        </w:trPr>
        <w:tc>
          <w:tcPr>
            <w:tcW w:w="19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23" w:right="0"/>
              <w:jc w:val="left"/>
              <w:rPr>
                <w:rFonts w:ascii="宋体" w:hAnsi="宋体" w:cs="宋体" w:eastAsia="宋体" w:hint="default"/>
                <w:sz w:val="18"/>
                <w:szCs w:val="18"/>
              </w:rPr>
            </w:pPr>
            <w:r>
              <w:rPr>
                <w:rFonts w:ascii="宋体" w:hAnsi="宋体" w:cs="宋体" w:eastAsia="宋体" w:hint="default"/>
                <w:sz w:val="18"/>
                <w:szCs w:val="18"/>
              </w:rPr>
              <w:t>重要损失和不利影响；</w:t>
            </w:r>
          </w:p>
        </w:tc>
        <w:tc>
          <w:tcPr>
            <w:tcW w:w="3402"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程序出现重大失误</w:t>
            </w:r>
            <w:r>
              <w:rPr>
                <w:rFonts w:ascii="宋体" w:hAnsi="宋体" w:cs="宋体" w:eastAsia="宋体" w:hint="default"/>
                <w:spacing w:val="-75"/>
                <w:sz w:val="18"/>
                <w:szCs w:val="18"/>
              </w:rPr>
              <w:t>，</w:t>
            </w:r>
            <w:r>
              <w:rPr>
                <w:rFonts w:ascii="宋体" w:hAnsi="宋体" w:cs="宋体" w:eastAsia="宋体" w:hint="default"/>
                <w:sz w:val="18"/>
                <w:szCs w:val="18"/>
              </w:rPr>
              <w:t>给公司造成定量标准认</w:t>
            </w:r>
          </w:p>
        </w:tc>
      </w:tr>
      <w:tr>
        <w:trPr>
          <w:trHeight w:val="336" w:hRule="exact"/>
        </w:trPr>
        <w:tc>
          <w:tcPr>
            <w:tcW w:w="1953" w:type="dxa"/>
            <w:tcBorders>
              <w:top w:val="nil" w:sz="6" w:space="0" w:color="auto"/>
              <w:left w:val="single" w:sz="4" w:space="0" w:color="000000"/>
              <w:bottom w:val="nil" w:sz="6" w:space="0" w:color="auto"/>
              <w:right w:val="single" w:sz="4" w:space="0" w:color="000000"/>
            </w:tcBorders>
            <w:shd w:val="clear" w:color="auto" w:fill="D2D2D2"/>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Arial" w:hAnsi="Arial" w:cs="Arial" w:eastAsia="Arial" w:hint="default"/>
                <w:spacing w:val="-2"/>
                <w:sz w:val="18"/>
                <w:szCs w:val="18"/>
              </w:rPr>
              <w:t>2</w:t>
            </w:r>
            <w:r>
              <w:rPr>
                <w:rFonts w:ascii="宋体" w:hAnsi="宋体" w:cs="宋体" w:eastAsia="宋体" w:hint="default"/>
                <w:spacing w:val="-2"/>
                <w:sz w:val="18"/>
                <w:szCs w:val="18"/>
              </w:rPr>
              <w:t>、已经发现并报告给管理层的财务报告内部控制重大</w:t>
            </w:r>
          </w:p>
        </w:tc>
        <w:tc>
          <w:tcPr>
            <w:tcW w:w="3402"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定的重大损失；</w:t>
            </w:r>
          </w:p>
        </w:tc>
      </w:tr>
      <w:tr>
        <w:trPr>
          <w:trHeight w:val="351" w:hRule="exact"/>
        </w:trPr>
        <w:tc>
          <w:tcPr>
            <w:tcW w:w="1953"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缺陷在经过合理时间后，未得到整改；</w:t>
            </w:r>
          </w:p>
        </w:tc>
        <w:tc>
          <w:tcPr>
            <w:tcW w:w="3402"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、严重违反国家法律、法规，受到政府部</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p>
      <w:pPr>
        <w:spacing w:before="0"/>
        <w:ind w:left="0" w:right="1101" w:firstLine="0"/>
        <w:jc w:val="right"/>
        <w:rPr>
          <w:rFonts w:ascii="宋体" w:hAnsi="宋体" w:cs="宋体" w:eastAsia="宋体" w:hint="default"/>
          <w:sz w:val="18"/>
          <w:szCs w:val="18"/>
        </w:rPr>
      </w:pPr>
      <w:r>
        <w:rPr/>
        <w:pict>
          <v:shape style="position:absolute;margin-left:56.459999pt;margin-top:-34.178261pt;width:481.05pt;height:648.3pt;mso-position-horizontal-relative:page;mso-position-vertical-relative:paragraph;z-index:2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53"/>
                    <w:gridCol w:w="4251"/>
                    <w:gridCol w:w="3402"/>
                  </w:tblGrid>
                  <w:tr>
                    <w:trPr>
                      <w:trHeight w:val="322" w:hRule="exact"/>
                    </w:trPr>
                    <w:tc>
                      <w:tcPr>
                        <w:tcW w:w="1953" w:type="dxa"/>
                        <w:vMerge w:val="restart"/>
                        <w:tcBorders>
                          <w:top w:val="single" w:sz="4" w:space="0" w:color="000000"/>
                          <w:left w:val="single" w:sz="4" w:space="0" w:color="000000"/>
                          <w:right w:val="single" w:sz="4" w:space="0" w:color="000000"/>
                        </w:tcBorders>
                        <w:shd w:val="clear" w:color="auto" w:fill="D2D2D2"/>
                      </w:tcPr>
                      <w:p>
                        <w:pPr/>
                      </w:p>
                    </w:tc>
                    <w:tc>
                      <w:tcPr>
                        <w:tcW w:w="42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Arial" w:hAnsi="Arial" w:cs="Arial" w:eastAsia="Arial" w:hint="default"/>
                            <w:spacing w:val="-2"/>
                            <w:sz w:val="18"/>
                            <w:szCs w:val="18"/>
                          </w:rPr>
                          <w:t>3</w:t>
                        </w:r>
                        <w:r>
                          <w:rPr>
                            <w:rFonts w:ascii="宋体" w:hAnsi="宋体" w:cs="宋体" w:eastAsia="宋体" w:hint="default"/>
                            <w:spacing w:val="-2"/>
                            <w:sz w:val="18"/>
                            <w:szCs w:val="18"/>
                          </w:rPr>
                          <w:t>、发现以前年度存在重大会计差错，对已披露的财务</w:t>
                        </w:r>
                      </w:p>
                    </w:tc>
                    <w:tc>
                      <w:tcPr>
                        <w:tcW w:w="34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门处罚</w:t>
                        </w:r>
                        <w:r>
                          <w:rPr>
                            <w:rFonts w:ascii="宋体" w:hAnsi="宋体" w:cs="宋体" w:eastAsia="宋体" w:hint="default"/>
                            <w:spacing w:val="-75"/>
                            <w:sz w:val="18"/>
                            <w:szCs w:val="18"/>
                          </w:rPr>
                          <w:t>，</w:t>
                        </w:r>
                        <w:r>
                          <w:rPr>
                            <w:rFonts w:ascii="宋体" w:hAnsi="宋体" w:cs="宋体" w:eastAsia="宋体" w:hint="default"/>
                            <w:sz w:val="18"/>
                            <w:szCs w:val="18"/>
                          </w:rPr>
                          <w:t>且对公司定期报告披露造成重大负</w:t>
                        </w:r>
                      </w:p>
                    </w:tc>
                  </w:tr>
                  <w:tr>
                    <w:trPr>
                      <w:trHeight w:val="327" w:hRule="exact"/>
                    </w:trPr>
                    <w:tc>
                      <w:tcPr>
                        <w:tcW w:w="1953" w:type="dxa"/>
                        <w:vMerge/>
                        <w:tcBorders>
                          <w:left w:val="single" w:sz="4" w:space="0" w:color="000000"/>
                          <w:right w:val="single" w:sz="4" w:space="0" w:color="000000"/>
                        </w:tcBorders>
                        <w:shd w:val="clear" w:color="auto" w:fill="D2D2D2"/>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报告进行更正；</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面影响；</w:t>
                        </w:r>
                      </w:p>
                    </w:tc>
                  </w:tr>
                  <w:tr>
                    <w:trPr>
                      <w:trHeight w:val="356" w:hRule="exact"/>
                    </w:trPr>
                    <w:tc>
                      <w:tcPr>
                        <w:tcW w:w="1953" w:type="dxa"/>
                        <w:vMerge/>
                        <w:tcBorders>
                          <w:left w:val="single" w:sz="4" w:space="0" w:color="000000"/>
                          <w:right w:val="single" w:sz="4" w:space="0" w:color="000000"/>
                        </w:tcBorders>
                        <w:shd w:val="clear" w:color="auto" w:fill="D2D2D2"/>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、公司内部控制环境无效；</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Arial" w:hAnsi="Arial" w:cs="Arial" w:eastAsia="Arial" w:hint="default"/>
                            <w:w w:val="99"/>
                            <w:sz w:val="18"/>
                            <w:szCs w:val="18"/>
                          </w:rPr>
                          <w:t>3</w:t>
                        </w:r>
                        <w:r>
                          <w:rPr>
                            <w:rFonts w:ascii="宋体" w:hAnsi="宋体" w:cs="宋体" w:eastAsia="宋体" w:hint="default"/>
                            <w:spacing w:val="-84"/>
                            <w:sz w:val="18"/>
                            <w:szCs w:val="18"/>
                          </w:rPr>
                          <w:t>、</w:t>
                        </w:r>
                        <w:r>
                          <w:rPr>
                            <w:rFonts w:ascii="宋体" w:hAnsi="宋体" w:cs="宋体" w:eastAsia="宋体" w:hint="default"/>
                            <w:sz w:val="18"/>
                            <w:szCs w:val="18"/>
                          </w:rPr>
                          <w:t>关键管理人员或高级技术人员流失严重</w:t>
                        </w:r>
                      </w:p>
                    </w:tc>
                  </w:tr>
                  <w:tr>
                    <w:trPr>
                      <w:trHeight w:val="332" w:hRule="exact"/>
                    </w:trPr>
                    <w:tc>
                      <w:tcPr>
                        <w:tcW w:w="1953" w:type="dxa"/>
                        <w:vMerge/>
                        <w:tcBorders>
                          <w:left w:val="single" w:sz="4" w:space="0" w:color="000000"/>
                          <w:right w:val="single" w:sz="4" w:space="0" w:color="000000"/>
                        </w:tcBorders>
                        <w:shd w:val="clear" w:color="auto" w:fill="D2D2D2"/>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3" w:right="0"/>
                          <w:jc w:val="left"/>
                          <w:rPr>
                            <w:rFonts w:ascii="宋体" w:hAnsi="宋体" w:cs="宋体" w:eastAsia="宋体" w:hint="default"/>
                            <w:sz w:val="18"/>
                            <w:szCs w:val="18"/>
                          </w:rPr>
                        </w:pPr>
                        <w:r>
                          <w:rPr>
                            <w:rFonts w:ascii="Arial" w:hAnsi="Arial" w:cs="Arial" w:eastAsia="Arial" w:hint="default"/>
                            <w:spacing w:val="-2"/>
                            <w:sz w:val="18"/>
                            <w:szCs w:val="18"/>
                          </w:rPr>
                          <w:t>5</w:t>
                        </w:r>
                        <w:r>
                          <w:rPr>
                            <w:rFonts w:ascii="宋体" w:hAnsi="宋体" w:cs="宋体" w:eastAsia="宋体" w:hint="default"/>
                            <w:spacing w:val="-2"/>
                            <w:sz w:val="18"/>
                            <w:szCs w:val="18"/>
                          </w:rPr>
                          <w:t>、注册会计师发现的却未被公司内部控制识别的当期</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、媒体负面新闻频现，情况属实，造成重</w:t>
                        </w:r>
                      </w:p>
                    </w:tc>
                  </w:tr>
                  <w:tr>
                    <w:trPr>
                      <w:trHeight w:val="328" w:hRule="exact"/>
                    </w:trPr>
                    <w:tc>
                      <w:tcPr>
                        <w:tcW w:w="1953" w:type="dxa"/>
                        <w:vMerge/>
                        <w:tcBorders>
                          <w:left w:val="single" w:sz="4" w:space="0" w:color="000000"/>
                          <w:right w:val="single" w:sz="4" w:space="0" w:color="000000"/>
                        </w:tcBorders>
                        <w:shd w:val="clear" w:color="auto" w:fill="D2D2D2"/>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财务报告中的重大错报；</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大社会影响；</w:t>
                        </w:r>
                      </w:p>
                    </w:tc>
                  </w:tr>
                  <w:tr>
                    <w:trPr>
                      <w:trHeight w:val="337" w:hRule="exact"/>
                    </w:trPr>
                    <w:tc>
                      <w:tcPr>
                        <w:tcW w:w="1953" w:type="dxa"/>
                        <w:vMerge/>
                        <w:tcBorders>
                          <w:left w:val="single" w:sz="4" w:space="0" w:color="000000"/>
                          <w:right w:val="single" w:sz="4" w:space="0" w:color="000000"/>
                        </w:tcBorders>
                        <w:shd w:val="clear" w:color="auto" w:fill="D2D2D2"/>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Arial" w:hAnsi="Arial" w:cs="Arial" w:eastAsia="Arial" w:hint="default"/>
                            <w:spacing w:val="-2"/>
                            <w:sz w:val="18"/>
                            <w:szCs w:val="18"/>
                          </w:rPr>
                          <w:t>6</w:t>
                        </w:r>
                        <w:r>
                          <w:rPr>
                            <w:rFonts w:ascii="宋体" w:hAnsi="宋体" w:cs="宋体" w:eastAsia="宋体" w:hint="default"/>
                            <w:spacing w:val="-2"/>
                            <w:sz w:val="18"/>
                            <w:szCs w:val="18"/>
                          </w:rPr>
                          <w:t>、审计委员会和内部审计机构对财务报告的内部监督</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、重要业务缺乏制度控制或制度系统性失</w:t>
                        </w:r>
                      </w:p>
                    </w:tc>
                  </w:tr>
                  <w:tr>
                    <w:trPr>
                      <w:trHeight w:val="308" w:hRule="exact"/>
                    </w:trPr>
                    <w:tc>
                      <w:tcPr>
                        <w:tcW w:w="1953" w:type="dxa"/>
                        <w:vMerge/>
                        <w:tcBorders>
                          <w:left w:val="single" w:sz="4" w:space="0" w:color="000000"/>
                          <w:right w:val="single" w:sz="4" w:space="0" w:color="000000"/>
                        </w:tcBorders>
                        <w:shd w:val="clear" w:color="auto" w:fill="D2D2D2"/>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无效。</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效，给公司造成按定量标准认定的重大损</w:t>
                        </w:r>
                      </w:p>
                    </w:tc>
                  </w:tr>
                  <w:tr>
                    <w:trPr>
                      <w:trHeight w:val="350" w:hRule="exact"/>
                    </w:trPr>
                    <w:tc>
                      <w:tcPr>
                        <w:tcW w:w="1953" w:type="dxa"/>
                        <w:vMerge/>
                        <w:tcBorders>
                          <w:left w:val="single" w:sz="4" w:space="0" w:color="000000"/>
                          <w:right w:val="single" w:sz="4" w:space="0" w:color="000000"/>
                        </w:tcBorders>
                        <w:shd w:val="clear" w:color="auto" w:fill="D2D2D2"/>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二、重要缺陷：</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失；</w:t>
                        </w:r>
                      </w:p>
                    </w:tc>
                  </w:tr>
                  <w:tr>
                    <w:trPr>
                      <w:trHeight w:val="337" w:hRule="exact"/>
                    </w:trPr>
                    <w:tc>
                      <w:tcPr>
                        <w:tcW w:w="1953" w:type="dxa"/>
                        <w:vMerge/>
                        <w:tcBorders>
                          <w:left w:val="single" w:sz="4" w:space="0" w:color="000000"/>
                          <w:right w:val="single" w:sz="4" w:space="0" w:color="000000"/>
                        </w:tcBorders>
                        <w:shd w:val="clear" w:color="auto" w:fill="D2D2D2"/>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、未依照公认会计准则选择和应用会计政策；</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、已经发现并报告给管理层的非财务报告</w:t>
                        </w:r>
                      </w:p>
                    </w:tc>
                  </w:tr>
                  <w:tr>
                    <w:trPr>
                      <w:trHeight w:val="332" w:hRule="exact"/>
                    </w:trPr>
                    <w:tc>
                      <w:tcPr>
                        <w:tcW w:w="1953" w:type="dxa"/>
                        <w:vMerge/>
                        <w:tcBorders>
                          <w:left w:val="single" w:sz="4" w:space="0" w:color="000000"/>
                          <w:right w:val="single" w:sz="4" w:space="0" w:color="000000"/>
                        </w:tcBorders>
                        <w:shd w:val="clear" w:color="auto" w:fill="D2D2D2"/>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left="2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、未建立反舞弊程序和控制措施或无效；</w:t>
                        </w:r>
                        <w:r>
                          <w:rPr>
                            <w:rFonts w:ascii="Arial" w:hAnsi="Arial" w:cs="Arial" w:eastAsia="Arial" w:hint="default"/>
                            <w:sz w:val="18"/>
                            <w:szCs w:val="18"/>
                          </w:rPr>
                          <w:t>3</w:t>
                        </w:r>
                        <w:r>
                          <w:rPr>
                            <w:rFonts w:ascii="宋体" w:hAnsi="宋体" w:cs="宋体" w:eastAsia="宋体" w:hint="default"/>
                            <w:sz w:val="18"/>
                            <w:szCs w:val="18"/>
                          </w:rPr>
                          <w:t>、对于非</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22" w:right="0"/>
                          <w:jc w:val="left"/>
                          <w:rPr>
                            <w:rFonts w:ascii="宋体" w:hAnsi="宋体" w:cs="宋体" w:eastAsia="宋体" w:hint="default"/>
                            <w:sz w:val="18"/>
                            <w:szCs w:val="18"/>
                          </w:rPr>
                        </w:pPr>
                        <w:r>
                          <w:rPr>
                            <w:rFonts w:ascii="宋体" w:hAnsi="宋体" w:cs="宋体" w:eastAsia="宋体" w:hint="default"/>
                            <w:sz w:val="18"/>
                            <w:szCs w:val="18"/>
                          </w:rPr>
                          <w:t>内部控制重大缺陷在合理的时间内未得到</w:t>
                        </w:r>
                      </w:p>
                    </w:tc>
                  </w:tr>
                  <w:tr>
                    <w:trPr>
                      <w:trHeight w:val="328" w:hRule="exact"/>
                    </w:trPr>
                    <w:tc>
                      <w:tcPr>
                        <w:tcW w:w="1953" w:type="dxa"/>
                        <w:vMerge/>
                        <w:tcBorders>
                          <w:left w:val="single" w:sz="4" w:space="0" w:color="000000"/>
                          <w:right w:val="single" w:sz="4" w:space="0" w:color="000000"/>
                        </w:tcBorders>
                        <w:shd w:val="clear" w:color="auto" w:fill="D2D2D2"/>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3" w:right="0"/>
                          <w:jc w:val="left"/>
                          <w:rPr>
                            <w:rFonts w:ascii="宋体" w:hAnsi="宋体" w:cs="宋体" w:eastAsia="宋体" w:hint="default"/>
                            <w:sz w:val="18"/>
                            <w:szCs w:val="18"/>
                          </w:rPr>
                        </w:pPr>
                        <w:r>
                          <w:rPr>
                            <w:rFonts w:ascii="宋体" w:hAnsi="宋体" w:cs="宋体" w:eastAsia="宋体" w:hint="default"/>
                            <w:sz w:val="18"/>
                            <w:szCs w:val="18"/>
                          </w:rPr>
                          <w:t>常规或特殊交易的账务处理没有建立或实施相应的控</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整改。</w:t>
                        </w:r>
                      </w:p>
                    </w:tc>
                  </w:tr>
                  <w:tr>
                    <w:trPr>
                      <w:trHeight w:val="332" w:hRule="exact"/>
                    </w:trPr>
                    <w:tc>
                      <w:tcPr>
                        <w:tcW w:w="1953" w:type="dxa"/>
                        <w:vMerge/>
                        <w:tcBorders>
                          <w:left w:val="single" w:sz="4" w:space="0" w:color="000000"/>
                          <w:right w:val="single" w:sz="4" w:space="0" w:color="000000"/>
                        </w:tcBorders>
                        <w:shd w:val="clear" w:color="auto" w:fill="D2D2D2"/>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制机制，且没有相应的补偿性控制；</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二、重要缺陷：</w:t>
                        </w:r>
                      </w:p>
                    </w:tc>
                  </w:tr>
                  <w:tr>
                    <w:trPr>
                      <w:trHeight w:val="336" w:hRule="exact"/>
                    </w:trPr>
                    <w:tc>
                      <w:tcPr>
                        <w:tcW w:w="1953" w:type="dxa"/>
                        <w:vMerge/>
                        <w:tcBorders>
                          <w:left w:val="single" w:sz="4" w:space="0" w:color="000000"/>
                          <w:right w:val="single" w:sz="4" w:space="0" w:color="000000"/>
                        </w:tcBorders>
                        <w:shd w:val="clear" w:color="auto" w:fill="D2D2D2"/>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pacing w:val="-2"/>
                            <w:sz w:val="18"/>
                            <w:szCs w:val="18"/>
                          </w:rPr>
                          <w:t>4</w:t>
                        </w:r>
                        <w:r>
                          <w:rPr>
                            <w:rFonts w:ascii="宋体" w:hAnsi="宋体" w:cs="宋体" w:eastAsia="宋体" w:hint="default"/>
                            <w:spacing w:val="-2"/>
                            <w:sz w:val="18"/>
                            <w:szCs w:val="18"/>
                          </w:rPr>
                          <w:t>、对于期末财务报告过程的控制存在一项或多项缺陷</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、民主决策程序存在但不够完善或决策程</w:t>
                        </w:r>
                      </w:p>
                    </w:tc>
                  </w:tr>
                  <w:tr>
                    <w:trPr>
                      <w:trHeight w:val="308" w:hRule="exact"/>
                    </w:trPr>
                    <w:tc>
                      <w:tcPr>
                        <w:tcW w:w="1953" w:type="dxa"/>
                        <w:vMerge/>
                        <w:tcBorders>
                          <w:left w:val="single" w:sz="4" w:space="0" w:color="000000"/>
                          <w:right w:val="single" w:sz="4" w:space="0" w:color="000000"/>
                        </w:tcBorders>
                        <w:shd w:val="clear" w:color="auto" w:fill="D2D2D2"/>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宋体" w:hAnsi="宋体" w:cs="宋体" w:eastAsia="宋体" w:hint="default"/>
                            <w:sz w:val="18"/>
                            <w:szCs w:val="18"/>
                          </w:rPr>
                          <w:t>且不能合理保证编制的财务报表达到真实、准确的目</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22" w:right="0"/>
                          <w:jc w:val="left"/>
                          <w:rPr>
                            <w:rFonts w:ascii="宋体" w:hAnsi="宋体" w:cs="宋体" w:eastAsia="宋体" w:hint="default"/>
                            <w:sz w:val="18"/>
                            <w:szCs w:val="18"/>
                          </w:rPr>
                        </w:pPr>
                        <w:r>
                          <w:rPr>
                            <w:rFonts w:ascii="宋体" w:hAnsi="宋体" w:cs="宋体" w:eastAsia="宋体" w:hint="default"/>
                            <w:sz w:val="18"/>
                            <w:szCs w:val="18"/>
                          </w:rPr>
                          <w:t>序出现失误</w:t>
                        </w:r>
                        <w:r>
                          <w:rPr>
                            <w:rFonts w:ascii="宋体" w:hAnsi="宋体" w:cs="宋体" w:eastAsia="宋体" w:hint="default"/>
                            <w:spacing w:val="-75"/>
                            <w:sz w:val="18"/>
                            <w:szCs w:val="18"/>
                          </w:rPr>
                          <w:t>，</w:t>
                        </w:r>
                        <w:r>
                          <w:rPr>
                            <w:rFonts w:ascii="宋体" w:hAnsi="宋体" w:cs="宋体" w:eastAsia="宋体" w:hint="default"/>
                            <w:sz w:val="18"/>
                            <w:szCs w:val="18"/>
                          </w:rPr>
                          <w:t>给公司造成定量标准认定的重</w:t>
                        </w:r>
                      </w:p>
                    </w:tc>
                  </w:tr>
                  <w:tr>
                    <w:trPr>
                      <w:trHeight w:val="331" w:hRule="exact"/>
                    </w:trPr>
                    <w:tc>
                      <w:tcPr>
                        <w:tcW w:w="1953" w:type="dxa"/>
                        <w:vMerge/>
                        <w:tcBorders>
                          <w:left w:val="single" w:sz="4" w:space="0" w:color="000000"/>
                          <w:right w:val="single" w:sz="4" w:space="0" w:color="000000"/>
                        </w:tcBorders>
                        <w:shd w:val="clear" w:color="auto" w:fill="D2D2D2"/>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宋体" w:hAnsi="宋体" w:cs="宋体" w:eastAsia="宋体" w:hint="default"/>
                            <w:sz w:val="18"/>
                            <w:szCs w:val="18"/>
                          </w:rPr>
                          <w:t>标。</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要财产损失；</w:t>
                        </w:r>
                      </w:p>
                    </w:tc>
                  </w:tr>
                  <w:tr>
                    <w:trPr>
                      <w:trHeight w:val="332" w:hRule="exact"/>
                    </w:trPr>
                    <w:tc>
                      <w:tcPr>
                        <w:tcW w:w="1953" w:type="dxa"/>
                        <w:vMerge/>
                        <w:tcBorders>
                          <w:left w:val="single" w:sz="4" w:space="0" w:color="000000"/>
                          <w:right w:val="single" w:sz="4" w:space="0" w:color="000000"/>
                        </w:tcBorders>
                        <w:shd w:val="clear" w:color="auto" w:fill="D2D2D2"/>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三、一般缺陷：</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、违反国家法律、法规，受到政府部门处</w:t>
                        </w:r>
                      </w:p>
                    </w:tc>
                  </w:tr>
                  <w:tr>
                    <w:trPr>
                      <w:trHeight w:val="332" w:hRule="exact"/>
                    </w:trPr>
                    <w:tc>
                      <w:tcPr>
                        <w:tcW w:w="1953" w:type="dxa"/>
                        <w:vMerge/>
                        <w:tcBorders>
                          <w:left w:val="single" w:sz="4" w:space="0" w:color="000000"/>
                          <w:right w:val="single" w:sz="4" w:space="0" w:color="000000"/>
                        </w:tcBorders>
                        <w:shd w:val="clear" w:color="auto" w:fill="D2D2D2"/>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未构成重大缺陷、重要缺陷标准的，和财务报告相关</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罚，但未对公司定期报告披露造成负面影</w:t>
                        </w:r>
                      </w:p>
                    </w:tc>
                  </w:tr>
                  <w:tr>
                    <w:trPr>
                      <w:trHeight w:val="332" w:hRule="exact"/>
                    </w:trPr>
                    <w:tc>
                      <w:tcPr>
                        <w:tcW w:w="1953" w:type="dxa"/>
                        <w:vMerge/>
                        <w:tcBorders>
                          <w:left w:val="single" w:sz="4" w:space="0" w:color="000000"/>
                          <w:right w:val="single" w:sz="4" w:space="0" w:color="000000"/>
                        </w:tcBorders>
                        <w:shd w:val="clear" w:color="auto" w:fill="D2D2D2"/>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的其他内部控制缺陷。</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响；</w:t>
                        </w:r>
                      </w:p>
                    </w:tc>
                  </w:tr>
                  <w:tr>
                    <w:trPr>
                      <w:trHeight w:val="316" w:hRule="exact"/>
                    </w:trPr>
                    <w:tc>
                      <w:tcPr>
                        <w:tcW w:w="1953" w:type="dxa"/>
                        <w:vMerge/>
                        <w:tcBorders>
                          <w:left w:val="single" w:sz="4" w:space="0" w:color="000000"/>
                          <w:right w:val="single" w:sz="4" w:space="0" w:color="000000"/>
                        </w:tcBorders>
                        <w:shd w:val="clear" w:color="auto" w:fill="D2D2D2"/>
                      </w:tcPr>
                      <w:p>
                        <w:pPr/>
                      </w:p>
                    </w:tc>
                    <w:tc>
                      <w:tcPr>
                        <w:tcW w:w="4251"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38" w:lineRule="exact"/>
                          <w:ind w:left="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、关键岗位业务人员流失严重；</w:t>
                        </w:r>
                      </w:p>
                    </w:tc>
                  </w:tr>
                  <w:tr>
                    <w:trPr>
                      <w:trHeight w:val="352" w:hRule="exact"/>
                    </w:trPr>
                    <w:tc>
                      <w:tcPr>
                        <w:tcW w:w="1953" w:type="dxa"/>
                        <w:vMerge/>
                        <w:tcBorders>
                          <w:left w:val="single" w:sz="4" w:space="0" w:color="000000"/>
                          <w:right w:val="single" w:sz="4" w:space="0" w:color="000000"/>
                        </w:tcBorders>
                        <w:shd w:val="clear" w:color="auto" w:fill="D2D2D2"/>
                      </w:tcPr>
                      <w:p>
                        <w:pPr/>
                      </w:p>
                    </w:tc>
                    <w:tc>
                      <w:tcPr>
                        <w:tcW w:w="4251"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、媒体出现负面新闻，波及局部区域；</w:t>
                        </w:r>
                      </w:p>
                    </w:tc>
                  </w:tr>
                  <w:tr>
                    <w:trPr>
                      <w:trHeight w:val="352" w:hRule="exact"/>
                    </w:trPr>
                    <w:tc>
                      <w:tcPr>
                        <w:tcW w:w="1953" w:type="dxa"/>
                        <w:vMerge/>
                        <w:tcBorders>
                          <w:left w:val="single" w:sz="4" w:space="0" w:color="000000"/>
                          <w:right w:val="single" w:sz="4" w:space="0" w:color="000000"/>
                        </w:tcBorders>
                        <w:shd w:val="clear" w:color="auto" w:fill="D2D2D2"/>
                      </w:tcPr>
                      <w:p>
                        <w:pPr/>
                      </w:p>
                    </w:tc>
                    <w:tc>
                      <w:tcPr>
                        <w:tcW w:w="4251"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Arial" w:hAnsi="Arial" w:cs="Arial" w:eastAsia="Arial" w:hint="default"/>
                            <w:w w:val="99"/>
                            <w:sz w:val="18"/>
                            <w:szCs w:val="18"/>
                          </w:rPr>
                          <w:t>5</w:t>
                        </w:r>
                        <w:r>
                          <w:rPr>
                            <w:rFonts w:ascii="宋体" w:hAnsi="宋体" w:cs="宋体" w:eastAsia="宋体" w:hint="default"/>
                            <w:spacing w:val="-84"/>
                            <w:sz w:val="18"/>
                            <w:szCs w:val="18"/>
                          </w:rPr>
                          <w:t>、</w:t>
                        </w:r>
                        <w:r>
                          <w:rPr>
                            <w:rFonts w:ascii="宋体" w:hAnsi="宋体" w:cs="宋体" w:eastAsia="宋体" w:hint="default"/>
                            <w:sz w:val="18"/>
                            <w:szCs w:val="18"/>
                          </w:rPr>
                          <w:t>重要业务制度执行过程中存在较大缺陷</w:t>
                        </w:r>
                      </w:p>
                    </w:tc>
                  </w:tr>
                  <w:tr>
                    <w:trPr>
                      <w:trHeight w:val="332" w:hRule="exact"/>
                    </w:trPr>
                    <w:tc>
                      <w:tcPr>
                        <w:tcW w:w="1953" w:type="dxa"/>
                        <w:vMerge/>
                        <w:tcBorders>
                          <w:left w:val="single" w:sz="4" w:space="0" w:color="000000"/>
                          <w:right w:val="single" w:sz="4" w:space="0" w:color="000000"/>
                        </w:tcBorders>
                        <w:shd w:val="clear" w:color="auto" w:fill="D2D2D2"/>
                      </w:tcPr>
                      <w:p>
                        <w:pPr/>
                      </w:p>
                    </w:tc>
                    <w:tc>
                      <w:tcPr>
                        <w:tcW w:w="4251"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2" w:right="0"/>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、已经发现并报告给管理层的非财务报告</w:t>
                        </w:r>
                      </w:p>
                    </w:tc>
                  </w:tr>
                  <w:tr>
                    <w:trPr>
                      <w:trHeight w:val="308" w:hRule="exact"/>
                    </w:trPr>
                    <w:tc>
                      <w:tcPr>
                        <w:tcW w:w="1953" w:type="dxa"/>
                        <w:vMerge/>
                        <w:tcBorders>
                          <w:left w:val="single" w:sz="4" w:space="0" w:color="000000"/>
                          <w:right w:val="single" w:sz="4" w:space="0" w:color="000000"/>
                        </w:tcBorders>
                        <w:shd w:val="clear" w:color="auto" w:fill="D2D2D2"/>
                      </w:tcPr>
                      <w:p>
                        <w:pPr/>
                      </w:p>
                    </w:tc>
                    <w:tc>
                      <w:tcPr>
                        <w:tcW w:w="4251"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内部控制重要缺陷在合理的时间内未得到</w:t>
                        </w:r>
                      </w:p>
                    </w:tc>
                  </w:tr>
                  <w:tr>
                    <w:trPr>
                      <w:trHeight w:val="332" w:hRule="exact"/>
                    </w:trPr>
                    <w:tc>
                      <w:tcPr>
                        <w:tcW w:w="1953" w:type="dxa"/>
                        <w:vMerge/>
                        <w:tcBorders>
                          <w:left w:val="single" w:sz="4" w:space="0" w:color="000000"/>
                          <w:right w:val="single" w:sz="4" w:space="0" w:color="000000"/>
                        </w:tcBorders>
                        <w:shd w:val="clear" w:color="auto" w:fill="D2D2D2"/>
                      </w:tcPr>
                      <w:p>
                        <w:pPr/>
                      </w:p>
                    </w:tc>
                    <w:tc>
                      <w:tcPr>
                        <w:tcW w:w="4251"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整改。</w:t>
                        </w:r>
                      </w:p>
                    </w:tc>
                  </w:tr>
                  <w:tr>
                    <w:trPr>
                      <w:trHeight w:val="352" w:hRule="exact"/>
                    </w:trPr>
                    <w:tc>
                      <w:tcPr>
                        <w:tcW w:w="1953" w:type="dxa"/>
                        <w:vMerge/>
                        <w:tcBorders>
                          <w:left w:val="single" w:sz="4" w:space="0" w:color="000000"/>
                          <w:right w:val="single" w:sz="4" w:space="0" w:color="000000"/>
                        </w:tcBorders>
                        <w:shd w:val="clear" w:color="auto" w:fill="D2D2D2"/>
                      </w:tcPr>
                      <w:p>
                        <w:pPr/>
                      </w:p>
                    </w:tc>
                    <w:tc>
                      <w:tcPr>
                        <w:tcW w:w="4251"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三、一般缺陷：</w:t>
                        </w:r>
                      </w:p>
                    </w:tc>
                  </w:tr>
                  <w:tr>
                    <w:trPr>
                      <w:trHeight w:val="331" w:hRule="exact"/>
                    </w:trPr>
                    <w:tc>
                      <w:tcPr>
                        <w:tcW w:w="1953" w:type="dxa"/>
                        <w:vMerge/>
                        <w:tcBorders>
                          <w:left w:val="single" w:sz="4" w:space="0" w:color="000000"/>
                          <w:right w:val="single" w:sz="4" w:space="0" w:color="000000"/>
                        </w:tcBorders>
                        <w:shd w:val="clear" w:color="auto" w:fill="D2D2D2"/>
                      </w:tcPr>
                      <w:p>
                        <w:pPr/>
                      </w:p>
                    </w:tc>
                    <w:tc>
                      <w:tcPr>
                        <w:tcW w:w="4251" w:type="dxa"/>
                        <w:tcBorders>
                          <w:top w:val="nil" w:sz="6" w:space="0" w:color="auto"/>
                          <w:left w:val="single" w:sz="4" w:space="0" w:color="000000"/>
                          <w:bottom w:val="nil" w:sz="6" w:space="0" w:color="auto"/>
                          <w:right w:val="single" w:sz="4" w:space="0" w:color="000000"/>
                        </w:tcBorders>
                      </w:tcPr>
                      <w:p>
                        <w:pP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pacing w:val="-4"/>
                            <w:sz w:val="18"/>
                            <w:szCs w:val="18"/>
                          </w:rPr>
                          <w:t>除上述重大缺陷、重要缺陷之外，其他非财</w:t>
                        </w:r>
                      </w:p>
                    </w:tc>
                  </w:tr>
                  <w:tr>
                    <w:trPr>
                      <w:trHeight w:val="358" w:hRule="exact"/>
                    </w:trPr>
                    <w:tc>
                      <w:tcPr>
                        <w:tcW w:w="1953" w:type="dxa"/>
                        <w:vMerge/>
                        <w:tcBorders>
                          <w:left w:val="single" w:sz="4" w:space="0" w:color="000000"/>
                          <w:bottom w:val="single" w:sz="4" w:space="0" w:color="000000"/>
                          <w:right w:val="single" w:sz="4" w:space="0" w:color="000000"/>
                        </w:tcBorders>
                        <w:shd w:val="clear" w:color="auto" w:fill="D2D2D2"/>
                      </w:tcPr>
                      <w:p>
                        <w:pPr/>
                      </w:p>
                    </w:tc>
                    <w:tc>
                      <w:tcPr>
                        <w:tcW w:w="4251" w:type="dxa"/>
                        <w:tcBorders>
                          <w:top w:val="nil" w:sz="6" w:space="0" w:color="auto"/>
                          <w:left w:val="single" w:sz="4" w:space="0" w:color="000000"/>
                          <w:bottom w:val="single" w:sz="4" w:space="0" w:color="000000"/>
                          <w:right w:val="single" w:sz="4" w:space="0" w:color="000000"/>
                        </w:tcBorders>
                      </w:tcPr>
                      <w:p>
                        <w:pPr/>
                      </w:p>
                    </w:tc>
                    <w:tc>
                      <w:tcPr>
                        <w:tcW w:w="34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务报告相关的内部控制缺陷。</w:t>
                        </w:r>
                      </w:p>
                    </w:tc>
                  </w:tr>
                  <w:tr>
                    <w:trPr>
                      <w:trHeight w:val="362" w:hRule="exact"/>
                    </w:trPr>
                    <w:tc>
                      <w:tcPr>
                        <w:tcW w:w="1953"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一、重大缺陷：利润表项目错报</w:t>
                        </w:r>
                        <w:r>
                          <w:rPr>
                            <w:rFonts w:ascii="Arial" w:hAnsi="Arial" w:cs="Arial" w:eastAsia="Arial" w:hint="default"/>
                            <w:sz w:val="18"/>
                            <w:szCs w:val="18"/>
                          </w:rPr>
                          <w:t>≥</w:t>
                        </w:r>
                        <w:r>
                          <w:rPr>
                            <w:rFonts w:ascii="宋体" w:hAnsi="宋体" w:cs="宋体" w:eastAsia="宋体" w:hint="default"/>
                            <w:sz w:val="18"/>
                            <w:szCs w:val="18"/>
                          </w:rPr>
                          <w:t>利润总额的</w:t>
                        </w:r>
                        <w:r>
                          <w:rPr>
                            <w:rFonts w:ascii="宋体" w:hAnsi="宋体" w:cs="宋体" w:eastAsia="宋体" w:hint="default"/>
                            <w:spacing w:val="-49"/>
                            <w:sz w:val="18"/>
                            <w:szCs w:val="18"/>
                          </w:rPr>
                          <w:t> </w:t>
                        </w:r>
                        <w:r>
                          <w:rPr>
                            <w:rFonts w:ascii="Arial" w:hAnsi="Arial" w:cs="Arial" w:eastAsia="Arial" w:hint="default"/>
                            <w:sz w:val="18"/>
                            <w:szCs w:val="18"/>
                          </w:rPr>
                          <w:t>5%</w:t>
                        </w:r>
                        <w:r>
                          <w:rPr>
                            <w:rFonts w:ascii="宋体" w:hAnsi="宋体" w:cs="宋体" w:eastAsia="宋体" w:hint="default"/>
                            <w:sz w:val="18"/>
                            <w:szCs w:val="18"/>
                          </w:rPr>
                          <w:t>；资</w:t>
                        </w:r>
                      </w:p>
                    </w:tc>
                    <w:tc>
                      <w:tcPr>
                        <w:tcW w:w="3402" w:type="dxa"/>
                        <w:tcBorders>
                          <w:top w:val="single" w:sz="4" w:space="0" w:color="000000"/>
                          <w:left w:val="single" w:sz="4" w:space="0" w:color="000000"/>
                          <w:bottom w:val="nil" w:sz="6" w:space="0" w:color="auto"/>
                          <w:right w:val="single" w:sz="4" w:space="0" w:color="000000"/>
                        </w:tcBorders>
                      </w:tcPr>
                      <w:p>
                        <w:pPr/>
                      </w:p>
                    </w:tc>
                  </w:tr>
                  <w:tr>
                    <w:trPr>
                      <w:trHeight w:val="332" w:hRule="exact"/>
                    </w:trPr>
                    <w:tc>
                      <w:tcPr>
                        <w:tcW w:w="1953" w:type="dxa"/>
                        <w:tcBorders>
                          <w:top w:val="nil" w:sz="6" w:space="0" w:color="auto"/>
                          <w:left w:val="single" w:sz="4" w:space="0" w:color="000000"/>
                          <w:bottom w:val="nil" w:sz="6" w:space="0" w:color="auto"/>
                          <w:right w:val="single" w:sz="4" w:space="0" w:color="000000"/>
                        </w:tcBorders>
                        <w:shd w:val="clear" w:color="auto" w:fill="D2D2D2"/>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产负债表项目错报</w:t>
                        </w:r>
                        <w:r>
                          <w:rPr>
                            <w:rFonts w:ascii="Arial" w:hAnsi="Arial" w:cs="Arial" w:eastAsia="Arial" w:hint="default"/>
                            <w:sz w:val="18"/>
                            <w:szCs w:val="18"/>
                          </w:rPr>
                          <w:t>≥</w:t>
                        </w:r>
                        <w:r>
                          <w:rPr>
                            <w:rFonts w:ascii="宋体" w:hAnsi="宋体" w:cs="宋体" w:eastAsia="宋体" w:hint="default"/>
                            <w:sz w:val="18"/>
                            <w:szCs w:val="18"/>
                          </w:rPr>
                          <w:t>资产总额的</w:t>
                        </w:r>
                        <w:r>
                          <w:rPr>
                            <w:rFonts w:ascii="宋体" w:hAnsi="宋体" w:cs="宋体" w:eastAsia="宋体" w:hint="default"/>
                            <w:spacing w:val="-49"/>
                            <w:sz w:val="18"/>
                            <w:szCs w:val="18"/>
                          </w:rPr>
                          <w:t> </w:t>
                        </w:r>
                        <w:r>
                          <w:rPr>
                            <w:rFonts w:ascii="Arial" w:hAnsi="Arial" w:cs="Arial" w:eastAsia="Arial" w:hint="default"/>
                            <w:sz w:val="18"/>
                            <w:szCs w:val="18"/>
                          </w:rPr>
                          <w:t>2%</w:t>
                        </w:r>
                        <w:r>
                          <w:rPr>
                            <w:rFonts w:ascii="宋体" w:hAnsi="宋体" w:cs="宋体" w:eastAsia="宋体" w:hint="default"/>
                            <w:sz w:val="18"/>
                            <w:szCs w:val="18"/>
                          </w:rPr>
                          <w:t>。</w:t>
                        </w:r>
                      </w:p>
                    </w:tc>
                    <w:tc>
                      <w:tcPr>
                        <w:tcW w:w="3402"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1953" w:type="dxa"/>
                        <w:tcBorders>
                          <w:top w:val="nil" w:sz="6" w:space="0" w:color="auto"/>
                          <w:left w:val="single" w:sz="4" w:space="0" w:color="000000"/>
                          <w:bottom w:val="nil" w:sz="6" w:space="0" w:color="auto"/>
                          <w:right w:val="single" w:sz="4" w:space="0" w:color="000000"/>
                        </w:tcBorders>
                        <w:shd w:val="clear" w:color="auto" w:fill="D2D2D2"/>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3" w:right="0"/>
                          <w:jc w:val="left"/>
                          <w:rPr>
                            <w:rFonts w:ascii="宋体" w:hAnsi="宋体" w:cs="宋体" w:eastAsia="宋体" w:hint="default"/>
                            <w:sz w:val="18"/>
                            <w:szCs w:val="18"/>
                          </w:rPr>
                        </w:pPr>
                        <w:r>
                          <w:rPr>
                            <w:rFonts w:ascii="宋体" w:hAnsi="宋体" w:cs="宋体" w:eastAsia="宋体" w:hint="default"/>
                            <w:sz w:val="18"/>
                            <w:szCs w:val="18"/>
                          </w:rPr>
                          <w:t>二、重要缺陷：利润总额的</w:t>
                        </w:r>
                        <w:r>
                          <w:rPr>
                            <w:rFonts w:ascii="宋体" w:hAnsi="宋体" w:cs="宋体" w:eastAsia="宋体" w:hint="default"/>
                            <w:spacing w:val="-49"/>
                            <w:sz w:val="18"/>
                            <w:szCs w:val="18"/>
                          </w:rPr>
                          <w:t> </w:t>
                        </w:r>
                        <w:r>
                          <w:rPr>
                            <w:rFonts w:ascii="Arial" w:hAnsi="Arial" w:cs="Arial" w:eastAsia="Arial" w:hint="default"/>
                            <w:sz w:val="18"/>
                            <w:szCs w:val="18"/>
                          </w:rPr>
                          <w:t>2%≤</w:t>
                        </w:r>
                        <w:r>
                          <w:rPr>
                            <w:rFonts w:ascii="宋体" w:hAnsi="宋体" w:cs="宋体" w:eastAsia="宋体" w:hint="default"/>
                            <w:sz w:val="18"/>
                            <w:szCs w:val="18"/>
                          </w:rPr>
                          <w:t>利润表项目错报＜利</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2" w:right="0"/>
                          <w:jc w:val="left"/>
                          <w:rPr>
                            <w:rFonts w:ascii="宋体" w:hAnsi="宋体" w:cs="宋体" w:eastAsia="宋体" w:hint="default"/>
                            <w:sz w:val="18"/>
                            <w:szCs w:val="18"/>
                          </w:rPr>
                        </w:pPr>
                        <w:r>
                          <w:rPr>
                            <w:rFonts w:ascii="宋体" w:hAnsi="宋体" w:cs="宋体" w:eastAsia="宋体" w:hint="default"/>
                            <w:sz w:val="18"/>
                            <w:szCs w:val="18"/>
                          </w:rPr>
                          <w:t>非财务报告内部控制缺陷评价的定量标准</w:t>
                        </w:r>
                      </w:p>
                    </w:tc>
                  </w:tr>
                  <w:tr>
                    <w:trPr>
                      <w:trHeight w:val="312" w:hRule="exact"/>
                    </w:trPr>
                    <w:tc>
                      <w:tcPr>
                        <w:tcW w:w="19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润总额的</w:t>
                        </w:r>
                        <w:r>
                          <w:rPr>
                            <w:rFonts w:ascii="宋体" w:hAnsi="宋体" w:cs="宋体" w:eastAsia="宋体" w:hint="default"/>
                            <w:spacing w:val="-48"/>
                            <w:sz w:val="18"/>
                            <w:szCs w:val="18"/>
                          </w:rPr>
                          <w:t> </w:t>
                        </w:r>
                        <w:r>
                          <w:rPr>
                            <w:rFonts w:ascii="Arial" w:hAnsi="Arial" w:cs="Arial" w:eastAsia="Arial" w:hint="default"/>
                            <w:sz w:val="18"/>
                            <w:szCs w:val="18"/>
                          </w:rPr>
                          <w:t>5%</w:t>
                        </w:r>
                        <w:r>
                          <w:rPr>
                            <w:rFonts w:ascii="宋体" w:hAnsi="宋体" w:cs="宋体" w:eastAsia="宋体" w:hint="default"/>
                            <w:sz w:val="18"/>
                            <w:szCs w:val="18"/>
                          </w:rPr>
                          <w:t>；资产总额的</w:t>
                        </w:r>
                        <w:r>
                          <w:rPr>
                            <w:rFonts w:ascii="宋体" w:hAnsi="宋体" w:cs="宋体" w:eastAsia="宋体" w:hint="default"/>
                            <w:spacing w:val="-48"/>
                            <w:sz w:val="18"/>
                            <w:szCs w:val="18"/>
                          </w:rPr>
                          <w:t> </w:t>
                        </w:r>
                        <w:r>
                          <w:rPr>
                            <w:rFonts w:ascii="Arial" w:hAnsi="Arial" w:cs="Arial" w:eastAsia="Arial" w:hint="default"/>
                            <w:sz w:val="18"/>
                            <w:szCs w:val="18"/>
                          </w:rPr>
                          <w:t>1%≤</w:t>
                        </w:r>
                        <w:r>
                          <w:rPr>
                            <w:rFonts w:ascii="宋体" w:hAnsi="宋体" w:cs="宋体" w:eastAsia="宋体" w:hint="default"/>
                            <w:sz w:val="18"/>
                            <w:szCs w:val="18"/>
                          </w:rPr>
                          <w:t>资产负债表项目错报</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参照财务报告内部控制缺陷评价的定量标</w:t>
                        </w:r>
                      </w:p>
                    </w:tc>
                  </w:tr>
                  <w:tr>
                    <w:trPr>
                      <w:trHeight w:val="331" w:hRule="exact"/>
                    </w:trPr>
                    <w:tc>
                      <w:tcPr>
                        <w:tcW w:w="1953" w:type="dxa"/>
                        <w:tcBorders>
                          <w:top w:val="nil" w:sz="6" w:space="0" w:color="auto"/>
                          <w:left w:val="single" w:sz="4" w:space="0" w:color="000000"/>
                          <w:bottom w:val="nil" w:sz="6" w:space="0" w:color="auto"/>
                          <w:right w:val="single" w:sz="4" w:space="0" w:color="000000"/>
                        </w:tcBorders>
                        <w:shd w:val="clear" w:color="auto" w:fill="D2D2D2"/>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＜资产总额的</w:t>
                        </w:r>
                        <w:r>
                          <w:rPr>
                            <w:rFonts w:ascii="宋体" w:hAnsi="宋体" w:cs="宋体" w:eastAsia="宋体" w:hint="default"/>
                            <w:spacing w:val="-48"/>
                            <w:sz w:val="18"/>
                            <w:szCs w:val="18"/>
                          </w:rPr>
                          <w:t> </w:t>
                        </w:r>
                        <w:r>
                          <w:rPr>
                            <w:rFonts w:ascii="Arial" w:hAnsi="Arial" w:cs="Arial" w:eastAsia="Arial" w:hint="default"/>
                            <w:sz w:val="18"/>
                            <w:szCs w:val="18"/>
                          </w:rPr>
                          <w:t>2%</w:t>
                        </w:r>
                        <w:r>
                          <w:rPr>
                            <w:rFonts w:ascii="宋体" w:hAnsi="宋体" w:cs="宋体" w:eastAsia="宋体" w:hint="default"/>
                            <w:sz w:val="18"/>
                            <w:szCs w:val="18"/>
                          </w:rPr>
                          <w:t>。</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准执行。</w:t>
                        </w:r>
                      </w:p>
                    </w:tc>
                  </w:tr>
                  <w:tr>
                    <w:trPr>
                      <w:trHeight w:val="331" w:hRule="exact"/>
                    </w:trPr>
                    <w:tc>
                      <w:tcPr>
                        <w:tcW w:w="1953" w:type="dxa"/>
                        <w:tcBorders>
                          <w:top w:val="nil" w:sz="6" w:space="0" w:color="auto"/>
                          <w:left w:val="single" w:sz="4" w:space="0" w:color="000000"/>
                          <w:bottom w:val="nil" w:sz="6" w:space="0" w:color="auto"/>
                          <w:right w:val="single" w:sz="4" w:space="0" w:color="000000"/>
                        </w:tcBorders>
                        <w:shd w:val="clear" w:color="auto" w:fill="D2D2D2"/>
                      </w:tcPr>
                      <w:p>
                        <w:pPr/>
                      </w:p>
                    </w:tc>
                    <w:tc>
                      <w:tcPr>
                        <w:tcW w:w="4251"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宋体" w:hAnsi="宋体" w:cs="宋体" w:eastAsia="宋体" w:hint="default"/>
                            <w:spacing w:val="-3"/>
                            <w:sz w:val="18"/>
                            <w:szCs w:val="18"/>
                          </w:rPr>
                          <w:t>三、一般缺陷：利润表项目错报＜利润总额的</w:t>
                        </w:r>
                        <w:r>
                          <w:rPr>
                            <w:rFonts w:ascii="宋体" w:hAnsi="宋体" w:cs="宋体" w:eastAsia="宋体" w:hint="default"/>
                            <w:spacing w:val="-33"/>
                            <w:sz w:val="18"/>
                            <w:szCs w:val="18"/>
                          </w:rPr>
                          <w:t> </w:t>
                        </w:r>
                        <w:r>
                          <w:rPr>
                            <w:rFonts w:ascii="Arial" w:hAnsi="Arial" w:cs="Arial" w:eastAsia="Arial" w:hint="default"/>
                            <w:spacing w:val="-6"/>
                            <w:sz w:val="18"/>
                            <w:szCs w:val="18"/>
                          </w:rPr>
                          <w:t>2%</w:t>
                        </w:r>
                        <w:r>
                          <w:rPr>
                            <w:rFonts w:ascii="宋体" w:hAnsi="宋体" w:cs="宋体" w:eastAsia="宋体" w:hint="default"/>
                            <w:spacing w:val="-6"/>
                            <w:sz w:val="18"/>
                            <w:szCs w:val="18"/>
                          </w:rPr>
                          <w:t>；资</w:t>
                        </w:r>
                      </w:p>
                    </w:tc>
                    <w:tc>
                      <w:tcPr>
                        <w:tcW w:w="3402"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1953"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产负债表项目错报＜资产总额的</w:t>
                        </w:r>
                        <w:r>
                          <w:rPr>
                            <w:rFonts w:ascii="宋体" w:hAnsi="宋体" w:cs="宋体" w:eastAsia="宋体" w:hint="default"/>
                            <w:spacing w:val="-48"/>
                            <w:sz w:val="18"/>
                            <w:szCs w:val="18"/>
                          </w:rPr>
                          <w:t> </w:t>
                        </w:r>
                        <w:r>
                          <w:rPr>
                            <w:rFonts w:ascii="Arial" w:hAnsi="Arial" w:cs="Arial" w:eastAsia="Arial" w:hint="default"/>
                            <w:sz w:val="18"/>
                            <w:szCs w:val="18"/>
                          </w:rPr>
                          <w:t>1%</w:t>
                        </w:r>
                        <w:r>
                          <w:rPr>
                            <w:rFonts w:ascii="宋体" w:hAnsi="宋体" w:cs="宋体" w:eastAsia="宋体" w:hint="default"/>
                            <w:sz w:val="18"/>
                            <w:szCs w:val="18"/>
                          </w:rPr>
                          <w:t>。</w:t>
                        </w:r>
                      </w:p>
                    </w:tc>
                    <w:tc>
                      <w:tcPr>
                        <w:tcW w:w="3402"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62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w w:val="99"/>
                            <w:sz w:val="18"/>
                          </w:rPr>
                          <w:t>0</w:t>
                        </w:r>
                        <w:r>
                          <w:rPr>
                            <w:rFonts w:ascii="Arial"/>
                            <w:sz w:val="18"/>
                          </w:rPr>
                        </w:r>
                      </w:p>
                    </w:tc>
                  </w:tr>
                  <w:tr>
                    <w:trPr>
                      <w:trHeight w:val="402" w:hRule="exact"/>
                    </w:trPr>
                    <w:tc>
                      <w:tcPr>
                        <w:tcW w:w="62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w w:val="99"/>
                            <w:sz w:val="18"/>
                          </w:rPr>
                          <w:t>0</w:t>
                        </w:r>
                        <w:r>
                          <w:rPr>
                            <w:rFonts w:ascii="Arial"/>
                            <w:sz w:val="18"/>
                          </w:rPr>
                        </w:r>
                      </w:p>
                    </w:tc>
                  </w:tr>
                  <w:tr>
                    <w:trPr>
                      <w:trHeight w:val="402" w:hRule="exact"/>
                    </w:trPr>
                    <w:tc>
                      <w:tcPr>
                        <w:tcW w:w="62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w w:val="99"/>
                            <w:sz w:val="18"/>
                          </w:rPr>
                          <w:t>0</w:t>
                        </w:r>
                        <w:r>
                          <w:rPr>
                            <w:rFonts w:ascii="Arial"/>
                            <w:sz w:val="18"/>
                          </w:rPr>
                        </w:r>
                      </w:p>
                    </w:tc>
                  </w:tr>
                  <w:tr>
                    <w:trPr>
                      <w:trHeight w:val="402" w:hRule="exact"/>
                    </w:trPr>
                    <w:tc>
                      <w:tcPr>
                        <w:tcW w:w="62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w w:val="99"/>
                            <w:sz w:val="18"/>
                          </w:rPr>
                          <w:t>0</w:t>
                        </w:r>
                        <w:r>
                          <w:rPr>
                            <w:rFonts w:ascii="Arial"/>
                            <w:sz w:val="18"/>
                          </w:rPr>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before="44"/>
        <w:ind w:left="0" w:right="1101"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footerReference w:type="default" r:id="rId32"/>
          <w:pgSz w:w="11910" w:h="16840"/>
          <w:pgMar w:footer="978" w:header="878" w:top="1100" w:bottom="1160" w:left="1020" w:right="0"/>
          <w:pgNumType w:start="80"/>
        </w:sectPr>
      </w:pPr>
    </w:p>
    <w:p>
      <w:pPr>
        <w:spacing w:line="240" w:lineRule="auto" w:before="10"/>
        <w:rPr>
          <w:rFonts w:ascii="宋体" w:hAnsi="宋体" w:cs="宋体" w:eastAsia="宋体" w:hint="default"/>
          <w:sz w:val="19"/>
          <w:szCs w:val="19"/>
        </w:rPr>
      </w:pPr>
    </w:p>
    <w:p>
      <w:pPr>
        <w:pStyle w:val="Heading2"/>
        <w:spacing w:line="468" w:lineRule="auto"/>
        <w:ind w:right="7139"/>
        <w:jc w:val="left"/>
        <w:rPr>
          <w:rFonts w:ascii="宋体" w:hAnsi="宋体" w:cs="宋体" w:eastAsia="宋体" w:hint="default"/>
          <w:b w:val="0"/>
          <w:bCs w:val="0"/>
        </w:rPr>
      </w:pPr>
      <w:bookmarkStart w:name="十、内部控制审计报告或鉴证报告" w:id="146"/>
      <w:bookmarkEnd w:id="146"/>
      <w:r>
        <w:rPr>
          <w:b w:val="0"/>
          <w:bCs w:val="0"/>
        </w:rPr>
      </w:r>
      <w:r>
        <w:rPr/>
        <w:t>十、内部控制审计报告或鉴证报告</w:t>
      </w:r>
      <w:r>
        <w:rPr>
          <w:w w:val="99"/>
        </w:rPr>
        <w:t> </w:t>
      </w:r>
      <w:r>
        <w:rPr>
          <w:rFonts w:ascii="宋体" w:hAnsi="宋体" w:cs="宋体" w:eastAsia="宋体" w:hint="default"/>
          <w:b w:val="0"/>
          <w:bCs w:val="0"/>
        </w:rPr>
        <w:t>不适用</w:t>
      </w:r>
    </w:p>
    <w:p>
      <w:pPr>
        <w:spacing w:after="0" w:line="468" w:lineRule="auto"/>
        <w:jc w:val="left"/>
        <w:rPr>
          <w:rFonts w:ascii="宋体" w:hAnsi="宋体" w:cs="宋体" w:eastAsia="宋体" w:hint="default"/>
        </w:rPr>
        <w:sectPr>
          <w:pgSz w:w="11910" w:h="16840"/>
          <w:pgMar w:header="878" w:footer="978" w:top="110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Heading1"/>
        <w:spacing w:line="439" w:lineRule="exact"/>
        <w:ind w:left="3093" w:right="996"/>
        <w:jc w:val="left"/>
        <w:rPr>
          <w:b w:val="0"/>
          <w:bCs w:val="0"/>
        </w:rPr>
      </w:pPr>
      <w:bookmarkStart w:name="第十节 公司债券相关情况" w:id="147"/>
      <w:bookmarkEnd w:id="147"/>
      <w:r>
        <w:rPr>
          <w:b w:val="0"/>
          <w:bCs w:val="0"/>
        </w:rPr>
      </w:r>
      <w:bookmarkStart w:name="_bookmark8" w:id="148"/>
      <w:bookmarkEnd w:id="148"/>
      <w:r>
        <w:rPr>
          <w:b w:val="0"/>
          <w:bCs w:val="0"/>
        </w:rPr>
      </w:r>
      <w:r>
        <w:rPr/>
        <w:t>第十节</w:t>
      </w:r>
      <w:r>
        <w:rPr>
          <w:spacing w:val="58"/>
        </w:rPr>
        <w:t> </w:t>
      </w:r>
      <w:r>
        <w:rPr/>
        <w:t>公司债券相关情况</w:t>
      </w:r>
      <w:r>
        <w:rPr>
          <w:b w:val="0"/>
          <w:bCs w:val="0"/>
        </w:rPr>
      </w:r>
    </w:p>
    <w:p>
      <w:pPr>
        <w:spacing w:line="240" w:lineRule="auto" w:before="4"/>
        <w:rPr>
          <w:rFonts w:ascii="微软雅黑" w:hAnsi="微软雅黑" w:cs="微软雅黑" w:eastAsia="微软雅黑" w:hint="default"/>
          <w:b/>
          <w:bCs/>
          <w:sz w:val="28"/>
          <w:szCs w:val="28"/>
        </w:rPr>
      </w:pPr>
    </w:p>
    <w:p>
      <w:pPr>
        <w:pStyle w:val="Heading3"/>
        <w:spacing w:line="312" w:lineRule="exact"/>
        <w:ind w:right="1154"/>
        <w:jc w:val="left"/>
      </w:pPr>
      <w:r>
        <w:rPr/>
        <w:t>公司是否存在公开发行并在证券交易所上市，且在年度报告批准报出日未到期或到期未能全 额兑付的公司债券</w:t>
      </w:r>
    </w:p>
    <w:p>
      <w:pPr>
        <w:pStyle w:val="Heading3"/>
        <w:spacing w:line="240" w:lineRule="auto" w:before="10"/>
        <w:ind w:right="996"/>
        <w:jc w:val="left"/>
      </w:pPr>
      <w:r>
        <w:rPr/>
        <w:t>否</w:t>
      </w:r>
    </w:p>
    <w:p>
      <w:pPr>
        <w:spacing w:after="0" w:line="240" w:lineRule="auto"/>
        <w:jc w:val="left"/>
        <w:sectPr>
          <w:pgSz w:w="11910" w:h="16840"/>
          <w:pgMar w:header="878" w:footer="978" w:top="110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Heading1"/>
        <w:spacing w:line="439" w:lineRule="exact"/>
        <w:ind w:left="3573" w:right="996"/>
        <w:jc w:val="left"/>
        <w:rPr>
          <w:b w:val="0"/>
          <w:bCs w:val="0"/>
        </w:rPr>
      </w:pPr>
      <w:bookmarkStart w:name="第十一节 财务报告" w:id="149"/>
      <w:bookmarkEnd w:id="149"/>
      <w:r>
        <w:rPr>
          <w:b w:val="0"/>
          <w:bCs w:val="0"/>
        </w:rPr>
      </w:r>
      <w:bookmarkStart w:name="_bookmark9" w:id="150"/>
      <w:bookmarkEnd w:id="150"/>
      <w:r>
        <w:rPr>
          <w:b w:val="0"/>
          <w:bCs w:val="0"/>
        </w:rPr>
      </w:r>
      <w:r>
        <w:rPr/>
        <w:t>第十一节</w:t>
      </w:r>
      <w:r>
        <w:rPr>
          <w:spacing w:val="61"/>
        </w:rPr>
        <w:t> </w:t>
      </w:r>
      <w:r>
        <w:rPr/>
        <w:t>财务报告</w:t>
      </w:r>
      <w:r>
        <w:rPr>
          <w:b w:val="0"/>
          <w:bCs w:val="0"/>
        </w:rPr>
      </w:r>
    </w:p>
    <w:p>
      <w:pPr>
        <w:spacing w:line="240" w:lineRule="auto" w:before="16"/>
        <w:rPr>
          <w:rFonts w:ascii="微软雅黑" w:hAnsi="微软雅黑" w:cs="微软雅黑" w:eastAsia="微软雅黑" w:hint="default"/>
          <w:b/>
          <w:bCs/>
          <w:sz w:val="24"/>
          <w:szCs w:val="24"/>
        </w:rPr>
      </w:pPr>
    </w:p>
    <w:p>
      <w:pPr>
        <w:pStyle w:val="Heading2"/>
        <w:spacing w:line="240" w:lineRule="auto"/>
        <w:ind w:right="996"/>
        <w:jc w:val="left"/>
        <w:rPr>
          <w:b w:val="0"/>
          <w:bCs w:val="0"/>
        </w:rPr>
      </w:pPr>
      <w:bookmarkStart w:name="一、审计报告" w:id="151"/>
      <w:bookmarkEnd w:id="151"/>
      <w:r>
        <w:rPr>
          <w:b w:val="0"/>
          <w:bCs w:val="0"/>
        </w:rPr>
      </w: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5"/>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04</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26</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致同审字</w:t>
            </w:r>
            <w:r>
              <w:rPr>
                <w:rFonts w:ascii="Arial" w:hAnsi="Arial" w:cs="Arial" w:eastAsia="Arial" w:hint="default"/>
                <w:sz w:val="18"/>
                <w:szCs w:val="18"/>
              </w:rPr>
              <w:t>(2019)</w:t>
            </w:r>
            <w:r>
              <w:rPr>
                <w:rFonts w:ascii="宋体" w:hAnsi="宋体" w:cs="宋体" w:eastAsia="宋体" w:hint="default"/>
                <w:sz w:val="18"/>
                <w:szCs w:val="18"/>
              </w:rPr>
              <w:t>第</w:t>
            </w:r>
            <w:r>
              <w:rPr>
                <w:rFonts w:ascii="宋体" w:hAnsi="宋体" w:cs="宋体" w:eastAsia="宋体" w:hint="default"/>
                <w:spacing w:val="-50"/>
                <w:sz w:val="18"/>
                <w:szCs w:val="18"/>
              </w:rPr>
              <w:t> </w:t>
            </w:r>
            <w:r>
              <w:rPr>
                <w:rFonts w:ascii="Arial" w:hAnsi="Arial" w:cs="Arial" w:eastAsia="Arial" w:hint="default"/>
                <w:sz w:val="18"/>
                <w:szCs w:val="18"/>
              </w:rPr>
              <w:t>510ZA6873</w:t>
            </w:r>
            <w:r>
              <w:rPr>
                <w:rFonts w:ascii="Arial" w:hAnsi="Arial" w:cs="Arial" w:eastAsia="Arial" w:hint="default"/>
                <w:spacing w:val="-10"/>
                <w:sz w:val="18"/>
                <w:szCs w:val="18"/>
              </w:rPr>
              <w:t> </w:t>
            </w:r>
            <w:r>
              <w:rPr>
                <w:rFonts w:ascii="宋体" w:hAnsi="宋体" w:cs="宋体" w:eastAsia="宋体" w:hint="default"/>
                <w:sz w:val="18"/>
                <w:szCs w:val="18"/>
              </w:rPr>
              <w:t>号</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陈平、吴亮</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0"/>
          <w:szCs w:val="20"/>
        </w:rPr>
      </w:pPr>
    </w:p>
    <w:p>
      <w:pPr>
        <w:pStyle w:val="BodyText"/>
        <w:spacing w:line="376" w:lineRule="auto" w:before="0"/>
        <w:ind w:left="535" w:right="0" w:hanging="423"/>
        <w:jc w:val="left"/>
      </w:pPr>
      <w:r>
        <w:rPr>
          <w:w w:val="95"/>
        </w:rPr>
        <w:t>北京华宇软件股份有限公司全体股东：</w:t>
      </w:r>
      <w:r>
        <w:rPr>
          <w:spacing w:val="69"/>
          <w:w w:val="95"/>
        </w:rPr>
        <w:t> </w:t>
      </w:r>
      <w:r>
        <w:rPr>
          <w:spacing w:val="69"/>
          <w:w w:val="95"/>
        </w:rPr>
      </w:r>
      <w:r>
        <w:rPr/>
        <w:t>一、审计意见</w:t>
      </w:r>
    </w:p>
    <w:p>
      <w:pPr>
        <w:pStyle w:val="Heading2"/>
        <w:spacing w:line="240" w:lineRule="auto" w:before="81"/>
        <w:ind w:right="0"/>
        <w:jc w:val="left"/>
        <w:rPr>
          <w:b w:val="0"/>
          <w:bCs w:val="0"/>
        </w:rPr>
      </w:pPr>
      <w:r>
        <w:rPr>
          <w:b w:val="0"/>
          <w:bCs w:val="0"/>
        </w:rPr>
        <w:br w:type="column"/>
      </w:r>
      <w:r>
        <w:rPr/>
        <w:t>审计报告正文</w:t>
      </w:r>
      <w:r>
        <w:rPr>
          <w:b w:val="0"/>
          <w:bCs w:val="0"/>
        </w:rPr>
      </w:r>
    </w:p>
    <w:p>
      <w:pPr>
        <w:spacing w:after="0" w:line="240" w:lineRule="auto"/>
        <w:jc w:val="left"/>
        <w:sectPr>
          <w:type w:val="continuous"/>
          <w:pgSz w:w="11910" w:h="16840"/>
          <w:pgMar w:top="1060" w:bottom="1160" w:left="1020" w:right="0"/>
          <w:cols w:num="2" w:equalWidth="0">
            <w:col w:w="3682" w:space="417"/>
            <w:col w:w="6791"/>
          </w:cols>
        </w:sectPr>
      </w:pPr>
    </w:p>
    <w:p>
      <w:pPr>
        <w:pStyle w:val="BodyText"/>
        <w:spacing w:line="259" w:lineRule="auto" w:before="37"/>
        <w:ind w:right="1127" w:firstLine="420"/>
        <w:jc w:val="both"/>
      </w:pPr>
      <w:r>
        <w:rPr>
          <w:spacing w:val="2"/>
        </w:rPr>
        <w:t>我们审计了北京华宇软件股份有限公司（以下简称华宇软件公司）财务报表，包括</w:t>
      </w:r>
      <w:r>
        <w:rPr>
          <w:rFonts w:ascii="Arial" w:hAnsi="Arial" w:cs="Arial" w:eastAsia="Arial" w:hint="default"/>
          <w:spacing w:val="2"/>
        </w:rPr>
        <w:t>2018</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w:t>
      </w:r>
      <w:r>
        <w:rPr>
          <w:w w:val="99"/>
        </w:rPr>
        <w:t> </w:t>
      </w:r>
      <w:r>
        <w:rPr>
          <w:spacing w:val="-1"/>
          <w:w w:val="95"/>
        </w:rPr>
        <w:t>的合并及公司资产负债表，</w:t>
      </w:r>
      <w:r>
        <w:rPr>
          <w:rFonts w:ascii="Arial" w:hAnsi="Arial" w:cs="Arial" w:eastAsia="Arial" w:hint="default"/>
          <w:spacing w:val="-1"/>
          <w:w w:val="95"/>
        </w:rPr>
        <w:t>2018</w:t>
      </w:r>
      <w:r>
        <w:rPr>
          <w:spacing w:val="-1"/>
          <w:w w:val="95"/>
        </w:rPr>
        <w:t>年度的合并及公司利润表、合并及公司现金流量表、合并及公司股东权益</w:t>
      </w:r>
      <w:r>
        <w:rPr>
          <w:spacing w:val="46"/>
          <w:w w:val="95"/>
        </w:rPr>
        <w:t> </w:t>
      </w:r>
      <w:r>
        <w:rPr>
          <w:spacing w:val="46"/>
          <w:w w:val="95"/>
        </w:rPr>
      </w:r>
      <w:r>
        <w:rPr/>
        <w:t>变动表以及相关财务报表附注。</w:t>
      </w:r>
    </w:p>
    <w:p>
      <w:pPr>
        <w:pStyle w:val="BodyText"/>
        <w:spacing w:line="240" w:lineRule="auto" w:before="140"/>
        <w:ind w:left="532" w:right="996"/>
        <w:jc w:val="left"/>
      </w:pPr>
      <w:r>
        <w:rPr/>
        <w:t>我们认为，后附的财务报表在所有重大方面按照企业会计准则的规定编制，公允反映了华宇软件公司</w:t>
      </w:r>
    </w:p>
    <w:p>
      <w:pPr>
        <w:pStyle w:val="BodyText"/>
        <w:spacing w:line="357" w:lineRule="auto" w:before="37"/>
        <w:ind w:left="535" w:right="996" w:hanging="423"/>
        <w:jc w:val="left"/>
      </w:pPr>
      <w:r>
        <w:rPr>
          <w:rFonts w:ascii="Arial" w:hAnsi="Arial" w:cs="Arial" w:eastAsia="Arial" w:hint="default"/>
        </w:rPr>
        <w:t>2018</w:t>
      </w:r>
      <w:r>
        <w:rPr/>
        <w:t>年</w:t>
      </w:r>
      <w:r>
        <w:rPr>
          <w:rFonts w:ascii="Arial" w:hAnsi="Arial" w:cs="Arial" w:eastAsia="Arial" w:hint="default"/>
        </w:rPr>
        <w:t>12</w:t>
      </w:r>
      <w:r>
        <w:rPr/>
        <w:t>月</w:t>
      </w:r>
      <w:r>
        <w:rPr>
          <w:rFonts w:ascii="Arial" w:hAnsi="Arial" w:cs="Arial" w:eastAsia="Arial" w:hint="default"/>
        </w:rPr>
        <w:t>31</w:t>
      </w:r>
      <w:r>
        <w:rPr/>
        <w:t>日的合并及公司财务状况以及</w:t>
      </w:r>
      <w:r>
        <w:rPr>
          <w:rFonts w:ascii="Arial" w:hAnsi="Arial" w:cs="Arial" w:eastAsia="Arial" w:hint="default"/>
        </w:rPr>
        <w:t>2018</w:t>
      </w:r>
      <w:r>
        <w:rPr/>
        <w:t>年度的合并及公司的经营成果和现金流量。</w:t>
      </w:r>
      <w:r>
        <w:rPr>
          <w:w w:val="99"/>
        </w:rPr>
        <w:t> </w:t>
      </w:r>
      <w:r>
        <w:rPr/>
        <w:t>二、形成审计意见的基础</w:t>
      </w:r>
    </w:p>
    <w:p>
      <w:pPr>
        <w:pStyle w:val="BodyText"/>
        <w:spacing w:line="264" w:lineRule="auto" w:before="54"/>
        <w:ind w:right="1130" w:firstLine="436"/>
        <w:jc w:val="both"/>
      </w:pPr>
      <w:r>
        <w:rPr>
          <w:spacing w:val="2"/>
        </w:rPr>
        <w:t>我们按照中国注册会计师审计准则的规定执行了审计工作。审计报告的</w:t>
      </w:r>
      <w:r>
        <w:rPr>
          <w:rFonts w:ascii="Arial" w:hAnsi="Arial" w:cs="Arial" w:eastAsia="Arial" w:hint="default"/>
          <w:spacing w:val="2"/>
        </w:rPr>
        <w:t>“</w:t>
      </w:r>
      <w:r>
        <w:rPr>
          <w:spacing w:val="2"/>
        </w:rPr>
        <w:t>注册会计师对财务报表审计</w:t>
      </w:r>
      <w:r>
        <w:rPr>
          <w:w w:val="99"/>
        </w:rPr>
        <w:t> </w:t>
      </w:r>
      <w:r>
        <w:rPr>
          <w:spacing w:val="-2"/>
        </w:rPr>
        <w:t>的责任</w:t>
      </w:r>
      <w:r>
        <w:rPr>
          <w:rFonts w:ascii="Arial" w:hAnsi="Arial" w:cs="Arial" w:eastAsia="Arial" w:hint="default"/>
          <w:spacing w:val="-2"/>
        </w:rPr>
        <w:t>”</w:t>
      </w:r>
      <w:r>
        <w:rPr>
          <w:spacing w:val="-2"/>
        </w:rPr>
        <w:t>部分进一步阐述了我们在这些准则下的责任。按照中国注册会计师职业道德守则，我们独立于华宇</w:t>
      </w:r>
      <w:r>
        <w:rPr>
          <w:w w:val="99"/>
        </w:rPr>
        <w:t> </w:t>
      </w:r>
      <w:r>
        <w:rPr>
          <w:w w:val="95"/>
        </w:rPr>
        <w:t>软件公司，并履行了职业道德方面的其他责任。我们相信，我们获取的审计证据是充分、适当的，为发表</w:t>
      </w:r>
      <w:r>
        <w:rPr>
          <w:spacing w:val="43"/>
          <w:w w:val="95"/>
        </w:rPr>
        <w:t> </w:t>
      </w:r>
      <w:r>
        <w:rPr>
          <w:spacing w:val="43"/>
          <w:w w:val="95"/>
        </w:rPr>
      </w:r>
      <w:r>
        <w:rPr/>
        <w:t>审计意见提供了基础。</w:t>
      </w:r>
    </w:p>
    <w:p>
      <w:pPr>
        <w:pStyle w:val="BodyText"/>
        <w:spacing w:line="432" w:lineRule="exact" w:before="36"/>
        <w:ind w:left="549" w:right="996" w:hanging="15"/>
        <w:jc w:val="left"/>
      </w:pPr>
      <w:r>
        <w:rPr/>
        <w:t>三、关键审计事项</w:t>
      </w:r>
      <w:r>
        <w:rPr>
          <w:w w:val="99"/>
        </w:rPr>
        <w:t> </w:t>
      </w:r>
      <w:r>
        <w:rPr>
          <w:w w:val="95"/>
        </w:rPr>
        <w:t>关键审计事项是我们根据职业判断，认为对本期财务报表审计最为重要的事项。这些事项的应对以对</w:t>
      </w:r>
      <w:r>
        <w:rPr/>
      </w:r>
    </w:p>
    <w:p>
      <w:pPr>
        <w:pStyle w:val="BodyText"/>
        <w:spacing w:line="255" w:lineRule="exact" w:before="0"/>
        <w:ind w:right="996"/>
        <w:jc w:val="left"/>
      </w:pPr>
      <w:r>
        <w:rPr/>
        <w:t>财务报表整体进行审计并形成审计意见为背景，我们不对这些事项单独发表意见。</w:t>
      </w:r>
    </w:p>
    <w:p>
      <w:pPr>
        <w:pStyle w:val="BodyText"/>
        <w:spacing w:line="240" w:lineRule="auto" w:before="157"/>
        <w:ind w:left="549" w:right="996"/>
        <w:jc w:val="left"/>
      </w:pPr>
      <w:r>
        <w:rPr/>
        <w:t>（一）商誉减值测试</w:t>
      </w:r>
    </w:p>
    <w:p>
      <w:pPr>
        <w:pStyle w:val="BodyText"/>
        <w:spacing w:line="240" w:lineRule="auto" w:before="157"/>
        <w:ind w:left="549" w:right="996"/>
        <w:jc w:val="left"/>
      </w:pPr>
      <w:r>
        <w:rPr/>
        <w:t>相关信息披露详见财务报表附注五</w:t>
      </w:r>
      <w:r>
        <w:rPr>
          <w:rFonts w:ascii="Arial" w:hAnsi="Arial" w:cs="Arial" w:eastAsia="Arial" w:hint="default"/>
        </w:rPr>
        <w:t>-18</w:t>
      </w:r>
      <w:r>
        <w:rPr/>
        <w:t>、附注五</w:t>
      </w:r>
      <w:r>
        <w:rPr>
          <w:rFonts w:ascii="Arial" w:hAnsi="Arial" w:cs="Arial" w:eastAsia="Arial" w:hint="default"/>
        </w:rPr>
        <w:t>-27</w:t>
      </w:r>
      <w:r>
        <w:rPr/>
        <w:t>、附注七</w:t>
      </w:r>
      <w:r>
        <w:rPr>
          <w:rFonts w:ascii="Arial" w:hAnsi="Arial" w:cs="Arial" w:eastAsia="Arial" w:hint="default"/>
        </w:rPr>
        <w:t>-13</w:t>
      </w:r>
      <w:r>
        <w:rPr/>
        <w:t>。</w:t>
      </w:r>
    </w:p>
    <w:p>
      <w:pPr>
        <w:pStyle w:val="BodyText"/>
        <w:spacing w:line="430" w:lineRule="atLeast" w:before="2"/>
        <w:ind w:left="549" w:right="996"/>
        <w:jc w:val="left"/>
      </w:pPr>
      <w:r>
        <w:rPr>
          <w:rFonts w:ascii="Arial" w:hAnsi="Arial" w:cs="Arial" w:eastAsia="Arial" w:hint="default"/>
        </w:rPr>
        <w:t>1</w:t>
      </w:r>
      <w:r>
        <w:rPr/>
        <w:t>、事项描述</w:t>
      </w:r>
      <w:r>
        <w:rPr>
          <w:w w:val="99"/>
        </w:rPr>
        <w:t> </w:t>
      </w:r>
      <w:r>
        <w:rPr>
          <w:w w:val="95"/>
        </w:rPr>
        <w:t>截至</w:t>
      </w:r>
      <w:r>
        <w:rPr>
          <w:rFonts w:ascii="Arial" w:hAnsi="Arial" w:cs="Arial" w:eastAsia="Arial" w:hint="default"/>
          <w:w w:val="95"/>
        </w:rPr>
        <w:t>2018</w:t>
      </w:r>
      <w:r>
        <w:rPr>
          <w:w w:val="95"/>
        </w:rPr>
        <w:t>年</w:t>
      </w:r>
      <w:r>
        <w:rPr>
          <w:rFonts w:ascii="Arial" w:hAnsi="Arial" w:cs="Arial" w:eastAsia="Arial" w:hint="default"/>
          <w:w w:val="95"/>
        </w:rPr>
        <w:t>12</w:t>
      </w:r>
      <w:r>
        <w:rPr>
          <w:w w:val="95"/>
        </w:rPr>
        <w:t>月</w:t>
      </w:r>
      <w:r>
        <w:rPr>
          <w:rFonts w:ascii="Arial" w:hAnsi="Arial" w:cs="Arial" w:eastAsia="Arial" w:hint="default"/>
          <w:w w:val="95"/>
        </w:rPr>
        <w:t>31</w:t>
      </w:r>
      <w:r>
        <w:rPr>
          <w:w w:val="95"/>
        </w:rPr>
        <w:t>日，华宇软件公司合并财务报表中商誉的账面价值为</w:t>
      </w:r>
      <w:r>
        <w:rPr>
          <w:rFonts w:ascii="Arial" w:hAnsi="Arial" w:cs="Arial" w:eastAsia="Arial" w:hint="default"/>
          <w:w w:val="95"/>
        </w:rPr>
        <w:t>16.61</w:t>
      </w:r>
      <w:r>
        <w:rPr>
          <w:w w:val="95"/>
        </w:rPr>
        <w:t>亿元。华宇软件公司管</w:t>
      </w:r>
      <w:r>
        <w:rPr/>
      </w:r>
    </w:p>
    <w:p>
      <w:pPr>
        <w:pStyle w:val="BodyText"/>
        <w:spacing w:line="259" w:lineRule="auto" w:before="22"/>
        <w:ind w:right="996"/>
        <w:jc w:val="left"/>
      </w:pPr>
      <w:r>
        <w:rPr/>
        <w:t>理层（以下简称</w:t>
      </w:r>
      <w:r>
        <w:rPr>
          <w:rFonts w:ascii="Arial" w:hAnsi="Arial" w:cs="Arial" w:eastAsia="Arial" w:hint="default"/>
        </w:rPr>
        <w:t>“</w:t>
      </w:r>
      <w:r>
        <w:rPr/>
        <w:t>管理层</w:t>
      </w:r>
      <w:r>
        <w:rPr>
          <w:rFonts w:ascii="Arial" w:hAnsi="Arial" w:cs="Arial" w:eastAsia="Arial" w:hint="default"/>
        </w:rPr>
        <w:t>”</w:t>
      </w:r>
      <w:r>
        <w:rPr/>
        <w:t>）在评估可回收金额时涉及的关键假设包括收入增长率、毛利率、费用率及折现</w:t>
      </w:r>
      <w:r>
        <w:rPr>
          <w:spacing w:val="-68"/>
        </w:rPr>
        <w:t> </w:t>
      </w:r>
      <w:r>
        <w:rPr>
          <w:spacing w:val="-68"/>
        </w:rPr>
      </w:r>
      <w:r>
        <w:rPr/>
        <w:t>率。由于上述商誉的减值测试涉及复杂及重大的专业判断，我们将商誉减值测试确定为关键审计事项。</w:t>
      </w:r>
    </w:p>
    <w:p>
      <w:pPr>
        <w:pStyle w:val="BodyText"/>
        <w:spacing w:line="357" w:lineRule="auto" w:before="140"/>
        <w:ind w:left="549" w:right="5907"/>
        <w:jc w:val="left"/>
      </w:pPr>
      <w:r>
        <w:rPr>
          <w:rFonts w:ascii="Arial" w:hAnsi="Arial" w:cs="Arial" w:eastAsia="Arial" w:hint="default"/>
        </w:rPr>
        <w:t>2</w:t>
      </w:r>
      <w:r>
        <w:rPr/>
        <w:t>、审计应对</w:t>
      </w:r>
      <w:r>
        <w:rPr>
          <w:w w:val="99"/>
        </w:rPr>
        <w:t> </w:t>
      </w:r>
      <w:r>
        <w:rPr/>
        <w:t>我们对商誉减值测试实施的审计程序主要包括：</w:t>
      </w:r>
    </w:p>
    <w:p>
      <w:pPr>
        <w:pStyle w:val="BodyText"/>
        <w:spacing w:line="240" w:lineRule="auto" w:before="54"/>
        <w:ind w:left="549" w:right="0"/>
        <w:jc w:val="left"/>
      </w:pPr>
      <w:r>
        <w:rPr/>
        <w:t>（</w:t>
      </w:r>
      <w:r>
        <w:rPr>
          <w:rFonts w:ascii="Arial" w:hAnsi="Arial" w:cs="Arial" w:eastAsia="Arial" w:hint="default"/>
        </w:rPr>
        <w:t>1</w:t>
      </w:r>
      <w:r>
        <w:rPr/>
        <w:t>）了解及评价了与商誉减值测试相关的内部控制的设计有效性，并测试了关键控制执行的有效性，</w:t>
      </w:r>
    </w:p>
    <w:p>
      <w:pPr>
        <w:spacing w:after="0" w:line="240" w:lineRule="auto"/>
        <w:jc w:val="left"/>
        <w:sectPr>
          <w:type w:val="continuous"/>
          <w:pgSz w:w="11910" w:h="16840"/>
          <w:pgMar w:top="1060" w:bottom="1160" w:left="1020" w:right="0"/>
        </w:sectPr>
      </w:pPr>
    </w:p>
    <w:p>
      <w:pPr>
        <w:spacing w:line="240" w:lineRule="auto" w:before="12"/>
        <w:rPr>
          <w:rFonts w:ascii="宋体" w:hAnsi="宋体" w:cs="宋体" w:eastAsia="宋体" w:hint="default"/>
          <w:sz w:val="20"/>
          <w:szCs w:val="20"/>
        </w:rPr>
      </w:pPr>
    </w:p>
    <w:p>
      <w:pPr>
        <w:pStyle w:val="BodyText"/>
        <w:spacing w:line="240" w:lineRule="auto"/>
        <w:ind w:right="996"/>
        <w:jc w:val="left"/>
      </w:pPr>
      <w:r>
        <w:rPr/>
        <w:t>包括关键假设的采用及减值计提金额的复核及审批。</w:t>
      </w:r>
    </w:p>
    <w:p>
      <w:pPr>
        <w:pStyle w:val="BodyText"/>
        <w:spacing w:line="240" w:lineRule="auto" w:before="157"/>
        <w:ind w:left="549" w:right="996"/>
        <w:jc w:val="left"/>
      </w:pPr>
      <w:r>
        <w:rPr/>
        <w:t>（</w:t>
      </w:r>
      <w:r>
        <w:rPr>
          <w:rFonts w:ascii="Arial" w:hAnsi="Arial" w:cs="Arial" w:eastAsia="Arial" w:hint="default"/>
        </w:rPr>
        <w:t>2</w:t>
      </w:r>
      <w:r>
        <w:rPr/>
        <w:t>）获取管理层编制的商誉减值测试表，并执行以下程序：</w:t>
      </w:r>
    </w:p>
    <w:p>
      <w:pPr>
        <w:pStyle w:val="BodyText"/>
        <w:spacing w:line="240" w:lineRule="auto" w:before="142"/>
        <w:ind w:left="549" w:right="996"/>
        <w:jc w:val="left"/>
      </w:pPr>
      <w:r>
        <w:rPr/>
        <w:t>①评估商誉是否按照合理的方法分摊至相关资产组或资产组组合；</w:t>
      </w:r>
    </w:p>
    <w:p>
      <w:pPr>
        <w:pStyle w:val="BodyText"/>
        <w:spacing w:line="240" w:lineRule="auto" w:before="157"/>
        <w:ind w:left="549" w:right="996"/>
        <w:jc w:val="left"/>
      </w:pPr>
      <w:r>
        <w:rPr/>
        <w:t>②检查计算的准确性；</w:t>
      </w:r>
    </w:p>
    <w:p>
      <w:pPr>
        <w:pStyle w:val="BodyText"/>
        <w:spacing w:line="273" w:lineRule="auto" w:before="157"/>
        <w:ind w:right="1132" w:firstLine="436"/>
        <w:jc w:val="both"/>
      </w:pPr>
      <w:r>
        <w:rPr>
          <w:w w:val="95"/>
        </w:rPr>
        <w:t>③将管理层上年商誉减值测试表中的预测与实际情况进行对比，考虑管理层的商誉减值测试评估过程</w:t>
      </w:r>
      <w:r>
        <w:rPr>
          <w:w w:val="99"/>
        </w:rPr>
        <w:t> </w:t>
      </w:r>
      <w:r>
        <w:rPr>
          <w:w w:val="95"/>
        </w:rPr>
        <w:t>是否存在管理层偏见，并确定管理层是否需要根据最新情况调整未来关键经营假设，从而反映最新的市场</w:t>
      </w:r>
      <w:r>
        <w:rPr>
          <w:spacing w:val="40"/>
          <w:w w:val="95"/>
        </w:rPr>
        <w:t> </w:t>
      </w:r>
      <w:r>
        <w:rPr>
          <w:spacing w:val="40"/>
          <w:w w:val="95"/>
        </w:rPr>
      </w:r>
      <w:r>
        <w:rPr/>
        <w:t>情况及管理层预期。</w:t>
      </w:r>
    </w:p>
    <w:p>
      <w:pPr>
        <w:pStyle w:val="BodyText"/>
        <w:spacing w:line="259" w:lineRule="auto" w:before="127"/>
        <w:ind w:right="1133" w:firstLine="436"/>
        <w:jc w:val="both"/>
      </w:pPr>
      <w:r>
        <w:rPr>
          <w:spacing w:val="2"/>
          <w:w w:val="95"/>
        </w:rPr>
        <w:t>（</w:t>
      </w:r>
      <w:r>
        <w:rPr>
          <w:rFonts w:ascii="Arial" w:hAnsi="Arial" w:cs="Arial" w:eastAsia="Arial" w:hint="default"/>
          <w:spacing w:val="2"/>
          <w:w w:val="95"/>
        </w:rPr>
        <w:t>3</w:t>
      </w:r>
      <w:r>
        <w:rPr>
          <w:spacing w:val="2"/>
          <w:w w:val="95"/>
        </w:rPr>
        <w:t>）综合考虑了该资产组的历史运营情况、行业走势及新的市场机会及由于规模效应带来的成本及</w:t>
      </w:r>
      <w:r>
        <w:rPr>
          <w:w w:val="99"/>
        </w:rPr>
        <w:t> </w:t>
      </w:r>
      <w:r>
        <w:rPr/>
        <w:t>费用节约，对管理层使用的未来收入增长率、毛利率和费用率假设进行了合理性分析。</w:t>
      </w:r>
    </w:p>
    <w:p>
      <w:pPr>
        <w:pStyle w:val="BodyText"/>
        <w:spacing w:line="266" w:lineRule="auto" w:before="140"/>
        <w:ind w:right="1130" w:firstLine="436"/>
        <w:jc w:val="both"/>
      </w:pPr>
      <w:r>
        <w:rPr>
          <w:spacing w:val="2"/>
          <w:w w:val="95"/>
        </w:rPr>
        <w:t>（</w:t>
      </w:r>
      <w:r>
        <w:rPr>
          <w:rFonts w:ascii="Arial" w:hAnsi="Arial" w:cs="Arial" w:eastAsia="Arial" w:hint="default"/>
          <w:spacing w:val="2"/>
          <w:w w:val="95"/>
        </w:rPr>
        <w:t>4</w:t>
      </w:r>
      <w:r>
        <w:rPr>
          <w:spacing w:val="2"/>
          <w:w w:val="95"/>
        </w:rPr>
        <w:t>）测试管理层减值测试所依据的基础数据，利用事务所的估值专家评估管理层减值测试中所采用</w:t>
      </w:r>
      <w:r>
        <w:rPr>
          <w:w w:val="99"/>
        </w:rPr>
        <w:t> </w:t>
      </w:r>
      <w:r>
        <w:rPr>
          <w:w w:val="95"/>
        </w:rPr>
        <w:t>的关键假设（如折现率）及判断的合理性，以及了解和评价管理层利用其估值专家的工作，包括评价专家</w:t>
      </w:r>
      <w:r>
        <w:rPr>
          <w:spacing w:val="44"/>
          <w:w w:val="95"/>
        </w:rPr>
        <w:t> </w:t>
      </w:r>
      <w:r>
        <w:rPr>
          <w:spacing w:val="44"/>
          <w:w w:val="95"/>
        </w:rPr>
      </w:r>
      <w:r>
        <w:rPr/>
        <w:t>的胜任能力、专业素质和客观性。</w:t>
      </w:r>
    </w:p>
    <w:p>
      <w:pPr>
        <w:pStyle w:val="BodyText"/>
        <w:spacing w:line="240" w:lineRule="auto" w:before="134"/>
        <w:ind w:left="549" w:right="996"/>
        <w:jc w:val="left"/>
      </w:pPr>
      <w:r>
        <w:rPr/>
        <w:t>（二）开发支出资本化</w:t>
      </w:r>
    </w:p>
    <w:p>
      <w:pPr>
        <w:pStyle w:val="BodyText"/>
        <w:spacing w:line="240" w:lineRule="auto" w:before="157"/>
        <w:ind w:left="549" w:right="996"/>
        <w:jc w:val="left"/>
      </w:pPr>
      <w:r>
        <w:rPr/>
        <w:t>相关信息披露详见财务报表附注五</w:t>
      </w:r>
      <w:r>
        <w:rPr>
          <w:rFonts w:ascii="Arial" w:hAnsi="Arial" w:cs="Arial" w:eastAsia="Arial" w:hint="default"/>
        </w:rPr>
        <w:t>-17</w:t>
      </w:r>
      <w:r>
        <w:rPr/>
        <w:t>、附注五</w:t>
      </w:r>
      <w:r>
        <w:rPr>
          <w:rFonts w:ascii="Arial" w:hAnsi="Arial" w:cs="Arial" w:eastAsia="Arial" w:hint="default"/>
        </w:rPr>
        <w:t>-27</w:t>
      </w:r>
      <w:r>
        <w:rPr/>
        <w:t>、附注七</w:t>
      </w:r>
      <w:r>
        <w:rPr>
          <w:rFonts w:ascii="Arial" w:hAnsi="Arial" w:cs="Arial" w:eastAsia="Arial" w:hint="default"/>
        </w:rPr>
        <w:t>-12</w:t>
      </w:r>
      <w:r>
        <w:rPr/>
        <w:t>。</w:t>
      </w:r>
    </w:p>
    <w:p>
      <w:pPr>
        <w:pStyle w:val="BodyText"/>
        <w:spacing w:line="430" w:lineRule="atLeast" w:before="2"/>
        <w:ind w:left="549" w:right="996"/>
        <w:jc w:val="left"/>
      </w:pPr>
      <w:r>
        <w:rPr>
          <w:rFonts w:ascii="Arial" w:hAnsi="Arial" w:cs="Arial" w:eastAsia="Arial" w:hint="default"/>
        </w:rPr>
        <w:t>1</w:t>
      </w:r>
      <w:r>
        <w:rPr/>
        <w:t>、事项描述</w:t>
      </w:r>
      <w:r>
        <w:rPr>
          <w:w w:val="99"/>
        </w:rPr>
        <w:t> </w:t>
      </w:r>
      <w:r>
        <w:rPr>
          <w:spacing w:val="2"/>
          <w:w w:val="95"/>
        </w:rPr>
        <w:t>截至</w:t>
      </w:r>
      <w:r>
        <w:rPr>
          <w:rFonts w:ascii="Arial" w:hAnsi="Arial" w:cs="Arial" w:eastAsia="Arial" w:hint="default"/>
          <w:spacing w:val="2"/>
          <w:w w:val="95"/>
        </w:rPr>
        <w:t>2018</w:t>
      </w:r>
      <w:r>
        <w:rPr>
          <w:spacing w:val="2"/>
          <w:w w:val="95"/>
        </w:rPr>
        <w:t>年</w:t>
      </w:r>
      <w:r>
        <w:rPr>
          <w:rFonts w:ascii="Arial" w:hAnsi="Arial" w:cs="Arial" w:eastAsia="Arial" w:hint="default"/>
          <w:spacing w:val="2"/>
          <w:w w:val="95"/>
        </w:rPr>
        <w:t>12</w:t>
      </w:r>
      <w:r>
        <w:rPr>
          <w:spacing w:val="2"/>
          <w:w w:val="95"/>
        </w:rPr>
        <w:t>月</w:t>
      </w:r>
      <w:r>
        <w:rPr>
          <w:rFonts w:ascii="Arial" w:hAnsi="Arial" w:cs="Arial" w:eastAsia="Arial" w:hint="default"/>
          <w:spacing w:val="2"/>
          <w:w w:val="95"/>
        </w:rPr>
        <w:t>31</w:t>
      </w:r>
      <w:r>
        <w:rPr>
          <w:spacing w:val="2"/>
          <w:w w:val="95"/>
        </w:rPr>
        <w:t>日，华宇软件公司合并财务报表中开发支出的账面价值为</w:t>
      </w:r>
      <w:r>
        <w:rPr>
          <w:rFonts w:ascii="Arial" w:hAnsi="Arial" w:cs="Arial" w:eastAsia="Arial" w:hint="default"/>
          <w:spacing w:val="2"/>
          <w:w w:val="95"/>
        </w:rPr>
        <w:t>2.01</w:t>
      </w:r>
      <w:r>
        <w:rPr>
          <w:spacing w:val="2"/>
          <w:w w:val="95"/>
        </w:rPr>
        <w:t>亿元。开发支出形</w:t>
      </w:r>
      <w:r>
        <w:rPr>
          <w:spacing w:val="2"/>
        </w:rPr>
      </w:r>
    </w:p>
    <w:p>
      <w:pPr>
        <w:pStyle w:val="BodyText"/>
        <w:spacing w:line="273" w:lineRule="auto" w:before="22"/>
        <w:ind w:right="996"/>
        <w:jc w:val="left"/>
      </w:pPr>
      <w:r>
        <w:rPr>
          <w:w w:val="95"/>
        </w:rPr>
        <w:t>成的资产金额重大。由于确定开发支出是否满足所有资本化条件，涉及管理层重大会计判断和估计，我们</w:t>
      </w:r>
      <w:r>
        <w:rPr>
          <w:spacing w:val="43"/>
          <w:w w:val="95"/>
        </w:rPr>
        <w:t> </w:t>
      </w:r>
      <w:r>
        <w:rPr>
          <w:spacing w:val="43"/>
          <w:w w:val="95"/>
        </w:rPr>
      </w:r>
      <w:r>
        <w:rPr/>
        <w:t>拟将开发支出资本化确定为关键审计事项。</w:t>
      </w:r>
    </w:p>
    <w:p>
      <w:pPr>
        <w:pStyle w:val="BodyText"/>
        <w:spacing w:line="357" w:lineRule="auto" w:before="127"/>
        <w:ind w:left="549" w:right="5474"/>
        <w:jc w:val="left"/>
      </w:pPr>
      <w:r>
        <w:rPr>
          <w:rFonts w:ascii="Arial" w:hAnsi="Arial" w:cs="Arial" w:eastAsia="Arial" w:hint="default"/>
        </w:rPr>
        <w:t>2</w:t>
      </w:r>
      <w:r>
        <w:rPr/>
        <w:t>、审计应对</w:t>
      </w:r>
      <w:r>
        <w:rPr>
          <w:w w:val="99"/>
        </w:rPr>
        <w:t> </w:t>
      </w:r>
      <w:r>
        <w:rPr>
          <w:w w:val="95"/>
        </w:rPr>
        <w:t>我们对开发支出资本化实施的审计程序主要包括：</w:t>
      </w:r>
      <w:r>
        <w:rPr/>
      </w:r>
    </w:p>
    <w:p>
      <w:pPr>
        <w:pStyle w:val="BodyText"/>
        <w:spacing w:line="240" w:lineRule="auto" w:before="54"/>
        <w:ind w:left="532" w:right="996"/>
        <w:jc w:val="left"/>
      </w:pPr>
      <w:r>
        <w:rPr/>
        <w:t>（</w:t>
      </w:r>
      <w:r>
        <w:rPr>
          <w:rFonts w:ascii="Arial" w:hAnsi="Arial" w:cs="Arial" w:eastAsia="Arial" w:hint="default"/>
        </w:rPr>
        <w:t>1</w:t>
      </w:r>
      <w:r>
        <w:rPr/>
        <w:t>）了解及测试与开发支出相关的内部控制的设计及执行有效性。</w:t>
      </w:r>
    </w:p>
    <w:p>
      <w:pPr>
        <w:pStyle w:val="BodyText"/>
        <w:spacing w:line="259" w:lineRule="auto" w:before="142"/>
        <w:ind w:right="1132" w:firstLine="420"/>
        <w:jc w:val="both"/>
      </w:pPr>
      <w:r>
        <w:rPr>
          <w:spacing w:val="-3"/>
          <w:w w:val="95"/>
        </w:rPr>
        <w:t>（</w:t>
      </w:r>
      <w:r>
        <w:rPr>
          <w:rFonts w:ascii="Arial" w:hAnsi="Arial" w:cs="Arial" w:eastAsia="Arial" w:hint="default"/>
          <w:spacing w:val="-3"/>
          <w:w w:val="95"/>
        </w:rPr>
        <w:t>2</w:t>
      </w:r>
      <w:r>
        <w:rPr>
          <w:spacing w:val="-3"/>
          <w:w w:val="95"/>
        </w:rPr>
        <w:t>）检查本期进入开发阶段各项目是否同时满足具体研发项目的开始资本化条件，检查各项目的《产</w:t>
      </w:r>
      <w:r>
        <w:rPr>
          <w:spacing w:val="-77"/>
          <w:w w:val="95"/>
        </w:rPr>
        <w:t> </w:t>
      </w:r>
      <w:r>
        <w:rPr>
          <w:spacing w:val="-77"/>
          <w:w w:val="95"/>
        </w:rPr>
      </w:r>
      <w:r>
        <w:rPr/>
        <w:t>品开发可行性报告》、《软件产品立项审批表》，检查各项目开始资本化时点是否准确。</w:t>
      </w:r>
    </w:p>
    <w:p>
      <w:pPr>
        <w:pStyle w:val="BodyText"/>
        <w:spacing w:line="259" w:lineRule="auto" w:before="140"/>
        <w:ind w:right="1207" w:firstLine="420"/>
        <w:jc w:val="both"/>
      </w:pPr>
      <w:r>
        <w:rPr>
          <w:w w:val="95"/>
        </w:rPr>
        <w:t>（</w:t>
      </w:r>
      <w:r>
        <w:rPr>
          <w:rFonts w:ascii="Arial" w:hAnsi="Arial" w:cs="Arial" w:eastAsia="Arial" w:hint="default"/>
          <w:w w:val="95"/>
        </w:rPr>
        <w:t>3</w:t>
      </w:r>
      <w:r>
        <w:rPr>
          <w:w w:val="95"/>
        </w:rPr>
        <w:t>）检查管理层在确定资本化的金额时，做出有关资产的预期未来现金的产生、应采用的折现率以</w:t>
      </w:r>
      <w:r>
        <w:rPr>
          <w:spacing w:val="-88"/>
          <w:w w:val="95"/>
        </w:rPr>
        <w:t> </w:t>
      </w:r>
      <w:r>
        <w:rPr>
          <w:spacing w:val="-88"/>
          <w:w w:val="95"/>
        </w:rPr>
      </w:r>
      <w:r>
        <w:rPr/>
        <w:t>及预计受益期间的假设是否合理。</w:t>
      </w:r>
    </w:p>
    <w:p>
      <w:pPr>
        <w:pStyle w:val="BodyText"/>
        <w:spacing w:line="259" w:lineRule="auto" w:before="140"/>
        <w:ind w:right="1204" w:firstLine="420"/>
        <w:jc w:val="both"/>
      </w:pPr>
      <w:r>
        <w:rPr>
          <w:w w:val="95"/>
        </w:rPr>
        <w:t>（</w:t>
      </w:r>
      <w:r>
        <w:rPr>
          <w:rFonts w:ascii="Arial" w:hAnsi="Arial" w:cs="Arial" w:eastAsia="Arial" w:hint="default"/>
          <w:w w:val="95"/>
        </w:rPr>
        <w:t>4</w:t>
      </w:r>
      <w:r>
        <w:rPr>
          <w:w w:val="95"/>
        </w:rPr>
        <w:t>）检查各项目开发支出的归集明细，是否正确归属于各项目。针对研发人员工资，检查工时统计</w:t>
      </w:r>
      <w:r>
        <w:rPr>
          <w:spacing w:val="-85"/>
          <w:w w:val="95"/>
        </w:rPr>
        <w:t> </w:t>
      </w:r>
      <w:r>
        <w:rPr>
          <w:spacing w:val="-85"/>
          <w:w w:val="95"/>
        </w:rPr>
      </w:r>
      <w:r>
        <w:rPr/>
        <w:t>表、工资分配表，检查相关人员的开发工作记录和期末项目进度报告。</w:t>
      </w:r>
    </w:p>
    <w:p>
      <w:pPr>
        <w:pStyle w:val="BodyText"/>
        <w:spacing w:line="268" w:lineRule="auto" w:before="140"/>
        <w:ind w:right="1132" w:firstLine="420"/>
        <w:jc w:val="both"/>
      </w:pPr>
      <w:r>
        <w:rPr>
          <w:spacing w:val="2"/>
          <w:w w:val="95"/>
        </w:rPr>
        <w:t>（</w:t>
      </w:r>
      <w:r>
        <w:rPr>
          <w:rFonts w:ascii="Arial" w:hAnsi="Arial" w:cs="Arial" w:eastAsia="Arial" w:hint="default"/>
          <w:spacing w:val="2"/>
          <w:w w:val="95"/>
        </w:rPr>
        <w:t>5</w:t>
      </w:r>
      <w:r>
        <w:rPr>
          <w:spacing w:val="2"/>
          <w:w w:val="95"/>
        </w:rPr>
        <w:t>）检查各开发支出是否存在可能发生减值的迹象，存在减值迹象的，获取并复核了管理层编制的</w:t>
      </w:r>
      <w:r>
        <w:rPr>
          <w:spacing w:val="-92"/>
          <w:w w:val="95"/>
        </w:rPr>
        <w:t> </w:t>
      </w:r>
      <w:r>
        <w:rPr>
          <w:spacing w:val="-92"/>
          <w:w w:val="95"/>
        </w:rPr>
      </w:r>
      <w:r>
        <w:rPr>
          <w:w w:val="95"/>
        </w:rPr>
        <w:t>开发支出减值测试表，检查估计其可收回金额计算的准确性，比较项目组开发进度与实际开发支出占项目</w:t>
      </w:r>
      <w:r>
        <w:rPr>
          <w:spacing w:val="40"/>
          <w:w w:val="95"/>
        </w:rPr>
        <w:t> </w:t>
      </w:r>
      <w:r>
        <w:rPr>
          <w:spacing w:val="40"/>
          <w:w w:val="95"/>
        </w:rPr>
      </w:r>
      <w:r>
        <w:rPr>
          <w:w w:val="95"/>
        </w:rPr>
        <w:t>总成本预算比例、判断技术可行性及经济可行性研究是否发生重大不利变化，对于异常项目考虑利用专家</w:t>
      </w:r>
      <w:r>
        <w:rPr>
          <w:spacing w:val="38"/>
          <w:w w:val="95"/>
        </w:rPr>
        <w:t> </w:t>
      </w:r>
      <w:r>
        <w:rPr>
          <w:spacing w:val="38"/>
          <w:w w:val="95"/>
        </w:rPr>
      </w:r>
      <w:r>
        <w:rPr/>
        <w:t>的工作。</w:t>
      </w:r>
    </w:p>
    <w:p>
      <w:pPr>
        <w:pStyle w:val="BodyText"/>
        <w:spacing w:line="357" w:lineRule="auto" w:before="132"/>
        <w:ind w:left="535" w:right="4994" w:hanging="3"/>
        <w:jc w:val="left"/>
      </w:pPr>
      <w:r>
        <w:rPr>
          <w:w w:val="95"/>
        </w:rPr>
        <w:t>（</w:t>
      </w:r>
      <w:r>
        <w:rPr>
          <w:rFonts w:ascii="Arial" w:hAnsi="Arial" w:cs="Arial" w:eastAsia="Arial" w:hint="default"/>
          <w:w w:val="95"/>
        </w:rPr>
        <w:t>6</w:t>
      </w:r>
      <w:r>
        <w:rPr>
          <w:w w:val="95"/>
        </w:rPr>
        <w:t>）我们同时关注了对开发支出资本化披露的充分性。</w:t>
      </w:r>
      <w:r>
        <w:rPr>
          <w:spacing w:val="44"/>
          <w:w w:val="95"/>
        </w:rPr>
        <w:t> </w:t>
      </w:r>
      <w:r>
        <w:rPr>
          <w:spacing w:val="44"/>
          <w:w w:val="95"/>
        </w:rPr>
      </w:r>
      <w:r>
        <w:rPr/>
        <w:t>四、其他信息</w:t>
      </w:r>
    </w:p>
    <w:p>
      <w:pPr>
        <w:pStyle w:val="BodyText"/>
        <w:spacing w:line="259" w:lineRule="auto" w:before="54"/>
        <w:ind w:right="1127" w:firstLine="436"/>
        <w:jc w:val="both"/>
      </w:pPr>
      <w:r>
        <w:rPr>
          <w:spacing w:val="-2"/>
        </w:rPr>
        <w:t>华宇软件公司管理层（以下简称管理层）对其他信息负责。其他信息包括华宇软件公司</w:t>
      </w:r>
      <w:r>
        <w:rPr>
          <w:rFonts w:ascii="Arial" w:hAnsi="Arial" w:cs="Arial" w:eastAsia="Arial" w:hint="default"/>
          <w:spacing w:val="-2"/>
        </w:rPr>
        <w:t>2018</w:t>
      </w:r>
      <w:r>
        <w:rPr>
          <w:spacing w:val="-2"/>
        </w:rPr>
        <w:t>年年度报</w:t>
      </w:r>
      <w:r>
        <w:rPr>
          <w:w w:val="99"/>
        </w:rPr>
        <w:t> </w:t>
      </w:r>
      <w:r>
        <w:rPr/>
        <w:t>告中涵盖的信息，但不包括财务报表和我们的审计报告。</w:t>
      </w:r>
    </w:p>
    <w:p>
      <w:pPr>
        <w:pStyle w:val="BodyText"/>
        <w:spacing w:line="240" w:lineRule="auto" w:before="140"/>
        <w:ind w:left="549" w:right="996"/>
        <w:jc w:val="left"/>
      </w:pPr>
      <w:r>
        <w:rPr/>
        <w:t>我们对财务报表发表的审计意见不涵盖其他信息，我们也不对其他信息发表任何形式的鉴证结论。</w:t>
      </w:r>
    </w:p>
    <w:p>
      <w:pPr>
        <w:spacing w:after="0" w:line="240" w:lineRule="auto"/>
        <w:jc w:val="left"/>
        <w:sectPr>
          <w:pgSz w:w="11910" w:h="16840"/>
          <w:pgMar w:header="878" w:footer="978" w:top="1100" w:bottom="1160" w:left="1020" w:right="0"/>
        </w:sectPr>
      </w:pPr>
    </w:p>
    <w:p>
      <w:pPr>
        <w:spacing w:line="240" w:lineRule="auto" w:before="12"/>
        <w:rPr>
          <w:rFonts w:ascii="宋体" w:hAnsi="宋体" w:cs="宋体" w:eastAsia="宋体" w:hint="default"/>
          <w:sz w:val="20"/>
          <w:szCs w:val="20"/>
        </w:rPr>
      </w:pPr>
    </w:p>
    <w:p>
      <w:pPr>
        <w:pStyle w:val="BodyText"/>
        <w:spacing w:line="273" w:lineRule="auto"/>
        <w:ind w:right="996" w:firstLine="436"/>
        <w:jc w:val="left"/>
      </w:pPr>
      <w:r>
        <w:rPr>
          <w:w w:val="95"/>
        </w:rPr>
        <w:t>结合我们对财务报表的审计，我们的责任是阅读其他信息，在此过程中，考虑其他信息是否与财务报</w:t>
      </w:r>
      <w:r>
        <w:rPr>
          <w:w w:val="99"/>
        </w:rPr>
        <w:t> </w:t>
      </w:r>
      <w:r>
        <w:rPr/>
        <w:t>表或我们在审计过程中了解到的情况存在重大不一致或者似乎存在重大错报。</w:t>
      </w:r>
    </w:p>
    <w:p>
      <w:pPr>
        <w:pStyle w:val="BodyText"/>
        <w:spacing w:line="273" w:lineRule="auto" w:before="127"/>
        <w:ind w:right="996" w:firstLine="436"/>
        <w:jc w:val="left"/>
      </w:pPr>
      <w:r>
        <w:rPr>
          <w:w w:val="95"/>
        </w:rPr>
        <w:t>基于我们已执行的工作，如果我们确定其他信息存在重大错报，我们应当报告该事实。在这方面，我</w:t>
      </w:r>
      <w:r>
        <w:rPr>
          <w:w w:val="99"/>
        </w:rPr>
        <w:t> </w:t>
      </w:r>
      <w:r>
        <w:rPr/>
        <w:t>们无任何事项需要报告。</w:t>
      </w:r>
    </w:p>
    <w:p>
      <w:pPr>
        <w:pStyle w:val="BodyText"/>
        <w:spacing w:line="432" w:lineRule="exact" w:before="27"/>
        <w:ind w:left="549" w:right="996" w:hanging="15"/>
        <w:jc w:val="left"/>
      </w:pPr>
      <w:r>
        <w:rPr/>
        <w:t>五、管理层和治理层对财务报表的责任</w:t>
      </w:r>
      <w:r>
        <w:rPr>
          <w:w w:val="99"/>
        </w:rPr>
        <w:t> </w:t>
      </w:r>
      <w:r>
        <w:rPr>
          <w:w w:val="95"/>
        </w:rPr>
        <w:t>华宇软件公司管理层负责按照企业会计准则的规定编制财务报表，使其实现公允反映，并设计、执行</w:t>
      </w:r>
      <w:r>
        <w:rPr/>
      </w:r>
    </w:p>
    <w:p>
      <w:pPr>
        <w:pStyle w:val="BodyText"/>
        <w:spacing w:line="255" w:lineRule="exact" w:before="0"/>
        <w:ind w:right="996"/>
        <w:jc w:val="left"/>
      </w:pPr>
      <w:r>
        <w:rPr/>
        <w:t>和维护必要的内部控制，以使财务报表不存在由于舞弊或错误导致的重大错报。</w:t>
      </w:r>
    </w:p>
    <w:p>
      <w:pPr>
        <w:pStyle w:val="BodyText"/>
        <w:spacing w:line="273" w:lineRule="auto" w:before="157"/>
        <w:ind w:right="996" w:firstLine="436"/>
        <w:jc w:val="left"/>
      </w:pPr>
      <w:r>
        <w:rPr>
          <w:w w:val="95"/>
        </w:rPr>
        <w:t>在编制财务报表时，管理层负责评估华宇软件公司的持续经营能力，披露与持续经营相关的事项（如</w:t>
      </w:r>
      <w:r>
        <w:rPr>
          <w:w w:val="99"/>
        </w:rPr>
        <w:t> </w:t>
      </w:r>
      <w:r>
        <w:rPr/>
        <w:t>适用），并运用持续经营假设，除非管理层计划清算华宇软件公司、终止运营或别无其他现实的选择。</w:t>
      </w:r>
    </w:p>
    <w:p>
      <w:pPr>
        <w:pStyle w:val="BodyText"/>
        <w:spacing w:line="376" w:lineRule="auto" w:before="127"/>
        <w:ind w:left="535" w:right="5907" w:firstLine="14"/>
        <w:jc w:val="left"/>
      </w:pPr>
      <w:r>
        <w:rPr/>
        <w:t>治理层负责监督华宇软件公司的财务报告过程。</w:t>
      </w:r>
      <w:r>
        <w:rPr>
          <w:w w:val="99"/>
        </w:rPr>
        <w:t> </w:t>
      </w:r>
      <w:r>
        <w:rPr/>
        <w:t>六、注册会计师对财务报表审计的责任</w:t>
      </w:r>
    </w:p>
    <w:p>
      <w:pPr>
        <w:pStyle w:val="BodyText"/>
        <w:spacing w:line="273" w:lineRule="auto" w:before="37"/>
        <w:ind w:right="1132" w:firstLine="436"/>
        <w:jc w:val="both"/>
      </w:pPr>
      <w:r>
        <w:rPr>
          <w:w w:val="95"/>
        </w:rPr>
        <w:t>我们的目标是对财务报表整体是否不存在由于舞弊或错误导致的重大错报获取合理保证，并出具包含</w:t>
      </w:r>
      <w:r>
        <w:rPr>
          <w:w w:val="99"/>
        </w:rPr>
        <w:t> </w:t>
      </w:r>
      <w:r>
        <w:rPr>
          <w:w w:val="95"/>
        </w:rPr>
        <w:t>审计意见的审计报告。合理保证是高水平的保证，但并不能保证按照审计准则执行的审计在某一重大错报</w:t>
      </w:r>
      <w:r>
        <w:rPr>
          <w:spacing w:val="37"/>
          <w:w w:val="95"/>
        </w:rPr>
        <w:t> </w:t>
      </w:r>
      <w:r>
        <w:rPr>
          <w:spacing w:val="37"/>
          <w:w w:val="95"/>
        </w:rPr>
      </w:r>
      <w:r>
        <w:rPr>
          <w:w w:val="95"/>
        </w:rPr>
        <w:t>存在时总能发现。错报可能由于舞弊或错误导致，如果合理预期错报单独或汇总起来可能影响财务报表使</w:t>
      </w:r>
      <w:r>
        <w:rPr>
          <w:spacing w:val="37"/>
          <w:w w:val="95"/>
        </w:rPr>
        <w:t> </w:t>
      </w:r>
      <w:r>
        <w:rPr>
          <w:spacing w:val="37"/>
          <w:w w:val="95"/>
        </w:rPr>
      </w:r>
      <w:r>
        <w:rPr/>
        <w:t>用者依据财务报表作出的经济决策，则通常认为错报是重大的。</w:t>
      </w:r>
    </w:p>
    <w:p>
      <w:pPr>
        <w:pStyle w:val="BodyText"/>
        <w:spacing w:line="273" w:lineRule="auto" w:before="127"/>
        <w:ind w:right="996" w:firstLine="436"/>
        <w:jc w:val="left"/>
      </w:pPr>
      <w:r>
        <w:rPr>
          <w:w w:val="95"/>
        </w:rPr>
        <w:t>在按照审计准则执行审计工作的过程中，我们运用职业判断，并保持职业怀疑。同时，我们也执行以</w:t>
      </w:r>
      <w:r>
        <w:rPr>
          <w:w w:val="99"/>
        </w:rPr>
        <w:t> </w:t>
      </w:r>
      <w:r>
        <w:rPr/>
        <w:t>下工作：</w:t>
      </w:r>
    </w:p>
    <w:p>
      <w:pPr>
        <w:pStyle w:val="BodyText"/>
        <w:spacing w:line="268" w:lineRule="auto" w:before="128"/>
        <w:ind w:right="996" w:firstLine="436"/>
        <w:jc w:val="left"/>
      </w:pPr>
      <w:r>
        <w:rPr>
          <w:spacing w:val="2"/>
        </w:rPr>
        <w:t>（</w:t>
      </w:r>
      <w:r>
        <w:rPr>
          <w:rFonts w:ascii="Arial" w:hAnsi="Arial" w:cs="Arial" w:eastAsia="Arial" w:hint="default"/>
          <w:spacing w:val="2"/>
        </w:rPr>
        <w:t>1</w:t>
      </w:r>
      <w:r>
        <w:rPr>
          <w:spacing w:val="2"/>
        </w:rPr>
        <w:t>）识别和评估由于舞弊或错误导致的财务报表重大错报风险，设计和实施审计程序以应对这些风</w:t>
      </w:r>
      <w:r>
        <w:rPr>
          <w:w w:val="99"/>
        </w:rPr>
        <w:t> </w:t>
      </w:r>
      <w:r>
        <w:rPr>
          <w:spacing w:val="-3"/>
        </w:rPr>
        <w:t>险，并获取充分、适当的审计证据，作为发表审计意见的基础。由于舞弊可能涉及串通、伪造、故意遗漏、</w:t>
      </w:r>
      <w:r>
        <w:rPr>
          <w:w w:val="99"/>
        </w:rPr>
        <w:t> </w:t>
      </w:r>
      <w:r>
        <w:rPr/>
        <w:t>虚假陈述或凌驾于内部控制之上，未能发现由于舞弊导致的重大错报的风险高于未能发现由于错误导致的</w:t>
      </w:r>
      <w:r>
        <w:rPr>
          <w:w w:val="99"/>
        </w:rPr>
        <w:t> </w:t>
      </w:r>
      <w:r>
        <w:rPr/>
        <w:t>重大错报的风险。</w:t>
      </w:r>
    </w:p>
    <w:p>
      <w:pPr>
        <w:pStyle w:val="BodyText"/>
        <w:spacing w:line="240" w:lineRule="auto" w:before="132"/>
        <w:ind w:left="549" w:right="996"/>
        <w:jc w:val="left"/>
      </w:pPr>
      <w:r>
        <w:rPr>
          <w:spacing w:val="2"/>
        </w:rPr>
        <w:t>（</w:t>
      </w:r>
      <w:r>
        <w:rPr>
          <w:rFonts w:ascii="Arial" w:hAnsi="Arial" w:cs="Arial" w:eastAsia="Arial" w:hint="default"/>
          <w:spacing w:val="2"/>
        </w:rPr>
        <w:t>2</w:t>
      </w:r>
      <w:r>
        <w:rPr>
          <w:spacing w:val="2"/>
        </w:rPr>
        <w:t>）了解与审计相关的内部控制，以设计恰当的审计程序，但目的并非对内部控制的有效性发表意</w:t>
      </w:r>
    </w:p>
    <w:p>
      <w:pPr>
        <w:pStyle w:val="BodyText"/>
        <w:spacing w:line="240" w:lineRule="auto" w:before="22"/>
        <w:ind w:right="996"/>
        <w:jc w:val="left"/>
      </w:pPr>
      <w:r>
        <w:rPr/>
        <w:t>见。</w:t>
      </w:r>
    </w:p>
    <w:p>
      <w:pPr>
        <w:spacing w:line="240" w:lineRule="auto" w:before="5"/>
        <w:rPr>
          <w:rFonts w:ascii="宋体" w:hAnsi="宋体" w:cs="宋体" w:eastAsia="宋体" w:hint="default"/>
          <w:sz w:val="9"/>
          <w:szCs w:val="9"/>
        </w:rPr>
      </w:pPr>
    </w:p>
    <w:p>
      <w:pPr>
        <w:pStyle w:val="BodyText"/>
        <w:spacing w:line="240" w:lineRule="auto"/>
        <w:ind w:left="549" w:right="996"/>
        <w:jc w:val="left"/>
      </w:pPr>
      <w:r>
        <w:rPr/>
        <w:t>（</w:t>
      </w:r>
      <w:r>
        <w:rPr>
          <w:rFonts w:ascii="Arial" w:hAnsi="Arial" w:cs="Arial" w:eastAsia="Arial" w:hint="default"/>
        </w:rPr>
        <w:t>3</w:t>
      </w:r>
      <w:r>
        <w:rPr/>
        <w:t>）评价管理层选用会计政策的恰当性和作出会计估计及相关披露的合理性。</w:t>
      </w:r>
    </w:p>
    <w:p>
      <w:pPr>
        <w:pStyle w:val="BodyText"/>
        <w:spacing w:line="268" w:lineRule="auto" w:before="142"/>
        <w:ind w:right="1112" w:firstLine="436"/>
        <w:jc w:val="both"/>
      </w:pPr>
      <w:r>
        <w:rPr>
          <w:spacing w:val="2"/>
          <w:w w:val="95"/>
        </w:rPr>
        <w:t>（</w:t>
      </w:r>
      <w:r>
        <w:rPr>
          <w:rFonts w:ascii="Arial" w:hAnsi="Arial" w:cs="Arial" w:eastAsia="Arial" w:hint="default"/>
          <w:spacing w:val="2"/>
          <w:w w:val="95"/>
        </w:rPr>
        <w:t>4</w:t>
      </w:r>
      <w:r>
        <w:rPr>
          <w:spacing w:val="2"/>
          <w:w w:val="95"/>
        </w:rPr>
        <w:t>）对管理层使用持续经营假设的恰当性得出结论。同时，根据获取的审计证据，就可能导致对华</w:t>
      </w:r>
      <w:r>
        <w:rPr>
          <w:w w:val="99"/>
        </w:rPr>
        <w:t> </w:t>
      </w:r>
      <w:r>
        <w:rPr>
          <w:w w:val="95"/>
        </w:rPr>
        <w:t>宇软件公司的持续经营能力产生重大疑虑的事项或情况是否存在重大不确定性得出结论。如果我们得出结</w:t>
      </w:r>
      <w:r>
        <w:rPr>
          <w:spacing w:val="40"/>
          <w:w w:val="95"/>
        </w:rPr>
        <w:t> </w:t>
      </w:r>
      <w:r>
        <w:rPr>
          <w:spacing w:val="40"/>
          <w:w w:val="95"/>
        </w:rPr>
      </w:r>
      <w:r>
        <w:rPr>
          <w:w w:val="95"/>
        </w:rPr>
        <w:t>论认为存在重大不确定性，审计准则要求我们在审计报告中提请报表使用者注意财务报表中的相关披露；</w:t>
      </w:r>
      <w:r>
        <w:rPr>
          <w:spacing w:val="61"/>
          <w:w w:val="95"/>
        </w:rPr>
        <w:t> </w:t>
      </w:r>
      <w:r>
        <w:rPr>
          <w:spacing w:val="61"/>
          <w:w w:val="95"/>
        </w:rPr>
      </w:r>
      <w:r>
        <w:rPr>
          <w:w w:val="95"/>
        </w:rPr>
        <w:t>如果披露不充分，我们应当发表非无保留意见。我们的结论基于截至审计报告日可获得的信息。然而，未</w:t>
      </w:r>
      <w:r>
        <w:rPr>
          <w:spacing w:val="43"/>
          <w:w w:val="95"/>
        </w:rPr>
        <w:t> </w:t>
      </w:r>
      <w:r>
        <w:rPr>
          <w:spacing w:val="43"/>
          <w:w w:val="95"/>
        </w:rPr>
      </w:r>
      <w:r>
        <w:rPr/>
        <w:t>来的事项或情况可能导致华宇软件公司不能持续经营。</w:t>
      </w:r>
    </w:p>
    <w:p>
      <w:pPr>
        <w:pStyle w:val="BodyText"/>
        <w:spacing w:line="259" w:lineRule="auto" w:before="132"/>
        <w:ind w:right="1133" w:firstLine="436"/>
        <w:jc w:val="both"/>
      </w:pPr>
      <w:r>
        <w:rPr>
          <w:spacing w:val="2"/>
          <w:w w:val="95"/>
        </w:rPr>
        <w:t>（</w:t>
      </w:r>
      <w:r>
        <w:rPr>
          <w:rFonts w:ascii="Arial" w:hAnsi="Arial" w:cs="Arial" w:eastAsia="Arial" w:hint="default"/>
          <w:spacing w:val="2"/>
          <w:w w:val="95"/>
        </w:rPr>
        <w:t>5</w:t>
      </w:r>
      <w:r>
        <w:rPr>
          <w:spacing w:val="2"/>
          <w:w w:val="95"/>
        </w:rPr>
        <w:t>）评价财务报表的总体列报、结构和内容（包括披露），并评价财务报表是否公允反映相关交易</w:t>
      </w:r>
      <w:r>
        <w:rPr>
          <w:w w:val="99"/>
        </w:rPr>
        <w:t> </w:t>
      </w:r>
      <w:r>
        <w:rPr/>
        <w:t>和事项。</w:t>
      </w:r>
    </w:p>
    <w:p>
      <w:pPr>
        <w:pStyle w:val="BodyText"/>
        <w:spacing w:line="259" w:lineRule="auto" w:before="140"/>
        <w:ind w:right="1133" w:firstLine="436"/>
        <w:jc w:val="both"/>
      </w:pPr>
      <w:r>
        <w:rPr>
          <w:spacing w:val="2"/>
          <w:w w:val="95"/>
        </w:rPr>
        <w:t>（</w:t>
      </w:r>
      <w:r>
        <w:rPr>
          <w:rFonts w:ascii="Arial" w:hAnsi="Arial" w:cs="Arial" w:eastAsia="Arial" w:hint="default"/>
          <w:spacing w:val="2"/>
          <w:w w:val="95"/>
        </w:rPr>
        <w:t>6</w:t>
      </w:r>
      <w:r>
        <w:rPr>
          <w:spacing w:val="2"/>
          <w:w w:val="95"/>
        </w:rPr>
        <w:t>）就华宇软件公司中实体或业务活动的财务信息获取充分、适当的审计证据，以对财务报表发表</w:t>
      </w:r>
      <w:r>
        <w:rPr>
          <w:w w:val="99"/>
        </w:rPr>
        <w:t> </w:t>
      </w:r>
      <w:r>
        <w:rPr/>
        <w:t>意见。我们负责指导、监督和执行集团审计，并对审计意见承担全部责任。</w:t>
      </w:r>
    </w:p>
    <w:p>
      <w:pPr>
        <w:pStyle w:val="BodyText"/>
        <w:spacing w:line="273" w:lineRule="auto" w:before="140"/>
        <w:ind w:right="1135" w:firstLine="436"/>
        <w:jc w:val="both"/>
      </w:pPr>
      <w:r>
        <w:rPr>
          <w:w w:val="95"/>
        </w:rPr>
        <w:t>我们与治理层就计划的审计范围、时间安排和重大审计发现等事项进行沟通，包括沟通我们在审计中</w:t>
      </w:r>
      <w:r>
        <w:rPr>
          <w:w w:val="99"/>
        </w:rPr>
        <w:t> </w:t>
      </w:r>
      <w:r>
        <w:rPr/>
        <w:t>识别出的值得关注的内部控制缺陷。</w:t>
      </w:r>
    </w:p>
    <w:p>
      <w:pPr>
        <w:pStyle w:val="BodyText"/>
        <w:spacing w:line="273" w:lineRule="auto" w:before="127"/>
        <w:ind w:right="1132" w:firstLine="436"/>
        <w:jc w:val="both"/>
      </w:pPr>
      <w:r>
        <w:rPr>
          <w:w w:val="95"/>
        </w:rPr>
        <w:t>我们还就已遵守与独立性相关的职业道德要求向治理层提供声明，并与治理层沟通可能被合理认为影</w:t>
      </w:r>
      <w:r>
        <w:rPr>
          <w:w w:val="99"/>
        </w:rPr>
        <w:t> </w:t>
      </w:r>
      <w:r>
        <w:rPr/>
        <w:t>响我们独立性的所有关系和其他事项，以及相关的防范措施（如适用）。</w:t>
      </w:r>
    </w:p>
    <w:p>
      <w:pPr>
        <w:pStyle w:val="BodyText"/>
        <w:spacing w:line="240" w:lineRule="auto" w:before="127"/>
        <w:ind w:left="549" w:right="996"/>
        <w:jc w:val="left"/>
      </w:pPr>
      <w:r>
        <w:rPr/>
        <w:t>从与治理层沟通过的事项中，我们确定哪些事项对本期财务报表审计最为重要，因而构成关键审计事</w:t>
      </w:r>
    </w:p>
    <w:p>
      <w:pPr>
        <w:spacing w:after="0" w:line="240" w:lineRule="auto"/>
        <w:jc w:val="left"/>
        <w:sectPr>
          <w:pgSz w:w="11910" w:h="16840"/>
          <w:pgMar w:header="878" w:footer="978" w:top="1100" w:bottom="1160" w:left="1020" w:right="0"/>
        </w:sectPr>
      </w:pPr>
    </w:p>
    <w:p>
      <w:pPr>
        <w:spacing w:line="240" w:lineRule="auto" w:before="12"/>
        <w:rPr>
          <w:rFonts w:ascii="宋体" w:hAnsi="宋体" w:cs="宋体" w:eastAsia="宋体" w:hint="default"/>
          <w:sz w:val="20"/>
          <w:szCs w:val="20"/>
        </w:rPr>
      </w:pPr>
    </w:p>
    <w:p>
      <w:pPr>
        <w:pStyle w:val="BodyText"/>
        <w:spacing w:line="273" w:lineRule="auto"/>
        <w:ind w:right="1132"/>
        <w:jc w:val="both"/>
      </w:pPr>
      <w:r>
        <w:rPr>
          <w:w w:val="95"/>
        </w:rPr>
        <w:t>项。我们在审计报告中描述这些事项，除非法律法规禁止公开披露这些事项，或在极少数情形下，如果合</w:t>
      </w:r>
      <w:r>
        <w:rPr>
          <w:spacing w:val="41"/>
          <w:w w:val="95"/>
        </w:rPr>
        <w:t> </w:t>
      </w:r>
      <w:r>
        <w:rPr>
          <w:spacing w:val="41"/>
          <w:w w:val="95"/>
        </w:rPr>
      </w:r>
      <w:r>
        <w:rPr>
          <w:w w:val="95"/>
        </w:rPr>
        <w:t>理预期在审计报告中沟通某事项造成的负面后果超过在公众利益方面产生的益处，我们确定不应在审计报</w:t>
      </w:r>
      <w:r>
        <w:rPr>
          <w:spacing w:val="37"/>
          <w:w w:val="95"/>
        </w:rPr>
        <w:t> </w:t>
      </w:r>
      <w:r>
        <w:rPr>
          <w:spacing w:val="37"/>
          <w:w w:val="95"/>
        </w:rPr>
      </w:r>
      <w:r>
        <w:rPr/>
        <w:t>告中沟通该事项。</w:t>
      </w:r>
    </w:p>
    <w:p>
      <w:pPr>
        <w:spacing w:line="240" w:lineRule="auto" w:before="10"/>
        <w:rPr>
          <w:rFonts w:ascii="宋体" w:hAnsi="宋体" w:cs="宋体" w:eastAsia="宋体" w:hint="default"/>
          <w:sz w:val="21"/>
          <w:szCs w:val="21"/>
        </w:rPr>
      </w:pPr>
    </w:p>
    <w:p>
      <w:pPr>
        <w:pStyle w:val="Heading2"/>
        <w:spacing w:line="240" w:lineRule="auto" w:before="0"/>
        <w:ind w:right="0"/>
        <w:jc w:val="both"/>
        <w:rPr>
          <w:b w:val="0"/>
          <w:bCs w:val="0"/>
        </w:rPr>
      </w:pPr>
      <w:bookmarkStart w:name="二、财务报表" w:id="152"/>
      <w:bookmarkEnd w:id="152"/>
      <w:r>
        <w:rPr>
          <w:b w:val="0"/>
          <w:bCs w:val="0"/>
        </w:rPr>
      </w:r>
      <w:r>
        <w:rPr/>
        <w:t>二、财务报表</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right="0"/>
        <w:jc w:val="both"/>
      </w:pPr>
      <w:r>
        <w:rPr/>
        <w:t>财务附注中报表的单位为：人民币元</w:t>
      </w:r>
    </w:p>
    <w:p>
      <w:pPr>
        <w:spacing w:line="240" w:lineRule="auto" w:before="12"/>
        <w:rPr>
          <w:rFonts w:ascii="宋体" w:hAnsi="宋体" w:cs="宋体" w:eastAsia="宋体" w:hint="default"/>
          <w:sz w:val="25"/>
          <w:szCs w:val="25"/>
        </w:rPr>
      </w:pPr>
    </w:p>
    <w:p>
      <w:pPr>
        <w:pStyle w:val="Heading4"/>
        <w:spacing w:line="240" w:lineRule="auto"/>
        <w:ind w:right="0"/>
        <w:jc w:val="both"/>
        <w:rPr>
          <w:b w:val="0"/>
          <w:bCs w:val="0"/>
        </w:rPr>
      </w:pPr>
      <w:bookmarkStart w:name="1、合并资产负债表" w:id="153"/>
      <w:bookmarkEnd w:id="153"/>
      <w:r>
        <w:rPr>
          <w:b w:val="0"/>
          <w:bCs w:val="0"/>
        </w:rPr>
      </w:r>
      <w:r>
        <w:rPr>
          <w:rFonts w:ascii="Arial" w:hAnsi="Arial" w:cs="Arial" w:eastAsia="Arial" w:hint="default"/>
        </w:rPr>
        <w:t>1</w:t>
      </w:r>
      <w:r>
        <w:rPr/>
        <w:t>、合并资产负债表</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8" w:footer="978" w:top="1100" w:bottom="1160" w:left="1020" w:right="0"/>
        </w:sectPr>
      </w:pPr>
    </w:p>
    <w:p>
      <w:pPr>
        <w:spacing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编制单位：北京华宇软件股份有限公司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12" w:right="-8" w:firstLine="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1020" w:right="0"/>
          <w:cols w:num="3" w:equalWidth="0">
            <w:col w:w="3173" w:space="863"/>
            <w:col w:w="1678" w:space="3203"/>
            <w:col w:w="1973"/>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29"/>
        <w:gridCol w:w="2319"/>
        <w:gridCol w:w="2320"/>
      </w:tblGrid>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2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1,303,142,047.61</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2"/>
                <w:sz w:val="18"/>
              </w:rPr>
              <w:t>1,297,334,119.79</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925,556,461.74</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643,828,932.98</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1,581,100.00</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1,621,000.00</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923,975,361.74</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642,207,932.98</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39,702,660.85</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28,288,468.66</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283,634,799.06</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202,210,633.56</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1,044,938.00</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958,108.00</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677,082,569.92</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2"/>
                <w:sz w:val="18"/>
              </w:rPr>
              <w:t>516,011,282.35</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Arial" w:hAnsi="Arial" w:cs="Arial" w:eastAsia="Arial" w:hint="default"/>
                <w:sz w:val="18"/>
                <w:szCs w:val="18"/>
              </w:rPr>
            </w:pPr>
            <w:r>
              <w:rPr>
                <w:rFonts w:ascii="Arial"/>
                <w:spacing w:val="-2"/>
                <w:sz w:val="18"/>
              </w:rPr>
              <w:t>10,576,220.11</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2,295,370.86</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3,239,694,759.29</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2,689,968,808.20</w:t>
            </w:r>
          </w:p>
        </w:tc>
      </w:tr>
      <w:tr>
        <w:trPr>
          <w:trHeight w:val="400"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2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4929"/>
        <w:gridCol w:w="2319"/>
        <w:gridCol w:w="2320"/>
      </w:tblGrid>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131,000,000.00</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34,000,000.00</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44,153,586.61</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252,901,655.59</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259,383,902.21</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3,155,416.39</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932,397.50</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288,458,816.48</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204,322,955.08</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200,800,569.84</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183,148,776.90</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1,661,066,055.81</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1,661,066,055.81</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10,142,123.57</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12,009,560.97</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43,562,582.39</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42,058,816.49</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2,591,087,220.07</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2,441,076,051.57</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5,830,781,979.36</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5,131,044,859.77</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2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39,000,000.00</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60,350,000.00</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431,436,428.16</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295,742,890.68</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695,363,183.24</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519,829,345.82</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20,004,067.79</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12,259,723.89</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78,935,962.94</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101,036,061.23</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197,033,327.33</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329,913,149.28</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231,125.00</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251,461.25</w:t>
            </w:r>
          </w:p>
        </w:tc>
      </w:tr>
      <w:tr>
        <w:trPr>
          <w:trHeight w:val="400"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4929"/>
        <w:gridCol w:w="2319"/>
        <w:gridCol w:w="2320"/>
      </w:tblGrid>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27,000,000.00</w:t>
            </w: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1,488,772,969.46</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1,319,131,170.90</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2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27,000,000.00</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21,408,680.00</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10,067,350.33</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3,489,194.98</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4,603,808.86</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24,897,874.98</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41,671,159.19</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1,513,670,844.44</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1,360,802,330.09</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2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754,491,460.00</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760,681,176.00</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1,900,345,553.82</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1,910,555,620.24</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144,387,030.64</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245,922,733.22</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64,002,272.39</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47,257,827.66</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1,673,697,359.82</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1,230,662,871.24</w:t>
            </w:r>
          </w:p>
        </w:tc>
      </w:tr>
      <w:tr>
        <w:trPr>
          <w:trHeight w:val="400"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4,248,149,615.39</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3,703,234,761.92</w:t>
            </w:r>
          </w:p>
        </w:tc>
      </w:tr>
    </w:tbl>
    <w:p>
      <w:pPr>
        <w:spacing w:after="0" w:line="240" w:lineRule="auto"/>
        <w:jc w:val="right"/>
        <w:rPr>
          <w:rFonts w:ascii="Arial" w:hAnsi="Arial" w:cs="Arial" w:eastAsia="Arial" w:hint="default"/>
          <w:sz w:val="18"/>
          <w:szCs w:val="18"/>
        </w:rPr>
        <w:sectPr>
          <w:pgSz w:w="11910" w:h="16840"/>
          <w:pgMar w:header="878" w:footer="978" w:top="1100" w:bottom="116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4929"/>
        <w:gridCol w:w="2319"/>
        <w:gridCol w:w="2320"/>
      </w:tblGrid>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68,961,519.53</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67,007,767.76</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Arial" w:hAnsi="Arial" w:cs="Arial" w:eastAsia="Arial" w:hint="default"/>
                <w:sz w:val="18"/>
                <w:szCs w:val="18"/>
              </w:rPr>
            </w:pPr>
            <w:r>
              <w:rPr>
                <w:rFonts w:ascii="Arial"/>
                <w:spacing w:val="-2"/>
                <w:w w:val="95"/>
                <w:sz w:val="18"/>
              </w:rPr>
              <w:t>4,317,111,134.92</w:t>
            </w:r>
            <w:r>
              <w:rPr>
                <w:rFonts w:ascii="Arial"/>
                <w:spacing w:val="-2"/>
                <w:sz w:val="18"/>
              </w:rPr>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3,770,242,529.68</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5,830,781,979.36</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5,131,044,859.77</w:t>
            </w:r>
          </w:p>
        </w:tc>
      </w:tr>
    </w:tbl>
    <w:p>
      <w:pPr>
        <w:spacing w:line="240" w:lineRule="auto" w:before="1"/>
        <w:rPr>
          <w:rFonts w:ascii="Times New Roman" w:hAnsi="Times New Roman" w:cs="Times New Roman" w:eastAsia="Times New Roman" w:hint="default"/>
          <w:sz w:val="23"/>
          <w:szCs w:val="23"/>
        </w:rPr>
      </w:pPr>
    </w:p>
    <w:p>
      <w:pPr>
        <w:tabs>
          <w:tab w:pos="3419" w:val="left" w:leader="none"/>
          <w:tab w:pos="7559" w:val="left" w:leader="none"/>
        </w:tabs>
        <w:spacing w:before="44"/>
        <w:ind w:left="0" w:right="1231" w:firstLine="0"/>
        <w:jc w:val="right"/>
        <w:rPr>
          <w:rFonts w:ascii="宋体" w:hAnsi="宋体" w:cs="宋体" w:eastAsia="宋体" w:hint="default"/>
          <w:sz w:val="18"/>
          <w:szCs w:val="18"/>
        </w:rPr>
      </w:pPr>
      <w:r>
        <w:rPr>
          <w:rFonts w:ascii="宋体" w:hAnsi="宋体" w:cs="宋体" w:eastAsia="宋体" w:hint="default"/>
          <w:sz w:val="18"/>
          <w:szCs w:val="18"/>
        </w:rPr>
        <w:t>法定代表人：邵学</w:t>
        <w:tab/>
        <w:t>主管会计工作负责人：王琰</w:t>
        <w:tab/>
        <w:t>会计机构负责人：张绪梅</w:t>
      </w:r>
    </w:p>
    <w:p>
      <w:pPr>
        <w:spacing w:line="240" w:lineRule="auto" w:before="0"/>
        <w:rPr>
          <w:rFonts w:ascii="宋体" w:hAnsi="宋体" w:cs="宋体" w:eastAsia="宋体" w:hint="default"/>
          <w:sz w:val="18"/>
          <w:szCs w:val="18"/>
        </w:rPr>
      </w:pPr>
    </w:p>
    <w:p>
      <w:pPr>
        <w:pStyle w:val="Heading4"/>
        <w:spacing w:line="240" w:lineRule="auto" w:before="118"/>
        <w:ind w:right="996"/>
        <w:jc w:val="left"/>
        <w:rPr>
          <w:b w:val="0"/>
          <w:bCs w:val="0"/>
        </w:rPr>
      </w:pPr>
      <w:bookmarkStart w:name="2、母公司资产负债表" w:id="154"/>
      <w:bookmarkEnd w:id="154"/>
      <w:r>
        <w:rPr>
          <w:b w:val="0"/>
          <w:bCs w:val="0"/>
        </w:rPr>
      </w:r>
      <w:r>
        <w:rPr>
          <w:rFonts w:ascii="Arial" w:hAnsi="Arial" w:cs="Arial" w:eastAsia="Arial" w:hint="default"/>
        </w:rPr>
        <w:t>2</w:t>
      </w:r>
      <w:r>
        <w:rPr/>
        <w:t>、母公司资产负债表</w:t>
      </w:r>
      <w:r>
        <w:rPr>
          <w:b w:val="0"/>
          <w:bCs w:val="0"/>
        </w:rPr>
      </w:r>
    </w:p>
    <w:p>
      <w:pPr>
        <w:spacing w:line="240" w:lineRule="auto" w:before="7"/>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29"/>
        <w:gridCol w:w="2319"/>
        <w:gridCol w:w="2320"/>
      </w:tblGrid>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2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296,260,042.96</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426,497,887.80</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22,091,627.46</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34,278,481.67</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22,091,627.46</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34,278,481.67</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250,000.00</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146,700.00</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150,302,957.88</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3"/>
                <w:sz w:val="18"/>
              </w:rPr>
              <w:t>111,562,093.92</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1,044,938.00</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420,608.00</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200,165.17</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180,171.70</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469,104,793.47</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572,665,335.09</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2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131,000,000.00</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34,000,000.00</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2,554,501,581.68</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2,563,126,253.94</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30,230,417.77</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31,790,872.02</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4929"/>
        <w:gridCol w:w="2319"/>
        <w:gridCol w:w="2320"/>
      </w:tblGrid>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9,975,431.02</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17,724,131.86</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13,061,612.52</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16,218,487.51</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2,738,769,042.99</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2,662,859,745.33</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3,207,873,836.46</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3,235,525,080.42</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2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25,844,430.00</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27,616,147.05</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489,418.87</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489,418.87</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189,343.05</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170,800.22</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2,714,877.98</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1,808,012.64</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170,250,250.12</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2"/>
                <w:sz w:val="18"/>
              </w:rPr>
              <w:t>411,469,847.36</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199,488,320.02</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441,554,226.14</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2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777,280.00</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918,507.10</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3"/>
          <w:pgSz w:w="11910" w:h="16840"/>
          <w:pgMar w:footer="978" w:header="878" w:top="1100" w:bottom="1160" w:left="1020" w:right="0"/>
          <w:pgNumType w:start="9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4929"/>
        <w:gridCol w:w="2319"/>
        <w:gridCol w:w="2320"/>
      </w:tblGrid>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777,280.00</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918,507.10</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200,265,600.02</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442,472,733.24</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2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754,491,460.00</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760,681,176.00</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2,074,349,037.03</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2,084,654,271.77</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144,387,030.64</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245,922,733.22</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64,002,272.39</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47,257,827.66</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259,152,497.66</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146,381,804.97</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3,007,608,236.44</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2,793,052,347.18</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3,207,873,836.46</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3,235,525,080.42</w:t>
            </w:r>
          </w:p>
        </w:tc>
      </w:tr>
    </w:tbl>
    <w:p>
      <w:pPr>
        <w:spacing w:line="240" w:lineRule="auto" w:before="11"/>
        <w:rPr>
          <w:rFonts w:ascii="Times New Roman" w:hAnsi="Times New Roman" w:cs="Times New Roman" w:eastAsia="Times New Roman" w:hint="default"/>
          <w:sz w:val="21"/>
          <w:szCs w:val="21"/>
        </w:rPr>
      </w:pPr>
    </w:p>
    <w:p>
      <w:pPr>
        <w:pStyle w:val="Heading4"/>
        <w:spacing w:line="240" w:lineRule="auto" w:before="34"/>
        <w:ind w:right="996"/>
        <w:jc w:val="left"/>
        <w:rPr>
          <w:b w:val="0"/>
          <w:bCs w:val="0"/>
        </w:rPr>
      </w:pPr>
      <w:bookmarkStart w:name="3、合并利润表" w:id="155"/>
      <w:bookmarkEnd w:id="155"/>
      <w:r>
        <w:rPr>
          <w:b w:val="0"/>
          <w:bCs w:val="0"/>
        </w:rPr>
      </w:r>
      <w:r>
        <w:rPr>
          <w:rFonts w:ascii="Arial" w:hAnsi="Arial" w:cs="Arial" w:eastAsia="Arial" w:hint="default"/>
        </w:rPr>
        <w:t>3</w:t>
      </w:r>
      <w:r>
        <w:rPr/>
        <w:t>、合并利润表</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29"/>
        <w:gridCol w:w="2319"/>
        <w:gridCol w:w="2320"/>
      </w:tblGrid>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0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0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2,708,496,168.56</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2,338,145,133.75</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2,708,496,168.56</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2,338,145,133.75</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2"/>
                <w:sz w:val="18"/>
              </w:rPr>
              <w:t>2,313,114,354.57</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2,012,699,350.43</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1,532,347,397.66</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1,389,187,715.80</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25,776,902.33</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25,008,544.27</w:t>
            </w:r>
          </w:p>
        </w:tc>
      </w:tr>
    </w:tbl>
    <w:p>
      <w:pPr>
        <w:spacing w:after="0" w:line="240" w:lineRule="auto"/>
        <w:jc w:val="right"/>
        <w:rPr>
          <w:rFonts w:ascii="Arial" w:hAnsi="Arial" w:cs="Arial" w:eastAsia="Arial" w:hint="default"/>
          <w:sz w:val="18"/>
          <w:szCs w:val="18"/>
        </w:rPr>
        <w:sectPr>
          <w:pgSz w:w="11910" w:h="16840"/>
          <w:pgMar w:header="878" w:footer="978" w:top="1100" w:bottom="116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4929"/>
        <w:gridCol w:w="2319"/>
        <w:gridCol w:w="2320"/>
      </w:tblGrid>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198,935,513.56</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130,520,356.57</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305,390,513.29</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246,073,509.49</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235,990,689.67</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2"/>
                <w:sz w:val="18"/>
              </w:rPr>
              <w:t>211,777,920.28</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-6,613,081.71</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-7,649,125.04</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1,965,030.19</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1,375,707.61</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911"/>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9,051,244.54</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9,499,440.75</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21,286,419.77</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17,780,429.06</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2"/>
                <w:sz w:val="18"/>
              </w:rPr>
              <w:t>110,279,089.24</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95,585,676.03</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36,442,028.01</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1,346,020.16</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-2,392,479.08</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877,182.63</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Arial" w:hAnsi="Arial" w:cs="Arial" w:eastAsia="Arial" w:hint="default"/>
                <w:sz w:val="18"/>
                <w:szCs w:val="18"/>
              </w:rPr>
              <w:t>“-”</w:t>
            </w:r>
            <w:r>
              <w:rPr>
                <w:rFonts w:ascii="宋体" w:hAnsi="宋体" w:cs="宋体" w:eastAsia="宋体" w:hint="default"/>
                <w:sz w:val="18"/>
                <w:szCs w:val="18"/>
              </w:rPr>
              <w:t>号填列）</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Arial" w:hAnsi="Arial" w:cs="Arial" w:eastAsia="Arial" w:hint="default"/>
                <w:sz w:val="18"/>
                <w:szCs w:val="18"/>
              </w:rPr>
              <w:t>“-”</w:t>
            </w:r>
            <w:r>
              <w:rPr>
                <w:rFonts w:ascii="宋体" w:hAnsi="宋体" w:cs="宋体" w:eastAsia="宋体" w:hint="default"/>
                <w:sz w:val="18"/>
                <w:szCs w:val="18"/>
              </w:rPr>
              <w:t>号填列）</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-352,513.73</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-63,471.66</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541,750,417.51</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422,314,007.85</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216,509.70</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135,246.15</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2"/>
                <w:sz w:val="18"/>
              </w:rPr>
              <w:t>11,214,317.81</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8,103,933.36</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530,752,609.40</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414,345,320.64</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Arial" w:hAnsi="Arial" w:cs="Arial" w:eastAsia="Arial" w:hint="default"/>
                <w:sz w:val="18"/>
                <w:szCs w:val="18"/>
              </w:rPr>
            </w:pPr>
            <w:r>
              <w:rPr>
                <w:rFonts w:ascii="Arial"/>
                <w:spacing w:val="-2"/>
                <w:sz w:val="18"/>
              </w:rPr>
              <w:t>41,995,446.11</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39,500,710.39</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488,757,163.29</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374,844,610.25</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488,757,163.29</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374,844,506.92</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103.33</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497,708,243.20</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381,166,148.13</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-8,951,079.91</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-6,321,537.88</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重新计量设定受益计划变动额</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权益法下不能转损益的其他综合收益</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权益法下可转损益的其他综合收益</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可供出售金融资产公允价值变动损益</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持有至到期投资重分类为可供出售金融资产损益</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现金流量套期损益的有效部分</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外币财务报表折算差额</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4929"/>
        <w:gridCol w:w="2319"/>
        <w:gridCol w:w="2320"/>
      </w:tblGrid>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其他</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488,757,163.29</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374,844,610.25</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497,708,243.20</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381,166,148.13</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-8,951,079.91</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-6,321,537.88</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2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w w:val="95"/>
                <w:sz w:val="18"/>
              </w:rPr>
              <w:t>0.67</w:t>
            </w:r>
            <w:r>
              <w:rPr>
                <w:rFonts w:ascii="Arial"/>
                <w:sz w:val="18"/>
              </w:rPr>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0.58</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w w:val="95"/>
                <w:sz w:val="18"/>
              </w:rPr>
              <w:t>0.67</w:t>
            </w:r>
            <w:r>
              <w:rPr>
                <w:rFonts w:ascii="Arial"/>
                <w:sz w:val="18"/>
              </w:rPr>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0.57</w:t>
            </w:r>
          </w:p>
        </w:tc>
      </w:tr>
    </w:tbl>
    <w:p>
      <w:pPr>
        <w:tabs>
          <w:tab w:pos="3532" w:val="left" w:leader="none"/>
          <w:tab w:pos="7672" w:val="left" w:leader="none"/>
        </w:tabs>
        <w:spacing w:line="595" w:lineRule="auto" w:before="50"/>
        <w:ind w:left="112" w:right="1159" w:firstLine="0"/>
        <w:jc w:val="left"/>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Arial" w:hAnsi="Arial" w:cs="Arial" w:eastAsia="Arial" w:hint="default"/>
          <w:sz w:val="18"/>
          <w:szCs w:val="18"/>
        </w:rPr>
        <w:t>0.00 </w:t>
      </w:r>
      <w:r>
        <w:rPr>
          <w:rFonts w:ascii="宋体" w:hAnsi="宋体" w:cs="宋体" w:eastAsia="宋体" w:hint="default"/>
          <w:sz w:val="18"/>
          <w:szCs w:val="18"/>
        </w:rPr>
        <w:t>元，上期被合并方实现的净利润为：</w:t>
      </w:r>
      <w:r>
        <w:rPr>
          <w:rFonts w:ascii="Arial" w:hAnsi="Arial" w:cs="Arial" w:eastAsia="Arial" w:hint="default"/>
          <w:sz w:val="18"/>
          <w:szCs w:val="18"/>
        </w:rPr>
        <w:t>0.00</w:t>
      </w:r>
      <w:r>
        <w:rPr>
          <w:rFonts w:ascii="Arial" w:hAnsi="Arial" w:cs="Arial" w:eastAsia="Arial" w:hint="default"/>
          <w:spacing w:val="-15"/>
          <w:sz w:val="18"/>
          <w:szCs w:val="18"/>
        </w:rPr>
        <w:t> </w:t>
      </w:r>
      <w:r>
        <w:rPr>
          <w:rFonts w:ascii="宋体" w:hAnsi="宋体" w:cs="宋体" w:eastAsia="宋体" w:hint="default"/>
          <w:sz w:val="18"/>
          <w:szCs w:val="18"/>
        </w:rPr>
        <w:t>元。 法定代表人：邵学</w:t>
        <w:tab/>
        <w:t>主管会计工作负责人：王琰</w:t>
        <w:tab/>
        <w:t>会计机构负责人：张绪梅 </w:t>
      </w:r>
      <w:bookmarkStart w:name="4、母公司利润表" w:id="156"/>
      <w:bookmarkEnd w:id="156"/>
      <w:r>
        <w:rPr>
          <w:rFonts w:ascii="宋体" w:hAnsi="宋体" w:cs="宋体" w:eastAsia="宋体" w:hint="default"/>
          <w:sz w:val="18"/>
          <w:szCs w:val="18"/>
        </w:rPr>
      </w:r>
      <w:r>
        <w:rPr>
          <w:rFonts w:ascii="Arial" w:hAnsi="Arial" w:cs="Arial" w:eastAsia="Arial"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29"/>
        <w:gridCol w:w="2319"/>
        <w:gridCol w:w="2320"/>
      </w:tblGrid>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0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0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61,643,781.43</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83,839,378.36</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Arial" w:hAnsi="Arial" w:cs="Arial" w:eastAsia="Arial" w:hint="default"/>
                <w:sz w:val="18"/>
                <w:szCs w:val="18"/>
              </w:rPr>
            </w:pPr>
            <w:r>
              <w:rPr>
                <w:rFonts w:ascii="Arial"/>
                <w:spacing w:val="-1"/>
                <w:sz w:val="18"/>
              </w:rPr>
              <w:t>30,172.41</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19,705,693.97</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1,597,245.57</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2,802,048.97</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32,327,780.16</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28,769,497.94</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4,342,337.94</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5,650,991.13</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-3,130,549.13</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-4,706,012.31</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1,166,393.84</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2,222,198.64</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4,305,499.91</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6,935,744.78</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-504,472.93</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2,599,927.40</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9,817,755.35</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14,328,167.90</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136,442,028.01</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6,877,182.63</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-2,392,479.08</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877,182.63</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Arial" w:hAnsi="Arial" w:cs="Arial" w:eastAsia="Arial" w:hint="default"/>
                <w:sz w:val="18"/>
                <w:szCs w:val="18"/>
              </w:rPr>
              <w:t>“-”</w:t>
            </w:r>
            <w:r>
              <w:rPr>
                <w:rFonts w:ascii="宋体" w:hAnsi="宋体" w:cs="宋体" w:eastAsia="宋体" w:hint="default"/>
                <w:sz w:val="18"/>
                <w:szCs w:val="18"/>
              </w:rPr>
              <w:t>号填列）</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34,096.75</w:t>
            </w: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173,275,147.52</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50,222,581.79</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133,068.00</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5"/>
              <w:jc w:val="right"/>
              <w:rPr>
                <w:rFonts w:ascii="Arial" w:hAnsi="Arial" w:cs="Arial" w:eastAsia="Arial" w:hint="default"/>
                <w:sz w:val="18"/>
                <w:szCs w:val="18"/>
              </w:rPr>
            </w:pPr>
            <w:r>
              <w:rPr>
                <w:rFonts w:ascii="Arial"/>
                <w:spacing w:val="-2"/>
                <w:sz w:val="18"/>
              </w:rPr>
              <w:t>70,454.11</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173,142,079.52</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50,152,127.68</w:t>
            </w:r>
          </w:p>
        </w:tc>
      </w:tr>
      <w:tr>
        <w:trPr>
          <w:trHeight w:val="400"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5,697,632.21</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6,462,068.05</w:t>
            </w:r>
          </w:p>
        </w:tc>
      </w:tr>
    </w:tbl>
    <w:p>
      <w:pPr>
        <w:spacing w:after="0" w:line="240" w:lineRule="auto"/>
        <w:jc w:val="right"/>
        <w:rPr>
          <w:rFonts w:ascii="Arial" w:hAnsi="Arial" w:cs="Arial" w:eastAsia="Arial" w:hint="default"/>
          <w:sz w:val="18"/>
          <w:szCs w:val="18"/>
        </w:rPr>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4929"/>
        <w:gridCol w:w="2319"/>
        <w:gridCol w:w="2320"/>
      </w:tblGrid>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167,444,447.31</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43,690,059.63</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167,444,447.31</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43,690,059.63</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重新计量设定受益计划变动额</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权益法下不能转损益的其他综合收益</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权益法下可转损益的其他综合收益</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可供出售金融资产公允价值变动损益</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持有至到期投资重分类为可供出售金融资产损益</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现金流量套期损益的有效部分</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外币财务报表折算差额</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其他</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167,444,447.31</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43,690,059.63</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2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w w:val="95"/>
                <w:sz w:val="18"/>
              </w:rPr>
              <w:t>0.23</w:t>
            </w:r>
            <w:r>
              <w:rPr>
                <w:rFonts w:ascii="Arial"/>
                <w:sz w:val="18"/>
              </w:rPr>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0.06</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w w:val="95"/>
                <w:sz w:val="18"/>
              </w:rPr>
              <w:t>0.22</w:t>
            </w:r>
            <w:r>
              <w:rPr>
                <w:rFonts w:ascii="Arial"/>
                <w:sz w:val="18"/>
              </w:rPr>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0.06</w:t>
            </w:r>
          </w:p>
        </w:tc>
      </w:tr>
    </w:tbl>
    <w:p>
      <w:pPr>
        <w:spacing w:line="240" w:lineRule="auto" w:before="3"/>
        <w:rPr>
          <w:rFonts w:ascii="宋体" w:hAnsi="宋体" w:cs="宋体" w:eastAsia="宋体" w:hint="default"/>
          <w:sz w:val="19"/>
          <w:szCs w:val="19"/>
        </w:rPr>
      </w:pPr>
    </w:p>
    <w:p>
      <w:pPr>
        <w:pStyle w:val="Heading4"/>
        <w:spacing w:line="240" w:lineRule="auto" w:before="34"/>
        <w:ind w:right="996"/>
        <w:jc w:val="left"/>
        <w:rPr>
          <w:b w:val="0"/>
          <w:bCs w:val="0"/>
        </w:rPr>
      </w:pPr>
      <w:bookmarkStart w:name="5、合并现金流量表" w:id="157"/>
      <w:bookmarkEnd w:id="157"/>
      <w:r>
        <w:rPr>
          <w:b w:val="0"/>
          <w:bCs w:val="0"/>
        </w:rPr>
      </w:r>
      <w:r>
        <w:rPr>
          <w:rFonts w:ascii="Arial" w:hAnsi="Arial" w:cs="Arial" w:eastAsia="Arial" w:hint="default"/>
        </w:rPr>
        <w:t>5</w:t>
      </w:r>
      <w:r>
        <w:rPr/>
        <w:t>、合并现金流量表</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29"/>
        <w:gridCol w:w="2319"/>
        <w:gridCol w:w="2320"/>
      </w:tblGrid>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2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5" w:right="0"/>
              <w:jc w:val="left"/>
              <w:rPr>
                <w:rFonts w:ascii="Arial" w:hAnsi="Arial" w:cs="Arial" w:eastAsia="Arial" w:hint="default"/>
                <w:sz w:val="18"/>
                <w:szCs w:val="18"/>
              </w:rPr>
            </w:pPr>
            <w:r>
              <w:rPr>
                <w:rFonts w:ascii="Arial"/>
                <w:sz w:val="18"/>
              </w:rPr>
              <w:t>2,920,884,280.68</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6" w:right="0"/>
              <w:jc w:val="left"/>
              <w:rPr>
                <w:rFonts w:ascii="Arial" w:hAnsi="Arial" w:cs="Arial" w:eastAsia="Arial" w:hint="default"/>
                <w:sz w:val="18"/>
                <w:szCs w:val="18"/>
              </w:rPr>
            </w:pPr>
            <w:r>
              <w:rPr>
                <w:rFonts w:ascii="Arial"/>
                <w:sz w:val="18"/>
              </w:rPr>
              <w:t>2,539,151,002.40</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834"/>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834"/>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34"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处置以公允价值计量且其变动计入当期损益的金融资产净 增加额</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4929"/>
        <w:gridCol w:w="2319"/>
        <w:gridCol w:w="2320"/>
      </w:tblGrid>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90,210,620.12</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76,886,561.10</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195,632,667.26</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175,503,704.45</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3,206,727,568.06</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2,791,541,267.95</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1,265,957,477.08</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1,010,278,599.62</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743,246,063.95</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538,435,163.42</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272,031,251.74</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204,638,850.55</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605,331,465.71</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546,665,351.02</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2,886,566,258.48</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2,300,017,964.61</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320,161,309.58</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491,523,303.34</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2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80,475.00</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2"/>
                <w:sz w:val="18"/>
              </w:rPr>
              <w:t>114,566.96</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2"/>
                <w:sz w:val="18"/>
              </w:rPr>
              <w:t>1,464,119.57</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500,000.00</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1,000,000.00</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580,475.00</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2,578,686.53</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198,805,155.01</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151,071,652.99</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25,000,000.00</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35,000,000.00</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39,407,081.17</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2"/>
                <w:sz w:val="18"/>
              </w:rPr>
              <w:t>511,227,028.02</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263,212,236.18</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697,298,681.01</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-262,631,761.18</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-694,719,994.48</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2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12,095,399.90</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728,471,612.85</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2"/>
                <w:sz w:val="18"/>
              </w:rPr>
              <w:t>11,000,000.00</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17,999,976.00</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39,000,000.00</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18,150,000.00</w:t>
            </w:r>
          </w:p>
        </w:tc>
      </w:tr>
      <w:tr>
        <w:trPr>
          <w:trHeight w:val="400"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4929"/>
        <w:gridCol w:w="2319"/>
        <w:gridCol w:w="2320"/>
      </w:tblGrid>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994,399.13</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8,715.53</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52,089,799.03</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746,630,328.38</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60,350,000.00</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510,000.00</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39,914,676.33</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53,149,406.36</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19,444,960.00</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15,852,916.46</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861,149.25</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Arial" w:hAnsi="Arial" w:cs="Arial" w:eastAsia="Arial" w:hint="default"/>
                <w:sz w:val="18"/>
                <w:szCs w:val="18"/>
              </w:rPr>
            </w:pPr>
            <w:r>
              <w:rPr>
                <w:rFonts w:ascii="Arial"/>
                <w:spacing w:val="-3"/>
                <w:sz w:val="18"/>
              </w:rPr>
              <w:t>116,117,592.79</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54,520,555.61</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-64,027,793.76</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692,109,772.77</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-6,498,245.36</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488,913,081.63</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1,267,769,932.45</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778,856,850.82</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1,261,271,687.09</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1,267,769,932.45</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4"/>
        <w:ind w:right="996"/>
        <w:jc w:val="left"/>
        <w:rPr>
          <w:b w:val="0"/>
          <w:bCs w:val="0"/>
        </w:rPr>
      </w:pPr>
      <w:bookmarkStart w:name="6、母公司现金流量表" w:id="158"/>
      <w:bookmarkEnd w:id="158"/>
      <w:r>
        <w:rPr>
          <w:b w:val="0"/>
          <w:bCs w:val="0"/>
        </w:rPr>
      </w:r>
      <w:r>
        <w:rPr>
          <w:rFonts w:ascii="Arial" w:hAnsi="Arial" w:cs="Arial" w:eastAsia="Arial" w:hint="default"/>
        </w:rPr>
        <w:t>6</w:t>
      </w:r>
      <w:r>
        <w:rPr/>
        <w:t>、母公司现金流量表</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29"/>
        <w:gridCol w:w="2319"/>
        <w:gridCol w:w="2320"/>
      </w:tblGrid>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2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83,528,429.08</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108,091,091.89</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2"/>
                <w:sz w:val="18"/>
              </w:rPr>
              <w:t>6,632,311.95</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12,515,215.30</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7,465,262.32</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76,992,975.14</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97,626,003.35</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197,599,282.33</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1,430,188.00</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810,760.00</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14,874,085.27</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13,376,101.24</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9,693,501.68</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18,500,441.85</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2"/>
                <w:sz w:val="18"/>
              </w:rPr>
              <w:t>152,808,115.33</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64,445,890.36</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178,805,890.28</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97,133,193.45</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-81,179,886.93</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100,466,088.88</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2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100,000,000.00</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6,000,000.00</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4,000,000.00</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500,000.00</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1,000,000.00</w:t>
            </w:r>
          </w:p>
        </w:tc>
      </w:tr>
      <w:tr>
        <w:trPr>
          <w:trHeight w:val="400"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100,500,000.00</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2"/>
                <w:sz w:val="18"/>
              </w:rPr>
              <w:t>11,000,000.00</w:t>
            </w:r>
          </w:p>
        </w:tc>
      </w:tr>
    </w:tbl>
    <w:p>
      <w:pPr>
        <w:spacing w:after="0" w:line="240" w:lineRule="auto"/>
        <w:jc w:val="right"/>
        <w:rPr>
          <w:rFonts w:ascii="Arial" w:hAnsi="Arial" w:cs="Arial" w:eastAsia="Arial" w:hint="default"/>
          <w:sz w:val="18"/>
          <w:szCs w:val="18"/>
        </w:rPr>
        <w:sectPr>
          <w:pgSz w:w="11910" w:h="16840"/>
          <w:pgMar w:header="878" w:footer="978" w:top="1100" w:bottom="1160" w:left="10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4929"/>
        <w:gridCol w:w="2319"/>
        <w:gridCol w:w="2320"/>
      </w:tblGrid>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458,449.42</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63,680.00</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58,000,000.00</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46,750,000.00</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39,407,081.17</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550,100,000.00</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97,865,530.59</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596,913,680.00</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2,634,469.41</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-585,913,680.00</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2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1,095,399.90</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710,471,636.85</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994,399.13</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8,715.53</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2,089,799.03</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710,480,352.38</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37,929,309.89</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2"/>
                <w:sz w:val="18"/>
              </w:rPr>
              <w:t>32,211,641.38</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15,852,916.46</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861,149.25</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53,782,226.35</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33,072,790.63</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-51,692,427.32</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677,407,561.75</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-130,237,844.84</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191,959,970.63</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426,497,887.80</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234,537,917.17</w:t>
            </w:r>
          </w:p>
        </w:tc>
      </w:tr>
      <w:tr>
        <w:trPr>
          <w:trHeight w:val="402" w:hRule="exact"/>
        </w:trPr>
        <w:tc>
          <w:tcPr>
            <w:tcW w:w="4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296,260,042.96</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426,497,887.80</w:t>
            </w:r>
          </w:p>
        </w:tc>
      </w:tr>
    </w:tbl>
    <w:p>
      <w:pPr>
        <w:spacing w:after="0" w:line="240" w:lineRule="auto"/>
        <w:jc w:val="right"/>
        <w:rPr>
          <w:rFonts w:ascii="Arial" w:hAnsi="Arial" w:cs="Arial" w:eastAsia="Arial" w:hint="default"/>
          <w:sz w:val="18"/>
          <w:szCs w:val="18"/>
        </w:rPr>
        <w:sectPr>
          <w:pgSz w:w="11910" w:h="16840"/>
          <w:pgMar w:header="878" w:footer="978" w:top="1100" w:bottom="1160" w:left="1020" w:right="0"/>
        </w:sectPr>
      </w:pPr>
    </w:p>
    <w:p>
      <w:pPr>
        <w:spacing w:line="240" w:lineRule="auto" w:before="1"/>
        <w:rPr>
          <w:rFonts w:ascii="Times New Roman" w:hAnsi="Times New Roman" w:cs="Times New Roman" w:eastAsia="Times New Roman" w:hint="default"/>
          <w:sz w:val="3"/>
          <w:szCs w:val="3"/>
        </w:rPr>
      </w:pPr>
    </w:p>
    <w:p>
      <w:pPr>
        <w:spacing w:line="20" w:lineRule="exact"/>
        <w:ind w:left="11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8.65pt;height:.75pt;mso-position-horizontal-relative:char;mso-position-vertical-relative:line" coordorigin="0,0" coordsize="13973,15">
            <v:group style="position:absolute;left:7;top:7;width:13958;height:2" coordorigin="7,7" coordsize="13958,2">
              <v:shape style="position:absolute;left:7;top:7;width:13958;height:2" coordorigin="7,7" coordsize="13958,0" path="m7,7l13965,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4"/>
        <w:spacing w:line="240" w:lineRule="auto"/>
        <w:ind w:left="120" w:right="0"/>
        <w:jc w:val="left"/>
        <w:rPr>
          <w:b w:val="0"/>
          <w:bCs w:val="0"/>
        </w:rPr>
      </w:pPr>
      <w:bookmarkStart w:name="7、合并所有者权益变动表" w:id="159"/>
      <w:bookmarkEnd w:id="159"/>
      <w:r>
        <w:rPr>
          <w:b w:val="0"/>
          <w:bCs w:val="0"/>
        </w:rPr>
      </w:r>
      <w:r>
        <w:rPr>
          <w:rFonts w:ascii="Arial" w:hAnsi="Arial" w:cs="Arial" w:eastAsia="Arial" w:hint="default"/>
        </w:rPr>
        <w:t>7</w:t>
      </w:r>
      <w:r>
        <w:rPr/>
        <w:t>、合并所有者权益变动表</w:t>
      </w:r>
      <w:r>
        <w:rPr>
          <w:b w:val="0"/>
          <w:bCs w:val="0"/>
        </w:rPr>
      </w:r>
    </w:p>
    <w:p>
      <w:pPr>
        <w:spacing w:line="240" w:lineRule="auto" w:before="7"/>
        <w:rPr>
          <w:rFonts w:ascii="宋体" w:hAnsi="宋体" w:cs="宋体" w:eastAsia="宋体" w:hint="default"/>
          <w:b/>
          <w:bCs/>
          <w:sz w:val="26"/>
          <w:szCs w:val="26"/>
        </w:rPr>
      </w:pPr>
    </w:p>
    <w:p>
      <w:pPr>
        <w:tabs>
          <w:tab w:pos="13259" w:val="left" w:leader="none"/>
        </w:tabs>
        <w:spacing w:before="0"/>
        <w:ind w:left="120" w:right="0" w:firstLine="0"/>
        <w:jc w:val="left"/>
        <w:rPr>
          <w:rFonts w:ascii="宋体" w:hAnsi="宋体" w:cs="宋体" w:eastAsia="宋体" w:hint="default"/>
          <w:sz w:val="18"/>
          <w:szCs w:val="18"/>
        </w:rPr>
      </w:pPr>
      <w:r>
        <w:rPr>
          <w:rFonts w:ascii="宋体" w:hAnsi="宋体" w:cs="宋体" w:eastAsia="宋体" w:hint="default"/>
          <w:sz w:val="18"/>
          <w:szCs w:val="18"/>
        </w:rPr>
        <w:t>本期金额</w:t>
        <w:tab/>
        <w:t>单位：元</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799"/>
        <w:gridCol w:w="1308"/>
        <w:gridCol w:w="380"/>
        <w:gridCol w:w="380"/>
        <w:gridCol w:w="308"/>
        <w:gridCol w:w="1458"/>
        <w:gridCol w:w="1564"/>
        <w:gridCol w:w="425"/>
        <w:gridCol w:w="369"/>
        <w:gridCol w:w="1208"/>
        <w:gridCol w:w="597"/>
        <w:gridCol w:w="1458"/>
        <w:gridCol w:w="1208"/>
        <w:gridCol w:w="1458"/>
      </w:tblGrid>
      <w:tr>
        <w:trPr>
          <w:trHeight w:val="402" w:hRule="exact"/>
        </w:trPr>
        <w:tc>
          <w:tcPr>
            <w:tcW w:w="1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12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799" w:type="dxa"/>
            <w:vMerge/>
            <w:tcBorders>
              <w:left w:val="single" w:sz="4" w:space="0" w:color="000000"/>
              <w:right w:val="single" w:sz="4" w:space="0" w:color="000000"/>
            </w:tcBorders>
            <w:shd w:val="clear" w:color="auto" w:fill="D2D2D2"/>
          </w:tcPr>
          <w:p>
            <w:pPr/>
          </w:p>
        </w:tc>
        <w:tc>
          <w:tcPr>
            <w:tcW w:w="945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14" w:hRule="exact"/>
        </w:trPr>
        <w:tc>
          <w:tcPr>
            <w:tcW w:w="1799" w:type="dxa"/>
            <w:vMerge/>
            <w:tcBorders>
              <w:left w:val="single" w:sz="4" w:space="0" w:color="000000"/>
              <w:right w:val="single" w:sz="4" w:space="0" w:color="000000"/>
            </w:tcBorders>
            <w:shd w:val="clear" w:color="auto" w:fill="D2D2D2"/>
          </w:tcPr>
          <w:p>
            <w:pPr/>
          </w:p>
        </w:tc>
        <w:tc>
          <w:tcPr>
            <w:tcW w:w="13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0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40" w:right="76" w:hanging="360"/>
              <w:jc w:val="left"/>
              <w:rPr>
                <w:rFonts w:ascii="宋体" w:hAnsi="宋体" w:cs="宋体" w:eastAsia="宋体" w:hint="default"/>
                <w:sz w:val="18"/>
                <w:szCs w:val="18"/>
              </w:rPr>
            </w:pPr>
            <w:r>
              <w:rPr>
                <w:rFonts w:ascii="宋体" w:hAnsi="宋体" w:cs="宋体" w:eastAsia="宋体" w:hint="default"/>
                <w:sz w:val="18"/>
                <w:szCs w:val="18"/>
              </w:rPr>
              <w:t>其他权益工 具</w:t>
            </w:r>
          </w:p>
        </w:tc>
        <w:tc>
          <w:tcPr>
            <w:tcW w:w="14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5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6" w:right="26"/>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89" w:right="88"/>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2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4" w:right="21"/>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4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08" w:type="dxa"/>
            <w:vMerge/>
            <w:tcBorders>
              <w:left w:val="single" w:sz="4" w:space="0" w:color="000000"/>
              <w:right w:val="single" w:sz="4" w:space="0" w:color="000000"/>
            </w:tcBorders>
            <w:shd w:val="clear" w:color="auto" w:fill="D2D2D2"/>
          </w:tcPr>
          <w:p>
            <w:pPr/>
          </w:p>
        </w:tc>
        <w:tc>
          <w:tcPr>
            <w:tcW w:w="1458" w:type="dxa"/>
            <w:vMerge/>
            <w:tcBorders>
              <w:left w:val="single" w:sz="4" w:space="0" w:color="000000"/>
              <w:right w:val="single" w:sz="4" w:space="0" w:color="000000"/>
            </w:tcBorders>
            <w:shd w:val="clear" w:color="auto" w:fill="D2D2D2"/>
          </w:tcPr>
          <w:p>
            <w:pPr/>
          </w:p>
        </w:tc>
      </w:tr>
      <w:tr>
        <w:trPr>
          <w:trHeight w:val="1026" w:hRule="exact"/>
        </w:trPr>
        <w:tc>
          <w:tcPr>
            <w:tcW w:w="1799" w:type="dxa"/>
            <w:vMerge/>
            <w:tcBorders>
              <w:left w:val="single" w:sz="4" w:space="0" w:color="000000"/>
              <w:bottom w:val="single" w:sz="4" w:space="0" w:color="000000"/>
              <w:right w:val="single" w:sz="4" w:space="0" w:color="000000"/>
            </w:tcBorders>
            <w:shd w:val="clear" w:color="auto" w:fill="D2D2D2"/>
          </w:tcPr>
          <w:p>
            <w:pPr/>
          </w:p>
        </w:tc>
        <w:tc>
          <w:tcPr>
            <w:tcW w:w="1308" w:type="dxa"/>
            <w:vMerge/>
            <w:tcBorders>
              <w:left w:val="single" w:sz="4" w:space="0" w:color="000000"/>
              <w:bottom w:val="single" w:sz="4" w:space="0" w:color="000000"/>
              <w:right w:val="single" w:sz="4" w:space="0" w:color="000000"/>
            </w:tcBorders>
            <w:shd w:val="clear" w:color="auto" w:fill="D2D2D2"/>
          </w:tcPr>
          <w:p>
            <w:pPr/>
          </w:p>
        </w:tc>
        <w:tc>
          <w:tcPr>
            <w:tcW w:w="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4" w:right="9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6" w:right="92"/>
              <w:jc w:val="both"/>
              <w:rPr>
                <w:rFonts w:ascii="宋体" w:hAnsi="宋体" w:cs="宋体" w:eastAsia="宋体" w:hint="default"/>
                <w:sz w:val="18"/>
                <w:szCs w:val="18"/>
              </w:rPr>
            </w:pPr>
            <w:r>
              <w:rPr>
                <w:rFonts w:ascii="宋体" w:hAnsi="宋体" w:cs="宋体" w:eastAsia="宋体" w:hint="default"/>
                <w:sz w:val="18"/>
                <w:szCs w:val="18"/>
              </w:rPr>
              <w:t>永 续 债</w:t>
            </w:r>
          </w:p>
        </w:tc>
        <w:tc>
          <w:tcPr>
            <w:tcW w:w="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9" w:right="57"/>
              <w:jc w:val="left"/>
              <w:rPr>
                <w:rFonts w:ascii="宋体" w:hAnsi="宋体" w:cs="宋体" w:eastAsia="宋体" w:hint="default"/>
                <w:sz w:val="18"/>
                <w:szCs w:val="18"/>
              </w:rPr>
            </w:pPr>
            <w:r>
              <w:rPr>
                <w:rFonts w:ascii="宋体" w:hAnsi="宋体" w:cs="宋体" w:eastAsia="宋体" w:hint="default"/>
                <w:sz w:val="18"/>
                <w:szCs w:val="18"/>
              </w:rPr>
              <w:t>其 他</w:t>
            </w:r>
          </w:p>
        </w:tc>
        <w:tc>
          <w:tcPr>
            <w:tcW w:w="1458" w:type="dxa"/>
            <w:vMerge/>
            <w:tcBorders>
              <w:left w:val="single" w:sz="4" w:space="0" w:color="000000"/>
              <w:bottom w:val="single" w:sz="4" w:space="0" w:color="000000"/>
              <w:right w:val="single" w:sz="4" w:space="0" w:color="000000"/>
            </w:tcBorders>
            <w:shd w:val="clear" w:color="auto" w:fill="D2D2D2"/>
          </w:tcPr>
          <w:p>
            <w:pPr/>
          </w:p>
        </w:tc>
        <w:tc>
          <w:tcPr>
            <w:tcW w:w="1564"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369" w:type="dxa"/>
            <w:vMerge/>
            <w:tcBorders>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597" w:type="dxa"/>
            <w:vMerge/>
            <w:tcBorders>
              <w:left w:val="single" w:sz="4" w:space="0" w:color="000000"/>
              <w:bottom w:val="single" w:sz="4" w:space="0" w:color="000000"/>
              <w:right w:val="single" w:sz="4" w:space="0" w:color="000000"/>
            </w:tcBorders>
            <w:shd w:val="clear" w:color="auto" w:fill="D2D2D2"/>
          </w:tcPr>
          <w:p>
            <w:pPr/>
          </w:p>
        </w:tc>
        <w:tc>
          <w:tcPr>
            <w:tcW w:w="1458" w:type="dxa"/>
            <w:vMerge/>
            <w:tcBorders>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45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760,681,176.00</w:t>
            </w: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1,910,555,620.24</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245,922,733.22</w:t>
            </w:r>
          </w:p>
        </w:tc>
        <w:tc>
          <w:tcPr>
            <w:tcW w:w="425" w:type="dxa"/>
            <w:tcBorders>
              <w:top w:val="single" w:sz="4" w:space="0" w:color="000000"/>
              <w:left w:val="single" w:sz="4" w:space="0" w:color="000000"/>
              <w:bottom w:val="single" w:sz="4" w:space="0" w:color="000000"/>
              <w:right w:val="single" w:sz="4" w:space="0" w:color="000000"/>
            </w:tcBorders>
          </w:tcPr>
          <w:p>
            <w:pPr/>
          </w:p>
        </w:tc>
        <w:tc>
          <w:tcPr>
            <w:tcW w:w="36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Arial" w:hAnsi="Arial" w:cs="Arial" w:eastAsia="Arial" w:hint="default"/>
                <w:sz w:val="18"/>
                <w:szCs w:val="18"/>
              </w:rPr>
            </w:pPr>
            <w:r>
              <w:rPr>
                <w:rFonts w:ascii="Arial"/>
                <w:sz w:val="18"/>
              </w:rPr>
              <w:t>47,257,827.66</w:t>
            </w: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1,230,662,871.24</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67,007,767.76</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3,770,242,529.68</w:t>
            </w: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pacing w:val="-8"/>
                <w:sz w:val="18"/>
                <w:szCs w:val="18"/>
              </w:rPr>
              <w:t>加：会计政策变更</w:t>
            </w:r>
          </w:p>
        </w:tc>
        <w:tc>
          <w:tcPr>
            <w:tcW w:w="1308"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6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308"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6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143" w:firstLine="720"/>
              <w:jc w:val="left"/>
              <w:rPr>
                <w:rFonts w:ascii="宋体" w:hAnsi="宋体" w:cs="宋体" w:eastAsia="宋体" w:hint="default"/>
                <w:sz w:val="18"/>
                <w:szCs w:val="18"/>
              </w:rPr>
            </w:pPr>
            <w:r>
              <w:rPr>
                <w:rFonts w:ascii="宋体" w:hAnsi="宋体" w:cs="宋体" w:eastAsia="宋体" w:hint="default"/>
                <w:sz w:val="18"/>
                <w:szCs w:val="18"/>
              </w:rPr>
              <w:t>同一控制下 企业合并</w:t>
            </w:r>
          </w:p>
        </w:tc>
        <w:tc>
          <w:tcPr>
            <w:tcW w:w="1308"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6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08"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6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760,681,176.00</w:t>
            </w: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1,910,555,620.24</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245,922,733.22</w:t>
            </w:r>
          </w:p>
        </w:tc>
        <w:tc>
          <w:tcPr>
            <w:tcW w:w="425" w:type="dxa"/>
            <w:tcBorders>
              <w:top w:val="single" w:sz="4" w:space="0" w:color="000000"/>
              <w:left w:val="single" w:sz="4" w:space="0" w:color="000000"/>
              <w:bottom w:val="single" w:sz="4" w:space="0" w:color="000000"/>
              <w:right w:val="single" w:sz="4" w:space="0" w:color="000000"/>
            </w:tcBorders>
          </w:tcPr>
          <w:p>
            <w:pPr/>
          </w:p>
        </w:tc>
        <w:tc>
          <w:tcPr>
            <w:tcW w:w="36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Arial" w:hAnsi="Arial" w:cs="Arial" w:eastAsia="Arial" w:hint="default"/>
                <w:sz w:val="18"/>
                <w:szCs w:val="18"/>
              </w:rPr>
            </w:pPr>
            <w:r>
              <w:rPr>
                <w:rFonts w:ascii="Arial"/>
                <w:sz w:val="18"/>
              </w:rPr>
              <w:t>47,257,827.66</w:t>
            </w: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1,230,662,871.24</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67,007,767.76</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3,770,242,529.68</w:t>
            </w:r>
          </w:p>
        </w:tc>
      </w:tr>
      <w:tr>
        <w:trPr>
          <w:trHeight w:val="714"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-6,189,716.00</w:t>
            </w: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-10,210,066.42</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Arial" w:hAnsi="Arial" w:cs="Arial" w:eastAsia="Arial" w:hint="default"/>
                <w:sz w:val="18"/>
                <w:szCs w:val="18"/>
              </w:rPr>
            </w:pPr>
            <w:r>
              <w:rPr>
                <w:rFonts w:ascii="Arial"/>
                <w:spacing w:val="-1"/>
                <w:sz w:val="18"/>
              </w:rPr>
              <w:t>-101,535,702.58</w:t>
            </w:r>
          </w:p>
        </w:tc>
        <w:tc>
          <w:tcPr>
            <w:tcW w:w="425" w:type="dxa"/>
            <w:tcBorders>
              <w:top w:val="single" w:sz="4" w:space="0" w:color="000000"/>
              <w:left w:val="single" w:sz="4" w:space="0" w:color="000000"/>
              <w:bottom w:val="single" w:sz="4" w:space="0" w:color="000000"/>
              <w:right w:val="single" w:sz="4" w:space="0" w:color="000000"/>
            </w:tcBorders>
          </w:tcPr>
          <w:p>
            <w:pPr/>
          </w:p>
        </w:tc>
        <w:tc>
          <w:tcPr>
            <w:tcW w:w="36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Arial" w:hAnsi="Arial" w:cs="Arial" w:eastAsia="Arial" w:hint="default"/>
                <w:sz w:val="18"/>
                <w:szCs w:val="18"/>
              </w:rPr>
            </w:pPr>
            <w:r>
              <w:rPr>
                <w:rFonts w:ascii="Arial"/>
                <w:sz w:val="18"/>
              </w:rPr>
              <w:t>16,744,444.73</w:t>
            </w: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443,034,488.58</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1,953,751.77</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546,868,605.24</w:t>
            </w: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08"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6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497,708,243.20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-8,951,079.91</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488,757,163.29</w:t>
            </w:r>
          </w:p>
        </w:tc>
      </w:tr>
      <w:tr>
        <w:trPr>
          <w:trHeight w:val="714"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1"/>
              <w:jc w:val="left"/>
              <w:rPr>
                <w:rFonts w:ascii="宋体" w:hAnsi="宋体" w:cs="宋体" w:eastAsia="宋体" w:hint="default"/>
                <w:sz w:val="18"/>
                <w:szCs w:val="18"/>
              </w:rPr>
            </w:pPr>
            <w:r>
              <w:rPr>
                <w:rFonts w:ascii="宋体" w:hAnsi="宋体" w:cs="宋体" w:eastAsia="宋体" w:hint="default"/>
                <w:spacing w:val="-6"/>
                <w:sz w:val="18"/>
                <w:szCs w:val="18"/>
              </w:rPr>
              <w:t>（二）所有者投入和减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少资本</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-6,189,716.00</w:t>
            </w: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-10,210,066.42</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Arial" w:hAnsi="Arial" w:cs="Arial" w:eastAsia="Arial" w:hint="default"/>
                <w:sz w:val="18"/>
                <w:szCs w:val="18"/>
              </w:rPr>
            </w:pPr>
            <w:r>
              <w:rPr>
                <w:rFonts w:ascii="Arial"/>
                <w:spacing w:val="-1"/>
                <w:sz w:val="18"/>
              </w:rPr>
              <w:t>-101,535,702.58</w:t>
            </w:r>
          </w:p>
        </w:tc>
        <w:tc>
          <w:tcPr>
            <w:tcW w:w="425" w:type="dxa"/>
            <w:tcBorders>
              <w:top w:val="single" w:sz="4" w:space="0" w:color="000000"/>
              <w:left w:val="single" w:sz="4" w:space="0" w:color="000000"/>
              <w:bottom w:val="single" w:sz="4" w:space="0" w:color="000000"/>
              <w:right w:val="single" w:sz="4" w:space="0" w:color="000000"/>
            </w:tcBorders>
          </w:tcPr>
          <w:p>
            <w:pPr/>
          </w:p>
        </w:tc>
        <w:tc>
          <w:tcPr>
            <w:tcW w:w="36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10,904,831.68</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96,040,751.84</w:t>
            </w:r>
          </w:p>
        </w:tc>
      </w:tr>
      <w:tr>
        <w:trPr>
          <w:trHeight w:val="714"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2"/>
              <w:ind w:left="24" w:right="45"/>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．所有者投入的普通 股</w:t>
            </w:r>
          </w:p>
        </w:tc>
        <w:tc>
          <w:tcPr>
            <w:tcW w:w="1308"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6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2"/>
                <w:sz w:val="18"/>
              </w:rPr>
              <w:t>11,000,000.00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2"/>
                <w:sz w:val="18"/>
              </w:rPr>
              <w:t>11,000,000.00</w:t>
            </w:r>
          </w:p>
        </w:tc>
      </w:tr>
      <w:tr>
        <w:trPr>
          <w:trHeight w:val="400"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．其他权益工具持有</w:t>
            </w:r>
          </w:p>
        </w:tc>
        <w:tc>
          <w:tcPr>
            <w:tcW w:w="1308"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6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4"/>
          <w:footerReference w:type="default" r:id="rId35"/>
          <w:pgSz w:w="16840" w:h="11910" w:orient="landscape"/>
          <w:pgMar w:header="868" w:footer="978" w:top="1060" w:bottom="1260" w:left="1320" w:right="1320"/>
          <w:pgNumType w:start="98"/>
        </w:sectPr>
      </w:pPr>
    </w:p>
    <w:p>
      <w:pPr>
        <w:spacing w:line="240" w:lineRule="auto" w:before="1"/>
        <w:rPr>
          <w:rFonts w:ascii="Times New Roman" w:hAnsi="Times New Roman" w:cs="Times New Roman" w:eastAsia="Times New Roman" w:hint="default"/>
          <w:sz w:val="3"/>
          <w:szCs w:val="3"/>
        </w:rPr>
      </w:pPr>
      <w:r>
        <w:rPr/>
        <w:pict>
          <v:shape style="position:absolute;margin-left:156pt;margin-top:191.299988pt;width:71.25pt;height:35.3pt;mso-position-horizontal-relative:page;mso-position-vertical-relative:page;z-index:-861808" type="#_x0000_t202" filled="false" stroked="false">
            <v:textbox inset="0,0,0,0">
              <w:txbxContent>
                <w:p>
                  <w:pPr>
                    <w:spacing w:before="52"/>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1799"/>
        <w:gridCol w:w="1308"/>
        <w:gridCol w:w="380"/>
        <w:gridCol w:w="380"/>
        <w:gridCol w:w="308"/>
        <w:gridCol w:w="1458"/>
        <w:gridCol w:w="1564"/>
        <w:gridCol w:w="425"/>
        <w:gridCol w:w="369"/>
        <w:gridCol w:w="1208"/>
        <w:gridCol w:w="597"/>
        <w:gridCol w:w="1458"/>
        <w:gridCol w:w="1208"/>
        <w:gridCol w:w="1458"/>
      </w:tblGrid>
      <w:tr>
        <w:trPr>
          <w:trHeight w:val="377" w:hRule="exact"/>
        </w:trPr>
        <w:tc>
          <w:tcPr>
            <w:tcW w:w="1799" w:type="dxa"/>
            <w:tcBorders>
              <w:top w:val="single" w:sz="16"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者投入资本</w:t>
            </w:r>
          </w:p>
        </w:tc>
        <w:tc>
          <w:tcPr>
            <w:tcW w:w="1308" w:type="dxa"/>
            <w:tcBorders>
              <w:top w:val="single" w:sz="16" w:space="0" w:color="000000"/>
              <w:left w:val="single" w:sz="4" w:space="0" w:color="000000"/>
              <w:bottom w:val="single" w:sz="4" w:space="0" w:color="000000"/>
              <w:right w:val="single" w:sz="4" w:space="0" w:color="000000"/>
            </w:tcBorders>
          </w:tcPr>
          <w:p>
            <w:pPr/>
          </w:p>
        </w:tc>
        <w:tc>
          <w:tcPr>
            <w:tcW w:w="380" w:type="dxa"/>
            <w:tcBorders>
              <w:top w:val="single" w:sz="16" w:space="0" w:color="000000"/>
              <w:left w:val="single" w:sz="4" w:space="0" w:color="000000"/>
              <w:bottom w:val="single" w:sz="4" w:space="0" w:color="000000"/>
              <w:right w:val="single" w:sz="4" w:space="0" w:color="000000"/>
            </w:tcBorders>
          </w:tcPr>
          <w:p>
            <w:pPr/>
          </w:p>
        </w:tc>
        <w:tc>
          <w:tcPr>
            <w:tcW w:w="380" w:type="dxa"/>
            <w:tcBorders>
              <w:top w:val="single" w:sz="16" w:space="0" w:color="000000"/>
              <w:left w:val="single" w:sz="4" w:space="0" w:color="000000"/>
              <w:bottom w:val="single" w:sz="4" w:space="0" w:color="000000"/>
              <w:right w:val="single" w:sz="4" w:space="0" w:color="000000"/>
            </w:tcBorders>
          </w:tcPr>
          <w:p>
            <w:pPr/>
          </w:p>
        </w:tc>
        <w:tc>
          <w:tcPr>
            <w:tcW w:w="308" w:type="dxa"/>
            <w:tcBorders>
              <w:top w:val="single" w:sz="16" w:space="0" w:color="000000"/>
              <w:left w:val="single" w:sz="4" w:space="0" w:color="000000"/>
              <w:bottom w:val="single" w:sz="4" w:space="0" w:color="000000"/>
              <w:right w:val="single" w:sz="4" w:space="0" w:color="000000"/>
            </w:tcBorders>
          </w:tcPr>
          <w:p>
            <w:pPr/>
          </w:p>
        </w:tc>
        <w:tc>
          <w:tcPr>
            <w:tcW w:w="1458" w:type="dxa"/>
            <w:tcBorders>
              <w:top w:val="single" w:sz="16" w:space="0" w:color="000000"/>
              <w:left w:val="single" w:sz="4" w:space="0" w:color="000000"/>
              <w:bottom w:val="single" w:sz="4" w:space="0" w:color="000000"/>
              <w:right w:val="single" w:sz="4" w:space="0" w:color="000000"/>
            </w:tcBorders>
          </w:tcPr>
          <w:p>
            <w:pPr/>
          </w:p>
        </w:tc>
        <w:tc>
          <w:tcPr>
            <w:tcW w:w="1564" w:type="dxa"/>
            <w:tcBorders>
              <w:top w:val="single" w:sz="16" w:space="0" w:color="000000"/>
              <w:left w:val="single" w:sz="4" w:space="0" w:color="000000"/>
              <w:bottom w:val="single" w:sz="4" w:space="0" w:color="000000"/>
              <w:right w:val="single" w:sz="4" w:space="0" w:color="000000"/>
            </w:tcBorders>
          </w:tcPr>
          <w:p>
            <w:pPr/>
          </w:p>
        </w:tc>
        <w:tc>
          <w:tcPr>
            <w:tcW w:w="425" w:type="dxa"/>
            <w:tcBorders>
              <w:top w:val="single" w:sz="16" w:space="0" w:color="000000"/>
              <w:left w:val="single" w:sz="4" w:space="0" w:color="000000"/>
              <w:bottom w:val="single" w:sz="4" w:space="0" w:color="000000"/>
              <w:right w:val="single" w:sz="4" w:space="0" w:color="000000"/>
            </w:tcBorders>
          </w:tcPr>
          <w:p>
            <w:pPr/>
          </w:p>
        </w:tc>
        <w:tc>
          <w:tcPr>
            <w:tcW w:w="369" w:type="dxa"/>
            <w:tcBorders>
              <w:top w:val="single" w:sz="16" w:space="0" w:color="000000"/>
              <w:left w:val="single" w:sz="4" w:space="0" w:color="000000"/>
              <w:bottom w:val="single" w:sz="4" w:space="0" w:color="000000"/>
              <w:right w:val="single" w:sz="4" w:space="0" w:color="000000"/>
            </w:tcBorders>
          </w:tcPr>
          <w:p>
            <w:pPr/>
          </w:p>
        </w:tc>
        <w:tc>
          <w:tcPr>
            <w:tcW w:w="1208" w:type="dxa"/>
            <w:tcBorders>
              <w:top w:val="single" w:sz="16" w:space="0" w:color="000000"/>
              <w:left w:val="single" w:sz="4" w:space="0" w:color="000000"/>
              <w:bottom w:val="single" w:sz="4" w:space="0" w:color="000000"/>
              <w:right w:val="single" w:sz="4" w:space="0" w:color="000000"/>
            </w:tcBorders>
          </w:tcPr>
          <w:p>
            <w:pPr/>
          </w:p>
        </w:tc>
        <w:tc>
          <w:tcPr>
            <w:tcW w:w="597" w:type="dxa"/>
            <w:tcBorders>
              <w:top w:val="single" w:sz="16" w:space="0" w:color="000000"/>
              <w:left w:val="single" w:sz="4" w:space="0" w:color="000000"/>
              <w:bottom w:val="single" w:sz="4" w:space="0" w:color="000000"/>
              <w:right w:val="single" w:sz="4" w:space="0" w:color="000000"/>
            </w:tcBorders>
          </w:tcPr>
          <w:p>
            <w:pPr/>
          </w:p>
        </w:tc>
        <w:tc>
          <w:tcPr>
            <w:tcW w:w="1458" w:type="dxa"/>
            <w:tcBorders>
              <w:top w:val="single" w:sz="16" w:space="0" w:color="000000"/>
              <w:left w:val="single" w:sz="4" w:space="0" w:color="000000"/>
              <w:bottom w:val="single" w:sz="4" w:space="0" w:color="000000"/>
              <w:right w:val="single" w:sz="4" w:space="0" w:color="000000"/>
            </w:tcBorders>
          </w:tcPr>
          <w:p>
            <w:pPr/>
          </w:p>
        </w:tc>
        <w:tc>
          <w:tcPr>
            <w:tcW w:w="1208" w:type="dxa"/>
            <w:tcBorders>
              <w:top w:val="single" w:sz="16" w:space="0" w:color="000000"/>
              <w:left w:val="single" w:sz="4" w:space="0" w:color="000000"/>
              <w:bottom w:val="single" w:sz="4" w:space="0" w:color="000000"/>
              <w:right w:val="single" w:sz="4" w:space="0" w:color="000000"/>
            </w:tcBorders>
          </w:tcPr>
          <w:p>
            <w:pPr/>
          </w:p>
        </w:tc>
        <w:tc>
          <w:tcPr>
            <w:tcW w:w="1458" w:type="dxa"/>
            <w:tcBorders>
              <w:top w:val="single" w:sz="16" w:space="0" w:color="000000"/>
              <w:left w:val="single" w:sz="4" w:space="0" w:color="000000"/>
              <w:bottom w:val="single" w:sz="4" w:space="0" w:color="000000"/>
              <w:right w:val="single" w:sz="4" w:space="0" w:color="000000"/>
            </w:tcBorders>
          </w:tcPr>
          <w:p>
            <w:pPr/>
          </w:p>
        </w:tc>
      </w:tr>
      <w:tr>
        <w:trPr>
          <w:trHeight w:val="714"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4" w:right="45"/>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．股份支付计入所有 者权益的金额</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-1,702,314.00</w:t>
            </w: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-7,048,931.00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Arial" w:hAnsi="Arial" w:cs="Arial" w:eastAsia="Arial" w:hint="default"/>
                <w:sz w:val="18"/>
                <w:szCs w:val="18"/>
              </w:rPr>
            </w:pPr>
            <w:r>
              <w:rPr>
                <w:rFonts w:ascii="Arial"/>
                <w:spacing w:val="-1"/>
                <w:sz w:val="18"/>
              </w:rPr>
              <w:t>-101,535,702.58</w:t>
            </w:r>
          </w:p>
        </w:tc>
        <w:tc>
          <w:tcPr>
            <w:tcW w:w="425" w:type="dxa"/>
            <w:tcBorders>
              <w:top w:val="single" w:sz="4" w:space="0" w:color="000000"/>
              <w:left w:val="single" w:sz="4" w:space="0" w:color="000000"/>
              <w:bottom w:val="single" w:sz="4" w:space="0" w:color="000000"/>
              <w:right w:val="single" w:sz="4" w:space="0" w:color="000000"/>
            </w:tcBorders>
          </w:tcPr>
          <w:p>
            <w:pPr/>
          </w:p>
        </w:tc>
        <w:tc>
          <w:tcPr>
            <w:tcW w:w="36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Arial" w:hAnsi="Arial" w:cs="Arial" w:eastAsia="Arial" w:hint="default"/>
                <w:sz w:val="18"/>
                <w:szCs w:val="18"/>
              </w:rPr>
            </w:pPr>
            <w:r>
              <w:rPr>
                <w:rFonts w:ascii="Arial"/>
                <w:spacing w:val="-1"/>
                <w:sz w:val="18"/>
              </w:rPr>
              <w:t>-95,168.32</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spacing w:val="-1"/>
                <w:sz w:val="18"/>
              </w:rPr>
              <w:t>92,689,289.26</w:t>
            </w: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-4,487,402.00</w:t>
            </w: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-3,161,135.42</w:t>
            </w:r>
          </w:p>
        </w:tc>
        <w:tc>
          <w:tcPr>
            <w:tcW w:w="156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6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-7,648,537.42</w:t>
            </w: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08"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6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Arial" w:hAnsi="Arial" w:cs="Arial" w:eastAsia="Arial" w:hint="default"/>
                <w:sz w:val="18"/>
                <w:szCs w:val="18"/>
              </w:rPr>
            </w:pPr>
            <w:r>
              <w:rPr>
                <w:rFonts w:ascii="Arial"/>
                <w:sz w:val="18"/>
              </w:rPr>
              <w:t>16,744,444.73</w:t>
            </w: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-54,673,754.62</w:t>
            </w:r>
          </w:p>
        </w:tc>
        <w:tc>
          <w:tcPr>
            <w:tcW w:w="12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-37,929,309.89</w:t>
            </w: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．提取盈余公积</w:t>
            </w:r>
          </w:p>
        </w:tc>
        <w:tc>
          <w:tcPr>
            <w:tcW w:w="1308"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6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Arial" w:hAnsi="Arial" w:cs="Arial" w:eastAsia="Arial" w:hint="default"/>
                <w:sz w:val="18"/>
                <w:szCs w:val="18"/>
              </w:rPr>
            </w:pPr>
            <w:r>
              <w:rPr>
                <w:rFonts w:ascii="Arial"/>
                <w:sz w:val="18"/>
              </w:rPr>
              <w:t>16,744,444.73</w:t>
            </w: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-16,744,444.73</w:t>
            </w:r>
          </w:p>
        </w:tc>
        <w:tc>
          <w:tcPr>
            <w:tcW w:w="12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．提取一般风险准备</w:t>
            </w:r>
          </w:p>
        </w:tc>
        <w:tc>
          <w:tcPr>
            <w:tcW w:w="1308"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6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24" w:right="112"/>
              <w:jc w:val="left"/>
              <w:rPr>
                <w:rFonts w:ascii="宋体" w:hAnsi="宋体" w:cs="宋体" w:eastAsia="宋体" w:hint="default"/>
                <w:sz w:val="18"/>
                <w:szCs w:val="18"/>
              </w:rPr>
            </w:pPr>
            <w:r>
              <w:rPr>
                <w:rFonts w:ascii="Arial" w:hAnsi="Arial" w:cs="Arial" w:eastAsia="Arial" w:hint="default"/>
                <w:spacing w:val="-7"/>
                <w:sz w:val="18"/>
                <w:szCs w:val="18"/>
              </w:rPr>
              <w:t>3</w:t>
            </w:r>
            <w:r>
              <w:rPr>
                <w:rFonts w:ascii="宋体" w:hAnsi="宋体" w:cs="宋体" w:eastAsia="宋体" w:hint="default"/>
                <w:spacing w:val="-7"/>
                <w:sz w:val="18"/>
                <w:szCs w:val="18"/>
              </w:rPr>
              <w:t>．对所有者（或股东</w:t>
            </w:r>
            <w:r>
              <w:rPr>
                <w:rFonts w:ascii="宋体" w:hAnsi="宋体" w:cs="宋体" w:eastAsia="宋体" w:hint="default"/>
                <w:sz w:val="18"/>
                <w:szCs w:val="18"/>
              </w:rPr>
              <w:t> 的分配</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709"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65.1500pt;height:35.450pt;mso-position-horizontal-relative:char;mso-position-vertical-relative:line" coordorigin="0,0" coordsize="1303,709">
                  <v:group style="position:absolute;left:0;top:0;width:1303;height:709" coordorigin="0,0" coordsize="1303,709">
                    <v:shape style="position:absolute;left:0;top:0;width:1303;height:709" coordorigin="0,0" coordsize="1303,709" path="m0,0l1303,0,1303,709,0,709,0,0xe" filled="true" fillcolor="#ffffff" stroked="false">
                      <v:path arrowok="t"/>
                      <v:fill type="solid"/>
                    </v:shape>
                  </v:group>
                </v:group>
              </w:pict>
            </w:r>
            <w:r>
              <w:rPr>
                <w:rFonts w:ascii="Times New Roman" w:hAnsi="Times New Roman" w:cs="Times New Roman" w:eastAsia="Times New Roman" w:hint="default"/>
                <w:position w:val="-13"/>
                <w:sz w:val="20"/>
                <w:szCs w:val="20"/>
              </w:rPr>
            </w: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6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-37,929,309.89</w:t>
            </w:r>
          </w:p>
        </w:tc>
        <w:tc>
          <w:tcPr>
            <w:tcW w:w="12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Arial" w:hAnsi="Arial" w:cs="Arial" w:eastAsia="Arial" w:hint="default"/>
                <w:sz w:val="18"/>
                <w:szCs w:val="18"/>
              </w:rPr>
            </w:pPr>
            <w:r>
              <w:rPr>
                <w:rFonts w:ascii="Arial"/>
                <w:spacing w:val="-1"/>
                <w:sz w:val="18"/>
              </w:rPr>
              <w:t>-37,929,309.89</w:t>
            </w: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308"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6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4" w:right="21"/>
              <w:jc w:val="left"/>
              <w:rPr>
                <w:rFonts w:ascii="宋体" w:hAnsi="宋体" w:cs="宋体" w:eastAsia="宋体" w:hint="default"/>
                <w:sz w:val="18"/>
                <w:szCs w:val="18"/>
              </w:rPr>
            </w:pPr>
            <w:r>
              <w:rPr>
                <w:rFonts w:ascii="宋体" w:hAnsi="宋体" w:cs="宋体" w:eastAsia="宋体" w:hint="default"/>
                <w:spacing w:val="-6"/>
                <w:sz w:val="18"/>
                <w:szCs w:val="18"/>
              </w:rPr>
              <w:t>（四）所有者权益内部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结转</w:t>
            </w:r>
          </w:p>
        </w:tc>
        <w:tc>
          <w:tcPr>
            <w:tcW w:w="1308"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6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．资本公积转增资本</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308"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6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．盈余公积转增资本</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308"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6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．盈余公积弥补亏损</w:t>
            </w:r>
          </w:p>
        </w:tc>
        <w:tc>
          <w:tcPr>
            <w:tcW w:w="1308"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6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24" w:right="45"/>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．设定受益计划变动 额结转留存收益</w:t>
            </w:r>
          </w:p>
        </w:tc>
        <w:tc>
          <w:tcPr>
            <w:tcW w:w="1308"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6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．其他</w:t>
            </w:r>
          </w:p>
        </w:tc>
        <w:tc>
          <w:tcPr>
            <w:tcW w:w="1308"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6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08"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6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．本期提取</w:t>
            </w:r>
          </w:p>
        </w:tc>
        <w:tc>
          <w:tcPr>
            <w:tcW w:w="1308"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6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．本期使用</w:t>
            </w:r>
          </w:p>
        </w:tc>
        <w:tc>
          <w:tcPr>
            <w:tcW w:w="1308"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6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08"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6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754,491,460.00</w:t>
            </w: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1,900,345,553.82</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144,387,030.64</w:t>
            </w:r>
          </w:p>
        </w:tc>
        <w:tc>
          <w:tcPr>
            <w:tcW w:w="425" w:type="dxa"/>
            <w:tcBorders>
              <w:top w:val="single" w:sz="4" w:space="0" w:color="000000"/>
              <w:left w:val="single" w:sz="4" w:space="0" w:color="000000"/>
              <w:bottom w:val="single" w:sz="4" w:space="0" w:color="000000"/>
              <w:right w:val="single" w:sz="4" w:space="0" w:color="000000"/>
            </w:tcBorders>
          </w:tcPr>
          <w:p>
            <w:pPr/>
          </w:p>
        </w:tc>
        <w:tc>
          <w:tcPr>
            <w:tcW w:w="36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Arial" w:hAnsi="Arial" w:cs="Arial" w:eastAsia="Arial" w:hint="default"/>
                <w:sz w:val="18"/>
                <w:szCs w:val="18"/>
              </w:rPr>
            </w:pPr>
            <w:r>
              <w:rPr>
                <w:rFonts w:ascii="Arial"/>
                <w:sz w:val="18"/>
              </w:rPr>
              <w:t>64,002,272.39</w:t>
            </w: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1,673,697,359.82</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68,961,519.53</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3"/>
                <w:sz w:val="18"/>
              </w:rPr>
              <w:t>4,317,111,134.92</w:t>
            </w:r>
          </w:p>
        </w:tc>
      </w:tr>
    </w:tbl>
    <w:p>
      <w:pPr>
        <w:spacing w:after="0" w:line="240" w:lineRule="auto"/>
        <w:jc w:val="right"/>
        <w:rPr>
          <w:rFonts w:ascii="Arial" w:hAnsi="Arial" w:cs="Arial" w:eastAsia="Arial" w:hint="default"/>
          <w:sz w:val="18"/>
          <w:szCs w:val="18"/>
        </w:rPr>
        <w:sectPr>
          <w:pgSz w:w="16840" w:h="11910" w:orient="landscape"/>
          <w:pgMar w:header="868" w:footer="978" w:top="1060" w:bottom="1160" w:left="1320" w:right="1320"/>
        </w:sectPr>
      </w:pPr>
    </w:p>
    <w:p>
      <w:pPr>
        <w:spacing w:line="20" w:lineRule="exact"/>
        <w:ind w:left="11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8.65pt;height:.75pt;mso-position-horizontal-relative:char;mso-position-vertical-relative:line" coordorigin="0,0" coordsize="13973,15">
            <v:group style="position:absolute;left:7;top:7;width:13958;height:2" coordorigin="7,7" coordsize="13958,2">
              <v:shape style="position:absolute;left:7;top:7;width:13958;height:2" coordorigin="7,7" coordsize="13958,0" path="m7,7l1396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1799"/>
        <w:gridCol w:w="1308"/>
        <w:gridCol w:w="380"/>
        <w:gridCol w:w="380"/>
        <w:gridCol w:w="308"/>
        <w:gridCol w:w="1458"/>
        <w:gridCol w:w="1308"/>
        <w:gridCol w:w="597"/>
        <w:gridCol w:w="453"/>
        <w:gridCol w:w="1208"/>
        <w:gridCol w:w="597"/>
        <w:gridCol w:w="1458"/>
        <w:gridCol w:w="1208"/>
        <w:gridCol w:w="1458"/>
      </w:tblGrid>
      <w:tr>
        <w:trPr>
          <w:trHeight w:val="402" w:hRule="exact"/>
        </w:trPr>
        <w:tc>
          <w:tcPr>
            <w:tcW w:w="1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12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799" w:type="dxa"/>
            <w:vMerge/>
            <w:tcBorders>
              <w:left w:val="single" w:sz="4" w:space="0" w:color="000000"/>
              <w:right w:val="single" w:sz="4" w:space="0" w:color="000000"/>
            </w:tcBorders>
            <w:shd w:val="clear" w:color="auto" w:fill="D2D2D2"/>
          </w:tcPr>
          <w:p>
            <w:pPr/>
          </w:p>
        </w:tc>
        <w:tc>
          <w:tcPr>
            <w:tcW w:w="945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14" w:hRule="exact"/>
        </w:trPr>
        <w:tc>
          <w:tcPr>
            <w:tcW w:w="1799" w:type="dxa"/>
            <w:vMerge/>
            <w:tcBorders>
              <w:left w:val="single" w:sz="4" w:space="0" w:color="000000"/>
              <w:right w:val="single" w:sz="4" w:space="0" w:color="000000"/>
            </w:tcBorders>
            <w:shd w:val="clear" w:color="auto" w:fill="D2D2D2"/>
          </w:tcPr>
          <w:p>
            <w:pPr/>
          </w:p>
        </w:tc>
        <w:tc>
          <w:tcPr>
            <w:tcW w:w="13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0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0" w:right="76" w:hanging="360"/>
              <w:jc w:val="left"/>
              <w:rPr>
                <w:rFonts w:ascii="宋体" w:hAnsi="宋体" w:cs="宋体" w:eastAsia="宋体" w:hint="default"/>
                <w:sz w:val="18"/>
                <w:szCs w:val="18"/>
              </w:rPr>
            </w:pPr>
            <w:r>
              <w:rPr>
                <w:rFonts w:ascii="宋体" w:hAnsi="宋体" w:cs="宋体" w:eastAsia="宋体" w:hint="default"/>
                <w:sz w:val="18"/>
                <w:szCs w:val="18"/>
              </w:rPr>
              <w:t>其他权益工 具</w:t>
            </w:r>
          </w:p>
        </w:tc>
        <w:tc>
          <w:tcPr>
            <w:tcW w:w="14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3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3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9"/>
              <w:ind w:left="23" w:right="21"/>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4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9"/>
              <w:ind w:left="41" w:right="40"/>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9"/>
              <w:ind w:left="24" w:right="21"/>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4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08" w:type="dxa"/>
            <w:vMerge/>
            <w:tcBorders>
              <w:left w:val="single" w:sz="4" w:space="0" w:color="000000"/>
              <w:right w:val="single" w:sz="4" w:space="0" w:color="000000"/>
            </w:tcBorders>
            <w:shd w:val="clear" w:color="auto" w:fill="D2D2D2"/>
          </w:tcPr>
          <w:p>
            <w:pPr/>
          </w:p>
        </w:tc>
        <w:tc>
          <w:tcPr>
            <w:tcW w:w="1458" w:type="dxa"/>
            <w:vMerge/>
            <w:tcBorders>
              <w:left w:val="single" w:sz="4" w:space="0" w:color="000000"/>
              <w:right w:val="single" w:sz="4" w:space="0" w:color="000000"/>
            </w:tcBorders>
            <w:shd w:val="clear" w:color="auto" w:fill="D2D2D2"/>
          </w:tcPr>
          <w:p>
            <w:pPr/>
          </w:p>
        </w:tc>
      </w:tr>
      <w:tr>
        <w:trPr>
          <w:trHeight w:val="1026" w:hRule="exact"/>
        </w:trPr>
        <w:tc>
          <w:tcPr>
            <w:tcW w:w="1799" w:type="dxa"/>
            <w:vMerge/>
            <w:tcBorders>
              <w:left w:val="single" w:sz="4" w:space="0" w:color="000000"/>
              <w:bottom w:val="single" w:sz="4" w:space="0" w:color="000000"/>
              <w:right w:val="single" w:sz="4" w:space="0" w:color="000000"/>
            </w:tcBorders>
            <w:shd w:val="clear" w:color="auto" w:fill="D2D2D2"/>
          </w:tcPr>
          <w:p>
            <w:pPr/>
          </w:p>
        </w:tc>
        <w:tc>
          <w:tcPr>
            <w:tcW w:w="1308" w:type="dxa"/>
            <w:vMerge/>
            <w:tcBorders>
              <w:left w:val="single" w:sz="4" w:space="0" w:color="000000"/>
              <w:bottom w:val="single" w:sz="4" w:space="0" w:color="000000"/>
              <w:right w:val="single" w:sz="4" w:space="0" w:color="000000"/>
            </w:tcBorders>
            <w:shd w:val="clear" w:color="auto" w:fill="D2D2D2"/>
          </w:tcPr>
          <w:p>
            <w:pPr/>
          </w:p>
        </w:tc>
        <w:tc>
          <w:tcPr>
            <w:tcW w:w="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4" w:right="9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6" w:right="92"/>
              <w:jc w:val="both"/>
              <w:rPr>
                <w:rFonts w:ascii="宋体" w:hAnsi="宋体" w:cs="宋体" w:eastAsia="宋体" w:hint="default"/>
                <w:sz w:val="18"/>
                <w:szCs w:val="18"/>
              </w:rPr>
            </w:pPr>
            <w:r>
              <w:rPr>
                <w:rFonts w:ascii="宋体" w:hAnsi="宋体" w:cs="宋体" w:eastAsia="宋体" w:hint="default"/>
                <w:sz w:val="18"/>
                <w:szCs w:val="18"/>
              </w:rPr>
              <w:t>永 续 债</w:t>
            </w:r>
          </w:p>
        </w:tc>
        <w:tc>
          <w:tcPr>
            <w:tcW w:w="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59" w:right="57"/>
              <w:jc w:val="left"/>
              <w:rPr>
                <w:rFonts w:ascii="宋体" w:hAnsi="宋体" w:cs="宋体" w:eastAsia="宋体" w:hint="default"/>
                <w:sz w:val="18"/>
                <w:szCs w:val="18"/>
              </w:rPr>
            </w:pPr>
            <w:r>
              <w:rPr>
                <w:rFonts w:ascii="宋体" w:hAnsi="宋体" w:cs="宋体" w:eastAsia="宋体" w:hint="default"/>
                <w:sz w:val="18"/>
                <w:szCs w:val="18"/>
              </w:rPr>
              <w:t>其 他</w:t>
            </w:r>
          </w:p>
        </w:tc>
        <w:tc>
          <w:tcPr>
            <w:tcW w:w="1458" w:type="dxa"/>
            <w:vMerge/>
            <w:tcBorders>
              <w:left w:val="single" w:sz="4" w:space="0" w:color="000000"/>
              <w:bottom w:val="single" w:sz="4" w:space="0" w:color="000000"/>
              <w:right w:val="single" w:sz="4" w:space="0" w:color="000000"/>
            </w:tcBorders>
            <w:shd w:val="clear" w:color="auto" w:fill="D2D2D2"/>
          </w:tcPr>
          <w:p>
            <w:pPr/>
          </w:p>
        </w:tc>
        <w:tc>
          <w:tcPr>
            <w:tcW w:w="1308" w:type="dxa"/>
            <w:vMerge/>
            <w:tcBorders>
              <w:left w:val="single" w:sz="4" w:space="0" w:color="000000"/>
              <w:bottom w:val="single" w:sz="4" w:space="0" w:color="000000"/>
              <w:right w:val="single" w:sz="4" w:space="0" w:color="000000"/>
            </w:tcBorders>
            <w:shd w:val="clear" w:color="auto" w:fill="D2D2D2"/>
          </w:tcPr>
          <w:p>
            <w:pPr/>
          </w:p>
        </w:tc>
        <w:tc>
          <w:tcPr>
            <w:tcW w:w="597" w:type="dxa"/>
            <w:vMerge/>
            <w:tcBorders>
              <w:left w:val="single" w:sz="4" w:space="0" w:color="000000"/>
              <w:bottom w:val="single" w:sz="4" w:space="0" w:color="000000"/>
              <w:right w:val="single" w:sz="4" w:space="0" w:color="000000"/>
            </w:tcBorders>
            <w:shd w:val="clear" w:color="auto" w:fill="D2D2D2"/>
          </w:tcPr>
          <w:p>
            <w:pPr/>
          </w:p>
        </w:tc>
        <w:tc>
          <w:tcPr>
            <w:tcW w:w="453" w:type="dxa"/>
            <w:vMerge/>
            <w:tcBorders>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597" w:type="dxa"/>
            <w:vMerge/>
            <w:tcBorders>
              <w:left w:val="single" w:sz="4" w:space="0" w:color="000000"/>
              <w:bottom w:val="single" w:sz="4" w:space="0" w:color="000000"/>
              <w:right w:val="single" w:sz="4" w:space="0" w:color="000000"/>
            </w:tcBorders>
            <w:shd w:val="clear" w:color="auto" w:fill="D2D2D2"/>
          </w:tcPr>
          <w:p>
            <w:pPr/>
          </w:p>
        </w:tc>
        <w:tc>
          <w:tcPr>
            <w:tcW w:w="1458" w:type="dxa"/>
            <w:vMerge/>
            <w:tcBorders>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45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644,482,388.00</w:t>
            </w: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279,084,161.19</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8" w:right="0"/>
              <w:jc w:val="center"/>
              <w:rPr>
                <w:rFonts w:ascii="Arial" w:hAnsi="Arial" w:cs="Arial" w:eastAsia="Arial" w:hint="default"/>
                <w:sz w:val="18"/>
                <w:szCs w:val="18"/>
              </w:rPr>
            </w:pPr>
            <w:r>
              <w:rPr>
                <w:rFonts w:ascii="Arial"/>
                <w:sz w:val="18"/>
              </w:rPr>
              <w:t>54,428,117.96</w:t>
            </w:r>
          </w:p>
        </w:tc>
        <w:tc>
          <w:tcPr>
            <w:tcW w:w="597" w:type="dxa"/>
            <w:tcBorders>
              <w:top w:val="single" w:sz="4" w:space="0" w:color="000000"/>
              <w:left w:val="single" w:sz="4" w:space="0" w:color="000000"/>
              <w:bottom w:val="single" w:sz="4" w:space="0" w:color="000000"/>
              <w:right w:val="single" w:sz="4" w:space="0" w:color="000000"/>
            </w:tcBorders>
          </w:tcPr>
          <w:p>
            <w:pPr/>
          </w:p>
        </w:tc>
        <w:tc>
          <w:tcPr>
            <w:tcW w:w="45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42,888,821.70</w:t>
            </w: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886,077,370.45</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 w:right="0"/>
              <w:jc w:val="left"/>
              <w:rPr>
                <w:rFonts w:ascii="Arial" w:hAnsi="Arial" w:cs="Arial" w:eastAsia="Arial" w:hint="default"/>
                <w:sz w:val="18"/>
                <w:szCs w:val="18"/>
              </w:rPr>
            </w:pPr>
            <w:r>
              <w:rPr>
                <w:rFonts w:ascii="Arial"/>
                <w:sz w:val="18"/>
              </w:rPr>
              <w:t>50,186,030.75</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1,848,290,654.13</w:t>
            </w: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pacing w:val="-8"/>
                <w:sz w:val="18"/>
                <w:szCs w:val="18"/>
              </w:rPr>
              <w:t>加：会计政策变更</w:t>
            </w:r>
          </w:p>
        </w:tc>
        <w:tc>
          <w:tcPr>
            <w:tcW w:w="1308"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45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4"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308"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45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4" w:right="143" w:firstLine="720"/>
              <w:jc w:val="left"/>
              <w:rPr>
                <w:rFonts w:ascii="宋体" w:hAnsi="宋体" w:cs="宋体" w:eastAsia="宋体" w:hint="default"/>
                <w:sz w:val="18"/>
                <w:szCs w:val="18"/>
              </w:rPr>
            </w:pPr>
            <w:r>
              <w:rPr>
                <w:rFonts w:ascii="宋体" w:hAnsi="宋体" w:cs="宋体" w:eastAsia="宋体" w:hint="default"/>
                <w:sz w:val="18"/>
                <w:szCs w:val="18"/>
              </w:rPr>
              <w:t>同一控制下 企业合并</w:t>
            </w:r>
          </w:p>
        </w:tc>
        <w:tc>
          <w:tcPr>
            <w:tcW w:w="1308"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45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08"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45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644,482,388.00</w:t>
            </w: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279,084,161.19</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18" w:right="0"/>
              <w:jc w:val="center"/>
              <w:rPr>
                <w:rFonts w:ascii="Arial" w:hAnsi="Arial" w:cs="Arial" w:eastAsia="Arial" w:hint="default"/>
                <w:sz w:val="18"/>
                <w:szCs w:val="18"/>
              </w:rPr>
            </w:pPr>
            <w:r>
              <w:rPr>
                <w:rFonts w:ascii="Arial"/>
                <w:sz w:val="18"/>
              </w:rPr>
              <w:t>54,428,117.96</w:t>
            </w:r>
          </w:p>
        </w:tc>
        <w:tc>
          <w:tcPr>
            <w:tcW w:w="597" w:type="dxa"/>
            <w:tcBorders>
              <w:top w:val="single" w:sz="4" w:space="0" w:color="000000"/>
              <w:left w:val="single" w:sz="4" w:space="0" w:color="000000"/>
              <w:bottom w:val="single" w:sz="4" w:space="0" w:color="000000"/>
              <w:right w:val="single" w:sz="4" w:space="0" w:color="000000"/>
            </w:tcBorders>
          </w:tcPr>
          <w:p>
            <w:pPr/>
          </w:p>
        </w:tc>
        <w:tc>
          <w:tcPr>
            <w:tcW w:w="45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42,888,821.70</w:t>
            </w: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886,077,370.45</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5" w:right="0"/>
              <w:jc w:val="left"/>
              <w:rPr>
                <w:rFonts w:ascii="Arial" w:hAnsi="Arial" w:cs="Arial" w:eastAsia="Arial" w:hint="default"/>
                <w:sz w:val="18"/>
                <w:szCs w:val="18"/>
              </w:rPr>
            </w:pPr>
            <w:r>
              <w:rPr>
                <w:rFonts w:ascii="Arial"/>
                <w:sz w:val="18"/>
              </w:rPr>
              <w:t>50,186,030.75</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1,848,290,654.13</w:t>
            </w:r>
          </w:p>
        </w:tc>
      </w:tr>
      <w:tr>
        <w:trPr>
          <w:trHeight w:val="714"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Arial" w:hAnsi="Arial" w:cs="Arial" w:eastAsia="Arial" w:hint="default"/>
                <w:sz w:val="18"/>
                <w:szCs w:val="18"/>
              </w:rPr>
            </w:pPr>
            <w:r>
              <w:rPr>
                <w:rFonts w:ascii="Arial"/>
                <w:spacing w:val="-2"/>
                <w:sz w:val="18"/>
              </w:rPr>
              <w:t>116,198,788.00</w:t>
            </w: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1,631,471,459.05</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 w:right="0"/>
              <w:jc w:val="center"/>
              <w:rPr>
                <w:rFonts w:ascii="Arial" w:hAnsi="Arial" w:cs="Arial" w:eastAsia="Arial" w:hint="default"/>
                <w:sz w:val="18"/>
                <w:szCs w:val="18"/>
              </w:rPr>
            </w:pPr>
            <w:r>
              <w:rPr>
                <w:rFonts w:ascii="Arial"/>
                <w:sz w:val="18"/>
              </w:rPr>
              <w:t>191,494,615.26</w:t>
            </w:r>
          </w:p>
        </w:tc>
        <w:tc>
          <w:tcPr>
            <w:tcW w:w="597" w:type="dxa"/>
            <w:tcBorders>
              <w:top w:val="single" w:sz="4" w:space="0" w:color="000000"/>
              <w:left w:val="single" w:sz="4" w:space="0" w:color="000000"/>
              <w:bottom w:val="single" w:sz="4" w:space="0" w:color="000000"/>
              <w:right w:val="single" w:sz="4" w:space="0" w:color="000000"/>
            </w:tcBorders>
          </w:tcPr>
          <w:p>
            <w:pPr/>
          </w:p>
        </w:tc>
        <w:tc>
          <w:tcPr>
            <w:tcW w:w="45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spacing w:val="-1"/>
                <w:sz w:val="18"/>
              </w:rPr>
              <w:t>4,369,005.96</w:t>
            </w: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344,585,500.79</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Arial" w:hAnsi="Arial" w:cs="Arial" w:eastAsia="Arial" w:hint="default"/>
                <w:sz w:val="18"/>
                <w:szCs w:val="18"/>
              </w:rPr>
            </w:pPr>
            <w:r>
              <w:rPr>
                <w:rFonts w:ascii="Arial"/>
                <w:sz w:val="18"/>
              </w:rPr>
              <w:t>16,821,737.01</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1,921,951,875.55</w:t>
            </w: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08"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45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381,166,148.13</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6" w:right="0"/>
              <w:jc w:val="left"/>
              <w:rPr>
                <w:rFonts w:ascii="Arial" w:hAnsi="Arial" w:cs="Arial" w:eastAsia="Arial" w:hint="default"/>
                <w:sz w:val="18"/>
                <w:szCs w:val="18"/>
              </w:rPr>
            </w:pPr>
            <w:r>
              <w:rPr>
                <w:rFonts w:ascii="Arial"/>
                <w:sz w:val="18"/>
              </w:rPr>
              <w:t>-6,321,537.88</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374,844,610.25</w:t>
            </w:r>
          </w:p>
        </w:tc>
      </w:tr>
      <w:tr>
        <w:trPr>
          <w:trHeight w:val="714"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21"/>
              <w:jc w:val="left"/>
              <w:rPr>
                <w:rFonts w:ascii="宋体" w:hAnsi="宋体" w:cs="宋体" w:eastAsia="宋体" w:hint="default"/>
                <w:sz w:val="18"/>
                <w:szCs w:val="18"/>
              </w:rPr>
            </w:pPr>
            <w:r>
              <w:rPr>
                <w:rFonts w:ascii="宋体" w:hAnsi="宋体" w:cs="宋体" w:eastAsia="宋体" w:hint="default"/>
                <w:spacing w:val="-6"/>
                <w:sz w:val="18"/>
                <w:szCs w:val="18"/>
              </w:rPr>
              <w:t>（二）所有者投入和减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少资本</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Arial" w:hAnsi="Arial" w:cs="Arial" w:eastAsia="Arial" w:hint="default"/>
                <w:sz w:val="18"/>
                <w:szCs w:val="18"/>
              </w:rPr>
            </w:pPr>
            <w:r>
              <w:rPr>
                <w:rFonts w:ascii="Arial"/>
                <w:spacing w:val="-2"/>
                <w:sz w:val="18"/>
              </w:rPr>
              <w:t>116,198,788.00</w:t>
            </w: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1,631,471,459.05</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 w:right="0"/>
              <w:jc w:val="center"/>
              <w:rPr>
                <w:rFonts w:ascii="Arial" w:hAnsi="Arial" w:cs="Arial" w:eastAsia="Arial" w:hint="default"/>
                <w:sz w:val="18"/>
                <w:szCs w:val="18"/>
              </w:rPr>
            </w:pPr>
            <w:r>
              <w:rPr>
                <w:rFonts w:ascii="Arial"/>
                <w:sz w:val="18"/>
              </w:rPr>
              <w:t>191,494,615.26</w:t>
            </w:r>
          </w:p>
        </w:tc>
        <w:tc>
          <w:tcPr>
            <w:tcW w:w="597" w:type="dxa"/>
            <w:tcBorders>
              <w:top w:val="single" w:sz="4" w:space="0" w:color="000000"/>
              <w:left w:val="single" w:sz="4" w:space="0" w:color="000000"/>
              <w:bottom w:val="single" w:sz="4" w:space="0" w:color="000000"/>
              <w:right w:val="single" w:sz="4" w:space="0" w:color="000000"/>
            </w:tcBorders>
          </w:tcPr>
          <w:p>
            <w:pPr/>
          </w:p>
        </w:tc>
        <w:tc>
          <w:tcPr>
            <w:tcW w:w="45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Arial" w:hAnsi="Arial" w:cs="Arial" w:eastAsia="Arial" w:hint="default"/>
                <w:sz w:val="18"/>
                <w:szCs w:val="18"/>
              </w:rPr>
            </w:pPr>
            <w:r>
              <w:rPr>
                <w:rFonts w:ascii="Arial"/>
                <w:sz w:val="18"/>
              </w:rPr>
              <w:t>24,643,274.89</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1,580,818,906.68</w:t>
            </w:r>
          </w:p>
        </w:tc>
      </w:tr>
      <w:tr>
        <w:trPr>
          <w:trHeight w:val="714"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24" w:right="45"/>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．所有者投入的普通 股</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Arial" w:hAnsi="Arial" w:cs="Arial" w:eastAsia="Arial" w:hint="default"/>
                <w:sz w:val="18"/>
                <w:szCs w:val="18"/>
              </w:rPr>
            </w:pPr>
            <w:r>
              <w:rPr>
                <w:rFonts w:ascii="Arial"/>
                <w:spacing w:val="-1"/>
                <w:sz w:val="18"/>
              </w:rPr>
              <w:t>91,753,235.00</w:t>
            </w: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1,402,086,756.20</w:t>
            </w:r>
          </w:p>
        </w:tc>
        <w:tc>
          <w:tcPr>
            <w:tcW w:w="13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45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Arial" w:hAnsi="Arial" w:cs="Arial" w:eastAsia="Arial" w:hint="default"/>
                <w:sz w:val="18"/>
                <w:szCs w:val="18"/>
              </w:rPr>
            </w:pPr>
            <w:r>
              <w:rPr>
                <w:rFonts w:ascii="Arial"/>
                <w:sz w:val="18"/>
              </w:rPr>
              <w:t>23,999,976.00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1,517,839,967.20</w:t>
            </w:r>
          </w:p>
        </w:tc>
      </w:tr>
      <w:tr>
        <w:trPr>
          <w:trHeight w:val="71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2"/>
              <w:ind w:left="24" w:right="45"/>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．其他权益工具持有 者投入资本</w:t>
            </w:r>
          </w:p>
        </w:tc>
        <w:tc>
          <w:tcPr>
            <w:tcW w:w="1308"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45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6"/>
          <w:footerReference w:type="default" r:id="rId37"/>
          <w:pgSz w:w="16840" w:h="11910" w:orient="landscape"/>
          <w:pgMar w:header="878" w:footer="978" w:top="1120" w:bottom="1160" w:left="1320" w:right="1320"/>
          <w:pgNumType w:start="100"/>
        </w:sectPr>
      </w:pPr>
    </w:p>
    <w:p>
      <w:pPr>
        <w:spacing w:line="240" w:lineRule="auto" w:before="1"/>
        <w:rPr>
          <w:rFonts w:ascii="Times New Roman" w:hAnsi="Times New Roman" w:cs="Times New Roman" w:eastAsia="Times New Roman" w:hint="default"/>
          <w:sz w:val="3"/>
          <w:szCs w:val="3"/>
        </w:rPr>
      </w:pPr>
      <w:r>
        <w:rPr/>
        <w:pict>
          <v:shape style="position:absolute;margin-left:156pt;margin-top:173.199982pt;width:71.25pt;height:35.3pt;mso-position-horizontal-relative:page;mso-position-vertical-relative:page;z-index:-86173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1799"/>
        <w:gridCol w:w="1308"/>
        <w:gridCol w:w="380"/>
        <w:gridCol w:w="380"/>
        <w:gridCol w:w="308"/>
        <w:gridCol w:w="1458"/>
        <w:gridCol w:w="1308"/>
        <w:gridCol w:w="597"/>
        <w:gridCol w:w="453"/>
        <w:gridCol w:w="1208"/>
        <w:gridCol w:w="597"/>
        <w:gridCol w:w="1458"/>
        <w:gridCol w:w="1208"/>
        <w:gridCol w:w="1458"/>
      </w:tblGrid>
      <w:tr>
        <w:trPr>
          <w:trHeight w:val="729" w:hRule="exact"/>
        </w:trPr>
        <w:tc>
          <w:tcPr>
            <w:tcW w:w="1799" w:type="dxa"/>
            <w:tcBorders>
              <w:top w:val="single" w:sz="16"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4" w:right="45"/>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．股份支付计入所有 者权益的金额</w:t>
            </w:r>
          </w:p>
        </w:tc>
        <w:tc>
          <w:tcPr>
            <w:tcW w:w="1308"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Arial" w:hAnsi="Arial" w:cs="Arial" w:eastAsia="Arial" w:hint="default"/>
                <w:sz w:val="18"/>
                <w:szCs w:val="18"/>
              </w:rPr>
            </w:pPr>
            <w:r>
              <w:rPr>
                <w:rFonts w:ascii="Arial"/>
                <w:spacing w:val="-1"/>
                <w:sz w:val="18"/>
              </w:rPr>
              <w:t>24,445,553.00</w:t>
            </w:r>
          </w:p>
        </w:tc>
        <w:tc>
          <w:tcPr>
            <w:tcW w:w="380" w:type="dxa"/>
            <w:tcBorders>
              <w:top w:val="single" w:sz="16" w:space="0" w:color="000000"/>
              <w:left w:val="single" w:sz="4" w:space="0" w:color="000000"/>
              <w:bottom w:val="single" w:sz="4" w:space="0" w:color="000000"/>
              <w:right w:val="single" w:sz="4" w:space="0" w:color="000000"/>
            </w:tcBorders>
          </w:tcPr>
          <w:p>
            <w:pPr/>
          </w:p>
        </w:tc>
        <w:tc>
          <w:tcPr>
            <w:tcW w:w="380" w:type="dxa"/>
            <w:tcBorders>
              <w:top w:val="single" w:sz="16" w:space="0" w:color="000000"/>
              <w:left w:val="single" w:sz="4" w:space="0" w:color="000000"/>
              <w:bottom w:val="single" w:sz="4" w:space="0" w:color="000000"/>
              <w:right w:val="single" w:sz="4" w:space="0" w:color="000000"/>
            </w:tcBorders>
          </w:tcPr>
          <w:p>
            <w:pPr/>
          </w:p>
        </w:tc>
        <w:tc>
          <w:tcPr>
            <w:tcW w:w="308" w:type="dxa"/>
            <w:tcBorders>
              <w:top w:val="single" w:sz="16" w:space="0" w:color="000000"/>
              <w:left w:val="single" w:sz="4" w:space="0" w:color="000000"/>
              <w:bottom w:val="single" w:sz="4" w:space="0" w:color="000000"/>
              <w:right w:val="single" w:sz="4" w:space="0" w:color="000000"/>
            </w:tcBorders>
          </w:tcPr>
          <w:p>
            <w:pPr/>
          </w:p>
        </w:tc>
        <w:tc>
          <w:tcPr>
            <w:tcW w:w="1458"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1"/>
                <w:sz w:val="18"/>
              </w:rPr>
              <w:t>223,466,708.85</w:t>
            </w:r>
          </w:p>
        </w:tc>
        <w:tc>
          <w:tcPr>
            <w:tcW w:w="1308"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 w:right="0"/>
              <w:jc w:val="center"/>
              <w:rPr>
                <w:rFonts w:ascii="Arial" w:hAnsi="Arial" w:cs="Arial" w:eastAsia="Arial" w:hint="default"/>
                <w:sz w:val="18"/>
                <w:szCs w:val="18"/>
              </w:rPr>
            </w:pPr>
            <w:r>
              <w:rPr>
                <w:rFonts w:ascii="Arial"/>
                <w:sz w:val="18"/>
              </w:rPr>
              <w:t>191,494,615.26</w:t>
            </w:r>
          </w:p>
        </w:tc>
        <w:tc>
          <w:tcPr>
            <w:tcW w:w="597" w:type="dxa"/>
            <w:tcBorders>
              <w:top w:val="single" w:sz="16" w:space="0" w:color="000000"/>
              <w:left w:val="single" w:sz="4" w:space="0" w:color="000000"/>
              <w:bottom w:val="single" w:sz="4" w:space="0" w:color="000000"/>
              <w:right w:val="single" w:sz="4" w:space="0" w:color="000000"/>
            </w:tcBorders>
          </w:tcPr>
          <w:p>
            <w:pPr/>
          </w:p>
        </w:tc>
        <w:tc>
          <w:tcPr>
            <w:tcW w:w="453" w:type="dxa"/>
            <w:tcBorders>
              <w:top w:val="single" w:sz="16" w:space="0" w:color="000000"/>
              <w:left w:val="single" w:sz="4" w:space="0" w:color="000000"/>
              <w:bottom w:val="single" w:sz="4" w:space="0" w:color="000000"/>
              <w:right w:val="single" w:sz="4" w:space="0" w:color="000000"/>
            </w:tcBorders>
          </w:tcPr>
          <w:p>
            <w:pPr/>
          </w:p>
        </w:tc>
        <w:tc>
          <w:tcPr>
            <w:tcW w:w="1208" w:type="dxa"/>
            <w:tcBorders>
              <w:top w:val="single" w:sz="16" w:space="0" w:color="000000"/>
              <w:left w:val="single" w:sz="4" w:space="0" w:color="000000"/>
              <w:bottom w:val="single" w:sz="4" w:space="0" w:color="000000"/>
              <w:right w:val="single" w:sz="4" w:space="0" w:color="000000"/>
            </w:tcBorders>
          </w:tcPr>
          <w:p>
            <w:pPr/>
          </w:p>
        </w:tc>
        <w:tc>
          <w:tcPr>
            <w:tcW w:w="597" w:type="dxa"/>
            <w:tcBorders>
              <w:top w:val="single" w:sz="16" w:space="0" w:color="000000"/>
              <w:left w:val="single" w:sz="4" w:space="0" w:color="000000"/>
              <w:bottom w:val="single" w:sz="4" w:space="0" w:color="000000"/>
              <w:right w:val="single" w:sz="4" w:space="0" w:color="000000"/>
            </w:tcBorders>
          </w:tcPr>
          <w:p>
            <w:pPr/>
          </w:p>
        </w:tc>
        <w:tc>
          <w:tcPr>
            <w:tcW w:w="1458" w:type="dxa"/>
            <w:tcBorders>
              <w:top w:val="single" w:sz="16" w:space="0" w:color="000000"/>
              <w:left w:val="single" w:sz="4" w:space="0" w:color="000000"/>
              <w:bottom w:val="single" w:sz="4" w:space="0" w:color="000000"/>
              <w:right w:val="single" w:sz="4" w:space="0" w:color="000000"/>
            </w:tcBorders>
          </w:tcPr>
          <w:p>
            <w:pPr/>
          </w:p>
        </w:tc>
        <w:tc>
          <w:tcPr>
            <w:tcW w:w="1208"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Arial" w:hAnsi="Arial" w:cs="Arial" w:eastAsia="Arial" w:hint="default"/>
                <w:sz w:val="18"/>
                <w:szCs w:val="18"/>
              </w:rPr>
            </w:pPr>
            <w:r>
              <w:rPr>
                <w:rFonts w:ascii="Arial"/>
                <w:spacing w:val="-1"/>
                <w:sz w:val="18"/>
              </w:rPr>
              <w:t>643,298.89</w:t>
            </w:r>
          </w:p>
        </w:tc>
        <w:tc>
          <w:tcPr>
            <w:tcW w:w="1458"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spacing w:val="-1"/>
                <w:sz w:val="18"/>
              </w:rPr>
              <w:t>57,060,945.48</w:t>
            </w: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308"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5,917,994.00</w:t>
            </w:r>
          </w:p>
        </w:tc>
        <w:tc>
          <w:tcPr>
            <w:tcW w:w="13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45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5,917,994.00</w:t>
            </w: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08"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45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4,369,005.96</w:t>
            </w: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-36,580,647.34</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-1,500,000.00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2"/>
                <w:sz w:val="18"/>
              </w:rPr>
              <w:t>-33,711,641.38</w:t>
            </w: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．提取盈余公积</w:t>
            </w:r>
          </w:p>
        </w:tc>
        <w:tc>
          <w:tcPr>
            <w:tcW w:w="1308"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45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4,369,005.96</w:t>
            </w: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-4,369,005.96</w:t>
            </w:r>
          </w:p>
        </w:tc>
        <w:tc>
          <w:tcPr>
            <w:tcW w:w="12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．提取一般风险准备</w:t>
            </w:r>
          </w:p>
        </w:tc>
        <w:tc>
          <w:tcPr>
            <w:tcW w:w="1308"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45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24" w:right="112"/>
              <w:jc w:val="left"/>
              <w:rPr>
                <w:rFonts w:ascii="宋体" w:hAnsi="宋体" w:cs="宋体" w:eastAsia="宋体" w:hint="default"/>
                <w:sz w:val="18"/>
                <w:szCs w:val="18"/>
              </w:rPr>
            </w:pPr>
            <w:r>
              <w:rPr>
                <w:rFonts w:ascii="Arial" w:hAnsi="Arial" w:cs="Arial" w:eastAsia="Arial" w:hint="default"/>
                <w:spacing w:val="-7"/>
                <w:sz w:val="18"/>
                <w:szCs w:val="18"/>
              </w:rPr>
              <w:t>3</w:t>
            </w:r>
            <w:r>
              <w:rPr>
                <w:rFonts w:ascii="宋体" w:hAnsi="宋体" w:cs="宋体" w:eastAsia="宋体" w:hint="default"/>
                <w:spacing w:val="-7"/>
                <w:sz w:val="18"/>
                <w:szCs w:val="18"/>
              </w:rPr>
              <w:t>．对所有者（或股东</w:t>
            </w:r>
            <w:r>
              <w:rPr>
                <w:rFonts w:ascii="宋体" w:hAnsi="宋体" w:cs="宋体" w:eastAsia="宋体" w:hint="default"/>
                <w:sz w:val="18"/>
                <w:szCs w:val="18"/>
              </w:rPr>
              <w:t> 的分配</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709"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65.1500pt;height:35.450pt;mso-position-horizontal-relative:char;mso-position-vertical-relative:line" coordorigin="0,0" coordsize="1303,709">
                  <v:group style="position:absolute;left:0;top:0;width:1303;height:709" coordorigin="0,0" coordsize="1303,709">
                    <v:shape style="position:absolute;left:0;top:0;width:1303;height:709" coordorigin="0,0" coordsize="1303,709" path="m0,0l1303,0,1303,709,0,709,0,0xe" filled="true" fillcolor="#ffffff" stroked="false">
                      <v:path arrowok="t"/>
                      <v:fill type="solid"/>
                    </v:shape>
                  </v:group>
                </v:group>
              </w:pict>
            </w:r>
            <w:r>
              <w:rPr>
                <w:rFonts w:ascii="Times New Roman" w:hAnsi="Times New Roman" w:cs="Times New Roman" w:eastAsia="Times New Roman" w:hint="default"/>
                <w:position w:val="-13"/>
                <w:sz w:val="20"/>
                <w:szCs w:val="20"/>
              </w:rPr>
            </w: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45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spacing w:val="-2"/>
                <w:sz w:val="18"/>
              </w:rPr>
              <w:t>-32,211,641.38</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Arial" w:hAnsi="Arial" w:cs="Arial" w:eastAsia="Arial" w:hint="default"/>
                <w:sz w:val="18"/>
                <w:szCs w:val="18"/>
              </w:rPr>
            </w:pPr>
            <w:r>
              <w:rPr>
                <w:rFonts w:ascii="Arial"/>
                <w:spacing w:val="-1"/>
                <w:sz w:val="18"/>
              </w:rPr>
              <w:t>-1,500,000.00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Arial" w:hAnsi="Arial" w:cs="Arial" w:eastAsia="Arial" w:hint="default"/>
                <w:sz w:val="18"/>
                <w:szCs w:val="18"/>
              </w:rPr>
            </w:pPr>
            <w:r>
              <w:rPr>
                <w:rFonts w:ascii="Arial"/>
                <w:spacing w:val="-2"/>
                <w:sz w:val="18"/>
              </w:rPr>
              <w:t>-33,711,641.38</w:t>
            </w: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308"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45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4" w:right="21"/>
              <w:jc w:val="left"/>
              <w:rPr>
                <w:rFonts w:ascii="宋体" w:hAnsi="宋体" w:cs="宋体" w:eastAsia="宋体" w:hint="default"/>
                <w:sz w:val="18"/>
                <w:szCs w:val="18"/>
              </w:rPr>
            </w:pPr>
            <w:r>
              <w:rPr>
                <w:rFonts w:ascii="宋体" w:hAnsi="宋体" w:cs="宋体" w:eastAsia="宋体" w:hint="default"/>
                <w:spacing w:val="-6"/>
                <w:sz w:val="18"/>
                <w:szCs w:val="18"/>
              </w:rPr>
              <w:t>（四）所有者权益内部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结转</w:t>
            </w:r>
          </w:p>
        </w:tc>
        <w:tc>
          <w:tcPr>
            <w:tcW w:w="1308"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45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．资本公积转增资本</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308"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45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．盈余公积转增资本</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308"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45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．盈余公积弥补亏损</w:t>
            </w:r>
          </w:p>
        </w:tc>
        <w:tc>
          <w:tcPr>
            <w:tcW w:w="1308"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45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0"/>
              <w:ind w:left="24" w:right="45"/>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．设定受益计划变动 额结转留存收益</w:t>
            </w:r>
          </w:p>
        </w:tc>
        <w:tc>
          <w:tcPr>
            <w:tcW w:w="1308"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45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．其他</w:t>
            </w:r>
          </w:p>
        </w:tc>
        <w:tc>
          <w:tcPr>
            <w:tcW w:w="1308"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45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08"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45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．本期提取</w:t>
            </w:r>
          </w:p>
        </w:tc>
        <w:tc>
          <w:tcPr>
            <w:tcW w:w="1308"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45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．本期使用</w:t>
            </w:r>
          </w:p>
        </w:tc>
        <w:tc>
          <w:tcPr>
            <w:tcW w:w="1308"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45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08"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45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760,681,176.00</w:t>
            </w:r>
          </w:p>
        </w:tc>
        <w:tc>
          <w:tcPr>
            <w:tcW w:w="38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1,910,555,620.24</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 w:right="0"/>
              <w:jc w:val="center"/>
              <w:rPr>
                <w:rFonts w:ascii="Arial" w:hAnsi="Arial" w:cs="Arial" w:eastAsia="Arial" w:hint="default"/>
                <w:sz w:val="18"/>
                <w:szCs w:val="18"/>
              </w:rPr>
            </w:pPr>
            <w:r>
              <w:rPr>
                <w:rFonts w:ascii="Arial"/>
                <w:sz w:val="18"/>
              </w:rPr>
              <w:t>245,922,733.22</w:t>
            </w:r>
          </w:p>
        </w:tc>
        <w:tc>
          <w:tcPr>
            <w:tcW w:w="597" w:type="dxa"/>
            <w:tcBorders>
              <w:top w:val="single" w:sz="4" w:space="0" w:color="000000"/>
              <w:left w:val="single" w:sz="4" w:space="0" w:color="000000"/>
              <w:bottom w:val="single" w:sz="4" w:space="0" w:color="000000"/>
              <w:right w:val="single" w:sz="4" w:space="0" w:color="000000"/>
            </w:tcBorders>
          </w:tcPr>
          <w:p>
            <w:pPr/>
          </w:p>
        </w:tc>
        <w:tc>
          <w:tcPr>
            <w:tcW w:w="453"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47,257,827.66</w:t>
            </w:r>
          </w:p>
        </w:tc>
        <w:tc>
          <w:tcPr>
            <w:tcW w:w="597"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1,230,662,871.24</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67,007,767.76</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3,770,242,529.68</w:t>
            </w:r>
          </w:p>
        </w:tc>
      </w:tr>
    </w:tbl>
    <w:p>
      <w:pPr>
        <w:spacing w:after="0" w:line="240" w:lineRule="auto"/>
        <w:jc w:val="right"/>
        <w:rPr>
          <w:rFonts w:ascii="Arial" w:hAnsi="Arial" w:cs="Arial" w:eastAsia="Arial" w:hint="default"/>
          <w:sz w:val="18"/>
          <w:szCs w:val="18"/>
        </w:rPr>
        <w:sectPr>
          <w:headerReference w:type="default" r:id="rId38"/>
          <w:pgSz w:w="16840" w:h="11910" w:orient="landscape"/>
          <w:pgMar w:header="868" w:footer="978" w:top="1060" w:bottom="1160" w:left="1320" w:right="1320"/>
        </w:sectPr>
      </w:pPr>
    </w:p>
    <w:p>
      <w:pPr>
        <w:spacing w:line="240" w:lineRule="auto" w:before="1"/>
        <w:rPr>
          <w:rFonts w:ascii="Times New Roman" w:hAnsi="Times New Roman" w:cs="Times New Roman" w:eastAsia="Times New Roman" w:hint="default"/>
          <w:sz w:val="3"/>
          <w:szCs w:val="3"/>
        </w:rPr>
      </w:pPr>
    </w:p>
    <w:p>
      <w:pPr>
        <w:spacing w:line="20" w:lineRule="exact"/>
        <w:ind w:left="11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8.65pt;height:.75pt;mso-position-horizontal-relative:char;mso-position-vertical-relative:line" coordorigin="0,0" coordsize="13973,15">
            <v:group style="position:absolute;left:7;top:7;width:13958;height:2" coordorigin="7,7" coordsize="13958,2">
              <v:shape style="position:absolute;left:7;top:7;width:13958;height:2" coordorigin="7,7" coordsize="13958,0" path="m7,7l13965,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4"/>
        <w:spacing w:line="240" w:lineRule="auto"/>
        <w:ind w:left="120" w:right="0"/>
        <w:jc w:val="left"/>
        <w:rPr>
          <w:b w:val="0"/>
          <w:bCs w:val="0"/>
        </w:rPr>
      </w:pPr>
      <w:bookmarkStart w:name="8、母公司所有者权益变动表" w:id="160"/>
      <w:bookmarkEnd w:id="160"/>
      <w:r>
        <w:rPr>
          <w:b w:val="0"/>
          <w:bCs w:val="0"/>
        </w:rPr>
      </w:r>
      <w:r>
        <w:rPr>
          <w:rFonts w:ascii="Arial" w:hAnsi="Arial" w:cs="Arial" w:eastAsia="Arial" w:hint="default"/>
        </w:rPr>
        <w:t>8</w:t>
      </w:r>
      <w:r>
        <w:rPr/>
        <w:t>、母公司所有者权益变动表</w:t>
      </w:r>
      <w:r>
        <w:rPr>
          <w:b w:val="0"/>
          <w:bCs w:val="0"/>
        </w:rPr>
      </w:r>
    </w:p>
    <w:p>
      <w:pPr>
        <w:spacing w:line="240" w:lineRule="auto" w:before="7"/>
        <w:rPr>
          <w:rFonts w:ascii="宋体" w:hAnsi="宋体" w:cs="宋体" w:eastAsia="宋体" w:hint="default"/>
          <w:b/>
          <w:bCs/>
          <w:sz w:val="26"/>
          <w:szCs w:val="26"/>
        </w:rPr>
      </w:pPr>
    </w:p>
    <w:p>
      <w:pPr>
        <w:tabs>
          <w:tab w:pos="13259" w:val="left" w:leader="none"/>
        </w:tabs>
        <w:spacing w:before="0"/>
        <w:ind w:left="120" w:right="0" w:firstLine="0"/>
        <w:jc w:val="left"/>
        <w:rPr>
          <w:rFonts w:ascii="宋体" w:hAnsi="宋体" w:cs="宋体" w:eastAsia="宋体" w:hint="default"/>
          <w:sz w:val="18"/>
          <w:szCs w:val="18"/>
        </w:rPr>
      </w:pPr>
      <w:r>
        <w:rPr>
          <w:rFonts w:ascii="宋体" w:hAnsi="宋体" w:cs="宋体" w:eastAsia="宋体" w:hint="default"/>
          <w:sz w:val="18"/>
          <w:szCs w:val="18"/>
        </w:rPr>
        <w:t>本期金额</w:t>
        <w:tab/>
        <w:t>单位：元</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872"/>
        <w:gridCol w:w="1308"/>
        <w:gridCol w:w="509"/>
        <w:gridCol w:w="509"/>
        <w:gridCol w:w="372"/>
        <w:gridCol w:w="1458"/>
        <w:gridCol w:w="1445"/>
        <w:gridCol w:w="828"/>
        <w:gridCol w:w="645"/>
        <w:gridCol w:w="1208"/>
        <w:gridCol w:w="1308"/>
        <w:gridCol w:w="1458"/>
      </w:tblGrid>
      <w:tr>
        <w:trPr>
          <w:trHeight w:val="402" w:hRule="exact"/>
        </w:trPr>
        <w:tc>
          <w:tcPr>
            <w:tcW w:w="28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04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2872" w:type="dxa"/>
            <w:vMerge/>
            <w:tcBorders>
              <w:left w:val="single" w:sz="4" w:space="0" w:color="000000"/>
              <w:right w:val="single" w:sz="4" w:space="0" w:color="000000"/>
            </w:tcBorders>
            <w:shd w:val="clear" w:color="auto" w:fill="D2D2D2"/>
          </w:tcPr>
          <w:p>
            <w:pPr/>
          </w:p>
        </w:tc>
        <w:tc>
          <w:tcPr>
            <w:tcW w:w="13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8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29" w:right="47"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6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27" w:right="4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2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14" w:hRule="exact"/>
        </w:trPr>
        <w:tc>
          <w:tcPr>
            <w:tcW w:w="2872" w:type="dxa"/>
            <w:vMerge/>
            <w:tcBorders>
              <w:left w:val="single" w:sz="4" w:space="0" w:color="000000"/>
              <w:bottom w:val="single" w:sz="4" w:space="0" w:color="000000"/>
              <w:right w:val="single" w:sz="4" w:space="0" w:color="000000"/>
            </w:tcBorders>
            <w:shd w:val="clear" w:color="auto" w:fill="D2D2D2"/>
          </w:tcPr>
          <w:p>
            <w:pPr/>
          </w:p>
        </w:tc>
        <w:tc>
          <w:tcPr>
            <w:tcW w:w="1308" w:type="dxa"/>
            <w:vMerge/>
            <w:tcBorders>
              <w:left w:val="single" w:sz="4" w:space="0" w:color="000000"/>
              <w:bottom w:val="single" w:sz="4" w:space="0" w:color="000000"/>
              <w:right w:val="single" w:sz="4" w:space="0" w:color="000000"/>
            </w:tcBorders>
            <w:shd w:val="clear" w:color="auto" w:fill="D2D2D2"/>
          </w:tcPr>
          <w:p>
            <w:pPr/>
          </w:p>
        </w:tc>
        <w:tc>
          <w:tcPr>
            <w:tcW w:w="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9" w:right="69"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8" w:right="6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1" w:right="88"/>
              <w:jc w:val="left"/>
              <w:rPr>
                <w:rFonts w:ascii="宋体" w:hAnsi="宋体" w:cs="宋体" w:eastAsia="宋体" w:hint="default"/>
                <w:sz w:val="18"/>
                <w:szCs w:val="18"/>
              </w:rPr>
            </w:pPr>
            <w:r>
              <w:rPr>
                <w:rFonts w:ascii="宋体" w:hAnsi="宋体" w:cs="宋体" w:eastAsia="宋体" w:hint="default"/>
                <w:sz w:val="18"/>
                <w:szCs w:val="18"/>
              </w:rPr>
              <w:t>其 他</w:t>
            </w:r>
          </w:p>
        </w:tc>
        <w:tc>
          <w:tcPr>
            <w:tcW w:w="1458" w:type="dxa"/>
            <w:vMerge/>
            <w:tcBorders>
              <w:left w:val="single" w:sz="4" w:space="0" w:color="000000"/>
              <w:bottom w:val="single" w:sz="4" w:space="0" w:color="000000"/>
              <w:right w:val="single" w:sz="4" w:space="0" w:color="000000"/>
            </w:tcBorders>
            <w:shd w:val="clear" w:color="auto" w:fill="D2D2D2"/>
          </w:tcPr>
          <w:p>
            <w:pPr/>
          </w:p>
        </w:tc>
        <w:tc>
          <w:tcPr>
            <w:tcW w:w="1445" w:type="dxa"/>
            <w:vMerge/>
            <w:tcBorders>
              <w:left w:val="single" w:sz="4" w:space="0" w:color="000000"/>
              <w:bottom w:val="single" w:sz="4" w:space="0" w:color="000000"/>
              <w:right w:val="single" w:sz="4" w:space="0" w:color="000000"/>
            </w:tcBorders>
            <w:shd w:val="clear" w:color="auto" w:fill="D2D2D2"/>
          </w:tcPr>
          <w:p>
            <w:pPr/>
          </w:p>
        </w:tc>
        <w:tc>
          <w:tcPr>
            <w:tcW w:w="828" w:type="dxa"/>
            <w:vMerge/>
            <w:tcBorders>
              <w:left w:val="single" w:sz="4" w:space="0" w:color="000000"/>
              <w:bottom w:val="single" w:sz="4" w:space="0" w:color="000000"/>
              <w:right w:val="single" w:sz="4" w:space="0" w:color="000000"/>
            </w:tcBorders>
            <w:shd w:val="clear" w:color="auto" w:fill="D2D2D2"/>
          </w:tcPr>
          <w:p>
            <w:pPr/>
          </w:p>
        </w:tc>
        <w:tc>
          <w:tcPr>
            <w:tcW w:w="645" w:type="dxa"/>
            <w:vMerge/>
            <w:tcBorders>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308" w:type="dxa"/>
            <w:vMerge/>
            <w:tcBorders>
              <w:left w:val="single" w:sz="4" w:space="0" w:color="000000"/>
              <w:bottom w:val="single" w:sz="4" w:space="0" w:color="000000"/>
              <w:right w:val="single" w:sz="4" w:space="0" w:color="000000"/>
            </w:tcBorders>
            <w:shd w:val="clear" w:color="auto" w:fill="D2D2D2"/>
          </w:tcPr>
          <w:p>
            <w:pPr/>
          </w:p>
        </w:tc>
        <w:tc>
          <w:tcPr>
            <w:tcW w:w="145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Arial" w:hAnsi="Arial" w:cs="Arial" w:eastAsia="Arial" w:hint="default"/>
                <w:sz w:val="18"/>
                <w:szCs w:val="18"/>
              </w:rPr>
            </w:pPr>
            <w:r>
              <w:rPr>
                <w:rFonts w:ascii="Arial"/>
                <w:sz w:val="18"/>
              </w:rPr>
              <w:t>760,681,176.00</w:t>
            </w: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2,084,654,271.77</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245,922,733.22</w:t>
            </w:r>
          </w:p>
        </w:tc>
        <w:tc>
          <w:tcPr>
            <w:tcW w:w="828" w:type="dxa"/>
            <w:tcBorders>
              <w:top w:val="single" w:sz="4" w:space="0" w:color="000000"/>
              <w:left w:val="single" w:sz="4" w:space="0" w:color="000000"/>
              <w:bottom w:val="single" w:sz="4" w:space="0" w:color="000000"/>
              <w:right w:val="single" w:sz="4" w:space="0" w:color="000000"/>
            </w:tcBorders>
          </w:tcPr>
          <w:p>
            <w:pPr/>
          </w:p>
        </w:tc>
        <w:tc>
          <w:tcPr>
            <w:tcW w:w="64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47,257,827.66</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Arial" w:hAnsi="Arial" w:cs="Arial" w:eastAsia="Arial" w:hint="default"/>
                <w:sz w:val="18"/>
                <w:szCs w:val="18"/>
              </w:rPr>
            </w:pPr>
            <w:r>
              <w:rPr>
                <w:rFonts w:ascii="Arial"/>
                <w:sz w:val="18"/>
              </w:rPr>
              <w:t>146,381,804.97</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2,793,052,347.18</w:t>
            </w:r>
          </w:p>
        </w:tc>
      </w:tr>
      <w:tr>
        <w:trPr>
          <w:trHeight w:val="402"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0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64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0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64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0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64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Arial" w:hAnsi="Arial" w:cs="Arial" w:eastAsia="Arial" w:hint="default"/>
                <w:sz w:val="18"/>
                <w:szCs w:val="18"/>
              </w:rPr>
            </w:pPr>
            <w:r>
              <w:rPr>
                <w:rFonts w:ascii="Arial"/>
                <w:sz w:val="18"/>
              </w:rPr>
              <w:t>760,681,176.00</w:t>
            </w: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2,084,654,271.77</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245,922,733.22</w:t>
            </w:r>
          </w:p>
        </w:tc>
        <w:tc>
          <w:tcPr>
            <w:tcW w:w="828" w:type="dxa"/>
            <w:tcBorders>
              <w:top w:val="single" w:sz="4" w:space="0" w:color="000000"/>
              <w:left w:val="single" w:sz="4" w:space="0" w:color="000000"/>
              <w:bottom w:val="single" w:sz="4" w:space="0" w:color="000000"/>
              <w:right w:val="single" w:sz="4" w:space="0" w:color="000000"/>
            </w:tcBorders>
          </w:tcPr>
          <w:p>
            <w:pPr/>
          </w:p>
        </w:tc>
        <w:tc>
          <w:tcPr>
            <w:tcW w:w="64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47,257,827.66</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Arial" w:hAnsi="Arial" w:cs="Arial" w:eastAsia="Arial" w:hint="default"/>
                <w:sz w:val="18"/>
                <w:szCs w:val="18"/>
              </w:rPr>
            </w:pPr>
            <w:r>
              <w:rPr>
                <w:rFonts w:ascii="Arial"/>
                <w:sz w:val="18"/>
              </w:rPr>
              <w:t>146,381,804.97</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2,793,052,347.18</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 </w:t>
            </w:r>
            <w:r>
              <w:rPr>
                <w:rFonts w:ascii="宋体" w:hAnsi="宋体" w:cs="宋体" w:eastAsia="宋体" w:hint="default"/>
                <w:sz w:val="18"/>
                <w:szCs w:val="18"/>
              </w:rPr>
              <w:t>号填列）</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7" w:right="0"/>
              <w:jc w:val="center"/>
              <w:rPr>
                <w:rFonts w:ascii="Arial" w:hAnsi="Arial" w:cs="Arial" w:eastAsia="Arial" w:hint="default"/>
                <w:sz w:val="18"/>
                <w:szCs w:val="18"/>
              </w:rPr>
            </w:pPr>
            <w:r>
              <w:rPr>
                <w:rFonts w:ascii="Arial"/>
                <w:sz w:val="18"/>
              </w:rPr>
              <w:t>-6,189,716.00</w:t>
            </w: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-10,305,234.74</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-101,535,702.58</w:t>
            </w:r>
          </w:p>
        </w:tc>
        <w:tc>
          <w:tcPr>
            <w:tcW w:w="828" w:type="dxa"/>
            <w:tcBorders>
              <w:top w:val="single" w:sz="4" w:space="0" w:color="000000"/>
              <w:left w:val="single" w:sz="4" w:space="0" w:color="000000"/>
              <w:bottom w:val="single" w:sz="4" w:space="0" w:color="000000"/>
              <w:right w:val="single" w:sz="4" w:space="0" w:color="000000"/>
            </w:tcBorders>
          </w:tcPr>
          <w:p>
            <w:pPr/>
          </w:p>
        </w:tc>
        <w:tc>
          <w:tcPr>
            <w:tcW w:w="64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16,744,444.73</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 w:right="0"/>
              <w:jc w:val="center"/>
              <w:rPr>
                <w:rFonts w:ascii="Arial" w:hAnsi="Arial" w:cs="Arial" w:eastAsia="Arial" w:hint="default"/>
                <w:sz w:val="18"/>
                <w:szCs w:val="18"/>
              </w:rPr>
            </w:pPr>
            <w:r>
              <w:rPr>
                <w:rFonts w:ascii="Arial"/>
                <w:w w:val="95"/>
                <w:sz w:val="18"/>
              </w:rPr>
              <w:t>112,770,692.69</w:t>
            </w:r>
            <w:r>
              <w:rPr>
                <w:rFonts w:ascii="Arial"/>
                <w:sz w:val="18"/>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214,555,889.26</w:t>
            </w:r>
          </w:p>
        </w:tc>
      </w:tr>
      <w:tr>
        <w:trPr>
          <w:trHeight w:val="402"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0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64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Arial" w:hAnsi="Arial" w:cs="Arial" w:eastAsia="Arial" w:hint="default"/>
                <w:sz w:val="18"/>
                <w:szCs w:val="18"/>
              </w:rPr>
            </w:pPr>
            <w:r>
              <w:rPr>
                <w:rFonts w:ascii="Arial"/>
                <w:sz w:val="18"/>
              </w:rPr>
              <w:t>167,444,447.31</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167,444,447.31</w:t>
            </w:r>
          </w:p>
        </w:tc>
      </w:tr>
      <w:tr>
        <w:trPr>
          <w:trHeight w:val="402"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7" w:right="0"/>
              <w:jc w:val="center"/>
              <w:rPr>
                <w:rFonts w:ascii="Arial" w:hAnsi="Arial" w:cs="Arial" w:eastAsia="Arial" w:hint="default"/>
                <w:sz w:val="18"/>
                <w:szCs w:val="18"/>
              </w:rPr>
            </w:pPr>
            <w:r>
              <w:rPr>
                <w:rFonts w:ascii="Arial"/>
                <w:sz w:val="18"/>
              </w:rPr>
              <w:t>-6,189,716.00</w:t>
            </w: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-10,305,234.74</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-101,535,702.58</w:t>
            </w:r>
          </w:p>
        </w:tc>
        <w:tc>
          <w:tcPr>
            <w:tcW w:w="828" w:type="dxa"/>
            <w:tcBorders>
              <w:top w:val="single" w:sz="4" w:space="0" w:color="000000"/>
              <w:left w:val="single" w:sz="4" w:space="0" w:color="000000"/>
              <w:bottom w:val="single" w:sz="4" w:space="0" w:color="000000"/>
              <w:right w:val="single" w:sz="4" w:space="0" w:color="000000"/>
            </w:tcBorders>
          </w:tcPr>
          <w:p>
            <w:pPr/>
          </w:p>
        </w:tc>
        <w:tc>
          <w:tcPr>
            <w:tcW w:w="64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85,040,751.84</w:t>
            </w:r>
          </w:p>
        </w:tc>
      </w:tr>
      <w:tr>
        <w:trPr>
          <w:trHeight w:val="402"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．所有者投入的普通股</w:t>
            </w:r>
          </w:p>
        </w:tc>
        <w:tc>
          <w:tcPr>
            <w:tcW w:w="130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64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．其他权益工具持有者投入资本</w:t>
            </w:r>
          </w:p>
        </w:tc>
        <w:tc>
          <w:tcPr>
            <w:tcW w:w="130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64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．股份支付计入所有者权益的金额</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7" w:right="0"/>
              <w:jc w:val="center"/>
              <w:rPr>
                <w:rFonts w:ascii="Arial" w:hAnsi="Arial" w:cs="Arial" w:eastAsia="Arial" w:hint="default"/>
                <w:sz w:val="18"/>
                <w:szCs w:val="18"/>
              </w:rPr>
            </w:pPr>
            <w:r>
              <w:rPr>
                <w:rFonts w:ascii="Arial"/>
                <w:sz w:val="18"/>
              </w:rPr>
              <w:t>-1,702,314.00</w:t>
            </w: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-7,144,099.32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-101,535,702.58</w:t>
            </w:r>
          </w:p>
        </w:tc>
        <w:tc>
          <w:tcPr>
            <w:tcW w:w="828" w:type="dxa"/>
            <w:tcBorders>
              <w:top w:val="single" w:sz="4" w:space="0" w:color="000000"/>
              <w:left w:val="single" w:sz="4" w:space="0" w:color="000000"/>
              <w:bottom w:val="single" w:sz="4" w:space="0" w:color="000000"/>
              <w:right w:val="single" w:sz="4" w:space="0" w:color="000000"/>
            </w:tcBorders>
          </w:tcPr>
          <w:p>
            <w:pPr/>
          </w:p>
        </w:tc>
        <w:tc>
          <w:tcPr>
            <w:tcW w:w="64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92,689,289.26</w:t>
            </w:r>
          </w:p>
        </w:tc>
      </w:tr>
      <w:tr>
        <w:trPr>
          <w:trHeight w:val="402"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7" w:right="0"/>
              <w:jc w:val="center"/>
              <w:rPr>
                <w:rFonts w:ascii="Arial" w:hAnsi="Arial" w:cs="Arial" w:eastAsia="Arial" w:hint="default"/>
                <w:sz w:val="18"/>
                <w:szCs w:val="18"/>
              </w:rPr>
            </w:pPr>
            <w:r>
              <w:rPr>
                <w:rFonts w:ascii="Arial"/>
                <w:sz w:val="18"/>
              </w:rPr>
              <w:t>-4,487,402.00</w:t>
            </w: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-3,161,135.42</w:t>
            </w:r>
          </w:p>
        </w:tc>
        <w:tc>
          <w:tcPr>
            <w:tcW w:w="1445"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64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-7,648,537.42</w:t>
            </w:r>
          </w:p>
        </w:tc>
      </w:tr>
      <w:tr>
        <w:trPr>
          <w:trHeight w:val="402"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0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64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16,744,444.73</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 w:right="0"/>
              <w:jc w:val="center"/>
              <w:rPr>
                <w:rFonts w:ascii="Arial" w:hAnsi="Arial" w:cs="Arial" w:eastAsia="Arial" w:hint="default"/>
                <w:sz w:val="18"/>
                <w:szCs w:val="18"/>
              </w:rPr>
            </w:pPr>
            <w:r>
              <w:rPr>
                <w:rFonts w:ascii="Arial"/>
                <w:sz w:val="18"/>
              </w:rPr>
              <w:t>-54,673,754.62</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-37,929,309.89</w:t>
            </w:r>
          </w:p>
        </w:tc>
      </w:tr>
      <w:tr>
        <w:trPr>
          <w:trHeight w:val="402"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．提取盈余公积</w:t>
            </w:r>
          </w:p>
        </w:tc>
        <w:tc>
          <w:tcPr>
            <w:tcW w:w="130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64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16,744,444.73</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center"/>
              <w:rPr>
                <w:rFonts w:ascii="Arial" w:hAnsi="Arial" w:cs="Arial" w:eastAsia="Arial" w:hint="default"/>
                <w:sz w:val="18"/>
                <w:szCs w:val="18"/>
              </w:rPr>
            </w:pPr>
            <w:r>
              <w:rPr>
                <w:rFonts w:ascii="Arial"/>
                <w:sz w:val="18"/>
              </w:rPr>
              <w:t>-16,744,444.73</w:t>
            </w: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．对所有者（或股东）的分配</w:t>
            </w:r>
          </w:p>
        </w:tc>
        <w:tc>
          <w:tcPr>
            <w:tcW w:w="130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64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 w:right="0"/>
              <w:jc w:val="center"/>
              <w:rPr>
                <w:rFonts w:ascii="Arial" w:hAnsi="Arial" w:cs="Arial" w:eastAsia="Arial" w:hint="default"/>
                <w:sz w:val="18"/>
                <w:szCs w:val="18"/>
              </w:rPr>
            </w:pPr>
            <w:r>
              <w:rPr>
                <w:rFonts w:ascii="Arial"/>
                <w:sz w:val="18"/>
              </w:rPr>
              <w:t>-37,929,309.89</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-37,929,309.89</w:t>
            </w:r>
          </w:p>
        </w:tc>
      </w:tr>
      <w:tr>
        <w:trPr>
          <w:trHeight w:val="400"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w:t>
            </w:r>
          </w:p>
        </w:tc>
        <w:tc>
          <w:tcPr>
            <w:tcW w:w="130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64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8" w:footer="978" w:top="1060" w:bottom="1160" w:left="1320" w:right="1320"/>
        </w:sectPr>
      </w:pPr>
    </w:p>
    <w:p>
      <w:pPr>
        <w:spacing w:line="240" w:lineRule="auto" w:before="10"/>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872"/>
        <w:gridCol w:w="1308"/>
        <w:gridCol w:w="509"/>
        <w:gridCol w:w="509"/>
        <w:gridCol w:w="372"/>
        <w:gridCol w:w="1458"/>
        <w:gridCol w:w="1445"/>
        <w:gridCol w:w="828"/>
        <w:gridCol w:w="645"/>
        <w:gridCol w:w="1208"/>
        <w:gridCol w:w="1308"/>
        <w:gridCol w:w="1458"/>
      </w:tblGrid>
      <w:tr>
        <w:trPr>
          <w:trHeight w:val="417" w:hRule="exact"/>
        </w:trPr>
        <w:tc>
          <w:tcPr>
            <w:tcW w:w="2872" w:type="dxa"/>
            <w:tcBorders>
              <w:top w:val="single" w:sz="16"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08" w:type="dxa"/>
            <w:tcBorders>
              <w:top w:val="single" w:sz="16" w:space="0" w:color="000000"/>
              <w:left w:val="single" w:sz="4" w:space="0" w:color="000000"/>
              <w:bottom w:val="single" w:sz="4" w:space="0" w:color="000000"/>
              <w:right w:val="single" w:sz="4" w:space="0" w:color="000000"/>
            </w:tcBorders>
          </w:tcPr>
          <w:p>
            <w:pPr/>
          </w:p>
        </w:tc>
        <w:tc>
          <w:tcPr>
            <w:tcW w:w="509" w:type="dxa"/>
            <w:tcBorders>
              <w:top w:val="single" w:sz="16" w:space="0" w:color="000000"/>
              <w:left w:val="single" w:sz="4" w:space="0" w:color="000000"/>
              <w:bottom w:val="single" w:sz="4" w:space="0" w:color="000000"/>
              <w:right w:val="single" w:sz="4" w:space="0" w:color="000000"/>
            </w:tcBorders>
          </w:tcPr>
          <w:p>
            <w:pPr/>
          </w:p>
        </w:tc>
        <w:tc>
          <w:tcPr>
            <w:tcW w:w="509" w:type="dxa"/>
            <w:tcBorders>
              <w:top w:val="single" w:sz="16" w:space="0" w:color="000000"/>
              <w:left w:val="single" w:sz="4" w:space="0" w:color="000000"/>
              <w:bottom w:val="single" w:sz="4" w:space="0" w:color="000000"/>
              <w:right w:val="single" w:sz="4" w:space="0" w:color="000000"/>
            </w:tcBorders>
          </w:tcPr>
          <w:p>
            <w:pPr/>
          </w:p>
        </w:tc>
        <w:tc>
          <w:tcPr>
            <w:tcW w:w="372" w:type="dxa"/>
            <w:tcBorders>
              <w:top w:val="single" w:sz="16" w:space="0" w:color="000000"/>
              <w:left w:val="single" w:sz="4" w:space="0" w:color="000000"/>
              <w:bottom w:val="single" w:sz="4" w:space="0" w:color="000000"/>
              <w:right w:val="single" w:sz="4" w:space="0" w:color="000000"/>
            </w:tcBorders>
          </w:tcPr>
          <w:p>
            <w:pPr/>
          </w:p>
        </w:tc>
        <w:tc>
          <w:tcPr>
            <w:tcW w:w="1458" w:type="dxa"/>
            <w:tcBorders>
              <w:top w:val="single" w:sz="16" w:space="0" w:color="000000"/>
              <w:left w:val="single" w:sz="4" w:space="0" w:color="000000"/>
              <w:bottom w:val="single" w:sz="4" w:space="0" w:color="000000"/>
              <w:right w:val="single" w:sz="4" w:space="0" w:color="000000"/>
            </w:tcBorders>
          </w:tcPr>
          <w:p>
            <w:pPr/>
          </w:p>
        </w:tc>
        <w:tc>
          <w:tcPr>
            <w:tcW w:w="1445" w:type="dxa"/>
            <w:tcBorders>
              <w:top w:val="single" w:sz="16" w:space="0" w:color="000000"/>
              <w:left w:val="single" w:sz="4" w:space="0" w:color="000000"/>
              <w:bottom w:val="single" w:sz="4" w:space="0" w:color="000000"/>
              <w:right w:val="single" w:sz="4" w:space="0" w:color="000000"/>
            </w:tcBorders>
          </w:tcPr>
          <w:p>
            <w:pPr/>
          </w:p>
        </w:tc>
        <w:tc>
          <w:tcPr>
            <w:tcW w:w="828" w:type="dxa"/>
            <w:tcBorders>
              <w:top w:val="single" w:sz="16" w:space="0" w:color="000000"/>
              <w:left w:val="single" w:sz="4" w:space="0" w:color="000000"/>
              <w:bottom w:val="single" w:sz="4" w:space="0" w:color="000000"/>
              <w:right w:val="single" w:sz="4" w:space="0" w:color="000000"/>
            </w:tcBorders>
          </w:tcPr>
          <w:p>
            <w:pPr/>
          </w:p>
        </w:tc>
        <w:tc>
          <w:tcPr>
            <w:tcW w:w="645" w:type="dxa"/>
            <w:tcBorders>
              <w:top w:val="single" w:sz="16" w:space="0" w:color="000000"/>
              <w:left w:val="single" w:sz="4" w:space="0" w:color="000000"/>
              <w:bottom w:val="single" w:sz="4" w:space="0" w:color="000000"/>
              <w:right w:val="single" w:sz="4" w:space="0" w:color="000000"/>
            </w:tcBorders>
          </w:tcPr>
          <w:p>
            <w:pPr/>
          </w:p>
        </w:tc>
        <w:tc>
          <w:tcPr>
            <w:tcW w:w="1208" w:type="dxa"/>
            <w:tcBorders>
              <w:top w:val="single" w:sz="16" w:space="0" w:color="000000"/>
              <w:left w:val="single" w:sz="4" w:space="0" w:color="000000"/>
              <w:bottom w:val="single" w:sz="4" w:space="0" w:color="000000"/>
              <w:right w:val="single" w:sz="4" w:space="0" w:color="000000"/>
            </w:tcBorders>
          </w:tcPr>
          <w:p>
            <w:pPr/>
          </w:p>
        </w:tc>
        <w:tc>
          <w:tcPr>
            <w:tcW w:w="1308" w:type="dxa"/>
            <w:tcBorders>
              <w:top w:val="single" w:sz="16" w:space="0" w:color="000000"/>
              <w:left w:val="single" w:sz="4" w:space="0" w:color="000000"/>
              <w:bottom w:val="single" w:sz="4" w:space="0" w:color="000000"/>
              <w:right w:val="single" w:sz="4" w:space="0" w:color="000000"/>
            </w:tcBorders>
          </w:tcPr>
          <w:p>
            <w:pPr/>
          </w:p>
        </w:tc>
        <w:tc>
          <w:tcPr>
            <w:tcW w:w="1458" w:type="dxa"/>
            <w:tcBorders>
              <w:top w:val="single" w:sz="16" w:space="0" w:color="000000"/>
              <w:left w:val="single" w:sz="4" w:space="0" w:color="000000"/>
              <w:bottom w:val="single" w:sz="4" w:space="0" w:color="000000"/>
              <w:right w:val="single" w:sz="4" w:space="0" w:color="000000"/>
            </w:tcBorders>
          </w:tcPr>
          <w:p>
            <w:pPr/>
          </w:p>
        </w:tc>
      </w:tr>
      <w:tr>
        <w:trPr>
          <w:trHeight w:val="402"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．资本公积转增资本（或股本）</w:t>
            </w:r>
          </w:p>
        </w:tc>
        <w:tc>
          <w:tcPr>
            <w:tcW w:w="130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64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．盈余公积转增资本（或股本）</w:t>
            </w:r>
          </w:p>
        </w:tc>
        <w:tc>
          <w:tcPr>
            <w:tcW w:w="130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64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．盈余公积弥补亏损</w:t>
            </w:r>
          </w:p>
        </w:tc>
        <w:tc>
          <w:tcPr>
            <w:tcW w:w="130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64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4" w:right="38"/>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．设定受益计划变动额结转留存收 益</w:t>
            </w:r>
          </w:p>
        </w:tc>
        <w:tc>
          <w:tcPr>
            <w:tcW w:w="130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64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．其他</w:t>
            </w:r>
          </w:p>
        </w:tc>
        <w:tc>
          <w:tcPr>
            <w:tcW w:w="130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64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0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64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．本期提取</w:t>
            </w:r>
          </w:p>
        </w:tc>
        <w:tc>
          <w:tcPr>
            <w:tcW w:w="130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64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．本期使用</w:t>
            </w:r>
          </w:p>
        </w:tc>
        <w:tc>
          <w:tcPr>
            <w:tcW w:w="130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64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0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64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Arial" w:hAnsi="Arial" w:cs="Arial" w:eastAsia="Arial" w:hint="default"/>
                <w:sz w:val="18"/>
                <w:szCs w:val="18"/>
              </w:rPr>
            </w:pPr>
            <w:r>
              <w:rPr>
                <w:rFonts w:ascii="Arial"/>
                <w:sz w:val="18"/>
              </w:rPr>
              <w:t>754,491,460.00</w:t>
            </w:r>
          </w:p>
        </w:tc>
        <w:tc>
          <w:tcPr>
            <w:tcW w:w="509"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Arial" w:hAnsi="Arial" w:cs="Arial" w:eastAsia="Arial" w:hint="default"/>
                <w:sz w:val="18"/>
                <w:szCs w:val="18"/>
              </w:rPr>
            </w:pPr>
            <w:r>
              <w:rPr>
                <w:rFonts w:ascii="Arial"/>
                <w:sz w:val="18"/>
              </w:rPr>
              <w:t>2,074,349,037.03</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2" w:right="0"/>
              <w:jc w:val="left"/>
              <w:rPr>
                <w:rFonts w:ascii="Arial" w:hAnsi="Arial" w:cs="Arial" w:eastAsia="Arial" w:hint="default"/>
                <w:sz w:val="18"/>
                <w:szCs w:val="18"/>
              </w:rPr>
            </w:pPr>
            <w:r>
              <w:rPr>
                <w:rFonts w:ascii="Arial"/>
                <w:sz w:val="18"/>
              </w:rPr>
              <w:t>144,387,030.64</w:t>
            </w:r>
          </w:p>
        </w:tc>
        <w:tc>
          <w:tcPr>
            <w:tcW w:w="828" w:type="dxa"/>
            <w:tcBorders>
              <w:top w:val="single" w:sz="4" w:space="0" w:color="000000"/>
              <w:left w:val="single" w:sz="4" w:space="0" w:color="000000"/>
              <w:bottom w:val="single" w:sz="4" w:space="0" w:color="000000"/>
              <w:right w:val="single" w:sz="4" w:space="0" w:color="000000"/>
            </w:tcBorders>
          </w:tcPr>
          <w:p>
            <w:pPr/>
          </w:p>
        </w:tc>
        <w:tc>
          <w:tcPr>
            <w:tcW w:w="64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left"/>
              <w:rPr>
                <w:rFonts w:ascii="Arial" w:hAnsi="Arial" w:cs="Arial" w:eastAsia="Arial" w:hint="default"/>
                <w:sz w:val="18"/>
                <w:szCs w:val="18"/>
              </w:rPr>
            </w:pPr>
            <w:r>
              <w:rPr>
                <w:rFonts w:ascii="Arial"/>
                <w:sz w:val="18"/>
              </w:rPr>
              <w:t>64,002,272.39</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left"/>
              <w:rPr>
                <w:rFonts w:ascii="Arial" w:hAnsi="Arial" w:cs="Arial" w:eastAsia="Arial" w:hint="default"/>
                <w:sz w:val="18"/>
                <w:szCs w:val="18"/>
              </w:rPr>
            </w:pPr>
            <w:r>
              <w:rPr>
                <w:rFonts w:ascii="Arial"/>
                <w:sz w:val="18"/>
              </w:rPr>
              <w:t>259,152,497.66</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left"/>
              <w:rPr>
                <w:rFonts w:ascii="Arial" w:hAnsi="Arial" w:cs="Arial" w:eastAsia="Arial" w:hint="default"/>
                <w:sz w:val="18"/>
                <w:szCs w:val="18"/>
              </w:rPr>
            </w:pPr>
            <w:r>
              <w:rPr>
                <w:rFonts w:ascii="Arial"/>
                <w:sz w:val="18"/>
              </w:rPr>
              <w:t>3,007,608,236.44</w:t>
            </w:r>
          </w:p>
        </w:tc>
      </w:tr>
    </w:tbl>
    <w:p>
      <w:pPr>
        <w:spacing w:line="240" w:lineRule="auto" w:before="5"/>
        <w:rPr>
          <w:rFonts w:ascii="宋体" w:hAnsi="宋体" w:cs="宋体" w:eastAsia="宋体" w:hint="default"/>
          <w:sz w:val="27"/>
          <w:szCs w:val="27"/>
        </w:rPr>
      </w:pPr>
    </w:p>
    <w:p>
      <w:pPr>
        <w:tabs>
          <w:tab w:pos="13259" w:val="left" w:leader="none"/>
        </w:tabs>
        <w:spacing w:before="44"/>
        <w:ind w:left="120" w:right="0" w:firstLine="0"/>
        <w:jc w:val="left"/>
        <w:rPr>
          <w:rFonts w:ascii="宋体" w:hAnsi="宋体" w:cs="宋体" w:eastAsia="宋体" w:hint="default"/>
          <w:sz w:val="18"/>
          <w:szCs w:val="18"/>
        </w:rPr>
      </w:pPr>
      <w:r>
        <w:rPr>
          <w:rFonts w:ascii="宋体" w:hAnsi="宋体" w:cs="宋体" w:eastAsia="宋体" w:hint="default"/>
          <w:sz w:val="18"/>
          <w:szCs w:val="18"/>
        </w:rPr>
        <w:t>上期金额</w:t>
        <w:tab/>
        <w:t>单位：元</w:t>
      </w:r>
    </w:p>
    <w:p>
      <w:pPr>
        <w:spacing w:line="240" w:lineRule="auto" w:before="1"/>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898"/>
        <w:gridCol w:w="1308"/>
        <w:gridCol w:w="512"/>
        <w:gridCol w:w="512"/>
        <w:gridCol w:w="374"/>
        <w:gridCol w:w="1458"/>
        <w:gridCol w:w="1308"/>
        <w:gridCol w:w="926"/>
        <w:gridCol w:w="650"/>
        <w:gridCol w:w="1208"/>
        <w:gridCol w:w="1308"/>
        <w:gridCol w:w="1458"/>
      </w:tblGrid>
      <w:tr>
        <w:trPr>
          <w:trHeight w:val="402" w:hRule="exact"/>
        </w:trPr>
        <w:tc>
          <w:tcPr>
            <w:tcW w:w="2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0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2898" w:type="dxa"/>
            <w:vMerge/>
            <w:tcBorders>
              <w:left w:val="single" w:sz="4" w:space="0" w:color="000000"/>
              <w:right w:val="single" w:sz="4" w:space="0" w:color="000000"/>
            </w:tcBorders>
            <w:shd w:val="clear" w:color="auto" w:fill="D2D2D2"/>
          </w:tcPr>
          <w:p>
            <w:pPr/>
          </w:p>
        </w:tc>
        <w:tc>
          <w:tcPr>
            <w:tcW w:w="13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39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3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77" w:right="97"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29" w:right="48"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2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14" w:hRule="exact"/>
        </w:trPr>
        <w:tc>
          <w:tcPr>
            <w:tcW w:w="2898" w:type="dxa"/>
            <w:vMerge/>
            <w:tcBorders>
              <w:left w:val="single" w:sz="4" w:space="0" w:color="000000"/>
              <w:bottom w:val="single" w:sz="4" w:space="0" w:color="000000"/>
              <w:right w:val="single" w:sz="4" w:space="0" w:color="000000"/>
            </w:tcBorders>
            <w:shd w:val="clear" w:color="auto" w:fill="D2D2D2"/>
          </w:tcPr>
          <w:p>
            <w:pPr/>
          </w:p>
        </w:tc>
        <w:tc>
          <w:tcPr>
            <w:tcW w:w="1308" w:type="dxa"/>
            <w:vMerge/>
            <w:tcBorders>
              <w:left w:val="single" w:sz="4" w:space="0" w:color="000000"/>
              <w:bottom w:val="single" w:sz="4" w:space="0" w:color="000000"/>
              <w:right w:val="single" w:sz="4" w:space="0" w:color="000000"/>
            </w:tcBorders>
            <w:shd w:val="clear" w:color="auto" w:fill="D2D2D2"/>
          </w:tcPr>
          <w:p>
            <w:pPr/>
          </w:p>
        </w:tc>
        <w:tc>
          <w:tcPr>
            <w:tcW w:w="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1" w:right="69"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1" w:right="70"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3" w:right="89"/>
              <w:jc w:val="left"/>
              <w:rPr>
                <w:rFonts w:ascii="宋体" w:hAnsi="宋体" w:cs="宋体" w:eastAsia="宋体" w:hint="default"/>
                <w:sz w:val="18"/>
                <w:szCs w:val="18"/>
              </w:rPr>
            </w:pPr>
            <w:r>
              <w:rPr>
                <w:rFonts w:ascii="宋体" w:hAnsi="宋体" w:cs="宋体" w:eastAsia="宋体" w:hint="default"/>
                <w:sz w:val="18"/>
                <w:szCs w:val="18"/>
              </w:rPr>
              <w:t>其 他</w:t>
            </w:r>
          </w:p>
        </w:tc>
        <w:tc>
          <w:tcPr>
            <w:tcW w:w="1458" w:type="dxa"/>
            <w:vMerge/>
            <w:tcBorders>
              <w:left w:val="single" w:sz="4" w:space="0" w:color="000000"/>
              <w:bottom w:val="single" w:sz="4" w:space="0" w:color="000000"/>
              <w:right w:val="single" w:sz="4" w:space="0" w:color="000000"/>
            </w:tcBorders>
            <w:shd w:val="clear" w:color="auto" w:fill="D2D2D2"/>
          </w:tcPr>
          <w:p>
            <w:pPr/>
          </w:p>
        </w:tc>
        <w:tc>
          <w:tcPr>
            <w:tcW w:w="1308" w:type="dxa"/>
            <w:vMerge/>
            <w:tcBorders>
              <w:left w:val="single" w:sz="4" w:space="0" w:color="000000"/>
              <w:bottom w:val="single" w:sz="4" w:space="0" w:color="000000"/>
              <w:right w:val="single" w:sz="4" w:space="0" w:color="000000"/>
            </w:tcBorders>
            <w:shd w:val="clear" w:color="auto" w:fill="D2D2D2"/>
          </w:tcPr>
          <w:p>
            <w:pPr/>
          </w:p>
        </w:tc>
        <w:tc>
          <w:tcPr>
            <w:tcW w:w="926" w:type="dxa"/>
            <w:vMerge/>
            <w:tcBorders>
              <w:left w:val="single" w:sz="4" w:space="0" w:color="000000"/>
              <w:bottom w:val="single" w:sz="4" w:space="0" w:color="000000"/>
              <w:right w:val="single" w:sz="4" w:space="0" w:color="000000"/>
            </w:tcBorders>
            <w:shd w:val="clear" w:color="auto" w:fill="D2D2D2"/>
          </w:tcPr>
          <w:p>
            <w:pPr/>
          </w:p>
        </w:tc>
        <w:tc>
          <w:tcPr>
            <w:tcW w:w="650" w:type="dxa"/>
            <w:vMerge/>
            <w:tcBorders>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308" w:type="dxa"/>
            <w:vMerge/>
            <w:tcBorders>
              <w:left w:val="single" w:sz="4" w:space="0" w:color="000000"/>
              <w:bottom w:val="single" w:sz="4" w:space="0" w:color="000000"/>
              <w:right w:val="single" w:sz="4" w:space="0" w:color="000000"/>
            </w:tcBorders>
            <w:shd w:val="clear" w:color="auto" w:fill="D2D2D2"/>
          </w:tcPr>
          <w:p>
            <w:pPr/>
          </w:p>
        </w:tc>
        <w:tc>
          <w:tcPr>
            <w:tcW w:w="145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 w:right="0"/>
              <w:jc w:val="center"/>
              <w:rPr>
                <w:rFonts w:ascii="Arial" w:hAnsi="Arial" w:cs="Arial" w:eastAsia="Arial" w:hint="default"/>
                <w:sz w:val="18"/>
                <w:szCs w:val="18"/>
              </w:rPr>
            </w:pPr>
            <w:r>
              <w:rPr>
                <w:rFonts w:ascii="Arial"/>
                <w:sz w:val="18"/>
              </w:rPr>
              <w:t>644,482,388.00</w:t>
            </w:r>
          </w:p>
        </w:tc>
        <w:tc>
          <w:tcPr>
            <w:tcW w:w="512"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452,539,513.83</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2"/>
                <w:sz w:val="18"/>
              </w:rPr>
              <w:t>54,428,117.96</w:t>
            </w:r>
          </w:p>
        </w:tc>
        <w:tc>
          <w:tcPr>
            <w:tcW w:w="92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42,888,821.70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139,272,392.68</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 w:right="0"/>
              <w:jc w:val="center"/>
              <w:rPr>
                <w:rFonts w:ascii="Arial" w:hAnsi="Arial" w:cs="Arial" w:eastAsia="Arial" w:hint="default"/>
                <w:sz w:val="18"/>
                <w:szCs w:val="18"/>
              </w:rPr>
            </w:pPr>
            <w:r>
              <w:rPr>
                <w:rFonts w:ascii="Arial"/>
                <w:sz w:val="18"/>
              </w:rPr>
              <w:t>1,224,754,998.25</w:t>
            </w:r>
          </w:p>
        </w:tc>
      </w:tr>
      <w:tr>
        <w:trPr>
          <w:trHeight w:val="402" w:hRule="exact"/>
        </w:trPr>
        <w:tc>
          <w:tcPr>
            <w:tcW w:w="2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08"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08"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08"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 w:right="0"/>
              <w:jc w:val="center"/>
              <w:rPr>
                <w:rFonts w:ascii="Arial" w:hAnsi="Arial" w:cs="Arial" w:eastAsia="Arial" w:hint="default"/>
                <w:sz w:val="18"/>
                <w:szCs w:val="18"/>
              </w:rPr>
            </w:pPr>
            <w:r>
              <w:rPr>
                <w:rFonts w:ascii="Arial"/>
                <w:sz w:val="18"/>
              </w:rPr>
              <w:t>644,482,388.00</w:t>
            </w:r>
          </w:p>
        </w:tc>
        <w:tc>
          <w:tcPr>
            <w:tcW w:w="512"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452,539,513.83</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2"/>
                <w:sz w:val="18"/>
              </w:rPr>
              <w:t>54,428,117.96</w:t>
            </w:r>
          </w:p>
        </w:tc>
        <w:tc>
          <w:tcPr>
            <w:tcW w:w="92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42,888,821.70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139,272,392.68</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 w:right="0"/>
              <w:jc w:val="center"/>
              <w:rPr>
                <w:rFonts w:ascii="Arial" w:hAnsi="Arial" w:cs="Arial" w:eastAsia="Arial" w:hint="default"/>
                <w:sz w:val="18"/>
                <w:szCs w:val="18"/>
              </w:rPr>
            </w:pPr>
            <w:r>
              <w:rPr>
                <w:rFonts w:ascii="Arial"/>
                <w:sz w:val="18"/>
              </w:rPr>
              <w:t>1,224,754,998.25</w:t>
            </w:r>
          </w:p>
        </w:tc>
      </w:tr>
      <w:tr>
        <w:trPr>
          <w:trHeight w:val="400" w:hRule="exact"/>
        </w:trPr>
        <w:tc>
          <w:tcPr>
            <w:tcW w:w="2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4" w:right="0"/>
              <w:jc w:val="left"/>
              <w:rPr>
                <w:rFonts w:ascii="Arial" w:hAnsi="Arial" w:cs="Arial" w:eastAsia="Arial" w:hint="default"/>
                <w:sz w:val="18"/>
                <w:szCs w:val="18"/>
              </w:rPr>
            </w:pPr>
            <w:r>
              <w:rPr>
                <w:rFonts w:ascii="宋体" w:hAnsi="宋体" w:cs="宋体" w:eastAsia="宋体" w:hint="default"/>
                <w:sz w:val="18"/>
                <w:szCs w:val="18"/>
              </w:rPr>
              <w:t>三、本期增减变动金额（减少以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 w:right="0"/>
              <w:jc w:val="center"/>
              <w:rPr>
                <w:rFonts w:ascii="Arial" w:hAnsi="Arial" w:cs="Arial" w:eastAsia="Arial" w:hint="default"/>
                <w:sz w:val="18"/>
                <w:szCs w:val="18"/>
              </w:rPr>
            </w:pPr>
            <w:r>
              <w:rPr>
                <w:rFonts w:ascii="Arial"/>
                <w:w w:val="95"/>
                <w:sz w:val="18"/>
              </w:rPr>
              <w:t>116,198,788.00</w:t>
            </w:r>
            <w:r>
              <w:rPr>
                <w:rFonts w:ascii="Arial"/>
                <w:sz w:val="18"/>
              </w:rPr>
            </w:r>
          </w:p>
        </w:tc>
        <w:tc>
          <w:tcPr>
            <w:tcW w:w="512"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2"/>
                <w:sz w:val="18"/>
              </w:rPr>
              <w:t>1,632,114,757.94</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191,494,615.26</w:t>
            </w:r>
          </w:p>
        </w:tc>
        <w:tc>
          <w:tcPr>
            <w:tcW w:w="92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4,369,005.96</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7,109,412.29</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Arial" w:hAnsi="Arial" w:cs="Arial" w:eastAsia="Arial" w:hint="default"/>
                <w:sz w:val="18"/>
                <w:szCs w:val="18"/>
              </w:rPr>
            </w:pPr>
            <w:r>
              <w:rPr>
                <w:rFonts w:ascii="Arial"/>
                <w:sz w:val="18"/>
              </w:rPr>
              <w:t>1,568,297,348.93</w:t>
            </w:r>
          </w:p>
        </w:tc>
      </w:tr>
    </w:tbl>
    <w:p>
      <w:pPr>
        <w:spacing w:after="0" w:line="240" w:lineRule="auto"/>
        <w:jc w:val="center"/>
        <w:rPr>
          <w:rFonts w:ascii="Arial" w:hAnsi="Arial" w:cs="Arial" w:eastAsia="Arial" w:hint="default"/>
          <w:sz w:val="18"/>
          <w:szCs w:val="18"/>
        </w:rPr>
        <w:sectPr>
          <w:pgSz w:w="16840" w:h="11910" w:orient="landscape"/>
          <w:pgMar w:header="868" w:footer="978" w:top="1060" w:bottom="1160" w:left="1320" w:right="1320"/>
        </w:sectPr>
      </w:pPr>
    </w:p>
    <w:p>
      <w:pPr>
        <w:spacing w:line="240" w:lineRule="auto" w:before="1"/>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898"/>
        <w:gridCol w:w="1308"/>
        <w:gridCol w:w="512"/>
        <w:gridCol w:w="512"/>
        <w:gridCol w:w="374"/>
        <w:gridCol w:w="1458"/>
        <w:gridCol w:w="1308"/>
        <w:gridCol w:w="926"/>
        <w:gridCol w:w="650"/>
        <w:gridCol w:w="1208"/>
        <w:gridCol w:w="1308"/>
        <w:gridCol w:w="1458"/>
      </w:tblGrid>
      <w:tr>
        <w:trPr>
          <w:trHeight w:val="377" w:hRule="exact"/>
        </w:trPr>
        <w:tc>
          <w:tcPr>
            <w:tcW w:w="2898" w:type="dxa"/>
            <w:tcBorders>
              <w:top w:val="single" w:sz="16"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308" w:type="dxa"/>
            <w:tcBorders>
              <w:top w:val="single" w:sz="16" w:space="0" w:color="000000"/>
              <w:left w:val="single" w:sz="4" w:space="0" w:color="000000"/>
              <w:bottom w:val="single" w:sz="4" w:space="0" w:color="000000"/>
              <w:right w:val="single" w:sz="4" w:space="0" w:color="000000"/>
            </w:tcBorders>
          </w:tcPr>
          <w:p>
            <w:pPr/>
          </w:p>
        </w:tc>
        <w:tc>
          <w:tcPr>
            <w:tcW w:w="512" w:type="dxa"/>
            <w:tcBorders>
              <w:top w:val="single" w:sz="16" w:space="0" w:color="000000"/>
              <w:left w:val="single" w:sz="4" w:space="0" w:color="000000"/>
              <w:bottom w:val="single" w:sz="4" w:space="0" w:color="000000"/>
              <w:right w:val="single" w:sz="4" w:space="0" w:color="000000"/>
            </w:tcBorders>
          </w:tcPr>
          <w:p>
            <w:pPr/>
          </w:p>
        </w:tc>
        <w:tc>
          <w:tcPr>
            <w:tcW w:w="512" w:type="dxa"/>
            <w:tcBorders>
              <w:top w:val="single" w:sz="16" w:space="0" w:color="000000"/>
              <w:left w:val="single" w:sz="4" w:space="0" w:color="000000"/>
              <w:bottom w:val="single" w:sz="4" w:space="0" w:color="000000"/>
              <w:right w:val="single" w:sz="4" w:space="0" w:color="000000"/>
            </w:tcBorders>
          </w:tcPr>
          <w:p>
            <w:pPr/>
          </w:p>
        </w:tc>
        <w:tc>
          <w:tcPr>
            <w:tcW w:w="374" w:type="dxa"/>
            <w:tcBorders>
              <w:top w:val="single" w:sz="16" w:space="0" w:color="000000"/>
              <w:left w:val="single" w:sz="4" w:space="0" w:color="000000"/>
              <w:bottom w:val="single" w:sz="4" w:space="0" w:color="000000"/>
              <w:right w:val="single" w:sz="4" w:space="0" w:color="000000"/>
            </w:tcBorders>
          </w:tcPr>
          <w:p>
            <w:pPr/>
          </w:p>
        </w:tc>
        <w:tc>
          <w:tcPr>
            <w:tcW w:w="1458" w:type="dxa"/>
            <w:tcBorders>
              <w:top w:val="single" w:sz="16" w:space="0" w:color="000000"/>
              <w:left w:val="single" w:sz="4" w:space="0" w:color="000000"/>
              <w:bottom w:val="single" w:sz="4" w:space="0" w:color="000000"/>
              <w:right w:val="single" w:sz="4" w:space="0" w:color="000000"/>
            </w:tcBorders>
          </w:tcPr>
          <w:p>
            <w:pPr/>
          </w:p>
        </w:tc>
        <w:tc>
          <w:tcPr>
            <w:tcW w:w="1308" w:type="dxa"/>
            <w:tcBorders>
              <w:top w:val="single" w:sz="16" w:space="0" w:color="000000"/>
              <w:left w:val="single" w:sz="4" w:space="0" w:color="000000"/>
              <w:bottom w:val="single" w:sz="4" w:space="0" w:color="000000"/>
              <w:right w:val="single" w:sz="4" w:space="0" w:color="000000"/>
            </w:tcBorders>
          </w:tcPr>
          <w:p>
            <w:pPr/>
          </w:p>
        </w:tc>
        <w:tc>
          <w:tcPr>
            <w:tcW w:w="926" w:type="dxa"/>
            <w:tcBorders>
              <w:top w:val="single" w:sz="16" w:space="0" w:color="000000"/>
              <w:left w:val="single" w:sz="4" w:space="0" w:color="000000"/>
              <w:bottom w:val="single" w:sz="4" w:space="0" w:color="000000"/>
              <w:right w:val="single" w:sz="4" w:space="0" w:color="000000"/>
            </w:tcBorders>
          </w:tcPr>
          <w:p>
            <w:pPr/>
          </w:p>
        </w:tc>
        <w:tc>
          <w:tcPr>
            <w:tcW w:w="650" w:type="dxa"/>
            <w:tcBorders>
              <w:top w:val="single" w:sz="16" w:space="0" w:color="000000"/>
              <w:left w:val="single" w:sz="4" w:space="0" w:color="000000"/>
              <w:bottom w:val="single" w:sz="4" w:space="0" w:color="000000"/>
              <w:right w:val="single" w:sz="4" w:space="0" w:color="000000"/>
            </w:tcBorders>
          </w:tcPr>
          <w:p>
            <w:pPr/>
          </w:p>
        </w:tc>
        <w:tc>
          <w:tcPr>
            <w:tcW w:w="1208" w:type="dxa"/>
            <w:tcBorders>
              <w:top w:val="single" w:sz="16" w:space="0" w:color="000000"/>
              <w:left w:val="single" w:sz="4" w:space="0" w:color="000000"/>
              <w:bottom w:val="single" w:sz="4" w:space="0" w:color="000000"/>
              <w:right w:val="single" w:sz="4" w:space="0" w:color="000000"/>
            </w:tcBorders>
          </w:tcPr>
          <w:p>
            <w:pPr/>
          </w:p>
        </w:tc>
        <w:tc>
          <w:tcPr>
            <w:tcW w:w="1308" w:type="dxa"/>
            <w:tcBorders>
              <w:top w:val="single" w:sz="16" w:space="0" w:color="000000"/>
              <w:left w:val="single" w:sz="4" w:space="0" w:color="000000"/>
              <w:bottom w:val="single" w:sz="4" w:space="0" w:color="000000"/>
              <w:right w:val="single" w:sz="4" w:space="0" w:color="000000"/>
            </w:tcBorders>
          </w:tcPr>
          <w:p>
            <w:pPr/>
          </w:p>
        </w:tc>
        <w:tc>
          <w:tcPr>
            <w:tcW w:w="1458" w:type="dxa"/>
            <w:tcBorders>
              <w:top w:val="single" w:sz="16" w:space="0" w:color="000000"/>
              <w:left w:val="single" w:sz="4" w:space="0" w:color="000000"/>
              <w:bottom w:val="single" w:sz="4" w:space="0" w:color="000000"/>
              <w:right w:val="single" w:sz="4" w:space="0" w:color="000000"/>
            </w:tcBorders>
          </w:tcPr>
          <w:p>
            <w:pPr/>
          </w:p>
        </w:tc>
      </w:tr>
      <w:tr>
        <w:trPr>
          <w:trHeight w:val="402" w:hRule="exact"/>
        </w:trPr>
        <w:tc>
          <w:tcPr>
            <w:tcW w:w="2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08"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4" w:right="0"/>
              <w:jc w:val="center"/>
              <w:rPr>
                <w:rFonts w:ascii="Arial" w:hAnsi="Arial" w:cs="Arial" w:eastAsia="Arial" w:hint="default"/>
                <w:sz w:val="18"/>
                <w:szCs w:val="18"/>
              </w:rPr>
            </w:pPr>
            <w:r>
              <w:rPr>
                <w:rFonts w:ascii="Arial"/>
                <w:sz w:val="18"/>
              </w:rPr>
              <w:t>43,690,059.63</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43,690,059.63</w:t>
            </w:r>
          </w:p>
        </w:tc>
      </w:tr>
      <w:tr>
        <w:trPr>
          <w:trHeight w:val="402" w:hRule="exact"/>
        </w:trPr>
        <w:tc>
          <w:tcPr>
            <w:tcW w:w="2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2"/>
                <w:sz w:val="18"/>
              </w:rPr>
              <w:t>116,198,788.00</w:t>
            </w:r>
          </w:p>
        </w:tc>
        <w:tc>
          <w:tcPr>
            <w:tcW w:w="512"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2"/>
                <w:sz w:val="18"/>
              </w:rPr>
              <w:t>1,632,114,757.94</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 w:right="0"/>
              <w:jc w:val="center"/>
              <w:rPr>
                <w:rFonts w:ascii="Arial" w:hAnsi="Arial" w:cs="Arial" w:eastAsia="Arial" w:hint="default"/>
                <w:sz w:val="18"/>
                <w:szCs w:val="18"/>
              </w:rPr>
            </w:pPr>
            <w:r>
              <w:rPr>
                <w:rFonts w:ascii="Arial"/>
                <w:sz w:val="18"/>
              </w:rPr>
              <w:t>191,494,615.26</w:t>
            </w:r>
          </w:p>
        </w:tc>
        <w:tc>
          <w:tcPr>
            <w:tcW w:w="92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1,556,818,930.68</w:t>
            </w:r>
          </w:p>
        </w:tc>
      </w:tr>
      <w:tr>
        <w:trPr>
          <w:trHeight w:val="402" w:hRule="exact"/>
        </w:trPr>
        <w:tc>
          <w:tcPr>
            <w:tcW w:w="2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．所有者投入的普通股</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91,753,235.00</w:t>
            </w:r>
          </w:p>
        </w:tc>
        <w:tc>
          <w:tcPr>
            <w:tcW w:w="512"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1,402,086,756.20</w:t>
            </w:r>
          </w:p>
        </w:tc>
        <w:tc>
          <w:tcPr>
            <w:tcW w:w="130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1,493,839,991.20</w:t>
            </w:r>
          </w:p>
        </w:tc>
      </w:tr>
      <w:tr>
        <w:trPr>
          <w:trHeight w:val="402" w:hRule="exact"/>
        </w:trPr>
        <w:tc>
          <w:tcPr>
            <w:tcW w:w="2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．其他权益工具持有者投入资本</w:t>
            </w:r>
          </w:p>
        </w:tc>
        <w:tc>
          <w:tcPr>
            <w:tcW w:w="1308"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．股份支付计入所有者权益的金额</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24,445,553.00</w:t>
            </w:r>
          </w:p>
        </w:tc>
        <w:tc>
          <w:tcPr>
            <w:tcW w:w="512"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2"/>
                <w:sz w:val="18"/>
              </w:rPr>
              <w:t>224,110,007.74</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Arial" w:hAnsi="Arial" w:cs="Arial" w:eastAsia="Arial" w:hint="default"/>
                <w:sz w:val="18"/>
                <w:szCs w:val="18"/>
              </w:rPr>
            </w:pPr>
            <w:r>
              <w:rPr>
                <w:rFonts w:ascii="Arial"/>
                <w:sz w:val="18"/>
              </w:rPr>
              <w:t>191,494,615.26</w:t>
            </w:r>
          </w:p>
        </w:tc>
        <w:tc>
          <w:tcPr>
            <w:tcW w:w="92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57,060,945.48</w:t>
            </w:r>
          </w:p>
        </w:tc>
      </w:tr>
      <w:tr>
        <w:trPr>
          <w:trHeight w:val="402" w:hRule="exact"/>
        </w:trPr>
        <w:tc>
          <w:tcPr>
            <w:tcW w:w="2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308"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5,917,994.00</w:t>
            </w:r>
          </w:p>
        </w:tc>
        <w:tc>
          <w:tcPr>
            <w:tcW w:w="130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5,917,994.00</w:t>
            </w:r>
          </w:p>
        </w:tc>
      </w:tr>
      <w:tr>
        <w:trPr>
          <w:trHeight w:val="402" w:hRule="exact"/>
        </w:trPr>
        <w:tc>
          <w:tcPr>
            <w:tcW w:w="2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08"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4,369,005.96</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 w:right="0"/>
              <w:jc w:val="center"/>
              <w:rPr>
                <w:rFonts w:ascii="Arial" w:hAnsi="Arial" w:cs="Arial" w:eastAsia="Arial" w:hint="default"/>
                <w:sz w:val="18"/>
                <w:szCs w:val="18"/>
              </w:rPr>
            </w:pPr>
            <w:r>
              <w:rPr>
                <w:rFonts w:ascii="Arial"/>
                <w:sz w:val="18"/>
              </w:rPr>
              <w:t>-36,580,647.34</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2"/>
                <w:sz w:val="18"/>
              </w:rPr>
              <w:t>-32,211,641.38</w:t>
            </w:r>
          </w:p>
        </w:tc>
      </w:tr>
      <w:tr>
        <w:trPr>
          <w:trHeight w:val="402" w:hRule="exact"/>
        </w:trPr>
        <w:tc>
          <w:tcPr>
            <w:tcW w:w="2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．提取盈余公积</w:t>
            </w:r>
          </w:p>
        </w:tc>
        <w:tc>
          <w:tcPr>
            <w:tcW w:w="1308"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4,369,005.96</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45" w:right="0"/>
              <w:jc w:val="center"/>
              <w:rPr>
                <w:rFonts w:ascii="Arial" w:hAnsi="Arial" w:cs="Arial" w:eastAsia="Arial" w:hint="default"/>
                <w:sz w:val="18"/>
                <w:szCs w:val="18"/>
              </w:rPr>
            </w:pPr>
            <w:r>
              <w:rPr>
                <w:rFonts w:ascii="Arial"/>
                <w:sz w:val="18"/>
              </w:rPr>
              <w:t>-4,369,005.96</w:t>
            </w: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．对所有者（或股东）的分配</w:t>
            </w:r>
          </w:p>
        </w:tc>
        <w:tc>
          <w:tcPr>
            <w:tcW w:w="1308"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 w:right="0"/>
              <w:jc w:val="center"/>
              <w:rPr>
                <w:rFonts w:ascii="Arial" w:hAnsi="Arial" w:cs="Arial" w:eastAsia="Arial" w:hint="default"/>
                <w:sz w:val="18"/>
                <w:szCs w:val="18"/>
              </w:rPr>
            </w:pPr>
            <w:r>
              <w:rPr>
                <w:rFonts w:ascii="Arial"/>
                <w:sz w:val="18"/>
              </w:rPr>
              <w:t>-32,211,641.38</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2"/>
                <w:sz w:val="18"/>
              </w:rPr>
              <w:t>-32,211,641.38</w:t>
            </w:r>
          </w:p>
        </w:tc>
      </w:tr>
      <w:tr>
        <w:trPr>
          <w:trHeight w:val="402" w:hRule="exact"/>
        </w:trPr>
        <w:tc>
          <w:tcPr>
            <w:tcW w:w="2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w:t>
            </w:r>
          </w:p>
        </w:tc>
        <w:tc>
          <w:tcPr>
            <w:tcW w:w="1308"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08"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．资本公积转增资本（或股本）</w:t>
            </w:r>
          </w:p>
        </w:tc>
        <w:tc>
          <w:tcPr>
            <w:tcW w:w="1308"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．盈余公积转增资本（或股本）</w:t>
            </w:r>
          </w:p>
        </w:tc>
        <w:tc>
          <w:tcPr>
            <w:tcW w:w="1308"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．盈余公积弥补亏损</w:t>
            </w:r>
          </w:p>
        </w:tc>
        <w:tc>
          <w:tcPr>
            <w:tcW w:w="1308"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4" w:right="64"/>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．设定受益计划变动额结转留存收 益</w:t>
            </w:r>
          </w:p>
        </w:tc>
        <w:tc>
          <w:tcPr>
            <w:tcW w:w="1308"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．其他</w:t>
            </w:r>
          </w:p>
        </w:tc>
        <w:tc>
          <w:tcPr>
            <w:tcW w:w="1308"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08"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．本期提取</w:t>
            </w:r>
          </w:p>
        </w:tc>
        <w:tc>
          <w:tcPr>
            <w:tcW w:w="1308"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．本期使用</w:t>
            </w:r>
          </w:p>
        </w:tc>
        <w:tc>
          <w:tcPr>
            <w:tcW w:w="1308"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08"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760,681,176.00</w:t>
            </w:r>
          </w:p>
        </w:tc>
        <w:tc>
          <w:tcPr>
            <w:tcW w:w="512"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2,084,654,271.77</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Arial" w:hAnsi="Arial" w:cs="Arial" w:eastAsia="Arial" w:hint="default"/>
                <w:sz w:val="18"/>
                <w:szCs w:val="18"/>
              </w:rPr>
            </w:pPr>
            <w:r>
              <w:rPr>
                <w:rFonts w:ascii="Arial"/>
                <w:sz w:val="18"/>
              </w:rPr>
              <w:t>245,922,733.22</w:t>
            </w:r>
          </w:p>
        </w:tc>
        <w:tc>
          <w:tcPr>
            <w:tcW w:w="92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47,257,827.66</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Arial" w:hAnsi="Arial" w:cs="Arial" w:eastAsia="Arial" w:hint="default"/>
                <w:sz w:val="18"/>
                <w:szCs w:val="18"/>
              </w:rPr>
            </w:pPr>
            <w:r>
              <w:rPr>
                <w:rFonts w:ascii="Arial"/>
                <w:sz w:val="18"/>
              </w:rPr>
              <w:t>146,381,804.97</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2,793,052,347.18</w:t>
            </w:r>
          </w:p>
        </w:tc>
      </w:tr>
    </w:tbl>
    <w:p>
      <w:pPr>
        <w:spacing w:after="0" w:line="240" w:lineRule="auto"/>
        <w:jc w:val="right"/>
        <w:rPr>
          <w:rFonts w:ascii="Arial" w:hAnsi="Arial" w:cs="Arial" w:eastAsia="Arial" w:hint="default"/>
          <w:sz w:val="18"/>
          <w:szCs w:val="18"/>
        </w:rPr>
        <w:sectPr>
          <w:pgSz w:w="16840" w:h="11910" w:orient="landscape"/>
          <w:pgMar w:header="868" w:footer="978" w:top="1060" w:bottom="1160" w:left="1320" w:right="1320"/>
        </w:sectPr>
      </w:pPr>
    </w:p>
    <w:p>
      <w:pPr>
        <w:spacing w:line="240" w:lineRule="auto" w:before="6"/>
        <w:rPr>
          <w:rFonts w:ascii="Times New Roman" w:hAnsi="Times New Roman" w:cs="Times New Roman" w:eastAsia="Times New Roman" w:hint="default"/>
          <w:sz w:val="22"/>
          <w:szCs w:val="22"/>
        </w:rPr>
      </w:pPr>
    </w:p>
    <w:p>
      <w:pPr>
        <w:pStyle w:val="Heading2"/>
        <w:spacing w:line="240" w:lineRule="auto"/>
        <w:ind w:right="996"/>
        <w:jc w:val="left"/>
        <w:rPr>
          <w:b w:val="0"/>
          <w:bCs w:val="0"/>
        </w:rPr>
      </w:pPr>
      <w:bookmarkStart w:name="三、公司基本情况" w:id="161"/>
      <w:bookmarkEnd w:id="161"/>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BodyText"/>
        <w:spacing w:line="261" w:lineRule="auto" w:before="0"/>
        <w:ind w:right="1025" w:firstLine="427"/>
        <w:jc w:val="left"/>
      </w:pPr>
      <w:r>
        <w:rPr/>
        <w:t>北京华宇软件股份有限公司（以下简称</w:t>
      </w:r>
      <w:r>
        <w:rPr>
          <w:rFonts w:ascii="Arial" w:hAnsi="Arial" w:cs="Arial" w:eastAsia="Arial" w:hint="default"/>
        </w:rPr>
        <w:t>“</w:t>
      </w:r>
      <w:r>
        <w:rPr/>
        <w:t>本公司</w:t>
      </w:r>
      <w:r>
        <w:rPr>
          <w:rFonts w:ascii="Arial" w:hAnsi="Arial" w:cs="Arial" w:eastAsia="Arial" w:hint="default"/>
        </w:rPr>
        <w:t>”</w:t>
      </w:r>
      <w:r>
        <w:rPr/>
        <w:t>或</w:t>
      </w:r>
      <w:r>
        <w:rPr>
          <w:rFonts w:ascii="Arial" w:hAnsi="Arial" w:cs="Arial" w:eastAsia="Arial" w:hint="default"/>
        </w:rPr>
        <w:t>“</w:t>
      </w:r>
      <w:r>
        <w:rPr/>
        <w:t>公司</w:t>
      </w:r>
      <w:r>
        <w:rPr>
          <w:rFonts w:ascii="Arial" w:hAnsi="Arial" w:cs="Arial" w:eastAsia="Arial" w:hint="default"/>
        </w:rPr>
        <w:t>”</w:t>
      </w:r>
      <w:r>
        <w:rPr/>
        <w:t>）（原名</w:t>
      </w:r>
      <w:r>
        <w:rPr>
          <w:rFonts w:ascii="Arial" w:hAnsi="Arial" w:cs="Arial" w:eastAsia="Arial" w:hint="default"/>
        </w:rPr>
        <w:t>“</w:t>
      </w:r>
      <w:r>
        <w:rPr/>
        <w:t>北京清华紫光软件股份有限公司</w:t>
      </w:r>
      <w:r>
        <w:rPr>
          <w:rFonts w:ascii="Arial" w:hAnsi="Arial" w:cs="Arial" w:eastAsia="Arial" w:hint="default"/>
        </w:rPr>
        <w:t>”</w:t>
      </w:r>
      <w:r>
        <w:rPr/>
        <w:t>）</w:t>
      </w:r>
      <w:r>
        <w:rPr>
          <w:w w:val="99"/>
        </w:rPr>
        <w:t> </w:t>
      </w:r>
      <w:r>
        <w:rPr/>
        <w:t>系经北京市人民政府经济体制改革办公室于</w:t>
      </w:r>
      <w:r>
        <w:rPr>
          <w:rFonts w:ascii="Arial" w:hAnsi="Arial" w:cs="Arial" w:eastAsia="Arial" w:hint="default"/>
        </w:rPr>
        <w:t>2001</w:t>
      </w:r>
      <w:r>
        <w:rPr/>
        <w:t>年</w:t>
      </w:r>
      <w:r>
        <w:rPr>
          <w:rFonts w:ascii="Arial" w:hAnsi="Arial" w:cs="Arial" w:eastAsia="Arial" w:hint="default"/>
        </w:rPr>
        <w:t>6</w:t>
      </w:r>
      <w:r>
        <w:rPr/>
        <w:t>月</w:t>
      </w:r>
      <w:r>
        <w:rPr>
          <w:rFonts w:ascii="Arial" w:hAnsi="Arial" w:cs="Arial" w:eastAsia="Arial" w:hint="default"/>
        </w:rPr>
        <w:t>11</w:t>
      </w:r>
      <w:r>
        <w:rPr/>
        <w:t>日以京政体改股函</w:t>
      </w:r>
      <w:r>
        <w:rPr>
          <w:rFonts w:ascii="Arial" w:hAnsi="Arial" w:cs="Arial" w:eastAsia="Arial" w:hint="default"/>
        </w:rPr>
        <w:t>[2001]38</w:t>
      </w:r>
      <w:r>
        <w:rPr/>
        <w:t>号文批准，由清华紫</w:t>
      </w:r>
      <w:r>
        <w:rPr>
          <w:w w:val="99"/>
        </w:rPr>
        <w:t> </w:t>
      </w:r>
      <w:r>
        <w:rPr>
          <w:spacing w:val="-3"/>
        </w:rPr>
        <w:t>光股份有限公司（以下简称紫光股份）作为主发起人，以原清华紫光软件中心净资产及部分现金作为出资，</w:t>
      </w:r>
      <w:r>
        <w:rPr>
          <w:w w:val="99"/>
        </w:rPr>
        <w:t> </w:t>
      </w:r>
      <w:r>
        <w:rPr/>
        <w:t>联合其他企业和自然人投入现金共同发起设立，成立于</w:t>
      </w:r>
      <w:r>
        <w:rPr>
          <w:rFonts w:ascii="Arial" w:hAnsi="Arial" w:cs="Arial" w:eastAsia="Arial" w:hint="default"/>
        </w:rPr>
        <w:t>2001</w:t>
      </w:r>
      <w:r>
        <w:rPr/>
        <w:t>年</w:t>
      </w:r>
      <w:r>
        <w:rPr>
          <w:rFonts w:ascii="Arial" w:hAnsi="Arial" w:cs="Arial" w:eastAsia="Arial" w:hint="default"/>
        </w:rPr>
        <w:t>6</w:t>
      </w:r>
      <w:r>
        <w:rPr/>
        <w:t>月</w:t>
      </w:r>
      <w:r>
        <w:rPr>
          <w:rFonts w:ascii="Arial" w:hAnsi="Arial" w:cs="Arial" w:eastAsia="Arial" w:hint="default"/>
        </w:rPr>
        <w:t>18</w:t>
      </w:r>
      <w:r>
        <w:rPr/>
        <w:t>日的股份有限公司。公司成立时注册</w:t>
      </w:r>
      <w:r>
        <w:rPr>
          <w:w w:val="99"/>
        </w:rPr>
        <w:t> </w:t>
      </w:r>
      <w:r>
        <w:rPr/>
        <w:t>资本</w:t>
      </w:r>
      <w:r>
        <w:rPr>
          <w:rFonts w:ascii="Arial" w:hAnsi="Arial" w:cs="Arial" w:eastAsia="Arial" w:hint="default"/>
        </w:rPr>
        <w:t>4,000</w:t>
      </w:r>
      <w:r>
        <w:rPr/>
        <w:t>万元。</w:t>
      </w:r>
    </w:p>
    <w:p>
      <w:pPr>
        <w:pStyle w:val="BodyText"/>
        <w:spacing w:line="259" w:lineRule="auto" w:before="121"/>
        <w:ind w:right="1132" w:firstLine="427"/>
        <w:jc w:val="both"/>
      </w:pPr>
      <w:r>
        <w:rPr>
          <w:rFonts w:ascii="Arial" w:hAnsi="Arial" w:cs="Arial" w:eastAsia="Arial" w:hint="default"/>
          <w:w w:val="95"/>
        </w:rPr>
        <w:t>2003</w:t>
      </w:r>
      <w:r>
        <w:rPr>
          <w:w w:val="95"/>
        </w:rPr>
        <w:t>年</w:t>
      </w:r>
      <w:r>
        <w:rPr>
          <w:rFonts w:ascii="Arial" w:hAnsi="Arial" w:cs="Arial" w:eastAsia="Arial" w:hint="default"/>
          <w:w w:val="95"/>
        </w:rPr>
        <w:t>12</w:t>
      </w:r>
      <w:r>
        <w:rPr>
          <w:w w:val="95"/>
        </w:rPr>
        <w:t>月</w:t>
      </w:r>
      <w:r>
        <w:rPr>
          <w:rFonts w:ascii="Arial" w:hAnsi="Arial" w:cs="Arial" w:eastAsia="Arial" w:hint="default"/>
          <w:w w:val="95"/>
        </w:rPr>
        <w:t>1</w:t>
      </w:r>
      <w:r>
        <w:rPr>
          <w:w w:val="95"/>
        </w:rPr>
        <w:t>日，根据清华大学校企改制的要求和公司股权变化，经北京市工商行政管理局批准，公</w:t>
      </w:r>
      <w:r>
        <w:rPr>
          <w:spacing w:val="-94"/>
          <w:w w:val="95"/>
        </w:rPr>
        <w:t> </w:t>
      </w:r>
      <w:r>
        <w:rPr>
          <w:spacing w:val="-94"/>
          <w:w w:val="95"/>
        </w:rPr>
      </w:r>
      <w:r>
        <w:rPr/>
        <w:t>司更名为</w:t>
      </w:r>
      <w:r>
        <w:rPr>
          <w:rFonts w:ascii="Arial" w:hAnsi="Arial" w:cs="Arial" w:eastAsia="Arial" w:hint="default"/>
        </w:rPr>
        <w:t>“</w:t>
      </w:r>
      <w:r>
        <w:rPr/>
        <w:t>北京紫光华宇软件股份有限公司</w:t>
      </w:r>
      <w:r>
        <w:rPr>
          <w:rFonts w:ascii="Arial" w:hAnsi="Arial" w:cs="Arial" w:eastAsia="Arial" w:hint="default"/>
        </w:rPr>
        <w:t>”</w:t>
      </w:r>
      <w:r>
        <w:rPr/>
        <w:t>。</w:t>
      </w:r>
    </w:p>
    <w:p>
      <w:pPr>
        <w:pStyle w:val="BodyText"/>
        <w:spacing w:line="259" w:lineRule="auto" w:before="123"/>
        <w:ind w:right="1158" w:firstLine="427"/>
        <w:jc w:val="both"/>
      </w:pPr>
      <w:r>
        <w:rPr>
          <w:rFonts w:ascii="Arial" w:hAnsi="Arial" w:cs="Arial" w:eastAsia="Arial" w:hint="default"/>
        </w:rPr>
        <w:t>2007</w:t>
      </w:r>
      <w:r>
        <w:rPr/>
        <w:t>年根据公司股东大会审议通过的《</w:t>
      </w:r>
      <w:r>
        <w:rPr>
          <w:rFonts w:ascii="Arial" w:hAnsi="Arial" w:cs="Arial" w:eastAsia="Arial" w:hint="default"/>
        </w:rPr>
        <w:t>2007</w:t>
      </w:r>
      <w:r>
        <w:rPr/>
        <w:t>年度利润分配方案》：公司以总股本</w:t>
      </w:r>
      <w:r>
        <w:rPr>
          <w:rFonts w:ascii="Arial" w:hAnsi="Arial" w:cs="Arial" w:eastAsia="Arial" w:hint="default"/>
        </w:rPr>
        <w:t>40,000,000</w:t>
      </w:r>
      <w:r>
        <w:rPr/>
        <w:t>股为基</w:t>
      </w:r>
      <w:r>
        <w:rPr>
          <w:w w:val="99"/>
        </w:rPr>
        <w:t> </w:t>
      </w:r>
      <w:r>
        <w:rPr/>
        <w:t>数，向全体股东每</w:t>
      </w:r>
      <w:r>
        <w:rPr>
          <w:rFonts w:ascii="Arial" w:hAnsi="Arial" w:cs="Arial" w:eastAsia="Arial" w:hint="default"/>
        </w:rPr>
        <w:t>10</w:t>
      </w:r>
      <w:r>
        <w:rPr/>
        <w:t>股送</w:t>
      </w:r>
      <w:r>
        <w:rPr>
          <w:rFonts w:ascii="Arial" w:hAnsi="Arial" w:cs="Arial" w:eastAsia="Arial" w:hint="default"/>
        </w:rPr>
        <w:t>3</w:t>
      </w:r>
      <w:r>
        <w:rPr/>
        <w:t>股红股、派</w:t>
      </w:r>
      <w:r>
        <w:rPr>
          <w:rFonts w:ascii="Arial" w:hAnsi="Arial" w:cs="Arial" w:eastAsia="Arial" w:hint="default"/>
        </w:rPr>
        <w:t>0.75</w:t>
      </w:r>
      <w:r>
        <w:rPr/>
        <w:t>元人民币现金，分红前总股本为</w:t>
      </w:r>
      <w:r>
        <w:rPr>
          <w:rFonts w:ascii="Arial" w:hAnsi="Arial" w:cs="Arial" w:eastAsia="Arial" w:hint="default"/>
        </w:rPr>
        <w:t>40,000,000</w:t>
      </w:r>
      <w:r>
        <w:rPr/>
        <w:t>股，分红派息后总</w:t>
      </w:r>
      <w:r>
        <w:rPr>
          <w:w w:val="99"/>
        </w:rPr>
        <w:t> </w:t>
      </w:r>
      <w:r>
        <w:rPr>
          <w:w w:val="95"/>
        </w:rPr>
        <w:t>股本增至</w:t>
      </w:r>
      <w:r>
        <w:rPr>
          <w:rFonts w:ascii="Arial" w:hAnsi="Arial" w:cs="Arial" w:eastAsia="Arial" w:hint="default"/>
          <w:w w:val="95"/>
        </w:rPr>
        <w:t>52,000,000</w:t>
      </w:r>
      <w:r>
        <w:rPr>
          <w:w w:val="95"/>
        </w:rPr>
        <w:t>股。该事项已由北京中达耀华信会计师事务所有限公司出具报告号为中达验字</w:t>
      </w:r>
      <w:r>
        <w:rPr>
          <w:rFonts w:ascii="Arial" w:hAnsi="Arial" w:cs="Arial" w:eastAsia="Arial" w:hint="default"/>
          <w:w w:val="95"/>
        </w:rPr>
        <w:t>[2008]</w:t>
      </w:r>
      <w:r>
        <w:rPr>
          <w:rFonts w:ascii="Arial" w:hAnsi="Arial" w:cs="Arial" w:eastAsia="Arial" w:hint="default"/>
          <w:spacing w:val="10"/>
          <w:w w:val="95"/>
        </w:rPr>
        <w:t> </w:t>
      </w:r>
      <w:r>
        <w:rPr>
          <w:rFonts w:ascii="Arial" w:hAnsi="Arial" w:cs="Arial" w:eastAsia="Arial" w:hint="default"/>
          <w:spacing w:val="10"/>
          <w:w w:val="95"/>
        </w:rPr>
      </w:r>
      <w:r>
        <w:rPr/>
        <w:t>第</w:t>
      </w:r>
      <w:r>
        <w:rPr>
          <w:rFonts w:ascii="Arial" w:hAnsi="Arial" w:cs="Arial" w:eastAsia="Arial" w:hint="default"/>
        </w:rPr>
        <w:t>B005</w:t>
      </w:r>
      <w:r>
        <w:rPr/>
        <w:t>号验资报告，工商登记变更已办理完毕，注册资本变更为</w:t>
      </w:r>
      <w:r>
        <w:rPr>
          <w:rFonts w:ascii="Arial" w:hAnsi="Arial" w:cs="Arial" w:eastAsia="Arial" w:hint="default"/>
        </w:rPr>
        <w:t>5,200</w:t>
      </w:r>
      <w:r>
        <w:rPr/>
        <w:t>万元。</w:t>
      </w:r>
    </w:p>
    <w:p>
      <w:pPr>
        <w:pStyle w:val="BodyText"/>
        <w:spacing w:line="259" w:lineRule="auto" w:before="123"/>
        <w:ind w:right="996" w:firstLine="427"/>
        <w:jc w:val="left"/>
      </w:pPr>
      <w:r>
        <w:rPr>
          <w:w w:val="95"/>
        </w:rPr>
        <w:t>公司于</w:t>
      </w:r>
      <w:r>
        <w:rPr>
          <w:rFonts w:ascii="Arial" w:hAnsi="Arial" w:cs="Arial" w:eastAsia="Arial" w:hint="default"/>
          <w:w w:val="95"/>
        </w:rPr>
        <w:t>2008</w:t>
      </w:r>
      <w:r>
        <w:rPr>
          <w:w w:val="95"/>
        </w:rPr>
        <w:t>年通过股东大会决议，以</w:t>
      </w:r>
      <w:r>
        <w:rPr>
          <w:rFonts w:ascii="Arial" w:hAnsi="Arial" w:cs="Arial" w:eastAsia="Arial" w:hint="default"/>
          <w:w w:val="95"/>
        </w:rPr>
        <w:t>9.1</w:t>
      </w:r>
      <w:r>
        <w:rPr>
          <w:w w:val="95"/>
        </w:rPr>
        <w:t>元</w:t>
      </w:r>
      <w:r>
        <w:rPr>
          <w:rFonts w:ascii="Arial" w:hAnsi="Arial" w:cs="Arial" w:eastAsia="Arial" w:hint="default"/>
          <w:w w:val="95"/>
        </w:rPr>
        <w:t>/</w:t>
      </w:r>
      <w:r>
        <w:rPr>
          <w:w w:val="95"/>
        </w:rPr>
        <w:t>股的价格向子公司广州紫光华宇信息技术有限公司的自然</w:t>
      </w:r>
      <w:r>
        <w:rPr>
          <w:spacing w:val="-96"/>
          <w:w w:val="95"/>
        </w:rPr>
        <w:t> </w:t>
      </w:r>
      <w:r>
        <w:rPr>
          <w:spacing w:val="-96"/>
          <w:w w:val="95"/>
        </w:rPr>
      </w:r>
      <w:r>
        <w:rPr/>
        <w:t>人股东任涛发行股份</w:t>
      </w:r>
      <w:r>
        <w:rPr>
          <w:rFonts w:ascii="Arial" w:hAnsi="Arial" w:cs="Arial" w:eastAsia="Arial" w:hint="default"/>
        </w:rPr>
        <w:t>350</w:t>
      </w:r>
      <w:r>
        <w:rPr/>
        <w:t>万股，作为本公司收购广州紫光华宇信息技术有限公司</w:t>
      </w:r>
      <w:r>
        <w:rPr>
          <w:rFonts w:ascii="Arial" w:hAnsi="Arial" w:cs="Arial" w:eastAsia="Arial" w:hint="default"/>
        </w:rPr>
        <w:t>49%</w:t>
      </w:r>
      <w:r>
        <w:rPr/>
        <w:t>股权的支付对价。该</w:t>
      </w:r>
      <w:r>
        <w:rPr>
          <w:w w:val="99"/>
        </w:rPr>
        <w:t> </w:t>
      </w:r>
      <w:r>
        <w:rPr>
          <w:spacing w:val="-1"/>
          <w:w w:val="95"/>
        </w:rPr>
        <w:t>事项已于</w:t>
      </w:r>
      <w:r>
        <w:rPr>
          <w:rFonts w:ascii="Arial" w:hAnsi="Arial" w:cs="Arial" w:eastAsia="Arial" w:hint="default"/>
          <w:spacing w:val="-1"/>
          <w:w w:val="95"/>
        </w:rPr>
        <w:t>2009</w:t>
      </w:r>
      <w:r>
        <w:rPr>
          <w:spacing w:val="-1"/>
          <w:w w:val="95"/>
        </w:rPr>
        <w:t>年</w:t>
      </w:r>
      <w:r>
        <w:rPr>
          <w:rFonts w:ascii="Arial" w:hAnsi="Arial" w:cs="Arial" w:eastAsia="Arial" w:hint="default"/>
          <w:spacing w:val="-1"/>
          <w:w w:val="95"/>
        </w:rPr>
        <w:t>3</w:t>
      </w:r>
      <w:r>
        <w:rPr>
          <w:spacing w:val="-1"/>
          <w:w w:val="95"/>
        </w:rPr>
        <w:t>月</w:t>
      </w:r>
      <w:r>
        <w:rPr>
          <w:rFonts w:ascii="Arial" w:hAnsi="Arial" w:cs="Arial" w:eastAsia="Arial" w:hint="default"/>
          <w:spacing w:val="-1"/>
          <w:w w:val="95"/>
        </w:rPr>
        <w:t>4</w:t>
      </w:r>
      <w:r>
        <w:rPr>
          <w:spacing w:val="-1"/>
          <w:w w:val="95"/>
        </w:rPr>
        <w:t>日经中国证券业协会备案并取得中证协函</w:t>
      </w:r>
      <w:r>
        <w:rPr>
          <w:rFonts w:ascii="Arial" w:hAnsi="Arial" w:cs="Arial" w:eastAsia="Arial" w:hint="default"/>
          <w:spacing w:val="-1"/>
          <w:w w:val="95"/>
        </w:rPr>
        <w:t>[2009]74</w:t>
      </w:r>
      <w:r>
        <w:rPr>
          <w:spacing w:val="-1"/>
          <w:w w:val="95"/>
        </w:rPr>
        <w:t>号函，并由中建华会计师事务所有</w:t>
      </w:r>
      <w:r>
        <w:rPr>
          <w:spacing w:val="43"/>
          <w:w w:val="95"/>
        </w:rPr>
        <w:t> </w:t>
      </w:r>
      <w:r>
        <w:rPr>
          <w:spacing w:val="43"/>
          <w:w w:val="95"/>
        </w:rPr>
      </w:r>
      <w:r>
        <w:rPr/>
        <w:t>限责任公司出具了中建验字</w:t>
      </w:r>
      <w:r>
        <w:rPr>
          <w:rFonts w:ascii="Arial" w:hAnsi="Arial" w:cs="Arial" w:eastAsia="Arial" w:hint="default"/>
        </w:rPr>
        <w:t>[2009]</w:t>
      </w:r>
      <w:r>
        <w:rPr/>
        <w:t>第</w:t>
      </w:r>
      <w:r>
        <w:rPr>
          <w:rFonts w:ascii="Arial" w:hAnsi="Arial" w:cs="Arial" w:eastAsia="Arial" w:hint="default"/>
        </w:rPr>
        <w:t>203</w:t>
      </w:r>
      <w:r>
        <w:rPr/>
        <w:t>号验资报告，增资事项的工商登记变更已办理完毕，注册资本变</w:t>
      </w:r>
      <w:r>
        <w:rPr>
          <w:w w:val="99"/>
        </w:rPr>
        <w:t> </w:t>
      </w:r>
      <w:r>
        <w:rPr/>
        <w:t>更为</w:t>
      </w:r>
      <w:r>
        <w:rPr>
          <w:rFonts w:ascii="Arial" w:hAnsi="Arial" w:cs="Arial" w:eastAsia="Arial" w:hint="default"/>
        </w:rPr>
        <w:t>5,550</w:t>
      </w:r>
      <w:r>
        <w:rPr/>
        <w:t>万元。</w:t>
      </w:r>
    </w:p>
    <w:p>
      <w:pPr>
        <w:pStyle w:val="BodyText"/>
        <w:spacing w:line="259" w:lineRule="auto" w:before="123"/>
        <w:ind w:right="1180" w:firstLine="427"/>
        <w:jc w:val="both"/>
      </w:pPr>
      <w:r>
        <w:rPr/>
        <w:t>公司根据</w:t>
      </w:r>
      <w:r>
        <w:rPr>
          <w:rFonts w:ascii="Arial" w:hAnsi="Arial" w:cs="Arial" w:eastAsia="Arial" w:hint="default"/>
        </w:rPr>
        <w:t>2009</w:t>
      </w:r>
      <w:r>
        <w:rPr/>
        <w:t>年第二次临时股东大会决议及修改后的公司章程并经中国证券监督管理委员会于</w:t>
      </w:r>
      <w:r>
        <w:rPr>
          <w:rFonts w:ascii="Arial" w:hAnsi="Arial" w:cs="Arial" w:eastAsia="Arial" w:hint="default"/>
        </w:rPr>
        <w:t>2011</w:t>
      </w:r>
      <w:r>
        <w:rPr>
          <w:rFonts w:ascii="Arial" w:hAnsi="Arial" w:cs="Arial" w:eastAsia="Arial" w:hint="default"/>
          <w:w w:val="99"/>
        </w:rPr>
        <w:t> </w:t>
      </w:r>
      <w:r>
        <w:rPr>
          <w:w w:val="95"/>
        </w:rPr>
        <w:t>年</w:t>
      </w:r>
      <w:r>
        <w:rPr>
          <w:rFonts w:ascii="Arial" w:hAnsi="Arial" w:cs="Arial" w:eastAsia="Arial" w:hint="default"/>
          <w:w w:val="95"/>
        </w:rPr>
        <w:t>9</w:t>
      </w:r>
      <w:r>
        <w:rPr>
          <w:w w:val="95"/>
        </w:rPr>
        <w:t>月</w:t>
      </w:r>
      <w:r>
        <w:rPr>
          <w:rFonts w:ascii="Arial" w:hAnsi="Arial" w:cs="Arial" w:eastAsia="Arial" w:hint="default"/>
          <w:w w:val="95"/>
        </w:rPr>
        <w:t>16</w:t>
      </w:r>
      <w:r>
        <w:rPr>
          <w:w w:val="95"/>
        </w:rPr>
        <w:t>日签发的证监许可</w:t>
      </w:r>
      <w:r>
        <w:rPr>
          <w:rFonts w:ascii="Arial" w:hAnsi="Arial" w:cs="Arial" w:eastAsia="Arial" w:hint="default"/>
          <w:w w:val="95"/>
        </w:rPr>
        <w:t>[2011]1492</w:t>
      </w:r>
      <w:r>
        <w:rPr>
          <w:w w:val="95"/>
        </w:rPr>
        <w:t>号《关于核准北京紫光华宇软件股份有限公司首次公开发行股票并</w:t>
      </w:r>
      <w:r>
        <w:rPr>
          <w:spacing w:val="57"/>
          <w:w w:val="95"/>
        </w:rPr>
        <w:t> </w:t>
      </w:r>
      <w:r>
        <w:rPr>
          <w:spacing w:val="57"/>
          <w:w w:val="95"/>
        </w:rPr>
      </w:r>
      <w:r>
        <w:rPr/>
        <w:t>在创业板上市的批复》，于</w:t>
      </w:r>
      <w:r>
        <w:rPr>
          <w:rFonts w:ascii="Arial" w:hAnsi="Arial" w:cs="Arial" w:eastAsia="Arial" w:hint="default"/>
        </w:rPr>
        <w:t>2011</w:t>
      </w:r>
      <w:r>
        <w:rPr/>
        <w:t>年</w:t>
      </w:r>
      <w:r>
        <w:rPr>
          <w:rFonts w:ascii="Arial" w:hAnsi="Arial" w:cs="Arial" w:eastAsia="Arial" w:hint="default"/>
        </w:rPr>
        <w:t>10</w:t>
      </w:r>
      <w:r>
        <w:rPr/>
        <w:t>月</w:t>
      </w:r>
      <w:r>
        <w:rPr>
          <w:rFonts w:ascii="Arial" w:hAnsi="Arial" w:cs="Arial" w:eastAsia="Arial" w:hint="default"/>
        </w:rPr>
        <w:t>10</w:t>
      </w:r>
      <w:r>
        <w:rPr/>
        <w:t>日以每股人民币</w:t>
      </w:r>
      <w:r>
        <w:rPr>
          <w:rFonts w:ascii="Arial" w:hAnsi="Arial" w:cs="Arial" w:eastAsia="Arial" w:hint="default"/>
        </w:rPr>
        <w:t>30.80</w:t>
      </w:r>
      <w:r>
        <w:rPr/>
        <w:t>元向社会公开发行人民币普通股（</w:t>
      </w:r>
      <w:r>
        <w:rPr>
          <w:rFonts w:ascii="Arial" w:hAnsi="Arial" w:cs="Arial" w:eastAsia="Arial" w:hint="default"/>
        </w:rPr>
        <w:t>A</w:t>
      </w:r>
      <w:r>
        <w:rPr/>
        <w:t>股）</w:t>
      </w:r>
      <w:r>
        <w:rPr>
          <w:w w:val="99"/>
        </w:rPr>
        <w:t> </w:t>
      </w:r>
      <w:r>
        <w:rPr>
          <w:rFonts w:ascii="Arial" w:hAnsi="Arial" w:cs="Arial" w:eastAsia="Arial" w:hint="default"/>
        </w:rPr>
        <w:t>18,500,000</w:t>
      </w:r>
      <w:r>
        <w:rPr/>
        <w:t>股，并由北京兴华会计师事务所有限责任公司出具了（</w:t>
      </w:r>
      <w:r>
        <w:rPr>
          <w:rFonts w:ascii="Arial" w:hAnsi="Arial" w:cs="Arial" w:eastAsia="Arial" w:hint="default"/>
        </w:rPr>
        <w:t>2011</w:t>
      </w:r>
      <w:r>
        <w:rPr/>
        <w:t>）京会兴</w:t>
      </w:r>
      <w:r>
        <w:rPr>
          <w:rFonts w:ascii="Arial" w:hAnsi="Arial" w:cs="Arial" w:eastAsia="Arial" w:hint="default"/>
        </w:rPr>
        <w:t>(</w:t>
      </w:r>
      <w:r>
        <w:rPr/>
        <w:t>验</w:t>
      </w:r>
      <w:r>
        <w:rPr>
          <w:rFonts w:ascii="Arial" w:hAnsi="Arial" w:cs="Arial" w:eastAsia="Arial" w:hint="default"/>
        </w:rPr>
        <w:t>)</w:t>
      </w:r>
      <w:r>
        <w:rPr/>
        <w:t>字第</w:t>
      </w:r>
      <w:r>
        <w:rPr>
          <w:rFonts w:ascii="Arial" w:hAnsi="Arial" w:cs="Arial" w:eastAsia="Arial" w:hint="default"/>
        </w:rPr>
        <w:t>7-017</w:t>
      </w:r>
      <w:r>
        <w:rPr/>
        <w:t>号验资报</w:t>
      </w:r>
      <w:r>
        <w:rPr>
          <w:w w:val="99"/>
        </w:rPr>
        <w:t> </w:t>
      </w:r>
      <w:r>
        <w:rPr/>
        <w:t>告，增资事项的工商登记变更已办理完毕，注册资本变更为</w:t>
      </w:r>
      <w:r>
        <w:rPr>
          <w:rFonts w:ascii="Arial" w:hAnsi="Arial" w:cs="Arial" w:eastAsia="Arial" w:hint="default"/>
        </w:rPr>
        <w:t>7,400</w:t>
      </w:r>
      <w:r>
        <w:rPr/>
        <w:t>万元。</w:t>
      </w:r>
    </w:p>
    <w:p>
      <w:pPr>
        <w:pStyle w:val="BodyText"/>
        <w:spacing w:line="259" w:lineRule="auto" w:before="123"/>
        <w:ind w:right="996" w:firstLine="427"/>
        <w:jc w:val="left"/>
      </w:pPr>
      <w:r>
        <w:rPr/>
        <w:t>公司根据</w:t>
      </w:r>
      <w:r>
        <w:rPr>
          <w:rFonts w:ascii="Arial" w:hAnsi="Arial" w:cs="Arial" w:eastAsia="Arial" w:hint="default"/>
        </w:rPr>
        <w:t>2011</w:t>
      </w:r>
      <w:r>
        <w:rPr/>
        <w:t>年年度股东大会决议和修改后章程，以</w:t>
      </w:r>
      <w:r>
        <w:rPr>
          <w:rFonts w:ascii="Arial" w:hAnsi="Arial" w:cs="Arial" w:eastAsia="Arial" w:hint="default"/>
        </w:rPr>
        <w:t>2012</w:t>
      </w:r>
      <w:r>
        <w:rPr/>
        <w:t>年</w:t>
      </w:r>
      <w:r>
        <w:rPr>
          <w:rFonts w:ascii="Arial" w:hAnsi="Arial" w:cs="Arial" w:eastAsia="Arial" w:hint="default"/>
        </w:rPr>
        <w:t>3</w:t>
      </w:r>
      <w:r>
        <w:rPr/>
        <w:t>月</w:t>
      </w:r>
      <w:r>
        <w:rPr>
          <w:rFonts w:ascii="Arial" w:hAnsi="Arial" w:cs="Arial" w:eastAsia="Arial" w:hint="default"/>
        </w:rPr>
        <w:t>30</w:t>
      </w:r>
      <w:r>
        <w:rPr/>
        <w:t>日为转增基准日期，以截止</w:t>
      </w:r>
      <w:r>
        <w:rPr>
          <w:rFonts w:ascii="Arial" w:hAnsi="Arial" w:cs="Arial" w:eastAsia="Arial" w:hint="default"/>
        </w:rPr>
        <w:t>2011</w:t>
      </w:r>
      <w:r>
        <w:rPr>
          <w:rFonts w:ascii="Arial" w:hAnsi="Arial" w:cs="Arial" w:eastAsia="Arial" w:hint="default"/>
          <w:w w:val="99"/>
        </w:rPr>
        <w:t> </w:t>
      </w:r>
      <w:r>
        <w:rPr>
          <w:w w:val="95"/>
        </w:rPr>
        <w:t>年</w:t>
      </w:r>
      <w:r>
        <w:rPr>
          <w:rFonts w:ascii="Arial" w:hAnsi="Arial" w:cs="Arial" w:eastAsia="Arial" w:hint="default"/>
          <w:w w:val="95"/>
        </w:rPr>
        <w:t>12</w:t>
      </w:r>
      <w:r>
        <w:rPr>
          <w:w w:val="95"/>
        </w:rPr>
        <w:t>月</w:t>
      </w:r>
      <w:r>
        <w:rPr>
          <w:rFonts w:ascii="Arial" w:hAnsi="Arial" w:cs="Arial" w:eastAsia="Arial" w:hint="default"/>
          <w:w w:val="95"/>
        </w:rPr>
        <w:t>31</w:t>
      </w:r>
      <w:r>
        <w:rPr>
          <w:w w:val="95"/>
        </w:rPr>
        <w:t>日公司总股本</w:t>
      </w:r>
      <w:r>
        <w:rPr>
          <w:rFonts w:ascii="Arial" w:hAnsi="Arial" w:cs="Arial" w:eastAsia="Arial" w:hint="default"/>
          <w:w w:val="95"/>
        </w:rPr>
        <w:t>7,400</w:t>
      </w:r>
      <w:r>
        <w:rPr>
          <w:w w:val="95"/>
        </w:rPr>
        <w:t>万股为基数按每</w:t>
      </w:r>
      <w:r>
        <w:rPr>
          <w:rFonts w:ascii="Arial" w:hAnsi="Arial" w:cs="Arial" w:eastAsia="Arial" w:hint="default"/>
          <w:w w:val="95"/>
        </w:rPr>
        <w:t>10</w:t>
      </w:r>
      <w:r>
        <w:rPr>
          <w:w w:val="95"/>
        </w:rPr>
        <w:t>股转增</w:t>
      </w:r>
      <w:r>
        <w:rPr>
          <w:rFonts w:ascii="Arial" w:hAnsi="Arial" w:cs="Arial" w:eastAsia="Arial" w:hint="default"/>
          <w:w w:val="95"/>
        </w:rPr>
        <w:t>10</w:t>
      </w:r>
      <w:r>
        <w:rPr>
          <w:w w:val="95"/>
        </w:rPr>
        <w:t>股的比例，以资本公积向全体股东转增股份总额</w:t>
      </w:r>
      <w:r>
        <w:rPr>
          <w:spacing w:val="46"/>
          <w:w w:val="95"/>
        </w:rPr>
        <w:t> </w:t>
      </w:r>
      <w:r>
        <w:rPr>
          <w:spacing w:val="46"/>
          <w:w w:val="95"/>
        </w:rPr>
      </w:r>
      <w:r>
        <w:rPr>
          <w:rFonts w:ascii="Arial" w:hAnsi="Arial" w:cs="Arial" w:eastAsia="Arial" w:hint="default"/>
        </w:rPr>
        <w:t>7,400</w:t>
      </w:r>
      <w:r>
        <w:rPr/>
        <w:t>万股，每股面值</w:t>
      </w:r>
      <w:r>
        <w:rPr>
          <w:rFonts w:ascii="Arial" w:hAnsi="Arial" w:cs="Arial" w:eastAsia="Arial" w:hint="default"/>
        </w:rPr>
        <w:t>1</w:t>
      </w:r>
      <w:r>
        <w:rPr/>
        <w:t>元，共计增加股本</w:t>
      </w:r>
      <w:r>
        <w:rPr>
          <w:rFonts w:ascii="Arial" w:hAnsi="Arial" w:cs="Arial" w:eastAsia="Arial" w:hint="default"/>
        </w:rPr>
        <w:t>7,400</w:t>
      </w:r>
      <w:r>
        <w:rPr/>
        <w:t>万元，转增后公司总股本增加至</w:t>
      </w:r>
      <w:r>
        <w:rPr>
          <w:rFonts w:ascii="Arial" w:hAnsi="Arial" w:cs="Arial" w:eastAsia="Arial" w:hint="default"/>
        </w:rPr>
        <w:t>14,800</w:t>
      </w:r>
      <w:r>
        <w:rPr/>
        <w:t>万股。已由北京兴</w:t>
      </w:r>
      <w:r>
        <w:rPr>
          <w:w w:val="99"/>
        </w:rPr>
        <w:t> </w:t>
      </w:r>
      <w:r>
        <w:rPr>
          <w:spacing w:val="-1"/>
          <w:w w:val="95"/>
        </w:rPr>
        <w:t>华会计师事务所有限责任公司出具了</w:t>
      </w:r>
      <w:r>
        <w:rPr>
          <w:rFonts w:ascii="Arial" w:hAnsi="Arial" w:cs="Arial" w:eastAsia="Arial" w:hint="default"/>
          <w:spacing w:val="-1"/>
          <w:w w:val="95"/>
        </w:rPr>
        <w:t>[2012]</w:t>
      </w:r>
      <w:r>
        <w:rPr>
          <w:spacing w:val="-1"/>
          <w:w w:val="95"/>
        </w:rPr>
        <w:t>京会兴验字第</w:t>
      </w:r>
      <w:r>
        <w:rPr>
          <w:rFonts w:ascii="Arial" w:hAnsi="Arial" w:cs="Arial" w:eastAsia="Arial" w:hint="default"/>
          <w:spacing w:val="-1"/>
          <w:w w:val="95"/>
        </w:rPr>
        <w:t>07010054</w:t>
      </w:r>
      <w:r>
        <w:rPr>
          <w:spacing w:val="-1"/>
          <w:w w:val="95"/>
        </w:rPr>
        <w:t>号验资报告，增资事项的工商登记变更</w:t>
      </w:r>
      <w:r>
        <w:rPr>
          <w:spacing w:val="46"/>
          <w:w w:val="95"/>
        </w:rPr>
        <w:t> </w:t>
      </w:r>
      <w:r>
        <w:rPr>
          <w:spacing w:val="46"/>
          <w:w w:val="95"/>
        </w:rPr>
      </w:r>
      <w:r>
        <w:rPr/>
        <w:t>已办理完毕，注册资本变更为</w:t>
      </w:r>
      <w:r>
        <w:rPr>
          <w:rFonts w:ascii="Arial" w:hAnsi="Arial" w:cs="Arial" w:eastAsia="Arial" w:hint="default"/>
        </w:rPr>
        <w:t>14,800</w:t>
      </w:r>
      <w:r>
        <w:rPr/>
        <w:t>万元。</w:t>
      </w:r>
    </w:p>
    <w:p>
      <w:pPr>
        <w:pStyle w:val="BodyText"/>
        <w:spacing w:line="259" w:lineRule="auto" w:before="123"/>
        <w:ind w:right="1135" w:firstLine="427"/>
        <w:jc w:val="both"/>
      </w:pPr>
      <w:r>
        <w:rPr>
          <w:rFonts w:ascii="Arial" w:hAnsi="Arial" w:cs="Arial" w:eastAsia="Arial" w:hint="default"/>
          <w:spacing w:val="-1"/>
          <w:w w:val="95"/>
        </w:rPr>
        <w:t>2013</w:t>
      </w:r>
      <w:r>
        <w:rPr>
          <w:spacing w:val="-1"/>
          <w:w w:val="95"/>
        </w:rPr>
        <w:t>年</w:t>
      </w:r>
      <w:r>
        <w:rPr>
          <w:rFonts w:ascii="Arial" w:hAnsi="Arial" w:cs="Arial" w:eastAsia="Arial" w:hint="default"/>
          <w:spacing w:val="-1"/>
          <w:w w:val="95"/>
        </w:rPr>
        <w:t>1</w:t>
      </w:r>
      <w:r>
        <w:rPr>
          <w:spacing w:val="-1"/>
          <w:w w:val="95"/>
        </w:rPr>
        <w:t>月</w:t>
      </w:r>
      <w:r>
        <w:rPr>
          <w:rFonts w:ascii="Arial" w:hAnsi="Arial" w:cs="Arial" w:eastAsia="Arial" w:hint="default"/>
          <w:spacing w:val="-1"/>
          <w:w w:val="95"/>
        </w:rPr>
        <w:t>29</w:t>
      </w:r>
      <w:r>
        <w:rPr>
          <w:spacing w:val="-1"/>
          <w:w w:val="95"/>
        </w:rPr>
        <w:t>日，根据第四届董事会第二十三次会议和</w:t>
      </w:r>
      <w:r>
        <w:rPr>
          <w:rFonts w:ascii="Arial" w:hAnsi="Arial" w:cs="Arial" w:eastAsia="Arial" w:hint="default"/>
          <w:spacing w:val="-1"/>
          <w:w w:val="95"/>
        </w:rPr>
        <w:t>2013</w:t>
      </w:r>
      <w:r>
        <w:rPr>
          <w:spacing w:val="-1"/>
          <w:w w:val="95"/>
        </w:rPr>
        <w:t>年第二次股东大会审议通过的《关于变更</w:t>
      </w:r>
      <w:r>
        <w:rPr>
          <w:spacing w:val="-94"/>
          <w:w w:val="95"/>
        </w:rPr>
        <w:t> </w:t>
      </w:r>
      <w:r>
        <w:rPr>
          <w:spacing w:val="-94"/>
          <w:w w:val="95"/>
        </w:rPr>
      </w:r>
      <w:r>
        <w:rPr>
          <w:spacing w:val="-2"/>
        </w:rPr>
        <w:t>公司名称的议案》，将公司名称</w:t>
      </w:r>
      <w:r>
        <w:rPr>
          <w:rFonts w:ascii="Arial" w:hAnsi="Arial" w:cs="Arial" w:eastAsia="Arial" w:hint="default"/>
          <w:spacing w:val="-2"/>
        </w:rPr>
        <w:t>“</w:t>
      </w:r>
      <w:r>
        <w:rPr>
          <w:spacing w:val="-2"/>
        </w:rPr>
        <w:t>北京紫光华宇软件股份有限公司</w:t>
      </w:r>
      <w:r>
        <w:rPr>
          <w:rFonts w:ascii="Arial" w:hAnsi="Arial" w:cs="Arial" w:eastAsia="Arial" w:hint="default"/>
          <w:spacing w:val="-2"/>
        </w:rPr>
        <w:t>”</w:t>
      </w:r>
      <w:r>
        <w:rPr>
          <w:spacing w:val="-2"/>
        </w:rPr>
        <w:t>变更为</w:t>
      </w:r>
      <w:r>
        <w:rPr>
          <w:rFonts w:ascii="Arial" w:hAnsi="Arial" w:cs="Arial" w:eastAsia="Arial" w:hint="default"/>
          <w:spacing w:val="-2"/>
        </w:rPr>
        <w:t>“</w:t>
      </w:r>
      <w:r>
        <w:rPr>
          <w:spacing w:val="-2"/>
        </w:rPr>
        <w:t>北京华宇软件股份有限公司</w:t>
      </w:r>
      <w:r>
        <w:rPr>
          <w:rFonts w:ascii="Arial" w:hAnsi="Arial" w:cs="Arial" w:eastAsia="Arial" w:hint="default"/>
          <w:spacing w:val="-2"/>
        </w:rPr>
        <w:t>”</w:t>
      </w:r>
      <w:r>
        <w:rPr>
          <w:spacing w:val="-2"/>
        </w:rPr>
        <w:t>变更</w:t>
      </w:r>
      <w:r>
        <w:rPr>
          <w:w w:val="99"/>
        </w:rPr>
        <w:t> </w:t>
      </w:r>
      <w:r>
        <w:rPr/>
        <w:t>事项的工商登记已办理完毕。</w:t>
      </w:r>
    </w:p>
    <w:p>
      <w:pPr>
        <w:pStyle w:val="BodyText"/>
        <w:spacing w:line="259" w:lineRule="auto" w:before="140"/>
        <w:ind w:right="1132" w:firstLine="427"/>
        <w:jc w:val="both"/>
      </w:pPr>
      <w:r>
        <w:rPr>
          <w:spacing w:val="-2"/>
          <w:w w:val="95"/>
        </w:rPr>
        <w:t>根据已经中国证券监督管理委员会审核无异议的《股票期权激励计划（草案）》（以下简称</w:t>
      </w:r>
      <w:r>
        <w:rPr>
          <w:rFonts w:ascii="Arial" w:hAnsi="Arial" w:cs="Arial" w:eastAsia="Arial" w:hint="default"/>
          <w:spacing w:val="-2"/>
          <w:w w:val="95"/>
        </w:rPr>
        <w:t>“</w:t>
      </w:r>
      <w:r>
        <w:rPr>
          <w:spacing w:val="-2"/>
          <w:w w:val="95"/>
        </w:rPr>
        <w:t>《股票期</w:t>
      </w:r>
      <w:r>
        <w:rPr>
          <w:spacing w:val="-92"/>
          <w:w w:val="95"/>
        </w:rPr>
        <w:t> </w:t>
      </w:r>
      <w:r>
        <w:rPr>
          <w:spacing w:val="-92"/>
          <w:w w:val="95"/>
        </w:rPr>
      </w:r>
      <w:r>
        <w:rPr>
          <w:spacing w:val="-2"/>
        </w:rPr>
        <w:t>权激励计划》</w:t>
      </w:r>
      <w:r>
        <w:rPr>
          <w:rFonts w:ascii="Arial" w:hAnsi="Arial" w:cs="Arial" w:eastAsia="Arial" w:hint="default"/>
          <w:spacing w:val="-2"/>
        </w:rPr>
        <w:t>”</w:t>
      </w:r>
      <w:r>
        <w:rPr>
          <w:spacing w:val="-2"/>
        </w:rPr>
        <w:t>）及《北京紫光华宇软件股份有限公司股票期权激励计划激励对象名单》，公司实施股票期</w:t>
      </w:r>
      <w:r>
        <w:rPr>
          <w:w w:val="99"/>
        </w:rPr>
        <w:t> </w:t>
      </w:r>
      <w:r>
        <w:rPr/>
        <w:t>权激励计划，行权期自</w:t>
      </w:r>
      <w:r>
        <w:rPr>
          <w:rFonts w:ascii="Arial" w:hAnsi="Arial" w:cs="Arial" w:eastAsia="Arial" w:hint="default"/>
        </w:rPr>
        <w:t>2013</w:t>
      </w:r>
      <w:r>
        <w:rPr/>
        <w:t>年</w:t>
      </w:r>
      <w:r>
        <w:rPr>
          <w:rFonts w:ascii="Arial" w:hAnsi="Arial" w:cs="Arial" w:eastAsia="Arial" w:hint="default"/>
        </w:rPr>
        <w:t>8</w:t>
      </w:r>
      <w:r>
        <w:rPr/>
        <w:t>月</w:t>
      </w:r>
      <w:r>
        <w:rPr>
          <w:rFonts w:ascii="Arial" w:hAnsi="Arial" w:cs="Arial" w:eastAsia="Arial" w:hint="default"/>
        </w:rPr>
        <w:t>28</w:t>
      </w:r>
      <w:r>
        <w:rPr/>
        <w:t>日起至</w:t>
      </w:r>
      <w:r>
        <w:rPr>
          <w:rFonts w:ascii="Arial" w:hAnsi="Arial" w:cs="Arial" w:eastAsia="Arial" w:hint="default"/>
        </w:rPr>
        <w:t>2018</w:t>
      </w:r>
      <w:r>
        <w:rPr/>
        <w:t>年</w:t>
      </w:r>
      <w:r>
        <w:rPr>
          <w:rFonts w:ascii="Arial" w:hAnsi="Arial" w:cs="Arial" w:eastAsia="Arial" w:hint="default"/>
        </w:rPr>
        <w:t>7</w:t>
      </w:r>
      <w:r>
        <w:rPr/>
        <w:t>月</w:t>
      </w:r>
      <w:r>
        <w:rPr>
          <w:rFonts w:ascii="Arial" w:hAnsi="Arial" w:cs="Arial" w:eastAsia="Arial" w:hint="default"/>
        </w:rPr>
        <w:t>13</w:t>
      </w:r>
      <w:r>
        <w:rPr/>
        <w:t>日止。此次期权计划累计行权</w:t>
      </w:r>
      <w:r>
        <w:rPr>
          <w:rFonts w:ascii="Arial" w:hAnsi="Arial" w:cs="Arial" w:eastAsia="Arial" w:hint="default"/>
        </w:rPr>
        <w:t>11,559,468</w:t>
      </w:r>
      <w:r>
        <w:rPr/>
        <w:t>股，已</w:t>
      </w:r>
      <w:r>
        <w:rPr>
          <w:w w:val="99"/>
        </w:rPr>
        <w:t> </w:t>
      </w:r>
      <w:r>
        <w:rPr/>
        <w:t>全部行权完毕。</w:t>
      </w:r>
    </w:p>
    <w:p>
      <w:pPr>
        <w:pStyle w:val="BodyText"/>
        <w:spacing w:line="261" w:lineRule="auto" w:before="140"/>
        <w:ind w:right="1132" w:firstLine="427"/>
        <w:jc w:val="both"/>
      </w:pPr>
      <w:r>
        <w:rPr>
          <w:w w:val="95"/>
        </w:rPr>
        <w:t>根据公司</w:t>
      </w:r>
      <w:r>
        <w:rPr>
          <w:rFonts w:ascii="Arial" w:hAnsi="Arial" w:cs="Arial" w:eastAsia="Arial" w:hint="default"/>
          <w:w w:val="95"/>
        </w:rPr>
        <w:t>2014</w:t>
      </w:r>
      <w:r>
        <w:rPr>
          <w:w w:val="95"/>
        </w:rPr>
        <w:t>年</w:t>
      </w:r>
      <w:r>
        <w:rPr>
          <w:rFonts w:ascii="Arial" w:hAnsi="Arial" w:cs="Arial" w:eastAsia="Arial" w:hint="default"/>
          <w:w w:val="95"/>
        </w:rPr>
        <w:t>9</w:t>
      </w:r>
      <w:r>
        <w:rPr>
          <w:w w:val="95"/>
        </w:rPr>
        <w:t>月</w:t>
      </w:r>
      <w:r>
        <w:rPr>
          <w:rFonts w:ascii="Arial" w:hAnsi="Arial" w:cs="Arial" w:eastAsia="Arial" w:hint="default"/>
          <w:w w:val="95"/>
        </w:rPr>
        <w:t>15</w:t>
      </w:r>
      <w:r>
        <w:rPr>
          <w:w w:val="95"/>
        </w:rPr>
        <w:t>召开的第五届董事会第十四次会议、</w:t>
      </w:r>
      <w:r>
        <w:rPr>
          <w:rFonts w:ascii="Arial" w:hAnsi="Arial" w:cs="Arial" w:eastAsia="Arial" w:hint="default"/>
          <w:w w:val="95"/>
        </w:rPr>
        <w:t>2014</w:t>
      </w:r>
      <w:r>
        <w:rPr>
          <w:w w:val="95"/>
        </w:rPr>
        <w:t>年</w:t>
      </w:r>
      <w:r>
        <w:rPr>
          <w:rFonts w:ascii="Arial" w:hAnsi="Arial" w:cs="Arial" w:eastAsia="Arial" w:hint="default"/>
          <w:w w:val="95"/>
        </w:rPr>
        <w:t>10</w:t>
      </w:r>
      <w:r>
        <w:rPr>
          <w:w w:val="95"/>
        </w:rPr>
        <w:t>月</w:t>
      </w:r>
      <w:r>
        <w:rPr>
          <w:rFonts w:ascii="Arial" w:hAnsi="Arial" w:cs="Arial" w:eastAsia="Arial" w:hint="default"/>
          <w:w w:val="95"/>
        </w:rPr>
        <w:t>8</w:t>
      </w:r>
      <w:r>
        <w:rPr>
          <w:w w:val="95"/>
        </w:rPr>
        <w:t>日召开的</w:t>
      </w:r>
      <w:r>
        <w:rPr>
          <w:rFonts w:ascii="Arial" w:hAnsi="Arial" w:cs="Arial" w:eastAsia="Arial" w:hint="default"/>
          <w:w w:val="95"/>
        </w:rPr>
        <w:t>2014</w:t>
      </w:r>
      <w:r>
        <w:rPr>
          <w:w w:val="95"/>
        </w:rPr>
        <w:t>年度第三次临</w:t>
      </w:r>
      <w:r>
        <w:rPr>
          <w:w w:val="99"/>
        </w:rPr>
        <w:t> </w:t>
      </w:r>
      <w:r>
        <w:rPr>
          <w:w w:val="95"/>
        </w:rPr>
        <w:t>时股东大会的决议的规定，及与马勤等签署的《发行股份及支付现金购买资产协议》的规定，并经中国证</w:t>
      </w:r>
      <w:r>
        <w:rPr>
          <w:spacing w:val="40"/>
          <w:w w:val="95"/>
        </w:rPr>
        <w:t> </w:t>
      </w:r>
      <w:r>
        <w:rPr>
          <w:spacing w:val="40"/>
          <w:w w:val="95"/>
        </w:rPr>
      </w:r>
      <w:r>
        <w:rPr>
          <w:w w:val="95"/>
        </w:rPr>
        <w:t>券监督管理委员会证监许可</w:t>
      </w:r>
      <w:r>
        <w:rPr>
          <w:rFonts w:ascii="Arial" w:hAnsi="Arial" w:cs="Arial" w:eastAsia="Arial" w:hint="default"/>
          <w:w w:val="95"/>
        </w:rPr>
        <w:t>[2014]1413</w:t>
      </w:r>
      <w:r>
        <w:rPr>
          <w:w w:val="95"/>
        </w:rPr>
        <w:t>号文《关于核准北京华宇软件股份有限公司向马勤等发行股份购买</w:t>
      </w:r>
      <w:r>
        <w:rPr>
          <w:spacing w:val="35"/>
          <w:w w:val="95"/>
        </w:rPr>
        <w:t> </w:t>
      </w:r>
      <w:r>
        <w:rPr>
          <w:spacing w:val="35"/>
          <w:w w:val="95"/>
        </w:rPr>
      </w:r>
      <w:r>
        <w:rPr>
          <w:w w:val="95"/>
        </w:rPr>
        <w:t>资产的批复》的核准，公司以每股</w:t>
      </w:r>
      <w:r>
        <w:rPr>
          <w:rFonts w:ascii="Arial" w:hAnsi="Arial" w:cs="Arial" w:eastAsia="Arial" w:hint="default"/>
          <w:w w:val="95"/>
        </w:rPr>
        <w:t>37.27</w:t>
      </w:r>
      <w:r>
        <w:rPr>
          <w:w w:val="95"/>
        </w:rPr>
        <w:t>元向马勤等</w:t>
      </w:r>
      <w:r>
        <w:rPr>
          <w:rFonts w:ascii="Arial" w:hAnsi="Arial" w:cs="Arial" w:eastAsia="Arial" w:hint="default"/>
          <w:w w:val="95"/>
        </w:rPr>
        <w:t>11</w:t>
      </w:r>
      <w:r>
        <w:rPr>
          <w:w w:val="95"/>
        </w:rPr>
        <w:t>位自然人发行股份</w:t>
      </w:r>
      <w:r>
        <w:rPr>
          <w:rFonts w:ascii="Arial" w:hAnsi="Arial" w:cs="Arial" w:eastAsia="Arial" w:hint="default"/>
          <w:w w:val="95"/>
        </w:rPr>
        <w:t>1,814,831</w:t>
      </w:r>
      <w:r>
        <w:rPr>
          <w:w w:val="95"/>
        </w:rPr>
        <w:t>股并支付现金的方式购</w:t>
      </w:r>
      <w:r>
        <w:rPr>
          <w:spacing w:val="25"/>
          <w:w w:val="95"/>
        </w:rPr>
        <w:t> </w:t>
      </w:r>
      <w:r>
        <w:rPr>
          <w:spacing w:val="25"/>
          <w:w w:val="95"/>
        </w:rPr>
      </w:r>
      <w:r>
        <w:rPr/>
        <w:t>买其持有的上海浦东中软科技发展有限公司</w:t>
      </w:r>
      <w:r>
        <w:rPr>
          <w:rFonts w:ascii="Arial" w:hAnsi="Arial" w:cs="Arial" w:eastAsia="Arial" w:hint="default"/>
        </w:rPr>
        <w:t>90.185%</w:t>
      </w:r>
      <w:r>
        <w:rPr/>
        <w:t>股权，此事项已经大华会计师事务所</w:t>
      </w:r>
      <w:r>
        <w:rPr>
          <w:rFonts w:ascii="Arial" w:hAnsi="Arial" w:cs="Arial" w:eastAsia="Arial" w:hint="default"/>
        </w:rPr>
        <w:t>(</w:t>
      </w:r>
      <w:r>
        <w:rPr/>
        <w:t>特殊普通合伙</w:t>
      </w:r>
      <w:r>
        <w:rPr>
          <w:rFonts w:ascii="Arial" w:hAnsi="Arial" w:cs="Arial" w:eastAsia="Arial" w:hint="default"/>
        </w:rPr>
        <w:t>)</w:t>
      </w:r>
      <w:r>
        <w:rPr>
          <w:rFonts w:ascii="Arial" w:hAnsi="Arial" w:cs="Arial" w:eastAsia="Arial" w:hint="default"/>
          <w:w w:val="99"/>
        </w:rPr>
        <w:t> </w:t>
      </w:r>
      <w:r>
        <w:rPr/>
        <w:t>审验，并出具大华验字</w:t>
      </w:r>
      <w:r>
        <w:rPr>
          <w:rFonts w:ascii="Arial" w:hAnsi="Arial" w:cs="Arial" w:eastAsia="Arial" w:hint="default"/>
        </w:rPr>
        <w:t>[2015]000068</w:t>
      </w:r>
      <w:r>
        <w:rPr/>
        <w:t>号验资报告。</w:t>
      </w:r>
    </w:p>
    <w:p>
      <w:pPr>
        <w:spacing w:after="0" w:line="261" w:lineRule="auto"/>
        <w:jc w:val="both"/>
        <w:sectPr>
          <w:headerReference w:type="default" r:id="rId39"/>
          <w:footerReference w:type="default" r:id="rId40"/>
          <w:pgSz w:w="11910" w:h="16840"/>
          <w:pgMar w:header="878" w:footer="978" w:top="1100" w:bottom="1160" w:left="1020" w:right="0"/>
          <w:pgNumType w:start="105"/>
        </w:sectPr>
      </w:pPr>
    </w:p>
    <w:p>
      <w:pPr>
        <w:spacing w:line="240" w:lineRule="auto" w:before="12"/>
        <w:rPr>
          <w:rFonts w:ascii="宋体" w:hAnsi="宋体" w:cs="宋体" w:eastAsia="宋体" w:hint="default"/>
          <w:sz w:val="20"/>
          <w:szCs w:val="20"/>
        </w:rPr>
      </w:pPr>
    </w:p>
    <w:p>
      <w:pPr>
        <w:pStyle w:val="BodyText"/>
        <w:spacing w:line="259" w:lineRule="auto"/>
        <w:ind w:right="996" w:firstLine="427"/>
        <w:jc w:val="left"/>
      </w:pPr>
      <w:r>
        <w:rPr>
          <w:spacing w:val="-2"/>
          <w:w w:val="99"/>
        </w:rPr>
        <w:t>根据公司</w:t>
      </w:r>
      <w:r>
        <w:rPr>
          <w:rFonts w:ascii="Arial" w:hAnsi="Arial" w:cs="Arial" w:eastAsia="Arial" w:hint="default"/>
          <w:spacing w:val="-2"/>
          <w:w w:val="99"/>
        </w:rPr>
        <w:t>2014</w:t>
      </w:r>
      <w:r>
        <w:rPr>
          <w:spacing w:val="-2"/>
          <w:w w:val="99"/>
        </w:rPr>
        <w:t>年度股东大会决议，公司以截至</w:t>
      </w:r>
      <w:r>
        <w:rPr>
          <w:rFonts w:ascii="Arial" w:hAnsi="Arial" w:cs="Arial" w:eastAsia="Arial" w:hint="default"/>
          <w:spacing w:val="-2"/>
          <w:w w:val="99"/>
        </w:rPr>
        <w:t>2014</w:t>
      </w:r>
      <w:r>
        <w:rPr>
          <w:spacing w:val="-2"/>
          <w:w w:val="99"/>
        </w:rPr>
        <w:t>年</w:t>
      </w:r>
      <w:r>
        <w:rPr>
          <w:rFonts w:ascii="Arial" w:hAnsi="Arial" w:cs="Arial" w:eastAsia="Arial" w:hint="default"/>
          <w:spacing w:val="-2"/>
          <w:w w:val="99"/>
        </w:rPr>
        <w:t>12</w:t>
      </w:r>
      <w:r>
        <w:rPr>
          <w:spacing w:val="-2"/>
          <w:w w:val="99"/>
        </w:rPr>
        <w:t>月</w:t>
      </w:r>
      <w:r>
        <w:rPr>
          <w:rFonts w:ascii="Arial" w:hAnsi="Arial" w:cs="Arial" w:eastAsia="Arial" w:hint="default"/>
          <w:spacing w:val="-2"/>
          <w:w w:val="99"/>
        </w:rPr>
        <w:t>31</w:t>
      </w:r>
      <w:r>
        <w:rPr>
          <w:spacing w:val="-2"/>
          <w:w w:val="99"/>
        </w:rPr>
        <w:t>日的股本</w:t>
      </w:r>
      <w:r>
        <w:rPr>
          <w:rFonts w:ascii="Arial" w:hAnsi="Arial" w:cs="Arial" w:eastAsia="Arial" w:hint="default"/>
          <w:spacing w:val="-2"/>
          <w:w w:val="99"/>
        </w:rPr>
        <w:t>149,954,550</w:t>
      </w:r>
      <w:r>
        <w:rPr>
          <w:spacing w:val="-2"/>
          <w:w w:val="99"/>
        </w:rPr>
        <w:t>为基数按每</w:t>
      </w:r>
      <w:r>
        <w:rPr>
          <w:rFonts w:ascii="Arial" w:hAnsi="Arial" w:cs="Arial" w:eastAsia="Arial" w:hint="default"/>
          <w:spacing w:val="-2"/>
          <w:w w:val="99"/>
        </w:rPr>
        <w:t>10</w:t>
      </w:r>
      <w:r>
        <w:rPr>
          <w:spacing w:val="-2"/>
          <w:w w:val="99"/>
        </w:rPr>
        <w:t>股转</w:t>
      </w:r>
      <w:r>
        <w:rPr>
          <w:w w:val="99"/>
        </w:rPr>
        <w:t> </w:t>
      </w:r>
      <w:r>
        <w:rPr/>
        <w:t>增</w:t>
      </w:r>
      <w:r>
        <w:rPr>
          <w:rFonts w:ascii="Arial" w:hAnsi="Arial" w:cs="Arial" w:eastAsia="Arial" w:hint="default"/>
        </w:rPr>
        <w:t>10</w:t>
      </w:r>
      <w:r>
        <w:rPr/>
        <w:t>股的比例，以资本公积向全体股东转增股份总额</w:t>
      </w:r>
      <w:r>
        <w:rPr>
          <w:rFonts w:ascii="Arial" w:hAnsi="Arial" w:cs="Arial" w:eastAsia="Arial" w:hint="default"/>
        </w:rPr>
        <w:t>149,954,536</w:t>
      </w:r>
      <w:r>
        <w:rPr/>
        <w:t>股（差异为取整所致）。</w:t>
      </w:r>
    </w:p>
    <w:p>
      <w:pPr>
        <w:pStyle w:val="BodyText"/>
        <w:spacing w:line="261" w:lineRule="auto" w:before="123"/>
        <w:ind w:right="1132" w:firstLine="427"/>
        <w:jc w:val="both"/>
      </w:pPr>
      <w:r>
        <w:rPr>
          <w:spacing w:val="-2"/>
        </w:rPr>
        <w:t>根据公司第五届董事会第十九次会议决议、</w:t>
      </w:r>
      <w:r>
        <w:rPr>
          <w:rFonts w:ascii="Arial" w:hAnsi="Arial" w:cs="Arial" w:eastAsia="Arial" w:hint="default"/>
          <w:spacing w:val="-2"/>
        </w:rPr>
        <w:t>2014</w:t>
      </w:r>
      <w:r>
        <w:rPr>
          <w:spacing w:val="-2"/>
        </w:rPr>
        <w:t>年度股东大会决议及中国证券监督管理委员会审核无</w:t>
      </w:r>
      <w:r>
        <w:rPr>
          <w:w w:val="99"/>
        </w:rPr>
        <w:t> </w:t>
      </w:r>
      <w:r>
        <w:rPr>
          <w:w w:val="95"/>
        </w:rPr>
        <w:t>异议的《关于限制性股票激励计划（草案）》，经公司第五届董事会第二十六次会议审议决定，公司董事</w:t>
      </w:r>
      <w:r>
        <w:rPr>
          <w:spacing w:val="36"/>
          <w:w w:val="95"/>
        </w:rPr>
        <w:t> </w:t>
      </w:r>
      <w:r>
        <w:rPr>
          <w:spacing w:val="36"/>
          <w:w w:val="95"/>
        </w:rPr>
      </w:r>
      <w:r>
        <w:rPr>
          <w:spacing w:val="-1"/>
          <w:w w:val="95"/>
        </w:rPr>
        <w:t>会认为本次激励计划规定的授予条件均已满足，根据公司</w:t>
      </w:r>
      <w:r>
        <w:rPr>
          <w:rFonts w:ascii="Arial" w:hAnsi="Arial" w:cs="Arial" w:eastAsia="Arial" w:hint="default"/>
          <w:spacing w:val="-1"/>
          <w:w w:val="95"/>
        </w:rPr>
        <w:t>2014</w:t>
      </w:r>
      <w:r>
        <w:rPr>
          <w:spacing w:val="-1"/>
          <w:w w:val="95"/>
        </w:rPr>
        <w:t>年年度股东大会授权，董事会确定授予日为</w:t>
      </w:r>
      <w:r>
        <w:rPr>
          <w:spacing w:val="42"/>
          <w:w w:val="95"/>
        </w:rPr>
        <w:t> </w:t>
      </w:r>
      <w:r>
        <w:rPr>
          <w:spacing w:val="42"/>
          <w:w w:val="95"/>
        </w:rPr>
      </w:r>
      <w:r>
        <w:rPr>
          <w:rFonts w:ascii="Arial" w:hAnsi="Arial" w:cs="Arial" w:eastAsia="Arial" w:hint="default"/>
        </w:rPr>
        <w:t>2015</w:t>
      </w:r>
      <w:r>
        <w:rPr/>
        <w:t>年</w:t>
      </w:r>
      <w:r>
        <w:rPr>
          <w:rFonts w:ascii="Arial" w:hAnsi="Arial" w:cs="Arial" w:eastAsia="Arial" w:hint="default"/>
        </w:rPr>
        <w:t>5</w:t>
      </w:r>
      <w:r>
        <w:rPr/>
        <w:t>月</w:t>
      </w:r>
      <w:r>
        <w:rPr>
          <w:rFonts w:ascii="Arial" w:hAnsi="Arial" w:cs="Arial" w:eastAsia="Arial" w:hint="default"/>
        </w:rPr>
        <w:t>6</w:t>
      </w:r>
      <w:r>
        <w:rPr/>
        <w:t>日，自授予日分三次解锁。此次限制性股票激励计划共发行股份</w:t>
      </w:r>
      <w:r>
        <w:rPr>
          <w:rFonts w:ascii="Arial" w:hAnsi="Arial" w:cs="Arial" w:eastAsia="Arial" w:hint="default"/>
        </w:rPr>
        <w:t>6,873,949</w:t>
      </w:r>
      <w:r>
        <w:rPr/>
        <w:t>股，已全部实施完</w:t>
      </w:r>
      <w:r>
        <w:rPr>
          <w:w w:val="99"/>
        </w:rPr>
        <w:t> </w:t>
      </w:r>
      <w:r>
        <w:rPr/>
        <w:t>毕。</w:t>
      </w:r>
    </w:p>
    <w:p>
      <w:pPr>
        <w:pStyle w:val="BodyText"/>
        <w:spacing w:line="259" w:lineRule="auto" w:before="138"/>
        <w:ind w:right="1120" w:firstLine="427"/>
        <w:jc w:val="left"/>
      </w:pPr>
      <w:r>
        <w:rPr>
          <w:spacing w:val="-2"/>
        </w:rPr>
        <w:t>根据公司第五届董事会第二十五次会议决议、</w:t>
      </w:r>
      <w:r>
        <w:rPr>
          <w:rFonts w:ascii="Arial" w:hAnsi="Arial" w:cs="Arial" w:eastAsia="Arial" w:hint="default"/>
          <w:spacing w:val="-2"/>
        </w:rPr>
        <w:t>2015</w:t>
      </w:r>
      <w:r>
        <w:rPr>
          <w:spacing w:val="-2"/>
        </w:rPr>
        <w:t>年第一次临时股东大会决议，并经中国证券监督管</w:t>
      </w:r>
      <w:r>
        <w:rPr>
          <w:w w:val="99"/>
        </w:rPr>
        <w:t> </w:t>
      </w:r>
      <w:r>
        <w:rPr>
          <w:spacing w:val="-5"/>
          <w:w w:val="99"/>
        </w:rPr>
        <w:t>理委员会《关于核准北京华宇软件股份有限公司向陈京念等发行股份购买资产并募集配套资金的批复》（证</w:t>
      </w:r>
      <w:r>
        <w:rPr>
          <w:spacing w:val="-77"/>
          <w:w w:val="99"/>
        </w:rPr>
        <w:t> </w:t>
      </w:r>
      <w:r>
        <w:rPr>
          <w:spacing w:val="-77"/>
          <w:w w:val="99"/>
        </w:rPr>
      </w:r>
      <w:r>
        <w:rPr/>
        <w:t>监许可</w:t>
      </w:r>
      <w:r>
        <w:rPr>
          <w:rFonts w:ascii="Arial" w:hAnsi="Arial" w:cs="Arial" w:eastAsia="Arial" w:hint="default"/>
        </w:rPr>
        <w:t>[2015]2231</w:t>
      </w:r>
      <w:r>
        <w:rPr/>
        <w:t>号）文件核准，公司向陈京念及沧州地铁物资有限公司定向增发</w:t>
      </w:r>
      <w:r>
        <w:rPr>
          <w:rFonts w:ascii="Arial" w:hAnsi="Arial" w:cs="Arial" w:eastAsia="Arial" w:hint="default"/>
        </w:rPr>
        <w:t>4,895,647</w:t>
      </w:r>
      <w:r>
        <w:rPr/>
        <w:t>股股份，并</w:t>
      </w:r>
      <w:r>
        <w:rPr>
          <w:w w:val="99"/>
        </w:rPr>
        <w:t> </w:t>
      </w:r>
      <w:r>
        <w:rPr/>
        <w:t>非公开发行不超过</w:t>
      </w:r>
      <w:r>
        <w:rPr>
          <w:rFonts w:ascii="Arial" w:hAnsi="Arial" w:cs="Arial" w:eastAsia="Arial" w:hint="default"/>
        </w:rPr>
        <w:t>3,200,000</w:t>
      </w:r>
      <w:r>
        <w:rPr/>
        <w:t>股新股募集本次发行股份购买资产的配套资金购买陈京念及沧州地铁物资有</w:t>
      </w:r>
      <w:r>
        <w:rPr>
          <w:w w:val="99"/>
        </w:rPr>
        <w:t> </w:t>
      </w:r>
      <w:r>
        <w:rPr/>
        <w:t>限公司持有的华宇金信软件（北京）有限公司</w:t>
      </w:r>
      <w:r>
        <w:rPr>
          <w:rFonts w:ascii="Arial" w:hAnsi="Arial" w:cs="Arial" w:eastAsia="Arial" w:hint="default"/>
        </w:rPr>
        <w:t>49%</w:t>
      </w:r>
      <w:r>
        <w:rPr/>
        <w:t>股权。公司</w:t>
      </w:r>
      <w:r>
        <w:rPr>
          <w:rFonts w:ascii="Arial" w:hAnsi="Arial" w:cs="Arial" w:eastAsia="Arial" w:hint="default"/>
        </w:rPr>
        <w:t>2015</w:t>
      </w:r>
      <w:r>
        <w:rPr/>
        <w:t>年</w:t>
      </w:r>
      <w:r>
        <w:rPr>
          <w:rFonts w:ascii="Arial" w:hAnsi="Arial" w:cs="Arial" w:eastAsia="Arial" w:hint="default"/>
        </w:rPr>
        <w:t>10</w:t>
      </w:r>
      <w:r>
        <w:rPr/>
        <w:t>月</w:t>
      </w:r>
      <w:r>
        <w:rPr>
          <w:rFonts w:ascii="Arial" w:hAnsi="Arial" w:cs="Arial" w:eastAsia="Arial" w:hint="default"/>
        </w:rPr>
        <w:t>28</w:t>
      </w:r>
      <w:r>
        <w:rPr/>
        <w:t>日，已取得作为本次发行股</w:t>
      </w:r>
      <w:r>
        <w:rPr>
          <w:w w:val="99"/>
        </w:rPr>
        <w:t> </w:t>
      </w:r>
      <w:r>
        <w:rPr/>
        <w:t>份对价的华宇金信软件（北京）有限公司</w:t>
      </w:r>
      <w:r>
        <w:rPr>
          <w:rFonts w:ascii="Arial" w:hAnsi="Arial" w:cs="Arial" w:eastAsia="Arial" w:hint="default"/>
        </w:rPr>
        <w:t>49%</w:t>
      </w:r>
      <w:r>
        <w:rPr/>
        <w:t>股权，新增股份</w:t>
      </w:r>
      <w:r>
        <w:rPr>
          <w:rFonts w:ascii="Arial" w:hAnsi="Arial" w:cs="Arial" w:eastAsia="Arial" w:hint="default"/>
        </w:rPr>
        <w:t>4,895,647</w:t>
      </w:r>
      <w:r>
        <w:rPr/>
        <w:t>股，此事项已经中审华寅五洲会</w:t>
      </w:r>
      <w:r>
        <w:rPr>
          <w:w w:val="99"/>
        </w:rPr>
        <w:t> </w:t>
      </w:r>
      <w:r>
        <w:rPr>
          <w:spacing w:val="-2"/>
        </w:rPr>
        <w:t>计师事务所</w:t>
      </w:r>
      <w:r>
        <w:rPr>
          <w:rFonts w:ascii="Arial" w:hAnsi="Arial" w:cs="Arial" w:eastAsia="Arial" w:hint="default"/>
          <w:spacing w:val="-2"/>
        </w:rPr>
        <w:t>(</w:t>
      </w:r>
      <w:r>
        <w:rPr>
          <w:spacing w:val="-2"/>
        </w:rPr>
        <w:t>特殊普通合伙</w:t>
      </w:r>
      <w:r>
        <w:rPr>
          <w:rFonts w:ascii="Arial" w:hAnsi="Arial" w:cs="Arial" w:eastAsia="Arial" w:hint="default"/>
          <w:spacing w:val="-2"/>
        </w:rPr>
        <w:t>)</w:t>
      </w:r>
      <w:r>
        <w:rPr>
          <w:spacing w:val="-2"/>
        </w:rPr>
        <w:t>出具</w:t>
      </w:r>
      <w:r>
        <w:rPr>
          <w:rFonts w:ascii="Arial" w:hAnsi="Arial" w:cs="Arial" w:eastAsia="Arial" w:hint="default"/>
          <w:spacing w:val="-2"/>
        </w:rPr>
        <w:t>CHW</w:t>
      </w:r>
      <w:r>
        <w:rPr>
          <w:spacing w:val="-2"/>
        </w:rPr>
        <w:t>验字【</w:t>
      </w:r>
      <w:r>
        <w:rPr>
          <w:rFonts w:ascii="Arial" w:hAnsi="Arial" w:cs="Arial" w:eastAsia="Arial" w:hint="default"/>
          <w:spacing w:val="-2"/>
        </w:rPr>
        <w:t>2015</w:t>
      </w:r>
      <w:r>
        <w:rPr>
          <w:spacing w:val="-2"/>
        </w:rPr>
        <w:t>】</w:t>
      </w:r>
      <w:r>
        <w:rPr>
          <w:rFonts w:ascii="Arial" w:hAnsi="Arial" w:cs="Arial" w:eastAsia="Arial" w:hint="default"/>
          <w:spacing w:val="-2"/>
        </w:rPr>
        <w:t>0073</w:t>
      </w:r>
      <w:r>
        <w:rPr>
          <w:spacing w:val="-2"/>
        </w:rPr>
        <w:t>号验资报告审验。</w:t>
      </w:r>
      <w:r>
        <w:rPr>
          <w:rFonts w:ascii="Arial" w:hAnsi="Arial" w:cs="Arial" w:eastAsia="Arial" w:hint="default"/>
          <w:spacing w:val="-2"/>
        </w:rPr>
        <w:t>2015</w:t>
      </w:r>
      <w:r>
        <w:rPr>
          <w:spacing w:val="-2"/>
        </w:rPr>
        <w:t>年</w:t>
      </w:r>
      <w:r>
        <w:rPr>
          <w:rFonts w:ascii="Arial" w:hAnsi="Arial" w:cs="Arial" w:eastAsia="Arial" w:hint="default"/>
          <w:spacing w:val="-2"/>
        </w:rPr>
        <w:t>11</w:t>
      </w:r>
      <w:r>
        <w:rPr>
          <w:spacing w:val="-2"/>
        </w:rPr>
        <w:t>月</w:t>
      </w:r>
      <w:r>
        <w:rPr>
          <w:rFonts w:ascii="Arial" w:hAnsi="Arial" w:cs="Arial" w:eastAsia="Arial" w:hint="default"/>
          <w:spacing w:val="-2"/>
        </w:rPr>
        <w:t>4</w:t>
      </w:r>
      <w:r>
        <w:rPr>
          <w:spacing w:val="-2"/>
        </w:rPr>
        <w:t>日，公司已收到郭</w:t>
      </w:r>
      <w:r>
        <w:rPr>
          <w:w w:val="99"/>
        </w:rPr>
        <w:t> </w:t>
      </w:r>
      <w:r>
        <w:rPr>
          <w:w w:val="95"/>
        </w:rPr>
        <w:t>颖、郭楠、王琰、朱相宇、钱贵昱五位自然人缴纳的作为本次发行股份购买资产的募集配套资金</w:t>
      </w:r>
      <w:r>
        <w:rPr>
          <w:rFonts w:ascii="Arial" w:hAnsi="Arial" w:cs="Arial" w:eastAsia="Arial" w:hint="default"/>
          <w:w w:val="95"/>
        </w:rPr>
        <w:t>8,182.80</w:t>
      </w:r>
      <w:r>
        <w:rPr>
          <w:rFonts w:ascii="Arial" w:hAnsi="Arial" w:cs="Arial" w:eastAsia="Arial" w:hint="default"/>
          <w:spacing w:val="12"/>
          <w:w w:val="95"/>
        </w:rPr>
        <w:t> </w:t>
      </w:r>
      <w:r>
        <w:rPr>
          <w:rFonts w:ascii="Arial" w:hAnsi="Arial" w:cs="Arial" w:eastAsia="Arial" w:hint="default"/>
          <w:spacing w:val="12"/>
          <w:w w:val="95"/>
        </w:rPr>
      </w:r>
      <w:r>
        <w:rPr/>
        <w:t>万元（扣除承销商国信证券股份有限公司承销费用</w:t>
      </w:r>
      <w:r>
        <w:rPr>
          <w:rFonts w:ascii="Arial" w:hAnsi="Arial" w:cs="Arial" w:eastAsia="Arial" w:hint="default"/>
        </w:rPr>
        <w:t>300.00</w:t>
      </w:r>
      <w:r>
        <w:rPr/>
        <w:t>万元），认购公司股份</w:t>
      </w:r>
      <w:r>
        <w:rPr>
          <w:rFonts w:ascii="Arial" w:hAnsi="Arial" w:cs="Arial" w:eastAsia="Arial" w:hint="default"/>
        </w:rPr>
        <w:t>312</w:t>
      </w:r>
      <w:r>
        <w:rPr/>
        <w:t>万股，此事项已经中</w:t>
      </w:r>
      <w:r>
        <w:rPr>
          <w:w w:val="99"/>
        </w:rPr>
        <w:t> </w:t>
      </w:r>
      <w:r>
        <w:rPr/>
        <w:t>审华寅五洲会计师事务所</w:t>
      </w:r>
      <w:r>
        <w:rPr>
          <w:rFonts w:ascii="Arial" w:hAnsi="Arial" w:cs="Arial" w:eastAsia="Arial" w:hint="default"/>
        </w:rPr>
        <w:t>(</w:t>
      </w:r>
      <w:r>
        <w:rPr/>
        <w:t>特殊普通合伙</w:t>
      </w:r>
      <w:r>
        <w:rPr>
          <w:rFonts w:ascii="Arial" w:hAnsi="Arial" w:cs="Arial" w:eastAsia="Arial" w:hint="default"/>
        </w:rPr>
        <w:t>)</w:t>
      </w:r>
      <w:r>
        <w:rPr/>
        <w:t>出具</w:t>
      </w:r>
      <w:r>
        <w:rPr>
          <w:rFonts w:ascii="Arial" w:hAnsi="Arial" w:cs="Arial" w:eastAsia="Arial" w:hint="default"/>
        </w:rPr>
        <w:t>CHW</w:t>
      </w:r>
      <w:r>
        <w:rPr/>
        <w:t>验字【</w:t>
      </w:r>
      <w:r>
        <w:rPr>
          <w:rFonts w:ascii="Arial" w:hAnsi="Arial" w:cs="Arial" w:eastAsia="Arial" w:hint="default"/>
        </w:rPr>
        <w:t>2015</w:t>
      </w:r>
      <w:r>
        <w:rPr/>
        <w:t>】</w:t>
      </w:r>
      <w:r>
        <w:rPr>
          <w:rFonts w:ascii="Arial" w:hAnsi="Arial" w:cs="Arial" w:eastAsia="Arial" w:hint="default"/>
        </w:rPr>
        <w:t>0074</w:t>
      </w:r>
      <w:r>
        <w:rPr/>
        <w:t>号验资报告审验。</w:t>
      </w:r>
    </w:p>
    <w:p>
      <w:pPr>
        <w:pStyle w:val="BodyText"/>
        <w:spacing w:line="259" w:lineRule="auto" w:before="123"/>
        <w:ind w:right="996" w:firstLine="427"/>
        <w:jc w:val="left"/>
      </w:pPr>
      <w:r>
        <w:rPr>
          <w:spacing w:val="-2"/>
          <w:w w:val="99"/>
        </w:rPr>
        <w:t>根据公司</w:t>
      </w:r>
      <w:r>
        <w:rPr>
          <w:rFonts w:ascii="Arial" w:hAnsi="Arial" w:cs="Arial" w:eastAsia="Arial" w:hint="default"/>
          <w:spacing w:val="-2"/>
          <w:w w:val="99"/>
        </w:rPr>
        <w:t>2015</w:t>
      </w:r>
      <w:r>
        <w:rPr>
          <w:spacing w:val="-2"/>
          <w:w w:val="99"/>
        </w:rPr>
        <w:t>年度股东大会决议，公司以截止</w:t>
      </w:r>
      <w:r>
        <w:rPr>
          <w:rFonts w:ascii="Arial" w:hAnsi="Arial" w:cs="Arial" w:eastAsia="Arial" w:hint="default"/>
          <w:spacing w:val="-2"/>
          <w:w w:val="99"/>
        </w:rPr>
        <w:t>2015</w:t>
      </w:r>
      <w:r>
        <w:rPr>
          <w:spacing w:val="-2"/>
          <w:w w:val="99"/>
        </w:rPr>
        <w:t>年</w:t>
      </w:r>
      <w:r>
        <w:rPr>
          <w:rFonts w:ascii="Arial" w:hAnsi="Arial" w:cs="Arial" w:eastAsia="Arial" w:hint="default"/>
          <w:spacing w:val="-2"/>
          <w:w w:val="99"/>
        </w:rPr>
        <w:t>12</w:t>
      </w:r>
      <w:r>
        <w:rPr>
          <w:spacing w:val="-2"/>
          <w:w w:val="99"/>
        </w:rPr>
        <w:t>月</w:t>
      </w:r>
      <w:r>
        <w:rPr>
          <w:rFonts w:ascii="Arial" w:hAnsi="Arial" w:cs="Arial" w:eastAsia="Arial" w:hint="default"/>
          <w:spacing w:val="-2"/>
          <w:w w:val="99"/>
        </w:rPr>
        <w:t>31</w:t>
      </w:r>
      <w:r>
        <w:rPr>
          <w:spacing w:val="-2"/>
          <w:w w:val="99"/>
        </w:rPr>
        <w:t>日的股本</w:t>
      </w:r>
      <w:r>
        <w:rPr>
          <w:rFonts w:ascii="Arial" w:hAnsi="Arial" w:cs="Arial" w:eastAsia="Arial" w:hint="default"/>
          <w:spacing w:val="-2"/>
          <w:w w:val="99"/>
        </w:rPr>
        <w:t>320,680,060</w:t>
      </w:r>
      <w:r>
        <w:rPr>
          <w:spacing w:val="-2"/>
          <w:w w:val="99"/>
        </w:rPr>
        <w:t>为基数按每</w:t>
      </w:r>
      <w:r>
        <w:rPr>
          <w:rFonts w:ascii="Arial" w:hAnsi="Arial" w:cs="Arial" w:eastAsia="Arial" w:hint="default"/>
          <w:spacing w:val="-2"/>
          <w:w w:val="99"/>
        </w:rPr>
        <w:t>10</w:t>
      </w:r>
      <w:r>
        <w:rPr>
          <w:spacing w:val="-2"/>
          <w:w w:val="99"/>
        </w:rPr>
        <w:t>股转</w:t>
      </w:r>
      <w:r>
        <w:rPr>
          <w:w w:val="99"/>
        </w:rPr>
        <w:t> </w:t>
      </w:r>
      <w:r>
        <w:rPr/>
        <w:t>增</w:t>
      </w:r>
      <w:r>
        <w:rPr>
          <w:rFonts w:ascii="Arial" w:hAnsi="Arial" w:cs="Arial" w:eastAsia="Arial" w:hint="default"/>
        </w:rPr>
        <w:t>10</w:t>
      </w:r>
      <w:r>
        <w:rPr/>
        <w:t>股的比例，以资本公积向全体股东转增股份总额</w:t>
      </w:r>
      <w:r>
        <w:rPr>
          <w:rFonts w:ascii="Arial" w:hAnsi="Arial" w:cs="Arial" w:eastAsia="Arial" w:hint="default"/>
        </w:rPr>
        <w:t>320,680,046</w:t>
      </w:r>
      <w:r>
        <w:rPr/>
        <w:t>股。</w:t>
      </w:r>
    </w:p>
    <w:p>
      <w:pPr>
        <w:pStyle w:val="BodyText"/>
        <w:spacing w:line="259" w:lineRule="auto" w:before="123"/>
        <w:ind w:right="1202" w:firstLine="427"/>
        <w:jc w:val="left"/>
      </w:pPr>
      <w:r>
        <w:rPr/>
        <w:t>根据公司第六届董事会第八次会议决议、</w:t>
      </w:r>
      <w:r>
        <w:rPr>
          <w:rFonts w:ascii="Arial" w:hAnsi="Arial" w:cs="Arial" w:eastAsia="Arial" w:hint="default"/>
        </w:rPr>
        <w:t>2016</w:t>
      </w:r>
      <w:r>
        <w:rPr/>
        <w:t>年度第六次临时股东大会决议《</w:t>
      </w:r>
      <w:r>
        <w:rPr>
          <w:rFonts w:ascii="Arial" w:hAnsi="Arial" w:cs="Arial" w:eastAsia="Arial" w:hint="default"/>
        </w:rPr>
        <w:t>2016</w:t>
      </w:r>
      <w:r>
        <w:rPr/>
        <w:t>年限制性股票激</w:t>
      </w:r>
      <w:r>
        <w:rPr>
          <w:w w:val="99"/>
        </w:rPr>
        <w:t> </w:t>
      </w:r>
      <w:r>
        <w:rPr>
          <w:w w:val="95"/>
        </w:rPr>
        <w:t>励计划》（草案），公司向</w:t>
      </w:r>
      <w:r>
        <w:rPr>
          <w:rFonts w:ascii="Arial" w:hAnsi="Arial" w:cs="Arial" w:eastAsia="Arial" w:hint="default"/>
          <w:w w:val="95"/>
        </w:rPr>
        <w:t>881</w:t>
      </w:r>
      <w:r>
        <w:rPr>
          <w:w w:val="95"/>
        </w:rPr>
        <w:t>名激励对象授予限制性股票共计</w:t>
      </w:r>
      <w:r>
        <w:rPr>
          <w:rFonts w:ascii="Arial" w:hAnsi="Arial" w:cs="Arial" w:eastAsia="Arial" w:hint="default"/>
          <w:w w:val="95"/>
        </w:rPr>
        <w:t>2,158.69</w:t>
      </w:r>
      <w:r>
        <w:rPr>
          <w:w w:val="95"/>
        </w:rPr>
        <w:t>万股，经公司第六届董事会第十</w:t>
      </w:r>
      <w:r>
        <w:rPr>
          <w:spacing w:val="55"/>
          <w:w w:val="95"/>
        </w:rPr>
        <w:t> </w:t>
      </w:r>
      <w:r>
        <w:rPr>
          <w:spacing w:val="55"/>
          <w:w w:val="95"/>
        </w:rPr>
      </w:r>
      <w:r>
        <w:rPr/>
        <w:t>次会议审议并通过了《关于向激励对象授予限制性股票的议案》，确定授予日为</w:t>
      </w:r>
      <w:r>
        <w:rPr>
          <w:rFonts w:ascii="Arial" w:hAnsi="Arial" w:cs="Arial" w:eastAsia="Arial" w:hint="default"/>
        </w:rPr>
        <w:t>2016</w:t>
      </w:r>
      <w:r>
        <w:rPr/>
        <w:t>年</w:t>
      </w:r>
      <w:r>
        <w:rPr>
          <w:rFonts w:ascii="Arial" w:hAnsi="Arial" w:cs="Arial" w:eastAsia="Arial" w:hint="default"/>
        </w:rPr>
        <w:t>12</w:t>
      </w:r>
      <w:r>
        <w:rPr/>
        <w:t>月</w:t>
      </w:r>
      <w:r>
        <w:rPr>
          <w:rFonts w:ascii="Arial" w:hAnsi="Arial" w:cs="Arial" w:eastAsia="Arial" w:hint="default"/>
        </w:rPr>
        <w:t>16</w:t>
      </w:r>
      <w:r>
        <w:rPr/>
        <w:t>日，自授</w:t>
      </w:r>
      <w:r>
        <w:rPr>
          <w:w w:val="99"/>
        </w:rPr>
        <w:t> </w:t>
      </w:r>
      <w:r>
        <w:rPr/>
        <w:t>予日分三次解锁。截止</w:t>
      </w:r>
      <w:r>
        <w:rPr>
          <w:rFonts w:ascii="Arial" w:hAnsi="Arial" w:cs="Arial" w:eastAsia="Arial" w:hint="default"/>
        </w:rPr>
        <w:t>2018</w:t>
      </w:r>
      <w:r>
        <w:rPr/>
        <w:t>年</w:t>
      </w:r>
      <w:r>
        <w:rPr>
          <w:rFonts w:ascii="Arial" w:hAnsi="Arial" w:cs="Arial" w:eastAsia="Arial" w:hint="default"/>
        </w:rPr>
        <w:t>12</w:t>
      </w:r>
      <w:r>
        <w:rPr/>
        <w:t>月</w:t>
      </w:r>
      <w:r>
        <w:rPr>
          <w:rFonts w:ascii="Arial" w:hAnsi="Arial" w:cs="Arial" w:eastAsia="Arial" w:hint="default"/>
        </w:rPr>
        <w:t>31</w:t>
      </w:r>
      <w:r>
        <w:rPr/>
        <w:t>日，扣除已回购股票，本次限制性股票激励计划共发行股份</w:t>
      </w:r>
      <w:r>
        <w:rPr>
          <w:w w:val="99"/>
        </w:rPr>
        <w:t> </w:t>
      </w:r>
      <w:r>
        <w:rPr>
          <w:rFonts w:ascii="Arial" w:hAnsi="Arial" w:cs="Arial" w:eastAsia="Arial" w:hint="default"/>
        </w:rPr>
        <w:t>20,327,150</w:t>
      </w:r>
      <w:r>
        <w:rPr/>
        <w:t>股。</w:t>
      </w:r>
    </w:p>
    <w:p>
      <w:pPr>
        <w:pStyle w:val="BodyText"/>
        <w:spacing w:line="261" w:lineRule="auto" w:before="123"/>
        <w:ind w:right="1028" w:firstLine="427"/>
        <w:jc w:val="left"/>
      </w:pPr>
      <w:r>
        <w:rPr>
          <w:w w:val="95"/>
        </w:rPr>
        <w:t>根据公司</w:t>
      </w:r>
      <w:r>
        <w:rPr>
          <w:rFonts w:ascii="Arial" w:hAnsi="Arial" w:cs="Arial" w:eastAsia="Arial" w:hint="default"/>
          <w:w w:val="95"/>
        </w:rPr>
        <w:t>2017</w:t>
      </w:r>
      <w:r>
        <w:rPr>
          <w:w w:val="95"/>
        </w:rPr>
        <w:t>年第一次临时股东大会决议、第六届董事会第十八次会议决议，并经中国证券监督管理</w:t>
      </w:r>
      <w:r>
        <w:rPr>
          <w:w w:val="99"/>
        </w:rPr>
        <w:t> </w:t>
      </w:r>
      <w:r>
        <w:rPr/>
        <w:t>委员会《关于核准北京华宇软件股份有限公司向任刚等发行股份购买资产并募集配套资金的批复》（证监</w:t>
      </w:r>
      <w:r>
        <w:rPr>
          <w:w w:val="99"/>
        </w:rPr>
        <w:t> </w:t>
      </w:r>
      <w:r>
        <w:rPr/>
        <w:t>许可</w:t>
      </w:r>
      <w:r>
        <w:rPr>
          <w:rFonts w:ascii="Arial" w:hAnsi="Arial" w:cs="Arial" w:eastAsia="Arial" w:hint="default"/>
        </w:rPr>
        <w:t>[2017]1395</w:t>
      </w:r>
      <w:r>
        <w:rPr/>
        <w:t>号）文件核准，公司向任刚等定向增发</w:t>
      </w:r>
      <w:r>
        <w:rPr>
          <w:rFonts w:ascii="Arial" w:hAnsi="Arial" w:cs="Arial" w:eastAsia="Arial" w:hint="default"/>
        </w:rPr>
        <w:t>60,661,865</w:t>
      </w:r>
      <w:r>
        <w:rPr/>
        <w:t>股股份，并非公开发行股份募集配套资</w:t>
      </w:r>
      <w:r>
        <w:rPr>
          <w:w w:val="99"/>
        </w:rPr>
        <w:t> </w:t>
      </w:r>
      <w:r>
        <w:rPr/>
        <w:t>金不超过</w:t>
      </w:r>
      <w:r>
        <w:rPr>
          <w:rFonts w:ascii="Arial" w:hAnsi="Arial" w:cs="Arial" w:eastAsia="Arial" w:hint="default"/>
        </w:rPr>
        <w:t>49,000</w:t>
      </w:r>
      <w:r>
        <w:rPr/>
        <w:t>万元，购买任刚等持有的联奕科技有限公司</w:t>
      </w:r>
      <w:r>
        <w:rPr>
          <w:rFonts w:ascii="Arial" w:hAnsi="Arial" w:cs="Arial" w:eastAsia="Arial" w:hint="default"/>
        </w:rPr>
        <w:t>100%</w:t>
      </w:r>
      <w:r>
        <w:rPr/>
        <w:t>股权。公司</w:t>
      </w:r>
      <w:r>
        <w:rPr>
          <w:rFonts w:ascii="Arial" w:hAnsi="Arial" w:cs="Arial" w:eastAsia="Arial" w:hint="default"/>
        </w:rPr>
        <w:t>2017</w:t>
      </w:r>
      <w:r>
        <w:rPr/>
        <w:t>年</w:t>
      </w:r>
      <w:r>
        <w:rPr>
          <w:rFonts w:ascii="Arial" w:hAnsi="Arial" w:cs="Arial" w:eastAsia="Arial" w:hint="default"/>
        </w:rPr>
        <w:t>8</w:t>
      </w:r>
      <w:r>
        <w:rPr/>
        <w:t>月</w:t>
      </w:r>
      <w:r>
        <w:rPr>
          <w:rFonts w:ascii="Arial" w:hAnsi="Arial" w:cs="Arial" w:eastAsia="Arial" w:hint="default"/>
        </w:rPr>
        <w:t>21</w:t>
      </w:r>
      <w:r>
        <w:rPr/>
        <w:t>日，已取得作</w:t>
      </w:r>
      <w:r>
        <w:rPr>
          <w:w w:val="99"/>
        </w:rPr>
        <w:t> </w:t>
      </w:r>
      <w:r>
        <w:rPr/>
        <w:t>为本次发行股份对价的联奕科技有限公司</w:t>
      </w:r>
      <w:r>
        <w:rPr>
          <w:rFonts w:ascii="Arial" w:hAnsi="Arial" w:cs="Arial" w:eastAsia="Arial" w:hint="default"/>
        </w:rPr>
        <w:t>100%</w:t>
      </w:r>
      <w:r>
        <w:rPr/>
        <w:t>股权，新增股份</w:t>
      </w:r>
      <w:r>
        <w:rPr>
          <w:rFonts w:ascii="Arial" w:hAnsi="Arial" w:cs="Arial" w:eastAsia="Arial" w:hint="default"/>
        </w:rPr>
        <w:t>60,661,865</w:t>
      </w:r>
      <w:r>
        <w:rPr/>
        <w:t>股，此事项已经中审华会计师</w:t>
      </w:r>
      <w:r>
        <w:rPr>
          <w:w w:val="99"/>
        </w:rPr>
        <w:t> </w:t>
      </w:r>
      <w:r>
        <w:rPr/>
        <w:t>事务所</w:t>
      </w:r>
      <w:r>
        <w:rPr>
          <w:rFonts w:ascii="Arial" w:hAnsi="Arial" w:cs="Arial" w:eastAsia="Arial" w:hint="default"/>
        </w:rPr>
        <w:t>(</w:t>
      </w:r>
      <w:r>
        <w:rPr/>
        <w:t>特殊普通合伙</w:t>
      </w:r>
      <w:r>
        <w:rPr>
          <w:rFonts w:ascii="Arial" w:hAnsi="Arial" w:cs="Arial" w:eastAsia="Arial" w:hint="default"/>
        </w:rPr>
        <w:t>)</w:t>
      </w:r>
      <w:r>
        <w:rPr/>
        <w:t>出具</w:t>
      </w:r>
      <w:r>
        <w:rPr>
          <w:rFonts w:ascii="Arial" w:hAnsi="Arial" w:cs="Arial" w:eastAsia="Arial" w:hint="default"/>
        </w:rPr>
        <w:t>CAC</w:t>
      </w:r>
      <w:r>
        <w:rPr/>
        <w:t>验字【</w:t>
      </w:r>
      <w:r>
        <w:rPr>
          <w:rFonts w:ascii="Arial" w:hAnsi="Arial" w:cs="Arial" w:eastAsia="Arial" w:hint="default"/>
        </w:rPr>
        <w:t>2017</w:t>
      </w:r>
      <w:r>
        <w:rPr/>
        <w:t>】</w:t>
      </w:r>
      <w:r>
        <w:rPr>
          <w:rFonts w:ascii="Arial" w:hAnsi="Arial" w:cs="Arial" w:eastAsia="Arial" w:hint="default"/>
        </w:rPr>
        <w:t>0036</w:t>
      </w:r>
      <w:r>
        <w:rPr/>
        <w:t>号验资报告审验。截至</w:t>
      </w:r>
      <w:r>
        <w:rPr>
          <w:rFonts w:ascii="Arial" w:hAnsi="Arial" w:cs="Arial" w:eastAsia="Arial" w:hint="default"/>
        </w:rPr>
        <w:t>2017</w:t>
      </w:r>
      <w:r>
        <w:rPr/>
        <w:t>年</w:t>
      </w:r>
      <w:r>
        <w:rPr>
          <w:rFonts w:ascii="Arial" w:hAnsi="Arial" w:cs="Arial" w:eastAsia="Arial" w:hint="default"/>
        </w:rPr>
        <w:t>9</w:t>
      </w:r>
      <w:r>
        <w:rPr/>
        <w:t>月</w:t>
      </w:r>
      <w:r>
        <w:rPr>
          <w:rFonts w:ascii="Arial" w:hAnsi="Arial" w:cs="Arial" w:eastAsia="Arial" w:hint="default"/>
        </w:rPr>
        <w:t>18</w:t>
      </w:r>
      <w:r>
        <w:rPr/>
        <w:t>日止，公司已收到</w:t>
      </w:r>
      <w:r>
        <w:rPr>
          <w:w w:val="99"/>
        </w:rPr>
        <w:t> </w:t>
      </w:r>
      <w:r>
        <w:rPr/>
        <w:t>上海国鑫投资发展有限公司、北京中关村并购母基金投资中心（有限合伙）、全国社保基金五零四组合、</w:t>
      </w:r>
      <w:r>
        <w:rPr>
          <w:w w:val="99"/>
        </w:rPr>
        <w:t> </w:t>
      </w:r>
      <w:r>
        <w:rPr/>
        <w:t>嘉实基金超新星</w:t>
      </w:r>
      <w:r>
        <w:rPr>
          <w:rFonts w:ascii="Arial" w:hAnsi="Arial" w:cs="Arial" w:eastAsia="Arial" w:hint="default"/>
        </w:rPr>
        <w:t>1</w:t>
      </w:r>
      <w:r>
        <w:rPr/>
        <w:t>号定增资产管理计划、嘉实基金</w:t>
      </w:r>
      <w:r>
        <w:rPr>
          <w:rFonts w:ascii="Arial" w:hAnsi="Arial" w:cs="Arial" w:eastAsia="Arial" w:hint="default"/>
        </w:rPr>
        <w:t>-</w:t>
      </w:r>
      <w:r>
        <w:rPr/>
        <w:t>浦发银行</w:t>
      </w:r>
      <w:r>
        <w:rPr>
          <w:rFonts w:ascii="Arial" w:hAnsi="Arial" w:cs="Arial" w:eastAsia="Arial" w:hint="default"/>
        </w:rPr>
        <w:t>-</w:t>
      </w:r>
      <w:r>
        <w:rPr/>
        <w:t>睿思</w:t>
      </w:r>
      <w:r>
        <w:rPr>
          <w:rFonts w:ascii="Arial" w:hAnsi="Arial" w:cs="Arial" w:eastAsia="Arial" w:hint="default"/>
        </w:rPr>
        <w:t>5</w:t>
      </w:r>
      <w:r>
        <w:rPr/>
        <w:t>号资产管理计划、邵学缴纳的作为本次</w:t>
      </w:r>
      <w:r>
        <w:rPr>
          <w:w w:val="99"/>
        </w:rPr>
        <w:t> </w:t>
      </w:r>
      <w:r>
        <w:rPr>
          <w:w w:val="95"/>
        </w:rPr>
        <w:t>发行股份购买资产的募集配套资金</w:t>
      </w:r>
      <w:r>
        <w:rPr>
          <w:rFonts w:ascii="Arial" w:hAnsi="Arial" w:cs="Arial" w:eastAsia="Arial" w:hint="default"/>
          <w:w w:val="95"/>
        </w:rPr>
        <w:t>48,000</w:t>
      </w:r>
      <w:r>
        <w:rPr>
          <w:w w:val="95"/>
        </w:rPr>
        <w:t>万元（扣除承销商国信证券股份有限公司承销费用</w:t>
      </w:r>
      <w:r>
        <w:rPr>
          <w:rFonts w:ascii="Arial" w:hAnsi="Arial" w:cs="Arial" w:eastAsia="Arial" w:hint="default"/>
          <w:w w:val="95"/>
        </w:rPr>
        <w:t>1,000</w:t>
      </w:r>
      <w:r>
        <w:rPr>
          <w:w w:val="95"/>
        </w:rPr>
        <w:t>万元），</w:t>
      </w:r>
      <w:r>
        <w:rPr>
          <w:spacing w:val="32"/>
          <w:w w:val="95"/>
        </w:rPr>
        <w:t> </w:t>
      </w:r>
      <w:r>
        <w:rPr>
          <w:spacing w:val="32"/>
          <w:w w:val="95"/>
        </w:rPr>
      </w:r>
      <w:r>
        <w:rPr>
          <w:w w:val="95"/>
        </w:rPr>
        <w:t>认购公司股份</w:t>
      </w:r>
      <w:r>
        <w:rPr>
          <w:rFonts w:ascii="Arial" w:hAnsi="Arial" w:cs="Arial" w:eastAsia="Arial" w:hint="default"/>
          <w:w w:val="95"/>
        </w:rPr>
        <w:t>31,091,370</w:t>
      </w:r>
      <w:r>
        <w:rPr>
          <w:w w:val="95"/>
        </w:rPr>
        <w:t>股，此事项已经中审华会计师事务所</w:t>
      </w:r>
      <w:r>
        <w:rPr>
          <w:rFonts w:ascii="Arial" w:hAnsi="Arial" w:cs="Arial" w:eastAsia="Arial" w:hint="default"/>
          <w:w w:val="95"/>
        </w:rPr>
        <w:t>(</w:t>
      </w:r>
      <w:r>
        <w:rPr>
          <w:w w:val="95"/>
        </w:rPr>
        <w:t>特殊普通合伙</w:t>
      </w:r>
      <w:r>
        <w:rPr>
          <w:rFonts w:ascii="Arial" w:hAnsi="Arial" w:cs="Arial" w:eastAsia="Arial" w:hint="default"/>
          <w:w w:val="95"/>
        </w:rPr>
        <w:t>)</w:t>
      </w:r>
      <w:r>
        <w:rPr>
          <w:w w:val="95"/>
        </w:rPr>
        <w:t>出具</w:t>
      </w:r>
      <w:r>
        <w:rPr>
          <w:rFonts w:ascii="Arial" w:hAnsi="Arial" w:cs="Arial" w:eastAsia="Arial" w:hint="default"/>
          <w:w w:val="95"/>
        </w:rPr>
        <w:t>CAC</w:t>
      </w:r>
      <w:r>
        <w:rPr>
          <w:w w:val="95"/>
        </w:rPr>
        <w:t>验字【</w:t>
      </w:r>
      <w:r>
        <w:rPr>
          <w:rFonts w:ascii="Arial" w:hAnsi="Arial" w:cs="Arial" w:eastAsia="Arial" w:hint="default"/>
          <w:w w:val="95"/>
        </w:rPr>
        <w:t>2017</w:t>
      </w:r>
      <w:r>
        <w:rPr>
          <w:w w:val="95"/>
        </w:rPr>
        <w:t>】</w:t>
      </w:r>
      <w:r>
        <w:rPr>
          <w:rFonts w:ascii="Arial" w:hAnsi="Arial" w:cs="Arial" w:eastAsia="Arial" w:hint="default"/>
          <w:w w:val="95"/>
        </w:rPr>
        <w:t>0051</w:t>
      </w:r>
      <w:r>
        <w:rPr>
          <w:rFonts w:ascii="Arial" w:hAnsi="Arial" w:cs="Arial" w:eastAsia="Arial" w:hint="default"/>
          <w:spacing w:val="54"/>
          <w:w w:val="95"/>
        </w:rPr>
        <w:t> </w:t>
      </w:r>
      <w:r>
        <w:rPr>
          <w:rFonts w:ascii="Arial" w:hAnsi="Arial" w:cs="Arial" w:eastAsia="Arial" w:hint="default"/>
          <w:spacing w:val="54"/>
          <w:w w:val="95"/>
        </w:rPr>
      </w:r>
      <w:r>
        <w:rPr/>
        <w:t>号验资报告审验。</w:t>
      </w:r>
    </w:p>
    <w:p>
      <w:pPr>
        <w:pStyle w:val="BodyText"/>
        <w:spacing w:line="264" w:lineRule="auto" w:before="138"/>
        <w:ind w:right="996" w:firstLine="427"/>
        <w:jc w:val="left"/>
      </w:pPr>
      <w:r>
        <w:rPr>
          <w:w w:val="95"/>
        </w:rPr>
        <w:t>根据公司</w:t>
      </w:r>
      <w:r>
        <w:rPr>
          <w:rFonts w:ascii="Arial" w:hAnsi="Arial" w:cs="Arial" w:eastAsia="Arial" w:hint="default"/>
          <w:w w:val="95"/>
        </w:rPr>
        <w:t>2018</w:t>
      </w:r>
      <w:r>
        <w:rPr>
          <w:w w:val="95"/>
        </w:rPr>
        <w:t>年</w:t>
      </w:r>
      <w:r>
        <w:rPr>
          <w:rFonts w:ascii="Arial" w:hAnsi="Arial" w:cs="Arial" w:eastAsia="Arial" w:hint="default"/>
          <w:w w:val="95"/>
        </w:rPr>
        <w:t>4</w:t>
      </w:r>
      <w:r>
        <w:rPr>
          <w:w w:val="95"/>
        </w:rPr>
        <w:t>月</w:t>
      </w:r>
      <w:r>
        <w:rPr>
          <w:rFonts w:ascii="Arial" w:hAnsi="Arial" w:cs="Arial" w:eastAsia="Arial" w:hint="default"/>
          <w:w w:val="95"/>
        </w:rPr>
        <w:t>8</w:t>
      </w:r>
      <w:r>
        <w:rPr>
          <w:w w:val="95"/>
        </w:rPr>
        <w:t>日召开第六届董事会第二十七次会议，</w:t>
      </w:r>
      <w:r>
        <w:rPr>
          <w:rFonts w:ascii="Arial" w:hAnsi="Arial" w:cs="Arial" w:eastAsia="Arial" w:hint="default"/>
          <w:w w:val="95"/>
        </w:rPr>
        <w:t>2018</w:t>
      </w:r>
      <w:r>
        <w:rPr>
          <w:w w:val="95"/>
        </w:rPr>
        <w:t>年</w:t>
      </w:r>
      <w:r>
        <w:rPr>
          <w:rFonts w:ascii="Arial" w:hAnsi="Arial" w:cs="Arial" w:eastAsia="Arial" w:hint="default"/>
          <w:w w:val="95"/>
        </w:rPr>
        <w:t>5</w:t>
      </w:r>
      <w:r>
        <w:rPr>
          <w:w w:val="95"/>
        </w:rPr>
        <w:t>月</w:t>
      </w:r>
      <w:r>
        <w:rPr>
          <w:rFonts w:ascii="Arial" w:hAnsi="Arial" w:cs="Arial" w:eastAsia="Arial" w:hint="default"/>
          <w:w w:val="95"/>
        </w:rPr>
        <w:t>7</w:t>
      </w:r>
      <w:r>
        <w:rPr>
          <w:w w:val="95"/>
        </w:rPr>
        <w:t>日召开</w:t>
      </w:r>
      <w:r>
        <w:rPr>
          <w:rFonts w:ascii="Arial" w:hAnsi="Arial" w:cs="Arial" w:eastAsia="Arial" w:hint="default"/>
          <w:w w:val="95"/>
        </w:rPr>
        <w:t>2017</w:t>
      </w:r>
      <w:r>
        <w:rPr>
          <w:w w:val="95"/>
        </w:rPr>
        <w:t>年年度股东大会，</w:t>
      </w:r>
      <w:r>
        <w:rPr>
          <w:spacing w:val="-85"/>
          <w:w w:val="95"/>
        </w:rPr>
        <w:t> </w:t>
      </w:r>
      <w:r>
        <w:rPr>
          <w:spacing w:val="-85"/>
          <w:w w:val="95"/>
        </w:rPr>
      </w:r>
      <w:r>
        <w:rPr/>
        <w:t>审议通过了《关于陈京念、沧州地铁业绩补偿方案的议案》，根据公司与陈京念、沧州地铁物资有限公司</w:t>
      </w:r>
      <w:r>
        <w:rPr>
          <w:w w:val="99"/>
        </w:rPr>
        <w:t> </w:t>
      </w:r>
      <w:r>
        <w:rPr/>
        <w:t>签署的《利润承诺补偿协议》，公司于</w:t>
      </w:r>
      <w:r>
        <w:rPr>
          <w:rFonts w:ascii="Arial" w:hAnsi="Arial" w:cs="Arial" w:eastAsia="Arial" w:hint="default"/>
        </w:rPr>
        <w:t>2018</w:t>
      </w:r>
      <w:r>
        <w:rPr/>
        <w:t>年</w:t>
      </w:r>
      <w:r>
        <w:rPr>
          <w:rFonts w:ascii="Arial" w:hAnsi="Arial" w:cs="Arial" w:eastAsia="Arial" w:hint="default"/>
        </w:rPr>
        <w:t>6</w:t>
      </w:r>
      <w:r>
        <w:rPr/>
        <w:t>月</w:t>
      </w:r>
      <w:r>
        <w:rPr>
          <w:rFonts w:ascii="Arial" w:hAnsi="Arial" w:cs="Arial" w:eastAsia="Arial" w:hint="default"/>
        </w:rPr>
        <w:t>6</w:t>
      </w:r>
      <w:r>
        <w:rPr/>
        <w:t>日回购注销陈京念应补偿的股份</w:t>
      </w:r>
      <w:r>
        <w:rPr>
          <w:rFonts w:ascii="Arial" w:hAnsi="Arial" w:cs="Arial" w:eastAsia="Arial" w:hint="default"/>
        </w:rPr>
        <w:t>3,300,116</w:t>
      </w:r>
      <w:r>
        <w:rPr/>
        <w:t>股，于</w:t>
      </w:r>
      <w:r>
        <w:rPr>
          <w:rFonts w:ascii="Arial" w:hAnsi="Arial" w:cs="Arial" w:eastAsia="Arial" w:hint="default"/>
        </w:rPr>
        <w:t>2018</w:t>
      </w:r>
      <w:r>
        <w:rPr>
          <w:rFonts w:ascii="Arial" w:hAnsi="Arial" w:cs="Arial" w:eastAsia="Arial" w:hint="default"/>
          <w:w w:val="99"/>
        </w:rPr>
        <w:t> </w:t>
      </w:r>
      <w:r>
        <w:rPr/>
        <w:t>年</w:t>
      </w:r>
      <w:r>
        <w:rPr>
          <w:rFonts w:ascii="Arial" w:hAnsi="Arial" w:cs="Arial" w:eastAsia="Arial" w:hint="default"/>
        </w:rPr>
        <w:t>7</w:t>
      </w:r>
      <w:r>
        <w:rPr/>
        <w:t>月</w:t>
      </w:r>
      <w:r>
        <w:rPr>
          <w:rFonts w:ascii="Arial" w:hAnsi="Arial" w:cs="Arial" w:eastAsia="Arial" w:hint="default"/>
        </w:rPr>
        <w:t>5</w:t>
      </w:r>
      <w:r>
        <w:rPr/>
        <w:t>日回购注销沧州地铁物资有限公司应补偿的股份</w:t>
      </w:r>
      <w:r>
        <w:rPr>
          <w:rFonts w:ascii="Arial" w:hAnsi="Arial" w:cs="Arial" w:eastAsia="Arial" w:hint="default"/>
        </w:rPr>
        <w:t>1,187,286</w:t>
      </w:r>
      <w:r>
        <w:rPr/>
        <w:t>股。</w:t>
      </w:r>
    </w:p>
    <w:p>
      <w:pPr>
        <w:pStyle w:val="BodyText"/>
        <w:spacing w:line="240" w:lineRule="auto" w:before="118"/>
        <w:ind w:left="540" w:right="996"/>
        <w:jc w:val="left"/>
        <w:rPr>
          <w:rFonts w:ascii="Arial" w:hAnsi="Arial" w:cs="Arial" w:eastAsia="Arial" w:hint="default"/>
        </w:rPr>
      </w:pPr>
      <w:r>
        <w:rPr/>
        <w:t>截至</w:t>
      </w:r>
      <w:r>
        <w:rPr>
          <w:rFonts w:ascii="Arial" w:hAnsi="Arial" w:cs="Arial" w:eastAsia="Arial" w:hint="default"/>
        </w:rPr>
        <w:t>2018</w:t>
      </w:r>
      <w:r>
        <w:rPr/>
        <w:t>年</w:t>
      </w:r>
      <w:r>
        <w:rPr>
          <w:rFonts w:ascii="Arial" w:hAnsi="Arial" w:cs="Arial" w:eastAsia="Arial" w:hint="default"/>
        </w:rPr>
        <w:t>12</w:t>
      </w:r>
      <w:r>
        <w:rPr/>
        <w:t>月</w:t>
      </w:r>
      <w:r>
        <w:rPr>
          <w:rFonts w:ascii="Arial" w:hAnsi="Arial" w:cs="Arial" w:eastAsia="Arial" w:hint="default"/>
        </w:rPr>
        <w:t>31</w:t>
      </w:r>
      <w:r>
        <w:rPr/>
        <w:t>日中国证券登记结算有限责任公司深圳分公司登记股本为人民币</w:t>
      </w:r>
      <w:r>
        <w:rPr>
          <w:rFonts w:ascii="Arial" w:hAnsi="Arial" w:cs="Arial" w:eastAsia="Arial" w:hint="default"/>
        </w:rPr>
        <w:t>754,491,460.00</w:t>
      </w:r>
    </w:p>
    <w:p>
      <w:pPr>
        <w:pStyle w:val="BodyText"/>
        <w:spacing w:line="240" w:lineRule="auto" w:before="22"/>
        <w:ind w:right="996"/>
        <w:jc w:val="left"/>
      </w:pPr>
      <w:r>
        <w:rPr/>
        <w:t>元。</w:t>
      </w:r>
    </w:p>
    <w:p>
      <w:pPr>
        <w:spacing w:after="0" w:line="240" w:lineRule="auto"/>
        <w:jc w:val="left"/>
        <w:sectPr>
          <w:pgSz w:w="11910" w:h="16840"/>
          <w:pgMar w:header="878" w:footer="978" w:top="1100" w:bottom="1160" w:left="1020" w:right="0"/>
        </w:sectPr>
      </w:pPr>
    </w:p>
    <w:p>
      <w:pPr>
        <w:spacing w:line="240" w:lineRule="auto" w:before="12"/>
        <w:rPr>
          <w:rFonts w:ascii="宋体" w:hAnsi="宋体" w:cs="宋体" w:eastAsia="宋体" w:hint="default"/>
          <w:sz w:val="20"/>
          <w:szCs w:val="20"/>
        </w:rPr>
      </w:pPr>
    </w:p>
    <w:p>
      <w:pPr>
        <w:pStyle w:val="BodyText"/>
        <w:spacing w:line="273" w:lineRule="auto"/>
        <w:ind w:right="996" w:firstLine="427"/>
        <w:jc w:val="left"/>
      </w:pPr>
      <w:r>
        <w:rPr>
          <w:spacing w:val="-3"/>
          <w:w w:val="95"/>
        </w:rPr>
        <w:t>本公司建立了股东大会、董事会、监事会的法人治理结构。目前设综合管理办公室、财务部、审计部、</w:t>
      </w:r>
      <w:r>
        <w:rPr>
          <w:spacing w:val="-76"/>
          <w:w w:val="95"/>
        </w:rPr>
        <w:t> </w:t>
      </w:r>
      <w:r>
        <w:rPr>
          <w:spacing w:val="-76"/>
          <w:w w:val="95"/>
        </w:rPr>
      </w:r>
      <w:r>
        <w:rPr/>
        <w:t>证券部、研发部、公共事务部、华宇大学等部门。</w:t>
      </w:r>
    </w:p>
    <w:p>
      <w:pPr>
        <w:pStyle w:val="BodyText"/>
        <w:spacing w:line="268" w:lineRule="auto" w:before="127"/>
        <w:ind w:right="1025" w:firstLine="427"/>
        <w:jc w:val="left"/>
      </w:pPr>
      <w:r>
        <w:rPr/>
        <w:t>本公司及其子公司（以下简称</w:t>
      </w:r>
      <w:r>
        <w:rPr>
          <w:rFonts w:ascii="Arial" w:hAnsi="Arial" w:cs="Arial" w:eastAsia="Arial" w:hint="default"/>
        </w:rPr>
        <w:t>“</w:t>
      </w:r>
      <w:r>
        <w:rPr/>
        <w:t>本集团</w:t>
      </w:r>
      <w:r>
        <w:rPr>
          <w:rFonts w:ascii="Arial" w:hAnsi="Arial" w:cs="Arial" w:eastAsia="Arial" w:hint="default"/>
        </w:rPr>
        <w:t>”</w:t>
      </w:r>
      <w:r>
        <w:rPr/>
        <w:t>）业务性质和主要经营活动：销售自行开发后的产品、软件、</w:t>
      </w:r>
      <w:r>
        <w:rPr>
          <w:w w:val="99"/>
        </w:rPr>
        <w:t> </w:t>
      </w:r>
      <w:r>
        <w:rPr/>
        <w:t>计算机软硬件及外围设备；网络技术、应用电子技术开发、技术转让、技术服务、技术咨询、技术培训、</w:t>
      </w:r>
      <w:r>
        <w:rPr>
          <w:w w:val="99"/>
        </w:rPr>
        <w:t> </w:t>
      </w:r>
      <w:r>
        <w:rPr/>
        <w:t>网络安全技术咨询和技术服务、集成电路设计；计算机网络系统集成、管理及维护、承接计算机网络工程</w:t>
      </w:r>
      <w:r>
        <w:rPr>
          <w:w w:val="99"/>
        </w:rPr>
        <w:t> </w:t>
      </w:r>
      <w:r>
        <w:rPr>
          <w:spacing w:val="-3"/>
        </w:rPr>
        <w:t>及综合布线工程、楼宇智能化系统的设计、施工、维修；计算机维修；施工总承包、专业承包、劳务分包；</w:t>
      </w:r>
      <w:r>
        <w:rPr>
          <w:w w:val="99"/>
        </w:rPr>
        <w:t> </w:t>
      </w:r>
      <w:r>
        <w:rPr>
          <w:spacing w:val="-3"/>
        </w:rPr>
        <w:t>通信与自动控制技术研究；数据处理和存储服务；安全技术防范产品批发；教育咨询服务；企业管理咨询、</w:t>
      </w:r>
      <w:r>
        <w:rPr>
          <w:w w:val="99"/>
        </w:rPr>
        <w:t> </w:t>
      </w:r>
      <w:r>
        <w:rPr/>
        <w:t>电子商务服务、第二类增值电信业务中的呼叫中心业务和信息服务业务等。</w:t>
      </w:r>
    </w:p>
    <w:p>
      <w:pPr>
        <w:pStyle w:val="BodyText"/>
        <w:spacing w:line="357" w:lineRule="auto" w:before="132"/>
        <w:ind w:left="540" w:right="996"/>
        <w:jc w:val="left"/>
      </w:pPr>
      <w:r>
        <w:rPr>
          <w:w w:val="95"/>
        </w:rPr>
        <w:t>本财务报表及财务报表附注业经本公司第六届董事会第四十二次会议于</w:t>
      </w:r>
      <w:r>
        <w:rPr>
          <w:rFonts w:ascii="Arial" w:hAnsi="Arial" w:cs="Arial" w:eastAsia="Arial" w:hint="default"/>
          <w:w w:val="95"/>
        </w:rPr>
        <w:t>2019</w:t>
      </w:r>
      <w:r>
        <w:rPr>
          <w:w w:val="95"/>
        </w:rPr>
        <w:t>年</w:t>
      </w:r>
      <w:r>
        <w:rPr>
          <w:rFonts w:ascii="Arial" w:hAnsi="Arial" w:cs="Arial" w:eastAsia="Arial" w:hint="default"/>
          <w:w w:val="95"/>
        </w:rPr>
        <w:t>4</w:t>
      </w:r>
      <w:r>
        <w:rPr>
          <w:w w:val="95"/>
        </w:rPr>
        <w:t>月</w:t>
      </w:r>
      <w:r>
        <w:rPr>
          <w:rFonts w:ascii="Arial" w:hAnsi="Arial" w:cs="Arial" w:eastAsia="Arial" w:hint="default"/>
          <w:w w:val="95"/>
        </w:rPr>
        <w:t>26</w:t>
      </w:r>
      <w:r>
        <w:rPr>
          <w:w w:val="95"/>
        </w:rPr>
        <w:t>日批准。</w:t>
      </w:r>
      <w:r>
        <w:rPr>
          <w:spacing w:val="6"/>
          <w:w w:val="95"/>
        </w:rPr>
        <w:t> </w:t>
      </w:r>
      <w:r>
        <w:rPr>
          <w:spacing w:val="6"/>
          <w:w w:val="95"/>
        </w:rPr>
      </w:r>
      <w:r>
        <w:rPr/>
        <w:t>本年度的合并财务报表范围共</w:t>
      </w:r>
      <w:r>
        <w:rPr>
          <w:rFonts w:ascii="Arial" w:hAnsi="Arial" w:cs="Arial" w:eastAsia="Arial" w:hint="default"/>
        </w:rPr>
        <w:t>19</w:t>
      </w:r>
      <w:r>
        <w:rPr/>
        <w:t>家公司（含本部）。详见附注八、合并范围的变更。</w:t>
      </w:r>
    </w:p>
    <w:p>
      <w:pPr>
        <w:pStyle w:val="Heading2"/>
        <w:spacing w:line="240" w:lineRule="auto" w:before="184"/>
        <w:ind w:right="996"/>
        <w:jc w:val="left"/>
        <w:rPr>
          <w:b w:val="0"/>
          <w:bCs w:val="0"/>
        </w:rPr>
      </w:pPr>
      <w:bookmarkStart w:name="四、财务报表的编制基础" w:id="162"/>
      <w:bookmarkEnd w:id="162"/>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96"/>
        <w:jc w:val="left"/>
        <w:rPr>
          <w:b w:val="0"/>
          <w:bCs w:val="0"/>
        </w:rPr>
      </w:pPr>
      <w:bookmarkStart w:name="1、编制基础" w:id="163"/>
      <w:bookmarkEnd w:id="163"/>
      <w:r>
        <w:rPr>
          <w:b w:val="0"/>
          <w:bCs w:val="0"/>
        </w:rPr>
      </w:r>
      <w:r>
        <w:rPr>
          <w:rFonts w:ascii="Arial" w:hAnsi="Arial" w:cs="Arial" w:eastAsia="Arial" w:hint="default"/>
        </w:rPr>
        <w:t>1</w:t>
      </w:r>
      <w:r>
        <w:rPr/>
        <w:t>、编制基础</w:t>
      </w:r>
      <w:r>
        <w:rPr>
          <w:b w:val="0"/>
          <w:bCs w:val="0"/>
        </w:rPr>
      </w:r>
    </w:p>
    <w:p>
      <w:pPr>
        <w:spacing w:line="240" w:lineRule="auto" w:before="8"/>
        <w:rPr>
          <w:rFonts w:ascii="宋体" w:hAnsi="宋体" w:cs="宋体" w:eastAsia="宋体" w:hint="default"/>
          <w:b/>
          <w:bCs/>
          <w:sz w:val="24"/>
          <w:szCs w:val="24"/>
        </w:rPr>
      </w:pPr>
    </w:p>
    <w:p>
      <w:pPr>
        <w:pStyle w:val="BodyText"/>
        <w:spacing w:line="259" w:lineRule="auto" w:before="0"/>
        <w:ind w:right="0" w:firstLine="427"/>
        <w:jc w:val="left"/>
      </w:pPr>
      <w:r>
        <w:rPr>
          <w:spacing w:val="-4"/>
          <w:w w:val="99"/>
        </w:rPr>
        <w:t>本财务报表按照财政部颁布的企业会计准则及其应用指南、解释及其他有关规定（统称</w:t>
      </w:r>
      <w:r>
        <w:rPr>
          <w:rFonts w:ascii="Arial" w:hAnsi="Arial" w:cs="Arial" w:eastAsia="Arial" w:hint="default"/>
          <w:spacing w:val="-4"/>
          <w:w w:val="99"/>
        </w:rPr>
        <w:t>“</w:t>
      </w:r>
      <w:r>
        <w:rPr>
          <w:spacing w:val="-4"/>
          <w:w w:val="99"/>
        </w:rPr>
        <w:t>企业会计准则</w:t>
      </w:r>
      <w:r>
        <w:rPr>
          <w:rFonts w:ascii="Arial" w:hAnsi="Arial" w:cs="Arial" w:eastAsia="Arial" w:hint="default"/>
          <w:spacing w:val="-4"/>
          <w:w w:val="99"/>
        </w:rPr>
        <w:t>”</w:t>
      </w:r>
      <w:r>
        <w:rPr>
          <w:spacing w:val="-4"/>
          <w:w w:val="99"/>
        </w:rPr>
        <w:t>）</w:t>
      </w:r>
      <w:r>
        <w:rPr>
          <w:w w:val="99"/>
        </w:rPr>
        <w:t> </w:t>
      </w:r>
      <w:r>
        <w:rPr/>
        <w:t>编制。此外，本集团还按照中国证监会《公开发行证券的公司信息披露编报规则第</w:t>
      </w:r>
      <w:r>
        <w:rPr>
          <w:rFonts w:ascii="Arial" w:hAnsi="Arial" w:cs="Arial" w:eastAsia="Arial" w:hint="default"/>
        </w:rPr>
        <w:t>15</w:t>
      </w:r>
      <w:r>
        <w:rPr/>
        <w:t>号</w:t>
      </w:r>
      <w:r>
        <w:rPr>
          <w:rFonts w:ascii="Arial" w:hAnsi="Arial" w:cs="Arial" w:eastAsia="Arial" w:hint="default"/>
        </w:rPr>
        <w:t>—</w:t>
      </w:r>
      <w:r>
        <w:rPr/>
        <w:t>财务报告的一般</w:t>
      </w:r>
      <w:r>
        <w:rPr>
          <w:w w:val="99"/>
        </w:rPr>
        <w:t> </w:t>
      </w:r>
      <w:r>
        <w:rPr/>
        <w:t>规定》（</w:t>
      </w:r>
      <w:r>
        <w:rPr>
          <w:rFonts w:ascii="Arial" w:hAnsi="Arial" w:cs="Arial" w:eastAsia="Arial" w:hint="default"/>
        </w:rPr>
        <w:t>2014</w:t>
      </w:r>
      <w:r>
        <w:rPr/>
        <w:t>年修订）披露有关财务信息。</w:t>
      </w:r>
    </w:p>
    <w:p>
      <w:pPr>
        <w:pStyle w:val="BodyText"/>
        <w:spacing w:line="273" w:lineRule="auto" w:before="123"/>
        <w:ind w:right="996" w:firstLine="427"/>
        <w:jc w:val="left"/>
      </w:pPr>
      <w:r>
        <w:rPr>
          <w:w w:val="95"/>
        </w:rPr>
        <w:t>本集团会计核算以权责发生制为基础。除某些金融工具外，本财务报表均以历史成本为计量基础。资</w:t>
      </w:r>
      <w:r>
        <w:rPr>
          <w:w w:val="99"/>
        </w:rPr>
        <w:t> </w:t>
      </w:r>
      <w:r>
        <w:rPr/>
        <w:t>产如果发生减值，则按照相关规定计提相应的减值准备。</w:t>
      </w:r>
    </w:p>
    <w:p>
      <w:pPr>
        <w:spacing w:line="240" w:lineRule="auto" w:before="7"/>
        <w:rPr>
          <w:rFonts w:ascii="宋体" w:hAnsi="宋体" w:cs="宋体" w:eastAsia="宋体" w:hint="default"/>
          <w:sz w:val="23"/>
          <w:szCs w:val="23"/>
        </w:rPr>
      </w:pPr>
    </w:p>
    <w:p>
      <w:pPr>
        <w:pStyle w:val="Heading4"/>
        <w:spacing w:line="240" w:lineRule="auto"/>
        <w:ind w:right="996"/>
        <w:jc w:val="left"/>
        <w:rPr>
          <w:b w:val="0"/>
          <w:bCs w:val="0"/>
        </w:rPr>
      </w:pPr>
      <w:bookmarkStart w:name="2、持续经营" w:id="164"/>
      <w:bookmarkEnd w:id="164"/>
      <w:r>
        <w:rPr>
          <w:b w:val="0"/>
          <w:bCs w:val="0"/>
        </w:rPr>
      </w:r>
      <w:r>
        <w:rPr>
          <w:rFonts w:ascii="Arial" w:hAnsi="Arial" w:cs="Arial" w:eastAsia="Arial" w:hint="default"/>
        </w:rPr>
        <w:t>2</w:t>
      </w:r>
      <w:r>
        <w:rPr/>
        <w:t>、持续经营</w:t>
      </w:r>
      <w:r>
        <w:rPr>
          <w:b w:val="0"/>
          <w:bCs w:val="0"/>
        </w:rPr>
      </w:r>
    </w:p>
    <w:p>
      <w:pPr>
        <w:spacing w:line="240" w:lineRule="auto" w:before="8"/>
        <w:rPr>
          <w:rFonts w:ascii="宋体" w:hAnsi="宋体" w:cs="宋体" w:eastAsia="宋体" w:hint="default"/>
          <w:b/>
          <w:bCs/>
          <w:sz w:val="24"/>
          <w:szCs w:val="24"/>
        </w:rPr>
      </w:pPr>
    </w:p>
    <w:p>
      <w:pPr>
        <w:pStyle w:val="BodyText"/>
        <w:spacing w:line="240" w:lineRule="auto" w:before="0"/>
        <w:ind w:left="540" w:right="996"/>
        <w:jc w:val="left"/>
      </w:pPr>
      <w:r>
        <w:rPr/>
        <w:t>本财务报表以持续经营为基础列报。</w:t>
      </w:r>
    </w:p>
    <w:p>
      <w:pPr>
        <w:spacing w:line="240" w:lineRule="auto" w:before="0"/>
        <w:rPr>
          <w:rFonts w:ascii="宋体" w:hAnsi="宋体" w:cs="宋体" w:eastAsia="宋体" w:hint="default"/>
          <w:sz w:val="24"/>
          <w:szCs w:val="24"/>
        </w:rPr>
      </w:pPr>
    </w:p>
    <w:p>
      <w:pPr>
        <w:pStyle w:val="Heading2"/>
        <w:spacing w:line="240" w:lineRule="auto" w:before="0"/>
        <w:ind w:right="996"/>
        <w:jc w:val="left"/>
        <w:rPr>
          <w:b w:val="0"/>
          <w:bCs w:val="0"/>
        </w:rPr>
      </w:pPr>
      <w:bookmarkStart w:name="五、重要会计政策及会计估计" w:id="165"/>
      <w:bookmarkEnd w:id="165"/>
      <w:r>
        <w:rPr>
          <w:b w:val="0"/>
          <w:bCs w:val="0"/>
        </w:rPr>
      </w:r>
      <w:r>
        <w:rPr/>
        <w:t>五、重要会计政策及会计估计</w:t>
      </w:r>
      <w:r>
        <w:rPr>
          <w:b w:val="0"/>
          <w:bCs w:val="0"/>
        </w:rPr>
      </w:r>
    </w:p>
    <w:p>
      <w:pPr>
        <w:spacing w:line="240" w:lineRule="auto" w:before="9"/>
        <w:rPr>
          <w:rFonts w:ascii="宋体" w:hAnsi="宋体" w:cs="宋体" w:eastAsia="宋体" w:hint="default"/>
          <w:b/>
          <w:bCs/>
          <w:sz w:val="24"/>
          <w:szCs w:val="24"/>
        </w:rPr>
      </w:pPr>
    </w:p>
    <w:p>
      <w:pPr>
        <w:pStyle w:val="BodyText"/>
        <w:spacing w:line="273" w:lineRule="auto" w:before="0"/>
        <w:ind w:right="996" w:firstLine="427"/>
        <w:jc w:val="left"/>
      </w:pPr>
      <w:r>
        <w:rPr>
          <w:w w:val="95"/>
        </w:rPr>
        <w:t>本集团根据自身生产经营特点，确定商誉减值、无形资产摊销、研究开发支出、股份支付及收入确认</w:t>
      </w:r>
      <w:r>
        <w:rPr>
          <w:w w:val="99"/>
        </w:rPr>
        <w:t> </w:t>
      </w:r>
      <w:r>
        <w:rPr/>
        <w:t>政策，具体会计政策参见附注五、</w:t>
      </w:r>
      <w:r>
        <w:rPr>
          <w:rFonts w:ascii="Arial" w:hAnsi="Arial" w:cs="Arial" w:eastAsia="Arial" w:hint="default"/>
        </w:rPr>
        <w:t>17</w:t>
      </w:r>
      <w:r>
        <w:rPr/>
        <w:t>、附注五、</w:t>
      </w:r>
      <w:r>
        <w:rPr>
          <w:rFonts w:ascii="Arial" w:hAnsi="Arial" w:cs="Arial" w:eastAsia="Arial" w:hint="default"/>
        </w:rPr>
        <w:t>18</w:t>
      </w:r>
      <w:r>
        <w:rPr/>
        <w:t>、附注五、</w:t>
      </w:r>
      <w:r>
        <w:rPr>
          <w:rFonts w:ascii="Arial" w:hAnsi="Arial" w:cs="Arial" w:eastAsia="Arial" w:hint="default"/>
        </w:rPr>
        <w:t>22</w:t>
      </w:r>
      <w:r>
        <w:rPr/>
        <w:t>、附注五、</w:t>
      </w:r>
      <w:r>
        <w:rPr>
          <w:rFonts w:ascii="Arial" w:hAnsi="Arial" w:cs="Arial" w:eastAsia="Arial" w:hint="default"/>
        </w:rPr>
        <w:t>23</w:t>
      </w:r>
      <w:r>
        <w:rPr/>
        <w:t>。</w:t>
      </w:r>
    </w:p>
    <w:p>
      <w:pPr>
        <w:spacing w:line="612" w:lineRule="exact" w:before="45"/>
        <w:ind w:left="540" w:right="996" w:hanging="428"/>
        <w:jc w:val="left"/>
        <w:rPr>
          <w:rFonts w:ascii="宋体" w:hAnsi="宋体" w:cs="宋体" w:eastAsia="宋体" w:hint="default"/>
          <w:sz w:val="21"/>
          <w:szCs w:val="21"/>
        </w:rPr>
      </w:pPr>
      <w:bookmarkStart w:name="1、遵循企业会计准则的声明" w:id="166"/>
      <w:bookmarkEnd w:id="166"/>
      <w:r>
        <w:rPr/>
      </w:r>
      <w:r>
        <w:rPr>
          <w:rFonts w:ascii="Arial" w:hAnsi="Arial" w:cs="Arial" w:eastAsia="Arial"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w w:val="95"/>
          <w:sz w:val="21"/>
          <w:szCs w:val="21"/>
        </w:rPr>
        <w:t>本财务报表符合企业会计准则的要求，真实、完整地反映了本公司</w:t>
      </w:r>
      <w:r>
        <w:rPr>
          <w:rFonts w:ascii="Arial" w:hAnsi="Arial" w:cs="Arial" w:eastAsia="Arial" w:hint="default"/>
          <w:w w:val="95"/>
          <w:sz w:val="21"/>
          <w:szCs w:val="21"/>
        </w:rPr>
        <w:t>2018</w:t>
      </w:r>
      <w:r>
        <w:rPr>
          <w:rFonts w:ascii="宋体" w:hAnsi="宋体" w:cs="宋体" w:eastAsia="宋体" w:hint="default"/>
          <w:w w:val="95"/>
          <w:sz w:val="21"/>
          <w:szCs w:val="21"/>
        </w:rPr>
        <w:t>年</w:t>
      </w:r>
      <w:r>
        <w:rPr>
          <w:rFonts w:ascii="Arial" w:hAnsi="Arial" w:cs="Arial" w:eastAsia="Arial" w:hint="default"/>
          <w:w w:val="95"/>
          <w:sz w:val="21"/>
          <w:szCs w:val="21"/>
        </w:rPr>
        <w:t>12</w:t>
      </w:r>
      <w:r>
        <w:rPr>
          <w:rFonts w:ascii="宋体" w:hAnsi="宋体" w:cs="宋体" w:eastAsia="宋体" w:hint="default"/>
          <w:w w:val="95"/>
          <w:sz w:val="21"/>
          <w:szCs w:val="21"/>
        </w:rPr>
        <w:t>月</w:t>
      </w:r>
      <w:r>
        <w:rPr>
          <w:rFonts w:ascii="Arial" w:hAnsi="Arial" w:cs="Arial" w:eastAsia="Arial" w:hint="default"/>
          <w:w w:val="95"/>
          <w:sz w:val="21"/>
          <w:szCs w:val="21"/>
        </w:rPr>
        <w:t>31</w:t>
      </w:r>
      <w:r>
        <w:rPr>
          <w:rFonts w:ascii="宋体" w:hAnsi="宋体" w:cs="宋体" w:eastAsia="宋体" w:hint="default"/>
          <w:w w:val="95"/>
          <w:sz w:val="21"/>
          <w:szCs w:val="21"/>
        </w:rPr>
        <w:t>日的合并及公司财</w:t>
      </w:r>
      <w:r>
        <w:rPr>
          <w:rFonts w:ascii="宋体" w:hAnsi="宋体" w:cs="宋体" w:eastAsia="宋体" w:hint="default"/>
          <w:sz w:val="21"/>
          <w:szCs w:val="21"/>
        </w:rPr>
      </w:r>
    </w:p>
    <w:p>
      <w:pPr>
        <w:pStyle w:val="BodyText"/>
        <w:spacing w:line="234" w:lineRule="exact" w:before="0"/>
        <w:ind w:right="996"/>
        <w:jc w:val="left"/>
      </w:pPr>
      <w:r>
        <w:rPr/>
        <w:t>务状况以及</w:t>
      </w:r>
      <w:r>
        <w:rPr>
          <w:rFonts w:ascii="Arial" w:hAnsi="Arial" w:cs="Arial" w:eastAsia="Arial" w:hint="default"/>
        </w:rPr>
        <w:t>2018</w:t>
      </w:r>
      <w:r>
        <w:rPr/>
        <w:t>年度的合并及公司经营成果和合并及公司现金流量等有关信息。</w:t>
      </w:r>
    </w:p>
    <w:p>
      <w:pPr>
        <w:spacing w:line="240" w:lineRule="auto" w:before="11"/>
        <w:rPr>
          <w:rFonts w:ascii="宋体" w:hAnsi="宋体" w:cs="宋体" w:eastAsia="宋体" w:hint="default"/>
          <w:sz w:val="24"/>
          <w:szCs w:val="24"/>
        </w:rPr>
      </w:pPr>
    </w:p>
    <w:p>
      <w:pPr>
        <w:pStyle w:val="Heading4"/>
        <w:spacing w:line="240" w:lineRule="auto"/>
        <w:ind w:right="996"/>
        <w:jc w:val="left"/>
        <w:rPr>
          <w:b w:val="0"/>
          <w:bCs w:val="0"/>
        </w:rPr>
      </w:pPr>
      <w:bookmarkStart w:name="2、会计期间" w:id="167"/>
      <w:bookmarkEnd w:id="167"/>
      <w:r>
        <w:rPr>
          <w:b w:val="0"/>
          <w:bCs w:val="0"/>
        </w:rPr>
      </w:r>
      <w:r>
        <w:rPr>
          <w:rFonts w:ascii="Arial" w:hAnsi="Arial" w:cs="Arial" w:eastAsia="Arial" w:hint="default"/>
        </w:rPr>
        <w:t>2</w:t>
      </w:r>
      <w:r>
        <w:rPr/>
        <w:t>、会计期间</w:t>
      </w:r>
      <w:r>
        <w:rPr>
          <w:b w:val="0"/>
          <w:bCs w:val="0"/>
        </w:rPr>
      </w:r>
    </w:p>
    <w:p>
      <w:pPr>
        <w:spacing w:line="240" w:lineRule="auto" w:before="8"/>
        <w:rPr>
          <w:rFonts w:ascii="宋体" w:hAnsi="宋体" w:cs="宋体" w:eastAsia="宋体" w:hint="default"/>
          <w:b/>
          <w:bCs/>
          <w:sz w:val="24"/>
          <w:szCs w:val="24"/>
        </w:rPr>
      </w:pPr>
    </w:p>
    <w:p>
      <w:pPr>
        <w:pStyle w:val="BodyText"/>
        <w:spacing w:line="240" w:lineRule="auto" w:before="0"/>
        <w:ind w:left="540" w:right="996"/>
        <w:jc w:val="left"/>
      </w:pPr>
      <w:r>
        <w:rPr/>
        <w:t>本集团会计期间采用公历年度，即每年自</w:t>
      </w:r>
      <w:r>
        <w:rPr>
          <w:rFonts w:ascii="Arial" w:hAnsi="Arial" w:cs="Arial" w:eastAsia="Arial" w:hint="default"/>
        </w:rPr>
        <w:t>1</w:t>
      </w:r>
      <w:r>
        <w:rPr/>
        <w:t>月</w:t>
      </w:r>
      <w:r>
        <w:rPr>
          <w:rFonts w:ascii="Arial" w:hAnsi="Arial" w:cs="Arial" w:eastAsia="Arial" w:hint="default"/>
        </w:rPr>
        <w:t>1</w:t>
      </w:r>
      <w:r>
        <w:rPr/>
        <w:t>日起至</w:t>
      </w:r>
      <w:r>
        <w:rPr>
          <w:rFonts w:ascii="Arial" w:hAnsi="Arial" w:cs="Arial" w:eastAsia="Arial" w:hint="default"/>
        </w:rPr>
        <w:t>12</w:t>
      </w:r>
      <w:r>
        <w:rPr/>
        <w:t>月</w:t>
      </w:r>
      <w:r>
        <w:rPr>
          <w:rFonts w:ascii="Arial" w:hAnsi="Arial" w:cs="Arial" w:eastAsia="Arial" w:hint="default"/>
        </w:rPr>
        <w:t>31</w:t>
      </w:r>
      <w:r>
        <w:rPr/>
        <w:t>日止。</w:t>
      </w:r>
    </w:p>
    <w:p>
      <w:pPr>
        <w:spacing w:line="240" w:lineRule="auto" w:before="8"/>
        <w:rPr>
          <w:rFonts w:ascii="宋体" w:hAnsi="宋体" w:cs="宋体" w:eastAsia="宋体" w:hint="default"/>
          <w:sz w:val="24"/>
          <w:szCs w:val="24"/>
        </w:rPr>
      </w:pPr>
    </w:p>
    <w:p>
      <w:pPr>
        <w:pStyle w:val="Heading4"/>
        <w:spacing w:line="240" w:lineRule="auto"/>
        <w:ind w:right="996"/>
        <w:jc w:val="left"/>
        <w:rPr>
          <w:b w:val="0"/>
          <w:bCs w:val="0"/>
        </w:rPr>
      </w:pPr>
      <w:bookmarkStart w:name="3、营业周期" w:id="168"/>
      <w:bookmarkEnd w:id="168"/>
      <w:r>
        <w:rPr>
          <w:b w:val="0"/>
          <w:bCs w:val="0"/>
        </w:rPr>
      </w:r>
      <w:r>
        <w:rPr>
          <w:rFonts w:ascii="Arial" w:hAnsi="Arial" w:cs="Arial" w:eastAsia="Arial" w:hint="default"/>
        </w:rPr>
        <w:t>3</w:t>
      </w:r>
      <w:r>
        <w:rPr/>
        <w:t>、营业周期</w:t>
      </w:r>
      <w:r>
        <w:rPr>
          <w:b w:val="0"/>
          <w:bCs w:val="0"/>
        </w:rPr>
      </w:r>
    </w:p>
    <w:p>
      <w:pPr>
        <w:spacing w:line="240" w:lineRule="auto" w:before="11"/>
        <w:rPr>
          <w:rFonts w:ascii="宋体" w:hAnsi="宋体" w:cs="宋体" w:eastAsia="宋体" w:hint="default"/>
          <w:b/>
          <w:bCs/>
          <w:sz w:val="24"/>
          <w:szCs w:val="24"/>
        </w:rPr>
      </w:pPr>
    </w:p>
    <w:p>
      <w:pPr>
        <w:pStyle w:val="BodyText"/>
        <w:spacing w:line="240" w:lineRule="auto" w:before="0"/>
        <w:ind w:left="540" w:right="996"/>
        <w:jc w:val="left"/>
      </w:pPr>
      <w:r>
        <w:rPr/>
        <w:t>本集团的营业周期为</w:t>
      </w:r>
      <w:r>
        <w:rPr>
          <w:rFonts w:ascii="Arial" w:hAnsi="Arial" w:cs="Arial" w:eastAsia="Arial" w:hint="default"/>
        </w:rPr>
        <w:t>12</w:t>
      </w:r>
      <w:r>
        <w:rPr/>
        <w:t>个月。</w:t>
      </w:r>
    </w:p>
    <w:p>
      <w:pPr>
        <w:spacing w:after="0" w:line="240" w:lineRule="auto"/>
        <w:jc w:val="left"/>
        <w:sectPr>
          <w:pgSz w:w="11910" w:h="16840"/>
          <w:pgMar w:header="878" w:footer="978" w:top="1100" w:bottom="1160" w:left="1020" w:right="0"/>
        </w:sectPr>
      </w:pPr>
    </w:p>
    <w:p>
      <w:pPr>
        <w:spacing w:line="240" w:lineRule="auto" w:before="12"/>
        <w:rPr>
          <w:rFonts w:ascii="宋体" w:hAnsi="宋体" w:cs="宋体" w:eastAsia="宋体" w:hint="default"/>
          <w:sz w:val="20"/>
          <w:szCs w:val="20"/>
        </w:rPr>
      </w:pPr>
    </w:p>
    <w:p>
      <w:pPr>
        <w:pStyle w:val="Heading4"/>
        <w:spacing w:line="240" w:lineRule="auto" w:before="34"/>
        <w:ind w:right="0"/>
        <w:jc w:val="both"/>
        <w:rPr>
          <w:b w:val="0"/>
          <w:bCs w:val="0"/>
        </w:rPr>
      </w:pPr>
      <w:bookmarkStart w:name="4、记账本位币" w:id="169"/>
      <w:bookmarkEnd w:id="169"/>
      <w:r>
        <w:rPr>
          <w:b w:val="0"/>
          <w:bCs w:val="0"/>
        </w:rPr>
      </w:r>
      <w:r>
        <w:rPr>
          <w:rFonts w:ascii="Arial" w:hAnsi="Arial" w:cs="Arial" w:eastAsia="Arial" w:hint="default"/>
        </w:rPr>
        <w:t>4</w:t>
      </w:r>
      <w:r>
        <w:rPr/>
        <w:t>、记账本位币</w:t>
      </w:r>
      <w:r>
        <w:rPr>
          <w:b w:val="0"/>
          <w:bCs w:val="0"/>
        </w:rPr>
      </w:r>
    </w:p>
    <w:p>
      <w:pPr>
        <w:spacing w:line="240" w:lineRule="auto" w:before="8"/>
        <w:rPr>
          <w:rFonts w:ascii="宋体" w:hAnsi="宋体" w:cs="宋体" w:eastAsia="宋体" w:hint="default"/>
          <w:b/>
          <w:bCs/>
          <w:sz w:val="24"/>
          <w:szCs w:val="24"/>
        </w:rPr>
      </w:pPr>
    </w:p>
    <w:p>
      <w:pPr>
        <w:pStyle w:val="BodyText"/>
        <w:spacing w:line="240" w:lineRule="auto" w:before="0"/>
        <w:ind w:left="540" w:right="996"/>
        <w:jc w:val="left"/>
      </w:pPr>
      <w:r>
        <w:rPr/>
        <w:t>本公司及境内子公司以人民币为记账本位币。本集团编制本财务报表时所采用的货币为人民币。</w:t>
      </w:r>
    </w:p>
    <w:p>
      <w:pPr>
        <w:spacing w:line="240" w:lineRule="auto" w:before="12"/>
        <w:rPr>
          <w:rFonts w:ascii="宋体" w:hAnsi="宋体" w:cs="宋体" w:eastAsia="宋体" w:hint="default"/>
          <w:sz w:val="25"/>
          <w:szCs w:val="25"/>
        </w:rPr>
      </w:pPr>
    </w:p>
    <w:p>
      <w:pPr>
        <w:pStyle w:val="Heading4"/>
        <w:spacing w:line="240" w:lineRule="auto"/>
        <w:ind w:right="0"/>
        <w:jc w:val="both"/>
        <w:rPr>
          <w:b w:val="0"/>
          <w:bCs w:val="0"/>
        </w:rPr>
      </w:pPr>
      <w:bookmarkStart w:name="5、同一控制下和非同一控制下企业合并的会计处理方法" w:id="170"/>
      <w:bookmarkEnd w:id="170"/>
      <w:r>
        <w:rPr>
          <w:b w:val="0"/>
          <w:bCs w:val="0"/>
        </w:rPr>
      </w:r>
      <w:r>
        <w:rPr>
          <w:rFonts w:ascii="Arial" w:hAnsi="Arial" w:cs="Arial" w:eastAsia="Arial" w:hint="default"/>
        </w:rPr>
        <w:t>5</w:t>
      </w:r>
      <w:r>
        <w:rPr/>
        <w:t>、同一控制下和非同一控制下企业合并的会计处理方法</w:t>
      </w:r>
      <w:r>
        <w:rPr>
          <w:b w:val="0"/>
          <w:bCs w:val="0"/>
        </w:rPr>
      </w:r>
    </w:p>
    <w:p>
      <w:pPr>
        <w:spacing w:line="590" w:lineRule="atLeast" w:before="22"/>
        <w:ind w:left="540" w:right="996" w:hanging="428"/>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1</w:t>
      </w:r>
      <w:r>
        <w:rPr>
          <w:rFonts w:ascii="宋体" w:hAnsi="宋体" w:cs="宋体" w:eastAsia="宋体" w:hint="default"/>
          <w:b/>
          <w:bCs/>
          <w:sz w:val="21"/>
          <w:szCs w:val="21"/>
        </w:rPr>
        <w:t>）同一控制下的企业合并</w:t>
      </w:r>
      <w:r>
        <w:rPr>
          <w:rFonts w:ascii="宋体" w:hAnsi="宋体" w:cs="宋体" w:eastAsia="宋体" w:hint="default"/>
          <w:b/>
          <w:bCs/>
          <w:w w:val="99"/>
          <w:sz w:val="21"/>
          <w:szCs w:val="21"/>
        </w:rPr>
        <w:t> </w:t>
      </w:r>
      <w:r>
        <w:rPr>
          <w:rFonts w:ascii="宋体" w:hAnsi="宋体" w:cs="宋体" w:eastAsia="宋体" w:hint="default"/>
          <w:w w:val="95"/>
          <w:sz w:val="21"/>
          <w:szCs w:val="21"/>
        </w:rPr>
        <w:t>对于同一控制下的企业合并，合并方在合并中取得的被合并方的资产、负债，除因会计政策不同而进</w:t>
      </w:r>
      <w:r>
        <w:rPr>
          <w:rFonts w:ascii="宋体" w:hAnsi="宋体" w:cs="宋体" w:eastAsia="宋体" w:hint="default"/>
          <w:sz w:val="21"/>
          <w:szCs w:val="21"/>
        </w:rPr>
      </w:r>
    </w:p>
    <w:p>
      <w:pPr>
        <w:pStyle w:val="BodyText"/>
        <w:spacing w:line="273" w:lineRule="auto" w:before="37"/>
        <w:ind w:right="1135"/>
        <w:jc w:val="both"/>
      </w:pPr>
      <w:r>
        <w:rPr>
          <w:w w:val="95"/>
        </w:rPr>
        <w:t>行的调整以外，按合并日被合并方在最终控制方合并财务报表中的账面价值计量。合并对价的账面价值与</w:t>
      </w:r>
      <w:r>
        <w:rPr>
          <w:spacing w:val="37"/>
          <w:w w:val="95"/>
        </w:rPr>
        <w:t> </w:t>
      </w:r>
      <w:r>
        <w:rPr>
          <w:spacing w:val="37"/>
          <w:w w:val="95"/>
        </w:rPr>
      </w:r>
      <w:r>
        <w:rPr/>
        <w:t>合并中取得的净资产账面价值的差额调整资本公积，资本公积不足冲减的，调整留存收益。</w:t>
      </w:r>
    </w:p>
    <w:p>
      <w:pPr>
        <w:pStyle w:val="BodyText"/>
        <w:spacing w:line="432" w:lineRule="exact" w:before="27"/>
        <w:ind w:left="540" w:right="996"/>
        <w:jc w:val="left"/>
      </w:pPr>
      <w:r>
        <w:rPr/>
        <w:t>通过多次交易分步实现同一控制下的企业合并</w:t>
      </w:r>
      <w:r>
        <w:rPr>
          <w:w w:val="99"/>
        </w:rPr>
        <w:t> </w:t>
      </w:r>
      <w:r>
        <w:rPr>
          <w:w w:val="95"/>
        </w:rPr>
        <w:t>在个别财务报表中，以合并日持股比例计算的合并日应享有被合并方净资产在最终控制方合并财务报</w:t>
      </w:r>
      <w:r>
        <w:rPr/>
      </w:r>
    </w:p>
    <w:p>
      <w:pPr>
        <w:pStyle w:val="BodyText"/>
        <w:spacing w:line="255" w:lineRule="exact" w:before="0"/>
        <w:ind w:right="0"/>
        <w:jc w:val="both"/>
      </w:pPr>
      <w:r>
        <w:rPr/>
        <w:t>表中的账面价值的份额作为该项投资的初始投资成本；初始投资成本与合并前持有投资的账面价值加上合</w:t>
      </w:r>
    </w:p>
    <w:p>
      <w:pPr>
        <w:pStyle w:val="BodyText"/>
        <w:spacing w:line="240" w:lineRule="auto" w:before="37"/>
        <w:ind w:right="0"/>
        <w:jc w:val="both"/>
      </w:pPr>
      <w:r>
        <w:rPr/>
        <w:t>并日新支付对价的账面价值之和的差额，调整资本公积，资本公积不足冲减的，调整留存收益。</w:t>
      </w:r>
    </w:p>
    <w:p>
      <w:pPr>
        <w:pStyle w:val="BodyText"/>
        <w:spacing w:line="273" w:lineRule="auto" w:before="157"/>
        <w:ind w:right="1025" w:firstLine="427"/>
        <w:jc w:val="left"/>
      </w:pPr>
      <w:r>
        <w:rPr/>
        <w:t>在合并财务报表中，合并方在合并中取得的被合并方的资产、负债，除因会计政策不同而进行的调整</w:t>
      </w:r>
      <w:r>
        <w:rPr>
          <w:w w:val="99"/>
        </w:rPr>
        <w:t> </w:t>
      </w:r>
      <w:r>
        <w:rPr/>
        <w:t>以外，按合并日在最终控制方合并财务报表中的账面价值计量；合并前持有投资的账面价值加上合并日新</w:t>
      </w:r>
      <w:r>
        <w:rPr>
          <w:w w:val="99"/>
        </w:rPr>
        <w:t> </w:t>
      </w:r>
      <w:r>
        <w:rPr>
          <w:spacing w:val="-3"/>
        </w:rPr>
        <w:t>支付对价的账面价值之和，与合并中取得的净资产账面价值的差额，调整资本公积，资本公积不足冲减的，</w:t>
      </w:r>
      <w:r>
        <w:rPr>
          <w:w w:val="99"/>
        </w:rPr>
        <w:t> </w:t>
      </w:r>
      <w:r>
        <w:rPr/>
        <w:t>调整留存收益。合并方在取得被合并方控制权之前持有的长期股权投资，在取得原股权之日与合并方与被</w:t>
      </w:r>
      <w:r>
        <w:rPr>
          <w:w w:val="99"/>
        </w:rPr>
        <w:t> </w:t>
      </w:r>
      <w:r>
        <w:rPr/>
        <w:t>合并方同处于同一方最终控制之日孰晚日起至合并日之间已确认有关损益、其他综合收益和其他所有者权</w:t>
      </w:r>
      <w:r>
        <w:rPr>
          <w:w w:val="99"/>
        </w:rPr>
        <w:t> </w:t>
      </w:r>
      <w:r>
        <w:rPr/>
        <w:t>益变动，应分别冲减比较报表期间的期初留存收益或当期损益。</w:t>
      </w:r>
    </w:p>
    <w:p>
      <w:pPr>
        <w:spacing w:line="590" w:lineRule="atLeast" w:before="7"/>
        <w:ind w:left="540" w:right="996" w:hanging="428"/>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2</w:t>
      </w:r>
      <w:r>
        <w:rPr>
          <w:rFonts w:ascii="宋体" w:hAnsi="宋体" w:cs="宋体" w:eastAsia="宋体" w:hint="default"/>
          <w:b/>
          <w:bCs/>
          <w:sz w:val="21"/>
          <w:szCs w:val="21"/>
        </w:rPr>
        <w:t>）非同一控制下的企业合并</w:t>
      </w:r>
      <w:r>
        <w:rPr>
          <w:rFonts w:ascii="宋体" w:hAnsi="宋体" w:cs="宋体" w:eastAsia="宋体" w:hint="default"/>
          <w:b/>
          <w:bCs/>
          <w:w w:val="99"/>
          <w:sz w:val="21"/>
          <w:szCs w:val="21"/>
        </w:rPr>
        <w:t> </w:t>
      </w:r>
      <w:r>
        <w:rPr>
          <w:rFonts w:ascii="宋体" w:hAnsi="宋体" w:cs="宋体" w:eastAsia="宋体" w:hint="default"/>
          <w:w w:val="95"/>
          <w:sz w:val="21"/>
          <w:szCs w:val="21"/>
        </w:rPr>
        <w:t>对于非同一控制下的企业合并，合并成本为购买日为取得对被购买方的控制权而付出的资产、发生或</w:t>
      </w:r>
      <w:r>
        <w:rPr>
          <w:rFonts w:ascii="宋体" w:hAnsi="宋体" w:cs="宋体" w:eastAsia="宋体" w:hint="default"/>
          <w:sz w:val="21"/>
          <w:szCs w:val="21"/>
        </w:rPr>
      </w:r>
    </w:p>
    <w:p>
      <w:pPr>
        <w:pStyle w:val="BodyText"/>
        <w:spacing w:line="273" w:lineRule="auto" w:before="37"/>
        <w:ind w:right="1132"/>
        <w:jc w:val="both"/>
      </w:pPr>
      <w:r>
        <w:rPr>
          <w:w w:val="95"/>
        </w:rPr>
        <w:t>承担的负债以及发行的权益性证券的公允价值。在购买日，取得的被购买方的资产、负债及或有负债按公</w:t>
      </w:r>
      <w:r>
        <w:rPr>
          <w:spacing w:val="40"/>
          <w:w w:val="95"/>
        </w:rPr>
        <w:t> </w:t>
      </w:r>
      <w:r>
        <w:rPr>
          <w:spacing w:val="40"/>
          <w:w w:val="95"/>
        </w:rPr>
      </w:r>
      <w:r>
        <w:rPr>
          <w:w w:val="95"/>
        </w:rPr>
        <w:t>允价值确认。对合并成本大于合并中取得的被购买方可辨认净资产公允价值份额的差额，确认为商誉，按</w:t>
      </w:r>
      <w:r>
        <w:rPr>
          <w:spacing w:val="40"/>
          <w:w w:val="95"/>
        </w:rPr>
        <w:t> </w:t>
      </w:r>
      <w:r>
        <w:rPr>
          <w:spacing w:val="40"/>
          <w:w w:val="95"/>
        </w:rPr>
      </w:r>
      <w:r>
        <w:rPr>
          <w:w w:val="95"/>
        </w:rPr>
        <w:t>成本扣除累计减值准备进行后续计量；对合并成本小于合并中取得的被购买方可辨认净资产公允价值份额</w:t>
      </w:r>
      <w:r>
        <w:rPr>
          <w:spacing w:val="39"/>
          <w:w w:val="95"/>
        </w:rPr>
        <w:t> </w:t>
      </w:r>
      <w:r>
        <w:rPr>
          <w:spacing w:val="39"/>
          <w:w w:val="95"/>
        </w:rPr>
      </w:r>
      <w:r>
        <w:rPr/>
        <w:t>的差额，经复核后计入当期损益。</w:t>
      </w:r>
    </w:p>
    <w:p>
      <w:pPr>
        <w:pStyle w:val="BodyText"/>
        <w:spacing w:line="432" w:lineRule="exact" w:before="27"/>
        <w:ind w:left="540" w:right="996"/>
        <w:jc w:val="left"/>
      </w:pPr>
      <w:r>
        <w:rPr/>
        <w:t>通过多次交易分步实现非同一控制下的企业合并</w:t>
      </w:r>
      <w:r>
        <w:rPr>
          <w:w w:val="99"/>
        </w:rPr>
        <w:t> </w:t>
      </w:r>
      <w:r>
        <w:rPr>
          <w:w w:val="95"/>
        </w:rPr>
        <w:t>在个别财务报表中，以购买日之前所持被购买方的股权投资的账面价值与购买日新增投资成本之和，</w:t>
      </w:r>
      <w:r>
        <w:rPr/>
      </w:r>
    </w:p>
    <w:p>
      <w:pPr>
        <w:pStyle w:val="BodyText"/>
        <w:spacing w:line="255" w:lineRule="exact" w:before="0"/>
        <w:ind w:right="0"/>
        <w:jc w:val="both"/>
      </w:pPr>
      <w:r>
        <w:rPr/>
        <w:t>作为该项投资的初始投资成本。购买日之前持有的股权投资因采用权益法核算而确认的其他综合收益，购</w:t>
      </w:r>
    </w:p>
    <w:p>
      <w:pPr>
        <w:pStyle w:val="BodyText"/>
        <w:spacing w:line="273" w:lineRule="auto" w:before="37"/>
        <w:ind w:right="1132"/>
        <w:jc w:val="both"/>
      </w:pPr>
      <w:r>
        <w:rPr>
          <w:w w:val="95"/>
        </w:rPr>
        <w:t>买日对这部分其他综合收益不作处理，在处置该项投资时采用与被投资单位直接处置相关资产或负债相同</w:t>
      </w:r>
      <w:r>
        <w:rPr>
          <w:spacing w:val="39"/>
          <w:w w:val="95"/>
        </w:rPr>
        <w:t> </w:t>
      </w:r>
      <w:r>
        <w:rPr>
          <w:spacing w:val="39"/>
          <w:w w:val="95"/>
        </w:rPr>
      </w:r>
      <w:r>
        <w:rPr>
          <w:w w:val="95"/>
        </w:rPr>
        <w:t>的基础进行会计处理；因被投资方除净损益、其他综合收益和利润分配以外的其他所有者权益变动而确认</w:t>
      </w:r>
      <w:r>
        <w:rPr>
          <w:spacing w:val="37"/>
          <w:w w:val="95"/>
        </w:rPr>
        <w:t> </w:t>
      </w:r>
      <w:r>
        <w:rPr>
          <w:spacing w:val="37"/>
          <w:w w:val="95"/>
        </w:rPr>
      </w:r>
      <w:r>
        <w:rPr>
          <w:w w:val="95"/>
        </w:rPr>
        <w:t>的所有者权益，在处置该项投资时转入处置期间的当期损益。购买日之前持有的股权投资采用公允价值计</w:t>
      </w:r>
      <w:r>
        <w:rPr>
          <w:spacing w:val="40"/>
          <w:w w:val="95"/>
        </w:rPr>
        <w:t> </w:t>
      </w:r>
      <w:r>
        <w:rPr>
          <w:spacing w:val="40"/>
          <w:w w:val="95"/>
        </w:rPr>
      </w:r>
      <w:r>
        <w:rPr/>
        <w:t>量的，原计入其他综合收益的累计公允价值变动在改按成本法核算时转入当期损益。</w:t>
      </w:r>
    </w:p>
    <w:p>
      <w:pPr>
        <w:pStyle w:val="BodyText"/>
        <w:spacing w:line="273" w:lineRule="auto" w:before="127"/>
        <w:ind w:right="1132" w:firstLine="427"/>
        <w:jc w:val="both"/>
      </w:pPr>
      <w:r>
        <w:rPr>
          <w:w w:val="95"/>
        </w:rPr>
        <w:t>在合并财务报表中，合并成本为购买日支付的对价与购买日之前已经持有的被购买方的股权在购买日</w:t>
      </w:r>
      <w:r>
        <w:rPr>
          <w:w w:val="99"/>
        </w:rPr>
        <w:t> </w:t>
      </w:r>
      <w:r>
        <w:rPr>
          <w:w w:val="95"/>
        </w:rPr>
        <w:t>的公允价值之和。对于购买日之前已经持有的被购买方的股权，按照该股权在购买日的公允价值进行重新</w:t>
      </w:r>
      <w:r>
        <w:rPr>
          <w:spacing w:val="37"/>
          <w:w w:val="95"/>
        </w:rPr>
        <w:t> </w:t>
      </w:r>
      <w:r>
        <w:rPr>
          <w:spacing w:val="37"/>
          <w:w w:val="95"/>
        </w:rPr>
      </w:r>
      <w:r>
        <w:rPr>
          <w:w w:val="95"/>
        </w:rPr>
        <w:t>计量，公允价值与其账面价值之间的差额计入当期收益；购买日之前已经持有的被购买方的股权涉及其他</w:t>
      </w:r>
      <w:r>
        <w:rPr>
          <w:spacing w:val="40"/>
          <w:w w:val="95"/>
        </w:rPr>
        <w:t> </w:t>
      </w:r>
      <w:r>
        <w:rPr>
          <w:spacing w:val="40"/>
          <w:w w:val="95"/>
        </w:rPr>
      </w:r>
      <w:r>
        <w:rPr>
          <w:w w:val="95"/>
        </w:rPr>
        <w:t>综合收益、其他所有者权益变动转为购买日当期收益，由于被投资方重新计量设定收益计划净负债或净资</w:t>
      </w:r>
      <w:r>
        <w:rPr>
          <w:spacing w:val="37"/>
          <w:w w:val="95"/>
        </w:rPr>
        <w:t> </w:t>
      </w:r>
      <w:r>
        <w:rPr>
          <w:spacing w:val="37"/>
          <w:w w:val="95"/>
        </w:rPr>
      </w:r>
      <w:r>
        <w:rPr/>
        <w:t>产变动而产生的其他综合收益除外。</w:t>
      </w:r>
    </w:p>
    <w:p>
      <w:pPr>
        <w:spacing w:after="0" w:line="273" w:lineRule="auto"/>
        <w:jc w:val="both"/>
        <w:sectPr>
          <w:pgSz w:w="11910" w:h="16840"/>
          <w:pgMar w:header="878" w:footer="978" w:top="1100" w:bottom="1160" w:left="1020" w:right="0"/>
        </w:sectPr>
      </w:pPr>
    </w:p>
    <w:p>
      <w:pPr>
        <w:spacing w:line="240" w:lineRule="auto" w:before="12"/>
        <w:rPr>
          <w:rFonts w:ascii="宋体" w:hAnsi="宋体" w:cs="宋体" w:eastAsia="宋体" w:hint="default"/>
          <w:sz w:val="20"/>
          <w:szCs w:val="20"/>
        </w:rPr>
      </w:pPr>
    </w:p>
    <w:p>
      <w:pPr>
        <w:pStyle w:val="Heading4"/>
        <w:spacing w:line="240" w:lineRule="auto" w:before="34"/>
        <w:ind w:right="996"/>
        <w:jc w:val="left"/>
        <w:rPr>
          <w:b w:val="0"/>
          <w:bCs w:val="0"/>
        </w:rPr>
      </w:pPr>
      <w:r>
        <w:rPr/>
        <w:t>（</w:t>
      </w:r>
      <w:r>
        <w:rPr>
          <w:rFonts w:ascii="Arial" w:hAnsi="Arial" w:cs="Arial" w:eastAsia="Arial" w:hint="default"/>
        </w:rPr>
        <w:t>3</w:t>
      </w:r>
      <w:r>
        <w:rPr/>
        <w:t>）企业合并中有关交易费用的处理</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1132" w:firstLine="427"/>
        <w:jc w:val="both"/>
      </w:pPr>
      <w:r>
        <w:rPr>
          <w:w w:val="95"/>
        </w:rPr>
        <w:t>为进行企业合并发生的审计、法律服务、评估咨询等中介费用以及其他相关管理费用，于发生时计入</w:t>
      </w:r>
      <w:r>
        <w:rPr>
          <w:w w:val="99"/>
        </w:rPr>
        <w:t> </w:t>
      </w:r>
      <w:r>
        <w:rPr>
          <w:w w:val="95"/>
        </w:rPr>
        <w:t>当期损益。作为合并对价发行的权益性证券或债务性证券的交易费用，计入权益性证券或债务性证券的初</w:t>
      </w:r>
      <w:r>
        <w:rPr>
          <w:spacing w:val="40"/>
          <w:w w:val="95"/>
        </w:rPr>
        <w:t> </w:t>
      </w:r>
      <w:r>
        <w:rPr>
          <w:spacing w:val="40"/>
          <w:w w:val="95"/>
        </w:rPr>
      </w:r>
      <w:r>
        <w:rPr/>
        <w:t>始确认金额。</w:t>
      </w:r>
    </w:p>
    <w:p>
      <w:pPr>
        <w:spacing w:line="240" w:lineRule="auto" w:before="7"/>
        <w:rPr>
          <w:rFonts w:ascii="宋体" w:hAnsi="宋体" w:cs="宋体" w:eastAsia="宋体" w:hint="default"/>
          <w:sz w:val="23"/>
          <w:szCs w:val="23"/>
        </w:rPr>
      </w:pPr>
    </w:p>
    <w:p>
      <w:pPr>
        <w:pStyle w:val="Heading4"/>
        <w:spacing w:line="240" w:lineRule="auto"/>
        <w:ind w:right="996"/>
        <w:jc w:val="left"/>
        <w:rPr>
          <w:b w:val="0"/>
          <w:bCs w:val="0"/>
        </w:rPr>
      </w:pPr>
      <w:bookmarkStart w:name="6、合并财务报表的编制方法" w:id="171"/>
      <w:bookmarkEnd w:id="171"/>
      <w:r>
        <w:rPr>
          <w:b w:val="0"/>
          <w:bCs w:val="0"/>
        </w:rPr>
      </w:r>
      <w:r>
        <w:rPr>
          <w:rFonts w:ascii="Arial" w:hAnsi="Arial" w:cs="Arial" w:eastAsia="Arial" w:hint="default"/>
        </w:rPr>
        <w:t>6</w:t>
      </w:r>
      <w:r>
        <w:rPr/>
        <w:t>、合并财务报表的编制方法</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6"/>
        <w:jc w:val="left"/>
        <w:rPr>
          <w:b w:val="0"/>
          <w:bCs w:val="0"/>
        </w:rPr>
      </w:pPr>
      <w:r>
        <w:rPr/>
        <w:t>（</w:t>
      </w:r>
      <w:r>
        <w:rPr>
          <w:rFonts w:ascii="Arial" w:hAnsi="Arial" w:cs="Arial" w:eastAsia="Arial" w:hint="default"/>
        </w:rPr>
        <w:t>1</w:t>
      </w:r>
      <w:r>
        <w:rPr/>
        <w:t>）合并范围</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1135" w:firstLine="427"/>
        <w:jc w:val="both"/>
      </w:pPr>
      <w:r>
        <w:rPr>
          <w:w w:val="95"/>
        </w:rPr>
        <w:t>合并财务报表的合并范围以控制为基础予以确定。控制，是指本公司拥有对被投资单位的权力，通过</w:t>
      </w:r>
      <w:r>
        <w:rPr>
          <w:w w:val="99"/>
        </w:rPr>
        <w:t> </w:t>
      </w:r>
      <w:r>
        <w:rPr>
          <w:w w:val="95"/>
        </w:rPr>
        <w:t>参与被投资单位的相关活动而享有可变回报，并且有能力运用对被投资单位的权力影响其回报金额。子公</w:t>
      </w:r>
      <w:r>
        <w:rPr>
          <w:spacing w:val="38"/>
          <w:w w:val="95"/>
        </w:rPr>
        <w:t> </w:t>
      </w:r>
      <w:r>
        <w:rPr>
          <w:spacing w:val="38"/>
          <w:w w:val="95"/>
        </w:rPr>
      </w:r>
      <w:r>
        <w:rPr/>
        <w:t>司，是指被本公司控制的主体（含企业、被投资单位中可分割的部分、结构化主体等）。</w:t>
      </w:r>
    </w:p>
    <w:p>
      <w:pPr>
        <w:spacing w:line="590" w:lineRule="atLeast" w:before="7"/>
        <w:ind w:left="540" w:right="996" w:hanging="428"/>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2</w:t>
      </w:r>
      <w:r>
        <w:rPr>
          <w:rFonts w:ascii="宋体" w:hAnsi="宋体" w:cs="宋体" w:eastAsia="宋体" w:hint="default"/>
          <w:b/>
          <w:bCs/>
          <w:sz w:val="21"/>
          <w:szCs w:val="21"/>
        </w:rPr>
        <w:t>）合并财务报表的编制方法</w:t>
      </w:r>
      <w:r>
        <w:rPr>
          <w:rFonts w:ascii="宋体" w:hAnsi="宋体" w:cs="宋体" w:eastAsia="宋体" w:hint="default"/>
          <w:b/>
          <w:bCs/>
          <w:w w:val="99"/>
          <w:sz w:val="21"/>
          <w:szCs w:val="21"/>
        </w:rPr>
        <w:t> </w:t>
      </w:r>
      <w:r>
        <w:rPr>
          <w:rFonts w:ascii="宋体" w:hAnsi="宋体" w:cs="宋体" w:eastAsia="宋体" w:hint="default"/>
          <w:w w:val="95"/>
          <w:sz w:val="21"/>
          <w:szCs w:val="21"/>
        </w:rPr>
        <w:t>合并财务报表以本公司和子公司的财务报表为基础，根据其他有关资料，由本公司编制。在编制合并</w:t>
      </w:r>
      <w:r>
        <w:rPr>
          <w:rFonts w:ascii="宋体" w:hAnsi="宋体" w:cs="宋体" w:eastAsia="宋体" w:hint="default"/>
          <w:sz w:val="21"/>
          <w:szCs w:val="21"/>
        </w:rPr>
      </w:r>
    </w:p>
    <w:p>
      <w:pPr>
        <w:pStyle w:val="BodyText"/>
        <w:spacing w:line="273" w:lineRule="auto" w:before="37"/>
        <w:ind w:right="1232"/>
        <w:jc w:val="left"/>
      </w:pPr>
      <w:r>
        <w:rPr>
          <w:w w:val="95"/>
        </w:rPr>
        <w:t>财务报表时，本公司和子公司的会计政策和会计期间要求保持一致，公司间的重大交易和往来余额予以抵   </w:t>
      </w:r>
      <w:r>
        <w:rPr>
          <w:spacing w:val="38"/>
          <w:w w:val="95"/>
        </w:rPr>
        <w:t> </w:t>
      </w:r>
      <w:r>
        <w:rPr>
          <w:spacing w:val="38"/>
          <w:w w:val="95"/>
        </w:rPr>
      </w:r>
      <w:r>
        <w:rPr/>
        <w:t>销。</w:t>
      </w:r>
    </w:p>
    <w:p>
      <w:pPr>
        <w:pStyle w:val="BodyText"/>
        <w:spacing w:line="273" w:lineRule="auto" w:before="127"/>
        <w:ind w:right="1132" w:firstLine="427"/>
        <w:jc w:val="both"/>
      </w:pPr>
      <w:r>
        <w:rPr>
          <w:w w:val="95"/>
        </w:rPr>
        <w:t>在报告期内因同一控制下企业合并增加的子公司以及业务，视同该子公司以及业务自同受最终控制方</w:t>
      </w:r>
      <w:r>
        <w:rPr>
          <w:w w:val="99"/>
        </w:rPr>
        <w:t> </w:t>
      </w:r>
      <w:r>
        <w:rPr>
          <w:w w:val="95"/>
        </w:rPr>
        <w:t>控制之日起纳入本公司的合并范围，将其自同受最终控制方控制之日起的经营成果、现金流量分别纳入合</w:t>
      </w:r>
      <w:r>
        <w:rPr>
          <w:spacing w:val="40"/>
          <w:w w:val="95"/>
        </w:rPr>
        <w:t> </w:t>
      </w:r>
      <w:r>
        <w:rPr>
          <w:spacing w:val="40"/>
          <w:w w:val="95"/>
        </w:rPr>
      </w:r>
      <w:r>
        <w:rPr/>
        <w:t>并利润表、合并现金流量表中。</w:t>
      </w:r>
    </w:p>
    <w:p>
      <w:pPr>
        <w:pStyle w:val="BodyText"/>
        <w:spacing w:line="273" w:lineRule="auto" w:before="127"/>
        <w:ind w:right="1132" w:firstLine="427"/>
        <w:jc w:val="both"/>
      </w:pPr>
      <w:r>
        <w:rPr>
          <w:w w:val="95"/>
        </w:rPr>
        <w:t>在报告期内因非同一控制下企业合并增加的子公司以及业务，将该子公司以及业务自购买日至报告期</w:t>
      </w:r>
      <w:r>
        <w:rPr>
          <w:w w:val="99"/>
        </w:rPr>
        <w:t> </w:t>
      </w:r>
      <w:r>
        <w:rPr/>
        <w:t>末的收入、费用、利润纳入合并利润表，将其现金流量纳入合并现金流量表。</w:t>
      </w:r>
    </w:p>
    <w:p>
      <w:pPr>
        <w:pStyle w:val="BodyText"/>
        <w:spacing w:line="264" w:lineRule="auto" w:before="127"/>
        <w:ind w:right="996" w:firstLine="427"/>
        <w:jc w:val="left"/>
      </w:pPr>
      <w:r>
        <w:rPr/>
        <w:t>子公司的股东权益中不属于本公司所拥有的部分，作为少数股东权益在合并资产负债表中股东权益项</w:t>
      </w:r>
      <w:r>
        <w:rPr>
          <w:w w:val="99"/>
        </w:rPr>
        <w:t> </w:t>
      </w:r>
      <w:r>
        <w:rPr>
          <w:w w:val="95"/>
        </w:rPr>
        <w:t>下单独列示；子公司当期净损益中属于少数股东权益的份额，在合并利润表中净利润项目下以</w:t>
      </w:r>
      <w:r>
        <w:rPr>
          <w:rFonts w:ascii="Arial" w:hAnsi="Arial" w:cs="Arial" w:eastAsia="Arial" w:hint="default"/>
          <w:w w:val="95"/>
        </w:rPr>
        <w:t>“</w:t>
      </w:r>
      <w:r>
        <w:rPr>
          <w:w w:val="95"/>
        </w:rPr>
        <w:t>少数股东损</w:t>
      </w:r>
      <w:r>
        <w:rPr>
          <w:spacing w:val="73"/>
          <w:w w:val="95"/>
        </w:rPr>
        <w:t> </w:t>
      </w:r>
      <w:r>
        <w:rPr>
          <w:spacing w:val="73"/>
          <w:w w:val="95"/>
        </w:rPr>
      </w:r>
      <w:r>
        <w:rPr>
          <w:w w:val="95"/>
        </w:rPr>
        <w:t>益</w:t>
      </w:r>
      <w:r>
        <w:rPr>
          <w:rFonts w:ascii="Arial" w:hAnsi="Arial" w:cs="Arial" w:eastAsia="Arial" w:hint="default"/>
          <w:w w:val="95"/>
        </w:rPr>
        <w:t>”</w:t>
      </w:r>
      <w:r>
        <w:rPr>
          <w:w w:val="95"/>
        </w:rPr>
        <w:t>项目列示。少数股东分担的子公司的亏损超过了少数股东在该子公司期初所有者权益中所享有的份额，</w:t>
      </w:r>
      <w:r>
        <w:rPr>
          <w:spacing w:val="65"/>
          <w:w w:val="95"/>
        </w:rPr>
        <w:t> </w:t>
      </w:r>
      <w:r>
        <w:rPr>
          <w:spacing w:val="65"/>
          <w:w w:val="95"/>
        </w:rPr>
      </w:r>
      <w:r>
        <w:rPr/>
        <w:t>其余额仍冲减少数股东权益。</w:t>
      </w:r>
    </w:p>
    <w:p>
      <w:pPr>
        <w:spacing w:line="590" w:lineRule="atLeast" w:before="16"/>
        <w:ind w:left="540" w:right="996" w:hanging="428"/>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3</w:t>
      </w:r>
      <w:r>
        <w:rPr>
          <w:rFonts w:ascii="宋体" w:hAnsi="宋体" w:cs="宋体" w:eastAsia="宋体" w:hint="default"/>
          <w:b/>
          <w:bCs/>
          <w:sz w:val="21"/>
          <w:szCs w:val="21"/>
        </w:rPr>
        <w:t>）购买子公司少数股东股权</w:t>
      </w:r>
      <w:r>
        <w:rPr>
          <w:rFonts w:ascii="宋体" w:hAnsi="宋体" w:cs="宋体" w:eastAsia="宋体" w:hint="default"/>
          <w:b/>
          <w:bCs/>
          <w:w w:val="99"/>
          <w:sz w:val="21"/>
          <w:szCs w:val="21"/>
        </w:rPr>
        <w:t> </w:t>
      </w:r>
      <w:r>
        <w:rPr>
          <w:rFonts w:ascii="宋体" w:hAnsi="宋体" w:cs="宋体" w:eastAsia="宋体" w:hint="default"/>
          <w:w w:val="95"/>
          <w:sz w:val="21"/>
          <w:szCs w:val="21"/>
        </w:rPr>
        <w:t>因购买少数股权新取得的长期股权投资成本与按照新增持股比例计算应享有子公司自购买日或合并</w:t>
      </w:r>
      <w:r>
        <w:rPr>
          <w:rFonts w:ascii="宋体" w:hAnsi="宋体" w:cs="宋体" w:eastAsia="宋体" w:hint="default"/>
          <w:sz w:val="21"/>
          <w:szCs w:val="21"/>
        </w:rPr>
      </w:r>
    </w:p>
    <w:p>
      <w:pPr>
        <w:pStyle w:val="BodyText"/>
        <w:spacing w:line="273" w:lineRule="auto" w:before="37"/>
        <w:ind w:right="996"/>
        <w:jc w:val="left"/>
      </w:pPr>
      <w:r>
        <w:rPr>
          <w:w w:val="95"/>
        </w:rPr>
        <w:t>日开始持续计算的净资产份额之间的差额，以及在不丧失控制权的情况下因部分处置对子公司的股权投资</w:t>
      </w:r>
      <w:r>
        <w:rPr>
          <w:spacing w:val="39"/>
          <w:w w:val="95"/>
        </w:rPr>
        <w:t> </w:t>
      </w:r>
      <w:r>
        <w:rPr>
          <w:spacing w:val="39"/>
          <w:w w:val="95"/>
        </w:rPr>
      </w:r>
      <w:r>
        <w:rPr/>
        <w:t>而取得的处置价款与处置长期股权投资相对应享有子公司自购买日或合并日开始持续计算的净资产份额</w:t>
      </w:r>
      <w:r>
        <w:rPr>
          <w:w w:val="99"/>
        </w:rPr>
        <w:t> </w:t>
      </w:r>
      <w:r>
        <w:rPr/>
        <w:t>之间的差额，均调整合并资产负债表中的资本公积，资本公积不足冲减的，调整留存收益。</w:t>
      </w:r>
    </w:p>
    <w:p>
      <w:pPr>
        <w:spacing w:line="590" w:lineRule="atLeast" w:before="7"/>
        <w:ind w:left="540" w:right="996" w:hanging="428"/>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4</w:t>
      </w:r>
      <w:r>
        <w:rPr>
          <w:rFonts w:ascii="宋体" w:hAnsi="宋体" w:cs="宋体" w:eastAsia="宋体" w:hint="default"/>
          <w:b/>
          <w:bCs/>
          <w:sz w:val="21"/>
          <w:szCs w:val="21"/>
        </w:rPr>
        <w:t>）丧失子公司控制权的处理</w:t>
      </w:r>
      <w:r>
        <w:rPr>
          <w:rFonts w:ascii="宋体" w:hAnsi="宋体" w:cs="宋体" w:eastAsia="宋体" w:hint="default"/>
          <w:b/>
          <w:bCs/>
          <w:w w:val="99"/>
          <w:sz w:val="21"/>
          <w:szCs w:val="21"/>
        </w:rPr>
        <w:t> </w:t>
      </w:r>
      <w:r>
        <w:rPr>
          <w:rFonts w:ascii="宋体" w:hAnsi="宋体" w:cs="宋体" w:eastAsia="宋体" w:hint="default"/>
          <w:w w:val="95"/>
          <w:sz w:val="21"/>
          <w:szCs w:val="21"/>
        </w:rPr>
        <w:t>因处置部分股权投资或其他原因丧失了对原有子公司控制权的，剩余股权按照其在丧失控制权日的公</w:t>
      </w:r>
      <w:r>
        <w:rPr>
          <w:rFonts w:ascii="宋体" w:hAnsi="宋体" w:cs="宋体" w:eastAsia="宋体" w:hint="default"/>
          <w:sz w:val="21"/>
          <w:szCs w:val="21"/>
        </w:rPr>
      </w:r>
    </w:p>
    <w:p>
      <w:pPr>
        <w:pStyle w:val="BodyText"/>
        <w:spacing w:line="273" w:lineRule="auto" w:before="37"/>
        <w:ind w:right="1132"/>
        <w:jc w:val="both"/>
      </w:pPr>
      <w:r>
        <w:rPr>
          <w:w w:val="95"/>
        </w:rPr>
        <w:t>允价值进行重新计量；处置股权取得的对价与剩余股权公允价值之和，减去按原持股比例计算应享有原有</w:t>
      </w:r>
      <w:r>
        <w:rPr>
          <w:spacing w:val="40"/>
          <w:w w:val="95"/>
        </w:rPr>
        <w:t> </w:t>
      </w:r>
      <w:r>
        <w:rPr>
          <w:spacing w:val="40"/>
          <w:w w:val="95"/>
        </w:rPr>
      </w:r>
      <w:r>
        <w:rPr>
          <w:w w:val="95"/>
        </w:rPr>
        <w:t>子公司自购买日开始持续计算的净资产账面价值的份额与商誉之和，形成的差额计入丧失控制权当期的投</w:t>
      </w:r>
      <w:r>
        <w:rPr>
          <w:spacing w:val="37"/>
          <w:w w:val="95"/>
        </w:rPr>
        <w:t> </w:t>
      </w:r>
      <w:r>
        <w:rPr>
          <w:spacing w:val="37"/>
          <w:w w:val="95"/>
        </w:rPr>
      </w:r>
      <w:r>
        <w:rPr/>
        <w:t>资收益。</w:t>
      </w:r>
    </w:p>
    <w:p>
      <w:pPr>
        <w:pStyle w:val="BodyText"/>
        <w:spacing w:line="240" w:lineRule="auto" w:before="127"/>
        <w:ind w:left="540" w:right="996"/>
        <w:jc w:val="left"/>
      </w:pPr>
      <w:r>
        <w:rPr/>
        <w:t>与原有子公司的股权投资相关的其他综合收益等，在丧失控制权时转入当期损益，由于被投资方重新</w:t>
      </w:r>
    </w:p>
    <w:p>
      <w:pPr>
        <w:spacing w:after="0" w:line="240" w:lineRule="auto"/>
        <w:jc w:val="left"/>
        <w:sectPr>
          <w:pgSz w:w="11910" w:h="16840"/>
          <w:pgMar w:header="878" w:footer="978" w:top="1100" w:bottom="1160" w:left="1020" w:right="0"/>
        </w:sectPr>
      </w:pPr>
    </w:p>
    <w:p>
      <w:pPr>
        <w:spacing w:line="240" w:lineRule="auto" w:before="12"/>
        <w:rPr>
          <w:rFonts w:ascii="宋体" w:hAnsi="宋体" w:cs="宋体" w:eastAsia="宋体" w:hint="default"/>
          <w:sz w:val="20"/>
          <w:szCs w:val="20"/>
        </w:rPr>
      </w:pPr>
    </w:p>
    <w:p>
      <w:pPr>
        <w:pStyle w:val="BodyText"/>
        <w:spacing w:line="240" w:lineRule="auto"/>
        <w:ind w:right="996"/>
        <w:jc w:val="left"/>
      </w:pPr>
      <w:r>
        <w:rPr/>
        <w:t>计量设定收益计划净负债或净资产变动而产生的其他综合收益除外。</w:t>
      </w:r>
    </w:p>
    <w:p>
      <w:pPr>
        <w:spacing w:line="590" w:lineRule="atLeast" w:before="37"/>
        <w:ind w:left="540" w:right="996" w:hanging="428"/>
        <w:jc w:val="left"/>
        <w:rPr>
          <w:rFonts w:ascii="宋体" w:hAnsi="宋体" w:cs="宋体" w:eastAsia="宋体" w:hint="default"/>
          <w:sz w:val="21"/>
          <w:szCs w:val="21"/>
        </w:rPr>
      </w:pPr>
      <w:bookmarkStart w:name="7、合营安排分类及共同经营会计处理方法" w:id="172"/>
      <w:bookmarkEnd w:id="172"/>
      <w:r>
        <w:rPr/>
      </w:r>
      <w:r>
        <w:rPr>
          <w:rFonts w:ascii="Arial" w:hAnsi="Arial" w:cs="Arial" w:eastAsia="Arial"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b/>
          <w:bCs/>
          <w:w w:val="99"/>
          <w:sz w:val="21"/>
          <w:szCs w:val="21"/>
        </w:rPr>
        <w:t> </w:t>
      </w:r>
      <w:r>
        <w:rPr>
          <w:rFonts w:ascii="宋体" w:hAnsi="宋体" w:cs="宋体" w:eastAsia="宋体" w:hint="default"/>
          <w:w w:val="95"/>
          <w:sz w:val="21"/>
          <w:szCs w:val="21"/>
        </w:rPr>
        <w:t>合营安排，是指一项由两个或两个以上的参与方共同控制的安排。本集团合营安排分为共同经营和合</w:t>
      </w:r>
      <w:r>
        <w:rPr>
          <w:rFonts w:ascii="宋体" w:hAnsi="宋体" w:cs="宋体" w:eastAsia="宋体" w:hint="default"/>
          <w:sz w:val="21"/>
          <w:szCs w:val="21"/>
        </w:rPr>
      </w:r>
    </w:p>
    <w:p>
      <w:pPr>
        <w:pStyle w:val="BodyText"/>
        <w:spacing w:line="240" w:lineRule="auto" w:before="37"/>
        <w:ind w:right="996"/>
        <w:jc w:val="left"/>
      </w:pPr>
      <w:r>
        <w:rPr/>
        <w:t>营企业。</w:t>
      </w:r>
    </w:p>
    <w:p>
      <w:pPr>
        <w:spacing w:line="240" w:lineRule="auto" w:before="10"/>
        <w:rPr>
          <w:rFonts w:ascii="宋体" w:hAnsi="宋体" w:cs="宋体" w:eastAsia="宋体" w:hint="default"/>
          <w:sz w:val="25"/>
          <w:szCs w:val="25"/>
        </w:rPr>
      </w:pPr>
    </w:p>
    <w:p>
      <w:pPr>
        <w:pStyle w:val="Heading4"/>
        <w:spacing w:line="240" w:lineRule="auto"/>
        <w:ind w:right="996"/>
        <w:jc w:val="left"/>
        <w:rPr>
          <w:b w:val="0"/>
          <w:bCs w:val="0"/>
        </w:rPr>
      </w:pPr>
      <w:r>
        <w:rPr/>
        <w:t>（</w:t>
      </w:r>
      <w:r>
        <w:rPr>
          <w:rFonts w:ascii="Arial" w:hAnsi="Arial" w:cs="Arial" w:eastAsia="Arial" w:hint="default"/>
        </w:rPr>
        <w:t>1</w:t>
      </w:r>
      <w:r>
        <w:rPr/>
        <w:t>）共同经营</w:t>
      </w:r>
      <w:r>
        <w:rPr>
          <w:b w:val="0"/>
          <w:bCs w:val="0"/>
        </w:rPr>
      </w:r>
    </w:p>
    <w:p>
      <w:pPr>
        <w:spacing w:line="240" w:lineRule="auto" w:before="8"/>
        <w:rPr>
          <w:rFonts w:ascii="宋体" w:hAnsi="宋体" w:cs="宋体" w:eastAsia="宋体" w:hint="default"/>
          <w:b/>
          <w:bCs/>
          <w:sz w:val="24"/>
          <w:szCs w:val="24"/>
        </w:rPr>
      </w:pPr>
    </w:p>
    <w:p>
      <w:pPr>
        <w:pStyle w:val="BodyText"/>
        <w:spacing w:line="364" w:lineRule="auto" w:before="0"/>
        <w:ind w:left="540" w:right="996"/>
        <w:jc w:val="left"/>
      </w:pPr>
      <w:r>
        <w:rPr/>
        <w:t>共同经营是指本集团享有该安排相关资产且承担该安排相关负债的合营安排。</w:t>
      </w:r>
      <w:r>
        <w:rPr>
          <w:w w:val="99"/>
        </w:rPr>
        <w:t> </w:t>
      </w:r>
      <w:r>
        <w:rPr>
          <w:w w:val="95"/>
        </w:rPr>
        <w:t>本集团确认与共同经营中利益份额相关的下列项目，并按照相关企业会计准则的规定进行会计处理：</w:t>
      </w:r>
      <w:r>
        <w:rPr>
          <w:spacing w:val="39"/>
          <w:w w:val="95"/>
        </w:rPr>
        <w:t> </w:t>
      </w:r>
      <w:r>
        <w:rPr>
          <w:spacing w:val="39"/>
          <w:w w:val="95"/>
        </w:rPr>
      </w:r>
      <w:r>
        <w:rPr>
          <w:rFonts w:ascii="Arial" w:hAnsi="Arial" w:cs="Arial" w:eastAsia="Arial" w:hint="default"/>
        </w:rPr>
        <w:t>A</w:t>
      </w:r>
      <w:r>
        <w:rPr/>
        <w:t>、确认单独所持有的资产，以及按其份额确认共同持有的资产；</w:t>
      </w:r>
      <w:r>
        <w:rPr>
          <w:w w:val="99"/>
        </w:rPr>
        <w:t> </w:t>
      </w:r>
      <w:r>
        <w:rPr>
          <w:rFonts w:ascii="Arial" w:hAnsi="Arial" w:cs="Arial" w:eastAsia="Arial" w:hint="default"/>
        </w:rPr>
        <w:t>B</w:t>
      </w:r>
      <w:r>
        <w:rPr/>
        <w:t>、确认单独所承担的负债，以及按其份额确认共同承担的负债；</w:t>
      </w:r>
      <w:r>
        <w:rPr>
          <w:w w:val="99"/>
        </w:rPr>
        <w:t> </w:t>
      </w:r>
      <w:r>
        <w:rPr>
          <w:rFonts w:ascii="Arial" w:hAnsi="Arial" w:cs="Arial" w:eastAsia="Arial" w:hint="default"/>
        </w:rPr>
        <w:t>C</w:t>
      </w:r>
      <w:r>
        <w:rPr/>
        <w:t>、确认出售其享有的共同经营产出份额所产生的收入；</w:t>
      </w:r>
      <w:r>
        <w:rPr>
          <w:w w:val="99"/>
        </w:rPr>
        <w:t> </w:t>
      </w:r>
      <w:r>
        <w:rPr>
          <w:rFonts w:ascii="Arial" w:hAnsi="Arial" w:cs="Arial" w:eastAsia="Arial" w:hint="default"/>
        </w:rPr>
        <w:t>D</w:t>
      </w:r>
      <w:r>
        <w:rPr/>
        <w:t>、按其份额确认共同经营因出售产出所产生的收入；</w:t>
      </w:r>
      <w:r>
        <w:rPr>
          <w:w w:val="99"/>
        </w:rPr>
        <w:t> </w:t>
      </w:r>
      <w:r>
        <w:rPr>
          <w:rFonts w:ascii="Arial" w:hAnsi="Arial" w:cs="Arial" w:eastAsia="Arial" w:hint="default"/>
        </w:rPr>
        <w:t>E</w:t>
      </w:r>
      <w:r>
        <w:rPr/>
        <w:t>、确认单独所发生的费用，以及按其份额确认共同经营发生的费用。</w:t>
      </w:r>
    </w:p>
    <w:p>
      <w:pPr>
        <w:spacing w:line="240" w:lineRule="auto" w:before="4"/>
        <w:rPr>
          <w:rFonts w:ascii="宋体" w:hAnsi="宋体" w:cs="宋体" w:eastAsia="宋体" w:hint="default"/>
          <w:sz w:val="15"/>
          <w:szCs w:val="15"/>
        </w:rPr>
      </w:pPr>
    </w:p>
    <w:p>
      <w:pPr>
        <w:pStyle w:val="Heading4"/>
        <w:spacing w:line="240" w:lineRule="auto"/>
        <w:ind w:right="996"/>
        <w:jc w:val="left"/>
        <w:rPr>
          <w:b w:val="0"/>
          <w:bCs w:val="0"/>
        </w:rPr>
      </w:pPr>
      <w:r>
        <w:rPr/>
        <w:t>（</w:t>
      </w:r>
      <w:r>
        <w:rPr>
          <w:rFonts w:ascii="Arial" w:hAnsi="Arial" w:cs="Arial" w:eastAsia="Arial" w:hint="default"/>
        </w:rPr>
        <w:t>2</w:t>
      </w:r>
      <w:r>
        <w:rPr/>
        <w:t>）合营企业</w:t>
      </w:r>
      <w:r>
        <w:rPr>
          <w:b w:val="0"/>
          <w:bCs w:val="0"/>
        </w:rPr>
      </w:r>
    </w:p>
    <w:p>
      <w:pPr>
        <w:spacing w:line="240" w:lineRule="auto" w:before="8"/>
        <w:rPr>
          <w:rFonts w:ascii="宋体" w:hAnsi="宋体" w:cs="宋体" w:eastAsia="宋体" w:hint="default"/>
          <w:b/>
          <w:bCs/>
          <w:sz w:val="24"/>
          <w:szCs w:val="24"/>
        </w:rPr>
      </w:pPr>
    </w:p>
    <w:p>
      <w:pPr>
        <w:pStyle w:val="BodyText"/>
        <w:spacing w:line="376" w:lineRule="auto" w:before="0"/>
        <w:ind w:left="540" w:right="996"/>
        <w:jc w:val="left"/>
      </w:pPr>
      <w:r>
        <w:rPr/>
        <w:t>合营企业是指本集团仅对该安排的净资产享有权利的合营安排。</w:t>
      </w:r>
      <w:r>
        <w:rPr>
          <w:w w:val="99"/>
        </w:rPr>
        <w:t> </w:t>
      </w:r>
      <w:r>
        <w:rPr>
          <w:w w:val="95"/>
        </w:rPr>
        <w:t>本集团按照长期股权投资有关权益法核算的规定对合营企业的投资进行会计处理。</w:t>
      </w:r>
      <w:r>
        <w:rPr/>
      </w:r>
    </w:p>
    <w:p>
      <w:pPr>
        <w:spacing w:line="240" w:lineRule="auto" w:before="11"/>
        <w:rPr>
          <w:rFonts w:ascii="宋体" w:hAnsi="宋体" w:cs="宋体" w:eastAsia="宋体" w:hint="default"/>
          <w:sz w:val="16"/>
          <w:szCs w:val="16"/>
        </w:rPr>
      </w:pPr>
    </w:p>
    <w:p>
      <w:pPr>
        <w:pStyle w:val="Heading4"/>
        <w:spacing w:line="240" w:lineRule="auto"/>
        <w:ind w:right="996"/>
        <w:jc w:val="left"/>
        <w:rPr>
          <w:b w:val="0"/>
          <w:bCs w:val="0"/>
        </w:rPr>
      </w:pPr>
      <w:bookmarkStart w:name="8、现金及现金等价物的确定标准" w:id="173"/>
      <w:bookmarkEnd w:id="173"/>
      <w:r>
        <w:rPr>
          <w:b w:val="0"/>
          <w:bCs w:val="0"/>
        </w:rPr>
      </w:r>
      <w:r>
        <w:rPr>
          <w:rFonts w:ascii="Arial" w:hAnsi="Arial" w:cs="Arial" w:eastAsia="Arial" w:hint="default"/>
        </w:rPr>
        <w:t>8</w:t>
      </w:r>
      <w:r>
        <w:rPr/>
        <w:t>、现金及现金等价物的确定标准</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996" w:firstLine="427"/>
        <w:jc w:val="left"/>
      </w:pPr>
      <w:r>
        <w:rPr>
          <w:spacing w:val="-3"/>
          <w:w w:val="95"/>
        </w:rPr>
        <w:t>现金是指库存现金以及可以随时用于支付的存款。现金等价物，是指本集团持有的期限短、流动性强、</w:t>
      </w:r>
      <w:r>
        <w:rPr>
          <w:spacing w:val="-75"/>
          <w:w w:val="95"/>
        </w:rPr>
        <w:t> </w:t>
      </w:r>
      <w:r>
        <w:rPr>
          <w:spacing w:val="-75"/>
          <w:w w:val="95"/>
        </w:rPr>
      </w:r>
      <w:r>
        <w:rPr/>
        <w:t>易于转换为已知金额现金、价值变动风险很小的投资。</w:t>
      </w:r>
    </w:p>
    <w:p>
      <w:pPr>
        <w:spacing w:line="590" w:lineRule="atLeast" w:before="7"/>
        <w:ind w:left="540" w:right="2114" w:hanging="428"/>
        <w:jc w:val="left"/>
        <w:rPr>
          <w:rFonts w:ascii="宋体" w:hAnsi="宋体" w:cs="宋体" w:eastAsia="宋体" w:hint="default"/>
          <w:sz w:val="21"/>
          <w:szCs w:val="21"/>
        </w:rPr>
      </w:pPr>
      <w:bookmarkStart w:name="9、外币业务和外币报表折算" w:id="174"/>
      <w:bookmarkEnd w:id="174"/>
      <w:r>
        <w:rPr/>
      </w:r>
      <w:r>
        <w:rPr>
          <w:rFonts w:ascii="Arial" w:hAnsi="Arial" w:cs="Arial" w:eastAsia="Arial" w:hint="default"/>
          <w:b/>
          <w:bCs/>
          <w:sz w:val="21"/>
          <w:szCs w:val="21"/>
        </w:rPr>
        <w:t>9</w:t>
      </w:r>
      <w:r>
        <w:rPr>
          <w:rFonts w:ascii="宋体" w:hAnsi="宋体" w:cs="宋体" w:eastAsia="宋体" w:hint="default"/>
          <w:b/>
          <w:bCs/>
          <w:sz w:val="21"/>
          <w:szCs w:val="21"/>
        </w:rPr>
        <w:t>、外币业务和外币报表折算</w:t>
      </w:r>
      <w:r>
        <w:rPr>
          <w:rFonts w:ascii="宋体" w:hAnsi="宋体" w:cs="宋体" w:eastAsia="宋体" w:hint="default"/>
          <w:b/>
          <w:bCs/>
          <w:w w:val="99"/>
          <w:sz w:val="21"/>
          <w:szCs w:val="21"/>
        </w:rPr>
        <w:t> </w:t>
      </w:r>
      <w:r>
        <w:rPr>
          <w:rFonts w:ascii="宋体" w:hAnsi="宋体" w:cs="宋体" w:eastAsia="宋体" w:hint="default"/>
          <w:w w:val="95"/>
          <w:sz w:val="21"/>
          <w:szCs w:val="21"/>
        </w:rPr>
        <w:t>本集团发生外币业务，按交易发生日的即期汇率折算为记账本位币金额。</w:t>
      </w:r>
      <w:r>
        <w:rPr>
          <w:rFonts w:ascii="宋体" w:hAnsi="宋体" w:cs="宋体" w:eastAsia="宋体" w:hint="default"/>
          <w:sz w:val="21"/>
          <w:szCs w:val="21"/>
        </w:rPr>
      </w:r>
    </w:p>
    <w:p>
      <w:pPr>
        <w:pStyle w:val="BodyText"/>
        <w:spacing w:line="273" w:lineRule="auto" w:before="157"/>
        <w:ind w:right="1132" w:firstLine="427"/>
        <w:jc w:val="both"/>
      </w:pPr>
      <w:r>
        <w:rPr>
          <w:w w:val="95"/>
        </w:rPr>
        <w:t>资产负债表日，对外币货币性项目，采用资产负债表日即期汇率折算。因资产负债表日即期汇率与初</w:t>
      </w:r>
      <w:r>
        <w:rPr>
          <w:w w:val="99"/>
        </w:rPr>
        <w:t> </w:t>
      </w:r>
      <w:r>
        <w:rPr>
          <w:w w:val="95"/>
        </w:rPr>
        <w:t>始确认时或者前一资产负债表日即期汇率不同而产生的汇兑差额，计入当期损益；对以历史成本计量的外</w:t>
      </w:r>
      <w:r>
        <w:rPr>
          <w:spacing w:val="37"/>
          <w:w w:val="95"/>
        </w:rPr>
        <w:t> </w:t>
      </w:r>
      <w:r>
        <w:rPr>
          <w:spacing w:val="37"/>
          <w:w w:val="95"/>
        </w:rPr>
      </w:r>
      <w:r>
        <w:rPr>
          <w:w w:val="95"/>
        </w:rPr>
        <w:t>币非货币性项目，仍采用交易发生日的即期汇率折算；对以公允价值计量的外币非货币性项目，采用公允</w:t>
      </w:r>
      <w:r>
        <w:rPr>
          <w:spacing w:val="37"/>
          <w:w w:val="95"/>
        </w:rPr>
        <w:t> </w:t>
      </w:r>
      <w:r>
        <w:rPr>
          <w:spacing w:val="37"/>
          <w:w w:val="95"/>
        </w:rPr>
      </w:r>
      <w:r>
        <w:rPr/>
        <w:t>价值确定日的即期汇率折算，折算后的记账本位币金额与原记账本位币金额的差额，计入当期损益。</w:t>
      </w:r>
    </w:p>
    <w:p>
      <w:pPr>
        <w:spacing w:line="240" w:lineRule="auto" w:before="7"/>
        <w:rPr>
          <w:rFonts w:ascii="宋体" w:hAnsi="宋体" w:cs="宋体" w:eastAsia="宋体" w:hint="default"/>
          <w:sz w:val="23"/>
          <w:szCs w:val="23"/>
        </w:rPr>
      </w:pPr>
    </w:p>
    <w:p>
      <w:pPr>
        <w:pStyle w:val="Heading4"/>
        <w:spacing w:line="240" w:lineRule="auto"/>
        <w:ind w:right="996"/>
        <w:jc w:val="left"/>
        <w:rPr>
          <w:b w:val="0"/>
          <w:bCs w:val="0"/>
        </w:rPr>
      </w:pPr>
      <w:bookmarkStart w:name="10、金融工具" w:id="175"/>
      <w:bookmarkEnd w:id="175"/>
      <w:r>
        <w:rPr>
          <w:b w:val="0"/>
          <w:bCs w:val="0"/>
        </w:rPr>
      </w:r>
      <w:r>
        <w:rPr>
          <w:rFonts w:ascii="Arial" w:hAnsi="Arial" w:cs="Arial" w:eastAsia="Arial" w:hint="default"/>
        </w:rPr>
        <w:t>10</w:t>
      </w:r>
      <w:r>
        <w:rPr/>
        <w:t>、金融工具</w:t>
      </w:r>
      <w:r>
        <w:rPr>
          <w:b w:val="0"/>
          <w:bCs w:val="0"/>
        </w:rPr>
      </w:r>
    </w:p>
    <w:p>
      <w:pPr>
        <w:spacing w:line="240" w:lineRule="auto" w:before="11"/>
        <w:rPr>
          <w:rFonts w:ascii="宋体" w:hAnsi="宋体" w:cs="宋体" w:eastAsia="宋体" w:hint="default"/>
          <w:b/>
          <w:bCs/>
          <w:sz w:val="24"/>
          <w:szCs w:val="24"/>
        </w:rPr>
      </w:pPr>
    </w:p>
    <w:p>
      <w:pPr>
        <w:pStyle w:val="BodyText"/>
        <w:spacing w:line="240" w:lineRule="auto" w:before="0"/>
        <w:ind w:left="540" w:right="996"/>
        <w:jc w:val="left"/>
      </w:pPr>
      <w:r>
        <w:rPr/>
        <w:t>金融工具是指形成一个企业的金融资产，并形成其他单位的金融负债或权益工具的合同。</w:t>
      </w:r>
    </w:p>
    <w:p>
      <w:pPr>
        <w:spacing w:line="240" w:lineRule="auto" w:before="10"/>
        <w:rPr>
          <w:rFonts w:ascii="宋体" w:hAnsi="宋体" w:cs="宋体" w:eastAsia="宋体" w:hint="default"/>
          <w:sz w:val="25"/>
          <w:szCs w:val="25"/>
        </w:rPr>
      </w:pPr>
    </w:p>
    <w:p>
      <w:pPr>
        <w:spacing w:line="506" w:lineRule="auto" w:before="0"/>
        <w:ind w:left="540" w:right="2114" w:hanging="428"/>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1</w:t>
      </w:r>
      <w:r>
        <w:rPr>
          <w:rFonts w:ascii="宋体" w:hAnsi="宋体" w:cs="宋体" w:eastAsia="宋体" w:hint="default"/>
          <w:b/>
          <w:bCs/>
          <w:sz w:val="21"/>
          <w:szCs w:val="21"/>
        </w:rPr>
        <w:t>）金融工具的确认和终止确认</w:t>
      </w:r>
      <w:r>
        <w:rPr>
          <w:rFonts w:ascii="宋体" w:hAnsi="宋体" w:cs="宋体" w:eastAsia="宋体" w:hint="default"/>
          <w:b/>
          <w:bCs/>
          <w:w w:val="99"/>
          <w:sz w:val="21"/>
          <w:szCs w:val="21"/>
        </w:rPr>
        <w:t> </w:t>
      </w:r>
      <w:r>
        <w:rPr>
          <w:rFonts w:ascii="宋体" w:hAnsi="宋体" w:cs="宋体" w:eastAsia="宋体" w:hint="default"/>
          <w:w w:val="95"/>
          <w:sz w:val="21"/>
          <w:szCs w:val="21"/>
        </w:rPr>
        <w:t>本集团于成为金融工具合同的一方时确认一项金融资产或金融负债。</w:t>
      </w:r>
      <w:r>
        <w:rPr>
          <w:rFonts w:ascii="宋体" w:hAnsi="宋体" w:cs="宋体" w:eastAsia="宋体" w:hint="default"/>
          <w:sz w:val="21"/>
          <w:szCs w:val="21"/>
        </w:rPr>
      </w:r>
    </w:p>
    <w:p>
      <w:pPr>
        <w:spacing w:after="0" w:line="506" w:lineRule="auto"/>
        <w:jc w:val="left"/>
        <w:rPr>
          <w:rFonts w:ascii="宋体" w:hAnsi="宋体" w:cs="宋体" w:eastAsia="宋体" w:hint="default"/>
          <w:sz w:val="21"/>
          <w:szCs w:val="21"/>
        </w:rPr>
        <w:sectPr>
          <w:footerReference w:type="default" r:id="rId41"/>
          <w:pgSz w:w="11910" w:h="16840"/>
          <w:pgMar w:footer="978" w:header="878" w:top="1100" w:bottom="1160" w:left="1020" w:right="0"/>
          <w:pgNumType w:start="110"/>
        </w:sectPr>
      </w:pPr>
    </w:p>
    <w:p>
      <w:pPr>
        <w:spacing w:line="240" w:lineRule="auto" w:before="12"/>
        <w:rPr>
          <w:rFonts w:ascii="宋体" w:hAnsi="宋体" w:cs="宋体" w:eastAsia="宋体" w:hint="default"/>
          <w:sz w:val="20"/>
          <w:szCs w:val="20"/>
        </w:rPr>
      </w:pPr>
    </w:p>
    <w:p>
      <w:pPr>
        <w:pStyle w:val="BodyText"/>
        <w:spacing w:line="240" w:lineRule="auto"/>
        <w:ind w:left="540" w:right="996"/>
        <w:jc w:val="left"/>
      </w:pPr>
      <w:r>
        <w:rPr/>
        <w:t>金融资产满足下列条件之一的，终止确认：</w:t>
      </w:r>
    </w:p>
    <w:p>
      <w:pPr>
        <w:pStyle w:val="BodyText"/>
        <w:spacing w:line="240" w:lineRule="auto" w:before="157"/>
        <w:ind w:left="540" w:right="996"/>
        <w:jc w:val="left"/>
      </w:pPr>
      <w:r>
        <w:rPr/>
        <w:t>①</w:t>
      </w:r>
      <w:r>
        <w:rPr>
          <w:spacing w:val="-12"/>
        </w:rPr>
        <w:t> </w:t>
      </w:r>
      <w:r>
        <w:rPr/>
        <w:t>收取该金融资产现金流量的合同权利终止；</w:t>
      </w:r>
    </w:p>
    <w:p>
      <w:pPr>
        <w:pStyle w:val="BodyText"/>
        <w:spacing w:line="430" w:lineRule="atLeast" w:before="2"/>
        <w:ind w:left="540" w:right="996"/>
        <w:jc w:val="left"/>
      </w:pPr>
      <w:r>
        <w:rPr/>
        <w:t>②</w:t>
      </w:r>
      <w:r>
        <w:rPr>
          <w:spacing w:val="-1"/>
        </w:rPr>
        <w:t> </w:t>
      </w:r>
      <w:r>
        <w:rPr/>
        <w:t>该金融资产已转移，且符合下述金融资产转移的终止确认条件。</w:t>
      </w:r>
      <w:r>
        <w:rPr>
          <w:w w:val="99"/>
        </w:rPr>
        <w:t> </w:t>
      </w:r>
      <w:r>
        <w:rPr>
          <w:w w:val="95"/>
        </w:rPr>
        <w:t>金融负债的现时义务全部或部分已经解除的，终止确认该金融负债或其一部分。本集团（债务人）与</w:t>
      </w:r>
      <w:r>
        <w:rPr/>
      </w:r>
    </w:p>
    <w:p>
      <w:pPr>
        <w:pStyle w:val="BodyText"/>
        <w:spacing w:line="273" w:lineRule="auto" w:before="37"/>
        <w:ind w:right="996"/>
        <w:jc w:val="left"/>
      </w:pPr>
      <w:r>
        <w:rPr>
          <w:w w:val="95"/>
        </w:rPr>
        <w:t>债权人之间签订协议，以承担新金融负债方式替换现存金融负债，且新金融负债与现存金融负债的合同条</w:t>
      </w:r>
      <w:r>
        <w:rPr>
          <w:spacing w:val="40"/>
          <w:w w:val="95"/>
        </w:rPr>
        <w:t> </w:t>
      </w:r>
      <w:r>
        <w:rPr>
          <w:spacing w:val="40"/>
          <w:w w:val="95"/>
        </w:rPr>
      </w:r>
      <w:r>
        <w:rPr/>
        <w:t>款实质上不同的，终止确认现存金融负债，并同时确认新金融负债。</w:t>
      </w:r>
    </w:p>
    <w:p>
      <w:pPr>
        <w:pStyle w:val="BodyText"/>
        <w:spacing w:line="240" w:lineRule="auto" w:before="127"/>
        <w:ind w:left="540" w:right="996"/>
        <w:jc w:val="left"/>
      </w:pPr>
      <w:r>
        <w:rPr/>
        <w:t>以常规方式买卖金融资产，按交易日进行会计确认和终止确认。</w:t>
      </w:r>
    </w:p>
    <w:p>
      <w:pPr>
        <w:spacing w:line="590" w:lineRule="atLeast" w:before="37"/>
        <w:ind w:left="540" w:right="996" w:hanging="428"/>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2</w:t>
      </w:r>
      <w:r>
        <w:rPr>
          <w:rFonts w:ascii="宋体" w:hAnsi="宋体" w:cs="宋体" w:eastAsia="宋体" w:hint="default"/>
          <w:b/>
          <w:bCs/>
          <w:sz w:val="21"/>
          <w:szCs w:val="21"/>
        </w:rPr>
        <w:t>）金融资产分类和计量</w:t>
      </w:r>
      <w:r>
        <w:rPr>
          <w:rFonts w:ascii="宋体" w:hAnsi="宋体" w:cs="宋体" w:eastAsia="宋体" w:hint="default"/>
          <w:b/>
          <w:bCs/>
          <w:w w:val="99"/>
          <w:sz w:val="21"/>
          <w:szCs w:val="21"/>
        </w:rPr>
        <w:t> </w:t>
      </w:r>
      <w:r>
        <w:rPr>
          <w:rFonts w:ascii="宋体" w:hAnsi="宋体" w:cs="宋体" w:eastAsia="宋体" w:hint="default"/>
          <w:w w:val="95"/>
          <w:sz w:val="21"/>
          <w:szCs w:val="21"/>
        </w:rPr>
        <w:t>本集团的金融资产于初始确认时分为以下四类：以公允价值计量且其变动计入当期损益的金融资产、</w:t>
      </w:r>
      <w:r>
        <w:rPr>
          <w:rFonts w:ascii="宋体" w:hAnsi="宋体" w:cs="宋体" w:eastAsia="宋体" w:hint="default"/>
          <w:sz w:val="21"/>
          <w:szCs w:val="21"/>
        </w:rPr>
      </w:r>
    </w:p>
    <w:p>
      <w:pPr>
        <w:pStyle w:val="BodyText"/>
        <w:spacing w:line="240" w:lineRule="auto" w:before="37"/>
        <w:ind w:right="996"/>
        <w:jc w:val="left"/>
      </w:pPr>
      <w:r>
        <w:rPr/>
        <w:t>持有至到期投资、应收款项、可供出售金融资产。</w:t>
      </w:r>
    </w:p>
    <w:p>
      <w:pPr>
        <w:pStyle w:val="BodyText"/>
        <w:spacing w:line="273" w:lineRule="auto" w:before="157"/>
        <w:ind w:right="1132" w:firstLine="427"/>
        <w:jc w:val="both"/>
      </w:pPr>
      <w:r>
        <w:rPr>
          <w:w w:val="95"/>
        </w:rPr>
        <w:t>金融资产在初始确认时以公允价值计量。对于以公允价值计量且其变动计入当期损益的金融资产，相</w:t>
      </w:r>
      <w:r>
        <w:rPr>
          <w:w w:val="99"/>
        </w:rPr>
        <w:t> </w:t>
      </w:r>
      <w:r>
        <w:rPr/>
        <w:t>关交易费用直接计入当期损益，其他类别的金融资产相关交易费用计入其初始确认金额。</w:t>
      </w:r>
    </w:p>
    <w:p>
      <w:pPr>
        <w:pStyle w:val="BodyText"/>
        <w:spacing w:line="432" w:lineRule="exact" w:before="27"/>
        <w:ind w:left="540" w:right="996"/>
        <w:jc w:val="left"/>
      </w:pPr>
      <w:r>
        <w:rPr/>
        <w:t>以公允价值计量且其变动计入当期损益的金融资产</w:t>
      </w:r>
      <w:r>
        <w:rPr>
          <w:w w:val="99"/>
        </w:rPr>
        <w:t> </w:t>
      </w:r>
      <w:r>
        <w:rPr>
          <w:w w:val="95"/>
        </w:rPr>
        <w:t>以公允价值计量且其变动计入当期损益的金融资产，包括交易性金融资产和初始确认时指定为以公允</w:t>
      </w:r>
      <w:r>
        <w:rPr/>
      </w:r>
    </w:p>
    <w:p>
      <w:pPr>
        <w:pStyle w:val="BodyText"/>
        <w:spacing w:line="255" w:lineRule="exact" w:before="0"/>
        <w:ind w:right="996"/>
        <w:jc w:val="left"/>
      </w:pPr>
      <w:r>
        <w:rPr/>
        <w:t>价值计量且其变动计入当期损益的金融资产。对于此类金融资产，采用公允价值进行后续计量，公允价值</w:t>
      </w:r>
    </w:p>
    <w:p>
      <w:pPr>
        <w:pStyle w:val="BodyText"/>
        <w:spacing w:line="376" w:lineRule="auto" w:before="37"/>
        <w:ind w:left="540" w:right="2594" w:hanging="428"/>
        <w:jc w:val="left"/>
      </w:pPr>
      <w:r>
        <w:rPr>
          <w:w w:val="95"/>
        </w:rPr>
        <w:t>变动形成的利得或损失以及与该等金融资产相关的股利和利息收入计入当期损益。</w:t>
      </w:r>
      <w:r>
        <w:rPr>
          <w:spacing w:val="58"/>
          <w:w w:val="95"/>
        </w:rPr>
        <w:t> </w:t>
      </w:r>
      <w:r>
        <w:rPr>
          <w:spacing w:val="58"/>
          <w:w w:val="95"/>
        </w:rPr>
      </w:r>
      <w:r>
        <w:rPr/>
        <w:t>持有至到期投资</w:t>
      </w:r>
    </w:p>
    <w:p>
      <w:pPr>
        <w:pStyle w:val="BodyText"/>
        <w:spacing w:line="273" w:lineRule="auto" w:before="37"/>
        <w:ind w:right="1132" w:firstLine="427"/>
        <w:jc w:val="both"/>
      </w:pPr>
      <w:r>
        <w:rPr>
          <w:w w:val="95"/>
        </w:rPr>
        <w:t>持有至到期投资，是指到期日固定、回收金额固定或可确定，且本集团有明确意图和能力持有至到期</w:t>
      </w:r>
      <w:r>
        <w:rPr>
          <w:w w:val="99"/>
        </w:rPr>
        <w:t> </w:t>
      </w:r>
      <w:r>
        <w:rPr>
          <w:w w:val="95"/>
        </w:rPr>
        <w:t>的非衍生金融资产。持有至到期投资采用实际利率法，按照摊余成本进行后续计量，其终止确认、发生减</w:t>
      </w:r>
      <w:r>
        <w:rPr>
          <w:spacing w:val="40"/>
          <w:w w:val="95"/>
        </w:rPr>
        <w:t> </w:t>
      </w:r>
      <w:r>
        <w:rPr>
          <w:spacing w:val="40"/>
          <w:w w:val="95"/>
        </w:rPr>
      </w:r>
      <w:r>
        <w:rPr/>
        <w:t>值或摊销产生的利得或损失，均计入当期损益。</w:t>
      </w:r>
    </w:p>
    <w:p>
      <w:pPr>
        <w:pStyle w:val="BodyText"/>
        <w:spacing w:line="432" w:lineRule="exact" w:before="27"/>
        <w:ind w:left="540" w:right="996"/>
        <w:jc w:val="left"/>
      </w:pPr>
      <w:r>
        <w:rPr/>
        <w:t>应收款项</w:t>
      </w:r>
      <w:r>
        <w:rPr>
          <w:w w:val="99"/>
        </w:rPr>
        <w:t> </w:t>
      </w:r>
      <w:r>
        <w:rPr>
          <w:w w:val="95"/>
        </w:rPr>
        <w:t>应收款项，是指在活跃市场中没有报价、回收金额固定或可确定的非衍生金融资产，包括应收票据、</w:t>
      </w:r>
      <w:r>
        <w:rPr/>
      </w:r>
    </w:p>
    <w:p>
      <w:pPr>
        <w:pStyle w:val="BodyText"/>
        <w:spacing w:line="270" w:lineRule="exact" w:before="0"/>
        <w:ind w:right="996"/>
        <w:jc w:val="left"/>
      </w:pPr>
      <w:r>
        <w:rPr/>
        <w:t>应收账款和其他应收款等（附注三、</w:t>
      </w:r>
      <w:r>
        <w:rPr>
          <w:rFonts w:ascii="Arial" w:hAnsi="Arial" w:cs="Arial" w:eastAsia="Arial" w:hint="default"/>
        </w:rPr>
        <w:t>12</w:t>
      </w:r>
      <w:r>
        <w:rPr/>
        <w:t>）。应收款项采用实际利率法，按摊余成本进行后续计量，在终止</w:t>
      </w:r>
    </w:p>
    <w:p>
      <w:pPr>
        <w:pStyle w:val="BodyText"/>
        <w:spacing w:line="376" w:lineRule="auto" w:before="22"/>
        <w:ind w:left="540" w:right="4994" w:hanging="428"/>
        <w:jc w:val="left"/>
      </w:pPr>
      <w:r>
        <w:rPr>
          <w:w w:val="95"/>
        </w:rPr>
        <w:t>确认、发生减值或摊销时产生的利得或损失，计入当期损益。</w:t>
      </w:r>
      <w:r>
        <w:rPr>
          <w:spacing w:val="69"/>
          <w:w w:val="95"/>
        </w:rPr>
        <w:t> </w:t>
      </w:r>
      <w:r>
        <w:rPr>
          <w:spacing w:val="69"/>
          <w:w w:val="95"/>
        </w:rPr>
      </w:r>
      <w:r>
        <w:rPr/>
        <w:t>可供出售金融资产</w:t>
      </w:r>
    </w:p>
    <w:p>
      <w:pPr>
        <w:pStyle w:val="BodyText"/>
        <w:spacing w:line="273" w:lineRule="auto" w:before="37"/>
        <w:ind w:right="1132" w:firstLine="427"/>
        <w:jc w:val="both"/>
      </w:pPr>
      <w:r>
        <w:rPr>
          <w:w w:val="95"/>
        </w:rPr>
        <w:t>可供出售金融资产，是指初始确认时即指定为可供出售的非衍生金融资产，以及除上述金融资产类别</w:t>
      </w:r>
      <w:r>
        <w:rPr>
          <w:w w:val="99"/>
        </w:rPr>
        <w:t> </w:t>
      </w:r>
      <w:r>
        <w:rPr>
          <w:w w:val="95"/>
        </w:rPr>
        <w:t>以外的金融资产。可供出售金融资产采用公允价值进行后续计量，其折溢价采用实际利率法摊销并确认为</w:t>
      </w:r>
      <w:r>
        <w:rPr>
          <w:spacing w:val="40"/>
          <w:w w:val="95"/>
        </w:rPr>
        <w:t> </w:t>
      </w:r>
      <w:r>
        <w:rPr>
          <w:spacing w:val="40"/>
          <w:w w:val="95"/>
        </w:rPr>
      </w:r>
      <w:r>
        <w:rPr>
          <w:w w:val="95"/>
        </w:rPr>
        <w:t>利息收入。除减值损失及外币货币性金融资产的汇兑差额确认为当期损益外，可供出售金融资产的公允价</w:t>
      </w:r>
      <w:r>
        <w:rPr>
          <w:spacing w:val="37"/>
          <w:w w:val="95"/>
        </w:rPr>
        <w:t> </w:t>
      </w:r>
      <w:r>
        <w:rPr>
          <w:spacing w:val="37"/>
          <w:w w:val="95"/>
        </w:rPr>
      </w:r>
      <w:r>
        <w:rPr>
          <w:w w:val="95"/>
        </w:rPr>
        <w:t>值变动确认为其他综合收益，在该金融资产终止确认时转出，计入当期损益。与可供出售金融资产相关的</w:t>
      </w:r>
      <w:r>
        <w:rPr>
          <w:spacing w:val="37"/>
          <w:w w:val="95"/>
        </w:rPr>
        <w:t> </w:t>
      </w:r>
      <w:r>
        <w:rPr>
          <w:spacing w:val="37"/>
          <w:w w:val="95"/>
        </w:rPr>
      </w:r>
      <w:r>
        <w:rPr/>
        <w:t>股利或利息收入，计入当期损益。</w:t>
      </w:r>
    </w:p>
    <w:p>
      <w:pPr>
        <w:pStyle w:val="BodyText"/>
        <w:spacing w:line="273" w:lineRule="auto" w:before="127"/>
        <w:ind w:right="1135" w:firstLine="427"/>
        <w:jc w:val="both"/>
      </w:pPr>
      <w:r>
        <w:rPr>
          <w:w w:val="95"/>
        </w:rPr>
        <w:t>对于在活跃市场中没有报价且其公允价值不能可靠计量的权益工具投资，以及与该权益工具挂钩并须</w:t>
      </w:r>
      <w:r>
        <w:rPr>
          <w:w w:val="99"/>
        </w:rPr>
        <w:t> </w:t>
      </w:r>
      <w:r>
        <w:rPr/>
        <w:t>通过交付该权益工具结算的衍生金融资产，按成本计量。</w:t>
      </w:r>
    </w:p>
    <w:p>
      <w:pPr>
        <w:spacing w:line="590" w:lineRule="atLeast" w:before="7"/>
        <w:ind w:left="540" w:right="996" w:hanging="428"/>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3</w:t>
      </w:r>
      <w:r>
        <w:rPr>
          <w:rFonts w:ascii="宋体" w:hAnsi="宋体" w:cs="宋体" w:eastAsia="宋体" w:hint="default"/>
          <w:b/>
          <w:bCs/>
          <w:sz w:val="21"/>
          <w:szCs w:val="21"/>
        </w:rPr>
        <w:t>）金融负债分类和计量</w:t>
      </w:r>
      <w:r>
        <w:rPr>
          <w:rFonts w:ascii="宋体" w:hAnsi="宋体" w:cs="宋体" w:eastAsia="宋体" w:hint="default"/>
          <w:b/>
          <w:bCs/>
          <w:w w:val="99"/>
          <w:sz w:val="21"/>
          <w:szCs w:val="21"/>
        </w:rPr>
        <w:t> </w:t>
      </w:r>
      <w:r>
        <w:rPr>
          <w:rFonts w:ascii="宋体" w:hAnsi="宋体" w:cs="宋体" w:eastAsia="宋体" w:hint="default"/>
          <w:w w:val="95"/>
          <w:sz w:val="21"/>
          <w:szCs w:val="21"/>
        </w:rPr>
        <w:t>本集团的金融负债于初始确认时分类为：以公允价值计量且其变动计入当期损益的金融负债、其他金</w:t>
      </w:r>
      <w:r>
        <w:rPr>
          <w:rFonts w:ascii="宋体" w:hAnsi="宋体" w:cs="宋体" w:eastAsia="宋体" w:hint="default"/>
          <w:sz w:val="21"/>
          <w:szCs w:val="21"/>
        </w:rPr>
      </w:r>
    </w:p>
    <w:p>
      <w:pPr>
        <w:pStyle w:val="BodyText"/>
        <w:spacing w:line="240" w:lineRule="auto" w:before="37"/>
        <w:ind w:right="996"/>
        <w:jc w:val="left"/>
      </w:pPr>
      <w:r>
        <w:rPr/>
        <w:t>融负债。对于未划分为以公允价值计量且其变动计入当期损益的金融负债的，相关交易费用计入其初始确</w:t>
      </w:r>
    </w:p>
    <w:p>
      <w:pPr>
        <w:spacing w:after="0" w:line="240" w:lineRule="auto"/>
        <w:jc w:val="left"/>
        <w:sectPr>
          <w:pgSz w:w="11910" w:h="16840"/>
          <w:pgMar w:header="878" w:footer="978" w:top="1100" w:bottom="1160" w:left="1020" w:right="0"/>
        </w:sectPr>
      </w:pPr>
    </w:p>
    <w:p>
      <w:pPr>
        <w:spacing w:line="240" w:lineRule="auto" w:before="12"/>
        <w:rPr>
          <w:rFonts w:ascii="宋体" w:hAnsi="宋体" w:cs="宋体" w:eastAsia="宋体" w:hint="default"/>
          <w:sz w:val="20"/>
          <w:szCs w:val="20"/>
        </w:rPr>
      </w:pPr>
    </w:p>
    <w:p>
      <w:pPr>
        <w:pStyle w:val="BodyText"/>
        <w:spacing w:line="240" w:lineRule="auto"/>
        <w:ind w:right="996"/>
        <w:jc w:val="left"/>
      </w:pPr>
      <w:r>
        <w:rPr/>
        <w:t>认金额。</w:t>
      </w:r>
    </w:p>
    <w:p>
      <w:pPr>
        <w:pStyle w:val="BodyText"/>
        <w:spacing w:line="430" w:lineRule="atLeast" w:before="2"/>
        <w:ind w:left="540" w:right="996"/>
        <w:jc w:val="left"/>
      </w:pPr>
      <w:r>
        <w:rPr/>
        <w:t>以公允价值计量且其变动计入当期损益的金融负债</w:t>
      </w:r>
      <w:r>
        <w:rPr>
          <w:w w:val="99"/>
        </w:rPr>
        <w:t> </w:t>
      </w:r>
      <w:r>
        <w:rPr>
          <w:w w:val="95"/>
        </w:rPr>
        <w:t>以公允价值计量且其变动计入当期损益的金融负债，包括交易性金融负债和初始确认时指定为以公允</w:t>
      </w:r>
      <w:r>
        <w:rPr/>
      </w:r>
    </w:p>
    <w:p>
      <w:pPr>
        <w:pStyle w:val="BodyText"/>
        <w:spacing w:line="273" w:lineRule="auto" w:before="37"/>
        <w:ind w:right="996"/>
        <w:jc w:val="left"/>
      </w:pPr>
      <w:r>
        <w:rPr>
          <w:w w:val="95"/>
        </w:rPr>
        <w:t>价值计量且其变动计入当期损益的金融负债。对于此类金融负债，按照公允价值进行后续计量，公允价值</w:t>
      </w:r>
      <w:r>
        <w:rPr>
          <w:spacing w:val="37"/>
          <w:w w:val="95"/>
        </w:rPr>
        <w:t> </w:t>
      </w:r>
      <w:r>
        <w:rPr>
          <w:spacing w:val="37"/>
          <w:w w:val="95"/>
        </w:rPr>
      </w:r>
      <w:r>
        <w:rPr/>
        <w:t>变动形成的利得或损失以及与该等金融负债相关的股利和利息支出计入当期损益。</w:t>
      </w:r>
    </w:p>
    <w:p>
      <w:pPr>
        <w:pStyle w:val="BodyText"/>
        <w:spacing w:line="432" w:lineRule="exact" w:before="27"/>
        <w:ind w:left="540" w:right="996"/>
        <w:jc w:val="left"/>
      </w:pPr>
      <w:r>
        <w:rPr/>
        <w:t>其他金融负债</w:t>
      </w:r>
      <w:r>
        <w:rPr>
          <w:w w:val="99"/>
        </w:rPr>
        <w:t> </w:t>
      </w:r>
      <w:r>
        <w:rPr>
          <w:w w:val="95"/>
        </w:rPr>
        <w:t>与在活跃市场中没有报价、公允价值不能可靠计量的权益工具挂钩并须通过交付该权益工具结算的衍</w:t>
      </w:r>
      <w:r>
        <w:rPr/>
      </w:r>
    </w:p>
    <w:p>
      <w:pPr>
        <w:pStyle w:val="BodyText"/>
        <w:spacing w:line="255" w:lineRule="exact" w:before="0"/>
        <w:ind w:right="996"/>
        <w:jc w:val="left"/>
      </w:pPr>
      <w:r>
        <w:rPr/>
        <w:t>生金融负债，按照成本进行后续计量。其他金融负债采用实际利率法，按摊余成本进行后续计量，终止确</w:t>
      </w:r>
    </w:p>
    <w:p>
      <w:pPr>
        <w:pStyle w:val="BodyText"/>
        <w:spacing w:line="376" w:lineRule="auto" w:before="37"/>
        <w:ind w:left="540" w:right="5474" w:hanging="428"/>
        <w:jc w:val="left"/>
      </w:pPr>
      <w:r>
        <w:rPr/>
        <w:t>认或摊销产生的利得或损失计入当期损益。</w:t>
      </w:r>
      <w:r>
        <w:rPr>
          <w:w w:val="99"/>
        </w:rPr>
        <w:t> </w:t>
      </w:r>
      <w:r>
        <w:rPr/>
        <w:t>金融负债与权益工具的区分</w:t>
      </w:r>
      <w:r>
        <w:rPr>
          <w:w w:val="99"/>
        </w:rPr>
        <w:t> </w:t>
      </w:r>
      <w:r>
        <w:rPr>
          <w:w w:val="95"/>
        </w:rPr>
        <w:t>金融负债，是指符合下列条件之一的负债：</w:t>
      </w:r>
      <w:r>
        <w:rPr/>
      </w:r>
    </w:p>
    <w:p>
      <w:pPr>
        <w:pStyle w:val="BodyText"/>
        <w:spacing w:line="240" w:lineRule="auto" w:before="37"/>
        <w:ind w:left="540" w:right="996"/>
        <w:jc w:val="left"/>
      </w:pPr>
      <w:r>
        <w:rPr/>
        <w:t>①向其他方交付现金或其他金融资产的合同义务。</w:t>
      </w:r>
    </w:p>
    <w:p>
      <w:pPr>
        <w:pStyle w:val="BodyText"/>
        <w:spacing w:line="240" w:lineRule="auto" w:before="157"/>
        <w:ind w:left="540" w:right="996"/>
        <w:jc w:val="left"/>
      </w:pPr>
      <w:r>
        <w:rPr/>
        <w:t>②在潜在不利条件下，与其他方交换金融资产或金融负债的合同义务。</w:t>
      </w:r>
    </w:p>
    <w:p>
      <w:pPr>
        <w:pStyle w:val="BodyText"/>
        <w:spacing w:line="273" w:lineRule="auto" w:before="157"/>
        <w:ind w:right="1132" w:firstLine="427"/>
        <w:jc w:val="both"/>
      </w:pPr>
      <w:r>
        <w:rPr>
          <w:w w:val="95"/>
        </w:rPr>
        <w:t>③将来须用或可用企业自身权益工具进行结算的非衍生工具合同，且企业根据该合同将交付可变数量</w:t>
      </w:r>
      <w:r>
        <w:rPr>
          <w:w w:val="99"/>
        </w:rPr>
        <w:t> </w:t>
      </w:r>
      <w:r>
        <w:rPr/>
        <w:t>的自身权益工具。</w:t>
      </w:r>
    </w:p>
    <w:p>
      <w:pPr>
        <w:pStyle w:val="BodyText"/>
        <w:spacing w:line="273" w:lineRule="auto" w:before="127"/>
        <w:ind w:right="1135" w:firstLine="427"/>
        <w:jc w:val="both"/>
      </w:pPr>
      <w:r>
        <w:rPr>
          <w:w w:val="95"/>
        </w:rPr>
        <w:t>④将来须用或可用企业自身权益工具进行结算的衍生工具合同，但以固定数量的自身权益工具交换固</w:t>
      </w:r>
      <w:r>
        <w:rPr>
          <w:w w:val="99"/>
        </w:rPr>
        <w:t> </w:t>
      </w:r>
      <w:r>
        <w:rPr/>
        <w:t>定金额的现金或其他金融资产的衍生工具合同除外。</w:t>
      </w:r>
    </w:p>
    <w:p>
      <w:pPr>
        <w:pStyle w:val="BodyText"/>
        <w:spacing w:line="432" w:lineRule="exact" w:before="27"/>
        <w:ind w:left="540" w:right="996"/>
        <w:jc w:val="left"/>
      </w:pPr>
      <w:r>
        <w:rPr/>
        <w:t>权益工具，是指能证明拥有某个企业在扣除所有负债后的资产中剩余权益的合同。</w:t>
      </w:r>
      <w:r>
        <w:rPr>
          <w:w w:val="99"/>
        </w:rPr>
        <w:t> </w:t>
      </w:r>
      <w:r>
        <w:rPr>
          <w:w w:val="95"/>
        </w:rPr>
        <w:t>如果本集团不能无条件地避免以交付现金或其他金融资产来履行一项合同义务，则该合同义务符合金</w:t>
      </w:r>
      <w:r>
        <w:rPr/>
      </w:r>
    </w:p>
    <w:p>
      <w:pPr>
        <w:pStyle w:val="BodyText"/>
        <w:spacing w:line="255" w:lineRule="exact" w:before="0"/>
        <w:ind w:right="996"/>
        <w:jc w:val="left"/>
      </w:pPr>
      <w:r>
        <w:rPr/>
        <w:t>融负债的定义。</w:t>
      </w:r>
    </w:p>
    <w:p>
      <w:pPr>
        <w:pStyle w:val="BodyText"/>
        <w:spacing w:line="273" w:lineRule="auto" w:before="157"/>
        <w:ind w:right="1132" w:firstLine="427"/>
        <w:jc w:val="both"/>
      </w:pPr>
      <w:r>
        <w:rPr>
          <w:w w:val="95"/>
        </w:rPr>
        <w:t>如果一项金融工具须用或可用本集团自身权益工具进行结算，需要考虑用于结算该工具的本集团自身</w:t>
      </w:r>
      <w:r>
        <w:rPr>
          <w:w w:val="99"/>
        </w:rPr>
        <w:t> </w:t>
      </w:r>
      <w:r>
        <w:rPr>
          <w:w w:val="95"/>
        </w:rPr>
        <w:t>权益工具，是作为现金或其他金融资产的替代品，还是为了使该工具持有方享有在发行方扣除所有负债后</w:t>
      </w:r>
      <w:r>
        <w:rPr>
          <w:spacing w:val="37"/>
          <w:w w:val="95"/>
        </w:rPr>
        <w:t> </w:t>
      </w:r>
      <w:r>
        <w:rPr>
          <w:spacing w:val="37"/>
          <w:w w:val="95"/>
        </w:rPr>
      </w:r>
      <w:r>
        <w:rPr>
          <w:w w:val="95"/>
        </w:rPr>
        <w:t>的资产中的剩余权益。如果是前者，该工具是本集团的金融负债；如果是后者，该工具是本集团的权益工   </w:t>
      </w:r>
      <w:r>
        <w:rPr>
          <w:spacing w:val="40"/>
          <w:w w:val="95"/>
        </w:rPr>
        <w:t> </w:t>
      </w:r>
      <w:r>
        <w:rPr>
          <w:spacing w:val="40"/>
          <w:w w:val="95"/>
        </w:rPr>
      </w:r>
      <w:r>
        <w:rPr/>
        <w:t>具。</w:t>
      </w:r>
    </w:p>
    <w:p>
      <w:pPr>
        <w:spacing w:line="590" w:lineRule="atLeast" w:before="7"/>
        <w:ind w:left="540" w:right="996" w:hanging="428"/>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4</w:t>
      </w:r>
      <w:r>
        <w:rPr>
          <w:rFonts w:ascii="宋体" w:hAnsi="宋体" w:cs="宋体" w:eastAsia="宋体" w:hint="default"/>
          <w:b/>
          <w:bCs/>
          <w:sz w:val="21"/>
          <w:szCs w:val="21"/>
        </w:rPr>
        <w:t>）衍生金融工具及嵌入衍生工具</w:t>
      </w:r>
      <w:r>
        <w:rPr>
          <w:rFonts w:ascii="宋体" w:hAnsi="宋体" w:cs="宋体" w:eastAsia="宋体" w:hint="default"/>
          <w:b/>
          <w:bCs/>
          <w:w w:val="99"/>
          <w:sz w:val="21"/>
          <w:szCs w:val="21"/>
        </w:rPr>
        <w:t> </w:t>
      </w:r>
      <w:r>
        <w:rPr>
          <w:rFonts w:ascii="宋体" w:hAnsi="宋体" w:cs="宋体" w:eastAsia="宋体" w:hint="default"/>
          <w:w w:val="95"/>
          <w:sz w:val="21"/>
          <w:szCs w:val="21"/>
        </w:rPr>
        <w:t>本集团衍生金融工具包括。初始以衍生交易合同签订当日的公允价值进行计量，并以其公允价值进行</w:t>
      </w:r>
      <w:r>
        <w:rPr>
          <w:rFonts w:ascii="宋体" w:hAnsi="宋体" w:cs="宋体" w:eastAsia="宋体" w:hint="default"/>
          <w:sz w:val="21"/>
          <w:szCs w:val="21"/>
        </w:rPr>
      </w:r>
    </w:p>
    <w:p>
      <w:pPr>
        <w:pStyle w:val="BodyText"/>
        <w:spacing w:line="273" w:lineRule="auto" w:before="37"/>
        <w:ind w:right="996"/>
        <w:jc w:val="left"/>
      </w:pPr>
      <w:r>
        <w:rPr>
          <w:w w:val="95"/>
        </w:rPr>
        <w:t>后续计量。公允价值为正数的衍生金融工具确认为一项资产，公允价值为负数的确认为一项负债。因公允</w:t>
      </w:r>
      <w:r>
        <w:rPr>
          <w:spacing w:val="40"/>
          <w:w w:val="95"/>
        </w:rPr>
        <w:t> </w:t>
      </w:r>
      <w:r>
        <w:rPr>
          <w:spacing w:val="40"/>
          <w:w w:val="95"/>
        </w:rPr>
      </w:r>
      <w:r>
        <w:rPr/>
        <w:t>价值变动而产生的任何不符合套期会计规定的利得或损失，直接计入当期损益。</w:t>
      </w:r>
    </w:p>
    <w:p>
      <w:pPr>
        <w:pStyle w:val="BodyText"/>
        <w:spacing w:line="273" w:lineRule="auto" w:before="128"/>
        <w:ind w:right="1112" w:firstLine="427"/>
        <w:jc w:val="both"/>
      </w:pPr>
      <w:r>
        <w:rPr>
          <w:w w:val="95"/>
        </w:rPr>
        <w:t>对包含嵌入衍生工具的混合工具，如未指定为以公允价值计量且其变动计入当期损益的金融资产或金</w:t>
      </w:r>
      <w:r>
        <w:rPr>
          <w:w w:val="99"/>
        </w:rPr>
        <w:t> </w:t>
      </w:r>
      <w:r>
        <w:rPr>
          <w:w w:val="95"/>
        </w:rPr>
        <w:t>融负债，嵌入衍生工具与该主合同在经济特征及风险方面不存在紧密关系，且与嵌入衍生工具条件相同，</w:t>
      </w:r>
      <w:r>
        <w:rPr>
          <w:spacing w:val="61"/>
          <w:w w:val="95"/>
        </w:rPr>
        <w:t> </w:t>
      </w:r>
      <w:r>
        <w:rPr>
          <w:spacing w:val="61"/>
          <w:w w:val="95"/>
        </w:rPr>
      </w:r>
      <w:r>
        <w:rPr>
          <w:w w:val="95"/>
        </w:rPr>
        <w:t>单独存在的工具符合衍生工具定义的，嵌入衍生工具从混合工具中分拆，作为单独的衍生金融工具处理。</w:t>
      </w:r>
      <w:r>
        <w:rPr>
          <w:spacing w:val="61"/>
          <w:w w:val="95"/>
        </w:rPr>
        <w:t> </w:t>
      </w:r>
      <w:r>
        <w:rPr>
          <w:spacing w:val="61"/>
          <w:w w:val="95"/>
        </w:rPr>
      </w:r>
      <w:r>
        <w:rPr>
          <w:w w:val="95"/>
        </w:rPr>
        <w:t>如果无法在取得时或后续的资产负债表日对嵌入衍生工具进行单独计量，则将混合工具整体指定为以公允</w:t>
      </w:r>
      <w:r>
        <w:rPr>
          <w:spacing w:val="37"/>
          <w:w w:val="95"/>
        </w:rPr>
        <w:t> </w:t>
      </w:r>
      <w:r>
        <w:rPr>
          <w:spacing w:val="37"/>
          <w:w w:val="95"/>
        </w:rPr>
      </w:r>
      <w:r>
        <w:rPr/>
        <w:t>价值计量且其变动计入当期损益的金融资产或金融负债。</w:t>
      </w:r>
    </w:p>
    <w:p>
      <w:pPr>
        <w:spacing w:line="240" w:lineRule="auto" w:before="7"/>
        <w:rPr>
          <w:rFonts w:ascii="宋体" w:hAnsi="宋体" w:cs="宋体" w:eastAsia="宋体" w:hint="default"/>
          <w:sz w:val="23"/>
          <w:szCs w:val="23"/>
        </w:rPr>
      </w:pPr>
    </w:p>
    <w:p>
      <w:pPr>
        <w:spacing w:line="506" w:lineRule="auto" w:before="0"/>
        <w:ind w:left="540" w:right="996" w:hanging="428"/>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5</w:t>
      </w:r>
      <w:r>
        <w:rPr>
          <w:rFonts w:ascii="宋体" w:hAnsi="宋体" w:cs="宋体" w:eastAsia="宋体" w:hint="default"/>
          <w:b/>
          <w:bCs/>
          <w:sz w:val="21"/>
          <w:szCs w:val="21"/>
        </w:rPr>
        <w:t>）金融工具的公允价值</w:t>
      </w:r>
      <w:r>
        <w:rPr>
          <w:rFonts w:ascii="宋体" w:hAnsi="宋体" w:cs="宋体" w:eastAsia="宋体" w:hint="default"/>
          <w:b/>
          <w:bCs/>
          <w:w w:val="99"/>
          <w:sz w:val="21"/>
          <w:szCs w:val="21"/>
        </w:rPr>
        <w:t> </w:t>
      </w:r>
      <w:r>
        <w:rPr>
          <w:rFonts w:ascii="宋体" w:hAnsi="宋体" w:cs="宋体" w:eastAsia="宋体" w:hint="default"/>
          <w:w w:val="95"/>
          <w:sz w:val="21"/>
          <w:szCs w:val="21"/>
        </w:rPr>
        <w:t>公允价值是指市场参与者在计量日发生的有序交易中，出售一项资产所能收到或者转移一项负债所需</w:t>
      </w:r>
      <w:r>
        <w:rPr>
          <w:rFonts w:ascii="宋体" w:hAnsi="宋体" w:cs="宋体" w:eastAsia="宋体" w:hint="default"/>
          <w:sz w:val="21"/>
          <w:szCs w:val="21"/>
        </w:rPr>
      </w:r>
    </w:p>
    <w:p>
      <w:pPr>
        <w:spacing w:after="0" w:line="506" w:lineRule="auto"/>
        <w:jc w:val="left"/>
        <w:rPr>
          <w:rFonts w:ascii="宋体" w:hAnsi="宋体" w:cs="宋体" w:eastAsia="宋体" w:hint="default"/>
          <w:sz w:val="21"/>
          <w:szCs w:val="21"/>
        </w:rPr>
        <w:sectPr>
          <w:pgSz w:w="11910" w:h="16840"/>
          <w:pgMar w:header="878" w:footer="978" w:top="1100" w:bottom="1160" w:left="1020" w:right="0"/>
        </w:sectPr>
      </w:pPr>
    </w:p>
    <w:p>
      <w:pPr>
        <w:spacing w:line="240" w:lineRule="auto" w:before="12"/>
        <w:rPr>
          <w:rFonts w:ascii="宋体" w:hAnsi="宋体" w:cs="宋体" w:eastAsia="宋体" w:hint="default"/>
          <w:sz w:val="20"/>
          <w:szCs w:val="20"/>
        </w:rPr>
      </w:pPr>
    </w:p>
    <w:p>
      <w:pPr>
        <w:pStyle w:val="BodyText"/>
        <w:spacing w:line="240" w:lineRule="auto"/>
        <w:ind w:right="0"/>
        <w:jc w:val="both"/>
      </w:pPr>
      <w:r>
        <w:rPr/>
        <w:t>支付的价格。</w:t>
      </w:r>
    </w:p>
    <w:p>
      <w:pPr>
        <w:pStyle w:val="BodyText"/>
        <w:spacing w:line="273" w:lineRule="auto" w:before="157"/>
        <w:ind w:right="1136" w:firstLine="427"/>
        <w:jc w:val="both"/>
      </w:pPr>
      <w:r>
        <w:rPr>
          <w:w w:val="95"/>
        </w:rPr>
        <w:t>本集团以公允价值计量相关资产或负债，假定出售资产或者转移负债的有序交易在相关资产或负债的</w:t>
      </w:r>
      <w:r>
        <w:rPr>
          <w:w w:val="99"/>
        </w:rPr>
        <w:t> </w:t>
      </w:r>
      <w:r>
        <w:rPr>
          <w:spacing w:val="-5"/>
          <w:w w:val="95"/>
        </w:rPr>
        <w:t>主要市场进行；不存在主要市场的，本集团假定该交易在相关资产或负债的最有利市场进行。主要市场（或</w:t>
      </w:r>
      <w:r>
        <w:rPr>
          <w:spacing w:val="88"/>
          <w:w w:val="95"/>
        </w:rPr>
        <w:t> </w:t>
      </w:r>
      <w:r>
        <w:rPr>
          <w:spacing w:val="88"/>
          <w:w w:val="95"/>
        </w:rPr>
      </w:r>
      <w:r>
        <w:rPr>
          <w:w w:val="95"/>
        </w:rPr>
        <w:t>最有利市场）是本集团在计量日能够进入的交易市场。本集团采用市场参与者在对该资产或负债定价时为</w:t>
      </w:r>
      <w:r>
        <w:rPr>
          <w:spacing w:val="37"/>
          <w:w w:val="95"/>
        </w:rPr>
        <w:t> </w:t>
      </w:r>
      <w:r>
        <w:rPr>
          <w:spacing w:val="37"/>
          <w:w w:val="95"/>
        </w:rPr>
      </w:r>
      <w:r>
        <w:rPr/>
        <w:t>实现其经济利益最大化所使用的假设。</w:t>
      </w:r>
    </w:p>
    <w:p>
      <w:pPr>
        <w:pStyle w:val="BodyText"/>
        <w:spacing w:line="273" w:lineRule="auto" w:before="127"/>
        <w:ind w:right="1135" w:firstLine="427"/>
        <w:jc w:val="both"/>
      </w:pPr>
      <w:r>
        <w:rPr>
          <w:w w:val="95"/>
        </w:rPr>
        <w:t>存在活跃市场的金融资产或金融负债，本集团采用活跃市场中的报价确定其公允价值。金融工具不存</w:t>
      </w:r>
      <w:r>
        <w:rPr>
          <w:w w:val="99"/>
        </w:rPr>
        <w:t> </w:t>
      </w:r>
      <w:r>
        <w:rPr/>
        <w:t>在活跃市场的，本集团采用估值技术确定其公允价值。</w:t>
      </w:r>
    </w:p>
    <w:p>
      <w:pPr>
        <w:pStyle w:val="BodyText"/>
        <w:spacing w:line="273" w:lineRule="auto" w:before="127"/>
        <w:ind w:right="1132" w:firstLine="427"/>
        <w:jc w:val="both"/>
      </w:pPr>
      <w:r>
        <w:rPr>
          <w:w w:val="95"/>
        </w:rPr>
        <w:t>以公允价值计量非金融资产的，考虑市场参与者将该资产用于最佳用途产生经济利益的能力，或者将</w:t>
      </w:r>
      <w:r>
        <w:rPr>
          <w:w w:val="99"/>
        </w:rPr>
        <w:t> </w:t>
      </w:r>
      <w:r>
        <w:rPr/>
        <w:t>该资产出售给能够用于最佳用途的其他市场参与者产生经济利益的能力。</w:t>
      </w:r>
    </w:p>
    <w:p>
      <w:pPr>
        <w:pStyle w:val="BodyText"/>
        <w:spacing w:line="273" w:lineRule="auto" w:before="127"/>
        <w:ind w:right="1135" w:firstLine="427"/>
        <w:jc w:val="both"/>
      </w:pPr>
      <w:r>
        <w:rPr>
          <w:w w:val="95"/>
        </w:rPr>
        <w:t>本集团采用在当前情况下适用并且有足够可利用数据和其他信息支持的估值技术，优先使用相关可观</w:t>
      </w:r>
      <w:r>
        <w:rPr>
          <w:w w:val="99"/>
        </w:rPr>
        <w:t> </w:t>
      </w:r>
      <w:r>
        <w:rPr/>
        <w:t>察输入值，只有在可观察输入值无法取得或取得不切实可行的情况下，才使用不可观察输入值。</w:t>
      </w:r>
    </w:p>
    <w:p>
      <w:pPr>
        <w:pStyle w:val="BodyText"/>
        <w:spacing w:line="273" w:lineRule="auto" w:before="127"/>
        <w:ind w:right="1132" w:firstLine="427"/>
        <w:jc w:val="both"/>
      </w:pPr>
      <w:r>
        <w:rPr>
          <w:w w:val="95"/>
        </w:rPr>
        <w:t>在财务报表中以公允价值计量或披露的资产和负债，根据对公允价值计量整体而言具有重要意义的最</w:t>
      </w:r>
      <w:r>
        <w:rPr>
          <w:w w:val="99"/>
        </w:rPr>
        <w:t> </w:t>
      </w:r>
      <w:r>
        <w:rPr>
          <w:w w:val="95"/>
        </w:rPr>
        <w:t>低层次输入值，确定所属的公允价值层次：第一层次输入值，是在计量日能够取得的相同资产或负债在活</w:t>
      </w:r>
      <w:r>
        <w:rPr>
          <w:spacing w:val="40"/>
          <w:w w:val="95"/>
        </w:rPr>
        <w:t> </w:t>
      </w:r>
      <w:r>
        <w:rPr>
          <w:spacing w:val="40"/>
          <w:w w:val="95"/>
        </w:rPr>
      </w:r>
      <w:r>
        <w:rPr>
          <w:w w:val="95"/>
        </w:rPr>
        <w:t>跃市场上未经调整的报价；第二层次输入值，是除第一层次输入值外相关资产或负债直接或间接可观察的</w:t>
      </w:r>
      <w:r>
        <w:rPr>
          <w:spacing w:val="37"/>
          <w:w w:val="95"/>
        </w:rPr>
        <w:t> </w:t>
      </w:r>
      <w:r>
        <w:rPr>
          <w:spacing w:val="37"/>
          <w:w w:val="95"/>
        </w:rPr>
      </w:r>
      <w:r>
        <w:rPr/>
        <w:t>输入值；第三层次输入值，是相关资产或负债的不可观察输入值。</w:t>
      </w:r>
    </w:p>
    <w:p>
      <w:pPr>
        <w:pStyle w:val="BodyText"/>
        <w:spacing w:line="273" w:lineRule="auto" w:before="127"/>
        <w:ind w:right="1106" w:firstLine="427"/>
        <w:jc w:val="both"/>
      </w:pPr>
      <w:r>
        <w:rPr>
          <w:w w:val="95"/>
        </w:rPr>
        <w:t>每个资产负债表日，本集团对在财务报表中确认的持续以公允价值计量的资产和负债进行重新评估，</w:t>
      </w:r>
      <w:r>
        <w:rPr>
          <w:spacing w:val="-88"/>
          <w:w w:val="95"/>
        </w:rPr>
        <w:t> </w:t>
      </w:r>
      <w:r>
        <w:rPr>
          <w:spacing w:val="-88"/>
          <w:w w:val="95"/>
        </w:rPr>
      </w:r>
      <w:r>
        <w:rPr/>
        <w:t>以确定是否在公允价值计量层次之间发生转换。</w:t>
      </w:r>
    </w:p>
    <w:p>
      <w:pPr>
        <w:pStyle w:val="BodyText"/>
        <w:spacing w:line="590" w:lineRule="atLeast" w:before="7"/>
        <w:ind w:left="540" w:right="996" w:hanging="428"/>
        <w:jc w:val="left"/>
      </w:pPr>
      <w:r>
        <w:rPr>
          <w:rFonts w:ascii="宋体" w:hAnsi="宋体" w:cs="宋体" w:eastAsia="宋体" w:hint="default"/>
          <w:b/>
          <w:bCs/>
        </w:rPr>
        <w:t>（</w:t>
      </w:r>
      <w:r>
        <w:rPr>
          <w:rFonts w:ascii="Arial" w:hAnsi="Arial" w:cs="Arial" w:eastAsia="Arial" w:hint="default"/>
          <w:b/>
          <w:bCs/>
        </w:rPr>
        <w:t>6</w:t>
      </w:r>
      <w:r>
        <w:rPr>
          <w:rFonts w:ascii="宋体" w:hAnsi="宋体" w:cs="宋体" w:eastAsia="宋体" w:hint="default"/>
          <w:b/>
          <w:bCs/>
        </w:rPr>
        <w:t>）金融资产减值</w:t>
      </w:r>
      <w:r>
        <w:rPr>
          <w:rFonts w:ascii="宋体" w:hAnsi="宋体" w:cs="宋体" w:eastAsia="宋体" w:hint="default"/>
          <w:b/>
          <w:bCs/>
          <w:w w:val="99"/>
        </w:rPr>
        <w:t> </w:t>
      </w:r>
      <w:r>
        <w:rPr>
          <w:w w:val="95"/>
        </w:rPr>
        <w:t>除了以公允价值计量且其变动计入当期损益的金融资产外，本集团于资产负债表日对其他金融资产的</w:t>
      </w:r>
      <w:r>
        <w:rPr/>
      </w:r>
    </w:p>
    <w:p>
      <w:pPr>
        <w:pStyle w:val="BodyText"/>
        <w:spacing w:line="273" w:lineRule="auto" w:before="37"/>
        <w:ind w:right="1135"/>
        <w:jc w:val="both"/>
      </w:pPr>
      <w:r>
        <w:rPr>
          <w:w w:val="95"/>
        </w:rPr>
        <w:t>账面价值进行检查，有客观证据表明该金融资产发生减值的，计提减值准备。表明金融资产发生减值的客</w:t>
      </w:r>
      <w:r>
        <w:rPr>
          <w:spacing w:val="37"/>
          <w:w w:val="95"/>
        </w:rPr>
        <w:t> </w:t>
      </w:r>
      <w:r>
        <w:rPr>
          <w:spacing w:val="37"/>
          <w:w w:val="95"/>
        </w:rPr>
      </w:r>
      <w:r>
        <w:rPr>
          <w:w w:val="95"/>
        </w:rPr>
        <w:t>观证据，是指金融资产初始确认后实际发生的、对该金融资产的预计未来现金流量有影响，且企业能够对</w:t>
      </w:r>
      <w:r>
        <w:rPr>
          <w:spacing w:val="37"/>
          <w:w w:val="95"/>
        </w:rPr>
        <w:t> </w:t>
      </w:r>
      <w:r>
        <w:rPr>
          <w:spacing w:val="37"/>
          <w:w w:val="95"/>
        </w:rPr>
      </w:r>
      <w:r>
        <w:rPr/>
        <w:t>该影响进行可靠计量的事项。</w:t>
      </w:r>
    </w:p>
    <w:p>
      <w:pPr>
        <w:pStyle w:val="BodyText"/>
        <w:spacing w:line="240" w:lineRule="auto" w:before="128"/>
        <w:ind w:left="540" w:right="996"/>
        <w:jc w:val="left"/>
      </w:pPr>
      <w:r>
        <w:rPr/>
        <w:t>金融资产发生减值的客观证据，包括下列可观察到的情形：</w:t>
      </w:r>
    </w:p>
    <w:p>
      <w:pPr>
        <w:pStyle w:val="BodyText"/>
        <w:spacing w:line="240" w:lineRule="auto" w:before="157"/>
        <w:ind w:left="540" w:right="996"/>
        <w:jc w:val="left"/>
      </w:pPr>
      <w:r>
        <w:rPr/>
        <w:t>①发行方或债务人发生严重财务困难；</w:t>
      </w:r>
    </w:p>
    <w:p>
      <w:pPr>
        <w:pStyle w:val="BodyText"/>
        <w:spacing w:line="240" w:lineRule="auto" w:before="157"/>
        <w:ind w:left="540" w:right="996"/>
        <w:jc w:val="left"/>
      </w:pPr>
      <w:r>
        <w:rPr/>
        <w:t>②债务人违反了合同条款，如偿付利息或本金发生违约或逾期等；</w:t>
      </w:r>
    </w:p>
    <w:p>
      <w:pPr>
        <w:pStyle w:val="BodyText"/>
        <w:spacing w:line="240" w:lineRule="auto" w:before="157"/>
        <w:ind w:left="540" w:right="996"/>
        <w:jc w:val="left"/>
      </w:pPr>
      <w:r>
        <w:rPr/>
        <w:t>③本集团出于经济或法律等方面因素的考虑，对发生财务困难的债务人作出让步；</w:t>
      </w:r>
    </w:p>
    <w:p>
      <w:pPr>
        <w:pStyle w:val="BodyText"/>
        <w:spacing w:line="240" w:lineRule="auto" w:before="157"/>
        <w:ind w:left="540" w:right="996"/>
        <w:jc w:val="left"/>
      </w:pPr>
      <w:r>
        <w:rPr/>
        <w:t>④债务人很可能倒闭或者进行其他财务重组；</w:t>
      </w:r>
    </w:p>
    <w:p>
      <w:pPr>
        <w:pStyle w:val="BodyText"/>
        <w:spacing w:line="240" w:lineRule="auto" w:before="157"/>
        <w:ind w:left="540" w:right="996"/>
        <w:jc w:val="left"/>
      </w:pPr>
      <w:r>
        <w:rPr/>
        <w:t>⑤因发行方发生重大财务困难，导致金融资产无法在活跃市场继续交易；</w:t>
      </w:r>
    </w:p>
    <w:p>
      <w:pPr>
        <w:pStyle w:val="BodyText"/>
        <w:spacing w:line="273" w:lineRule="auto" w:before="157"/>
        <w:ind w:right="1132" w:firstLine="427"/>
        <w:jc w:val="both"/>
      </w:pPr>
      <w:r>
        <w:rPr>
          <w:w w:val="95"/>
        </w:rPr>
        <w:t>⑥无法辨认一组金融资产中的某项资产的现金流量是否已经减少，但根据公开的数据对其进行总体评</w:t>
      </w:r>
      <w:r>
        <w:rPr>
          <w:w w:val="99"/>
        </w:rPr>
        <w:t> </w:t>
      </w:r>
      <w:r>
        <w:rPr/>
        <w:t>价后发现，该组金融资产自初始确认以来的预计未来现金流量确已减少且可计量，包括：</w:t>
      </w:r>
    </w:p>
    <w:p>
      <w:pPr>
        <w:pStyle w:val="BodyText"/>
        <w:spacing w:line="240" w:lineRule="auto" w:before="127"/>
        <w:ind w:left="952" w:right="996"/>
        <w:jc w:val="left"/>
      </w:pPr>
      <w:r>
        <w:rPr>
          <w:rFonts w:ascii="Arial" w:hAnsi="Arial" w:cs="Arial" w:eastAsia="Arial" w:hint="default"/>
        </w:rPr>
        <w:t>-</w:t>
      </w:r>
      <w:r>
        <w:rPr>
          <w:rFonts w:ascii="Arial" w:hAnsi="Arial" w:cs="Arial" w:eastAsia="Arial" w:hint="default"/>
          <w:spacing w:val="35"/>
        </w:rPr>
        <w:t> </w:t>
      </w:r>
      <w:r>
        <w:rPr/>
        <w:t>该组金融资产的债务人支付能力逐步恶化；</w:t>
      </w:r>
    </w:p>
    <w:p>
      <w:pPr>
        <w:pStyle w:val="BodyText"/>
        <w:spacing w:line="240" w:lineRule="auto" w:before="142"/>
        <w:ind w:left="952" w:right="996"/>
        <w:jc w:val="left"/>
      </w:pPr>
      <w:r>
        <w:rPr>
          <w:rFonts w:ascii="Arial" w:hAnsi="Arial" w:cs="Arial" w:eastAsia="Arial" w:hint="default"/>
        </w:rPr>
        <w:t>-</w:t>
      </w:r>
      <w:r>
        <w:rPr>
          <w:rFonts w:ascii="Arial" w:hAnsi="Arial" w:cs="Arial" w:eastAsia="Arial" w:hint="default"/>
          <w:spacing w:val="28"/>
        </w:rPr>
        <w:t> </w:t>
      </w:r>
      <w:r>
        <w:rPr/>
        <w:t>债务人所在国家或地区经济出现了可能导致该组金融资产无法支付的状况；</w:t>
      </w:r>
    </w:p>
    <w:p>
      <w:pPr>
        <w:pStyle w:val="BodyText"/>
        <w:spacing w:line="273" w:lineRule="auto" w:before="142"/>
        <w:ind w:right="1135" w:firstLine="427"/>
        <w:jc w:val="both"/>
      </w:pPr>
      <w:r>
        <w:rPr>
          <w:w w:val="95"/>
        </w:rPr>
        <w:t>⑦债务人经营所处的技术、市场、经济或法律环境等发生重大不利变化，使权益工具投资人可能无法</w:t>
      </w:r>
      <w:r>
        <w:rPr>
          <w:w w:val="99"/>
        </w:rPr>
        <w:t> </w:t>
      </w:r>
      <w:r>
        <w:rPr/>
        <w:t>收回投资成本；</w:t>
      </w:r>
    </w:p>
    <w:p>
      <w:pPr>
        <w:pStyle w:val="BodyText"/>
        <w:spacing w:line="273" w:lineRule="auto" w:before="127"/>
        <w:ind w:right="1135" w:firstLine="427"/>
        <w:jc w:val="both"/>
      </w:pPr>
      <w:r>
        <w:rPr>
          <w:w w:val="95"/>
        </w:rPr>
        <w:t>⑧权益工具投资的公允价值发生严重或非暂时性下跌，如权益工具投资于资产负债表日的公允价值低</w:t>
      </w:r>
      <w:r>
        <w:rPr>
          <w:w w:val="99"/>
        </w:rPr>
        <w:t> </w:t>
      </w:r>
      <w:r>
        <w:rPr/>
        <w:t>于其初始投资成本超过</w:t>
      </w:r>
      <w:r>
        <w:rPr>
          <w:rFonts w:ascii="Arial" w:hAnsi="Arial" w:cs="Arial" w:eastAsia="Arial" w:hint="default"/>
        </w:rPr>
        <w:t>50%</w:t>
      </w:r>
      <w:r>
        <w:rPr/>
        <w:t>（含</w:t>
      </w:r>
      <w:r>
        <w:rPr>
          <w:rFonts w:ascii="Arial" w:hAnsi="Arial" w:cs="Arial" w:eastAsia="Arial" w:hint="default"/>
        </w:rPr>
        <w:t>50%</w:t>
      </w:r>
      <w:r>
        <w:rPr/>
        <w:t>）或低于其初始投资成本持续时间超过</w:t>
      </w:r>
      <w:r>
        <w:rPr>
          <w:rFonts w:ascii="Arial" w:hAnsi="Arial" w:cs="Arial" w:eastAsia="Arial" w:hint="default"/>
        </w:rPr>
        <w:t>12</w:t>
      </w:r>
      <w:r>
        <w:rPr/>
        <w:t>个月（含</w:t>
      </w:r>
      <w:r>
        <w:rPr>
          <w:rFonts w:ascii="Arial" w:hAnsi="Arial" w:cs="Arial" w:eastAsia="Arial" w:hint="default"/>
        </w:rPr>
        <w:t>12</w:t>
      </w:r>
      <w:r>
        <w:rPr/>
        <w:t>个月）。</w:t>
      </w:r>
    </w:p>
    <w:p>
      <w:pPr>
        <w:spacing w:after="0" w:line="273" w:lineRule="auto"/>
        <w:jc w:val="both"/>
        <w:sectPr>
          <w:pgSz w:w="11910" w:h="16840"/>
          <w:pgMar w:header="878" w:footer="978" w:top="1100" w:bottom="1160" w:left="1020" w:right="0"/>
        </w:sectPr>
      </w:pPr>
    </w:p>
    <w:p>
      <w:pPr>
        <w:spacing w:line="240" w:lineRule="auto" w:before="12"/>
        <w:rPr>
          <w:rFonts w:ascii="宋体" w:hAnsi="宋体" w:cs="宋体" w:eastAsia="宋体" w:hint="default"/>
          <w:sz w:val="20"/>
          <w:szCs w:val="20"/>
        </w:rPr>
      </w:pPr>
    </w:p>
    <w:p>
      <w:pPr>
        <w:pStyle w:val="BodyText"/>
        <w:spacing w:line="259" w:lineRule="auto"/>
        <w:ind w:right="1134" w:firstLine="427"/>
        <w:jc w:val="both"/>
      </w:pPr>
      <w:r>
        <w:rPr>
          <w:spacing w:val="-2"/>
          <w:w w:val="95"/>
        </w:rPr>
        <w:t>低于其初始投资成本持续时间超过</w:t>
      </w:r>
      <w:r>
        <w:rPr>
          <w:rFonts w:ascii="Arial" w:hAnsi="Arial" w:cs="Arial" w:eastAsia="Arial" w:hint="default"/>
          <w:spacing w:val="-2"/>
          <w:w w:val="95"/>
        </w:rPr>
        <w:t>12</w:t>
      </w:r>
      <w:r>
        <w:rPr>
          <w:spacing w:val="-2"/>
          <w:w w:val="95"/>
        </w:rPr>
        <w:t>个月（含</w:t>
      </w:r>
      <w:r>
        <w:rPr>
          <w:rFonts w:ascii="Arial" w:hAnsi="Arial" w:cs="Arial" w:eastAsia="Arial" w:hint="default"/>
          <w:spacing w:val="-2"/>
          <w:w w:val="95"/>
        </w:rPr>
        <w:t>12</w:t>
      </w:r>
      <w:r>
        <w:rPr>
          <w:spacing w:val="-2"/>
          <w:w w:val="95"/>
        </w:rPr>
        <w:t>个月）是指，权益工具投资公允价值月度均值连续</w:t>
      </w:r>
      <w:r>
        <w:rPr>
          <w:rFonts w:ascii="Arial" w:hAnsi="Arial" w:cs="Arial" w:eastAsia="Arial" w:hint="default"/>
          <w:spacing w:val="-2"/>
          <w:w w:val="95"/>
        </w:rPr>
        <w:t>12</w:t>
      </w:r>
      <w:r>
        <w:rPr>
          <w:rFonts w:ascii="Arial" w:hAnsi="Arial" w:cs="Arial" w:eastAsia="Arial" w:hint="default"/>
          <w:spacing w:val="-46"/>
          <w:w w:val="95"/>
        </w:rPr>
        <w:t> </w:t>
      </w:r>
      <w:r>
        <w:rPr>
          <w:rFonts w:ascii="Arial" w:hAnsi="Arial" w:cs="Arial" w:eastAsia="Arial" w:hint="default"/>
          <w:spacing w:val="-46"/>
          <w:w w:val="95"/>
        </w:rPr>
      </w:r>
      <w:r>
        <w:rPr/>
        <w:t>个月均低于其初始投资成本</w:t>
      </w:r>
    </w:p>
    <w:p>
      <w:pPr>
        <w:pStyle w:val="BodyText"/>
        <w:spacing w:line="376" w:lineRule="auto" w:before="140"/>
        <w:ind w:left="540" w:right="5474"/>
        <w:jc w:val="left"/>
      </w:pPr>
      <w:r>
        <w:rPr>
          <w:w w:val="95"/>
        </w:rPr>
        <w:t>⑨其他表明金融资产发生减值的客观证据。</w:t>
      </w:r>
      <w:r>
        <w:rPr>
          <w:spacing w:val="86"/>
          <w:w w:val="95"/>
        </w:rPr>
        <w:t> </w:t>
      </w:r>
      <w:r>
        <w:rPr>
          <w:spacing w:val="86"/>
          <w:w w:val="95"/>
        </w:rPr>
      </w:r>
      <w:r>
        <w:rPr/>
        <w:t>以摊余成本计量的金融资产</w:t>
      </w:r>
    </w:p>
    <w:p>
      <w:pPr>
        <w:pStyle w:val="BodyText"/>
        <w:spacing w:line="273" w:lineRule="auto" w:before="37"/>
        <w:ind w:right="1132" w:firstLine="427"/>
        <w:jc w:val="both"/>
      </w:pPr>
      <w:r>
        <w:rPr>
          <w:w w:val="95"/>
        </w:rPr>
        <w:t>如果有客观证据表明该金融资产发生减值，则将该金融资产的账面价值减记至预计未来现金流量（不</w:t>
      </w:r>
      <w:r>
        <w:rPr>
          <w:w w:val="99"/>
        </w:rPr>
        <w:t> </w:t>
      </w:r>
      <w:r>
        <w:rPr>
          <w:w w:val="95"/>
        </w:rPr>
        <w:t>包括尚未发生的未来信用损失）现值，减记金额计入当期损益。预计未来现金流量现值，按照该金融资产</w:t>
      </w:r>
      <w:r>
        <w:rPr>
          <w:spacing w:val="41"/>
          <w:w w:val="95"/>
        </w:rPr>
        <w:t> </w:t>
      </w:r>
      <w:r>
        <w:rPr>
          <w:spacing w:val="41"/>
          <w:w w:val="95"/>
        </w:rPr>
      </w:r>
      <w:r>
        <w:rPr/>
        <w:t>原实际利率折现确定，并考虑相关担保物的价值。</w:t>
      </w:r>
    </w:p>
    <w:p>
      <w:pPr>
        <w:pStyle w:val="BodyText"/>
        <w:spacing w:line="273" w:lineRule="auto" w:before="127"/>
        <w:ind w:right="1132" w:firstLine="427"/>
        <w:jc w:val="both"/>
      </w:pPr>
      <w:r>
        <w:rPr>
          <w:w w:val="95"/>
        </w:rPr>
        <w:t>对单项金额重大的金融资产单独进行减值测试，如有客观证据表明其已发生减值，确认减值损失，计</w:t>
      </w:r>
      <w:r>
        <w:rPr>
          <w:w w:val="99"/>
        </w:rPr>
        <w:t> </w:t>
      </w:r>
      <w:r>
        <w:rPr>
          <w:w w:val="95"/>
        </w:rPr>
        <w:t>入当期损益；对单项金额不重大的金融资产，单独进行减值测试或包括在具有类似信用风险特征的金融资</w:t>
      </w:r>
      <w:r>
        <w:rPr>
          <w:spacing w:val="37"/>
          <w:w w:val="95"/>
        </w:rPr>
        <w:t> </w:t>
      </w:r>
      <w:r>
        <w:rPr>
          <w:spacing w:val="37"/>
          <w:w w:val="95"/>
        </w:rPr>
      </w:r>
      <w:r>
        <w:rPr/>
        <w:t>产组合中进行减值测试。</w:t>
      </w:r>
    </w:p>
    <w:p>
      <w:pPr>
        <w:pStyle w:val="BodyText"/>
        <w:spacing w:line="273" w:lineRule="auto" w:before="127"/>
        <w:ind w:right="1135" w:firstLine="427"/>
        <w:jc w:val="both"/>
      </w:pPr>
      <w:r>
        <w:rPr>
          <w:w w:val="95"/>
        </w:rPr>
        <w:t>单独测试未发生减值的金融资产（包括单项金额重大和不重大的金融资产），包括在具有类似信用风</w:t>
      </w:r>
      <w:r>
        <w:rPr>
          <w:w w:val="99"/>
        </w:rPr>
        <w:t> </w:t>
      </w:r>
      <w:r>
        <w:rPr>
          <w:w w:val="95"/>
        </w:rPr>
        <w:t>险特征的金融资产组合中再进行减值测试；已单项确认减值损失的金融资产，不包括在具有类似信用风险</w:t>
      </w:r>
      <w:r>
        <w:rPr>
          <w:spacing w:val="37"/>
          <w:w w:val="95"/>
        </w:rPr>
        <w:t> </w:t>
      </w:r>
      <w:r>
        <w:rPr>
          <w:spacing w:val="37"/>
          <w:w w:val="95"/>
        </w:rPr>
      </w:r>
      <w:r>
        <w:rPr/>
        <w:t>特征的金融资产组合中进行减值测试。</w:t>
      </w:r>
    </w:p>
    <w:p>
      <w:pPr>
        <w:pStyle w:val="BodyText"/>
        <w:spacing w:line="273" w:lineRule="auto" w:before="127"/>
        <w:ind w:right="1132" w:firstLine="427"/>
        <w:jc w:val="both"/>
      </w:pPr>
      <w:r>
        <w:rPr>
          <w:w w:val="95"/>
        </w:rPr>
        <w:t>本集团对以摊余成本计量的金融资产确认减值损失后，如有客观证据表明该金融资产价值已恢复，且</w:t>
      </w:r>
      <w:r>
        <w:rPr>
          <w:w w:val="99"/>
        </w:rPr>
        <w:t> </w:t>
      </w:r>
      <w:r>
        <w:rPr>
          <w:w w:val="95"/>
        </w:rPr>
        <w:t>客观上与确认该损失后发生的事项有关，原确认的减值损失予以转回，计入当期损益。但是，该转回后的</w:t>
      </w:r>
      <w:r>
        <w:rPr>
          <w:spacing w:val="41"/>
          <w:w w:val="95"/>
        </w:rPr>
        <w:t> </w:t>
      </w:r>
      <w:r>
        <w:rPr>
          <w:spacing w:val="41"/>
          <w:w w:val="95"/>
        </w:rPr>
      </w:r>
      <w:r>
        <w:rPr/>
        <w:t>账面价值不超过假定不计提减值准备情况下该金融资产在转回日的摊余成本。</w:t>
      </w:r>
    </w:p>
    <w:p>
      <w:pPr>
        <w:pStyle w:val="BodyText"/>
        <w:spacing w:line="432" w:lineRule="exact" w:before="27"/>
        <w:ind w:left="540" w:right="996"/>
        <w:jc w:val="left"/>
      </w:pPr>
      <w:r>
        <w:rPr/>
        <w:t>可供出售金融资产</w:t>
      </w:r>
      <w:r>
        <w:rPr>
          <w:w w:val="99"/>
        </w:rPr>
        <w:t> </w:t>
      </w:r>
      <w:r>
        <w:rPr>
          <w:w w:val="95"/>
        </w:rPr>
        <w:t>如果有客观证据表明该金融资产发生减值，原直接计入其他综合收益的因公允价值下降形成的累计损</w:t>
      </w:r>
      <w:r>
        <w:rPr/>
      </w:r>
    </w:p>
    <w:p>
      <w:pPr>
        <w:pStyle w:val="BodyText"/>
        <w:spacing w:line="255" w:lineRule="exact" w:before="0"/>
        <w:ind w:right="996"/>
        <w:jc w:val="left"/>
      </w:pPr>
      <w:r>
        <w:rPr/>
        <w:t>失，予以转出，计入当期损益。该转出的累计损失，为可供出售金融资产的初始取得成本扣除已收回本金</w:t>
      </w:r>
    </w:p>
    <w:p>
      <w:pPr>
        <w:pStyle w:val="BodyText"/>
        <w:spacing w:line="240" w:lineRule="auto" w:before="37"/>
        <w:ind w:right="996"/>
        <w:jc w:val="left"/>
      </w:pPr>
      <w:r>
        <w:rPr/>
        <w:t>和已摊销金额、当前公允价值和原已计入损益的减值损失后的余额。</w:t>
      </w:r>
    </w:p>
    <w:p>
      <w:pPr>
        <w:pStyle w:val="BodyText"/>
        <w:spacing w:line="273" w:lineRule="auto" w:before="157"/>
        <w:ind w:right="1132" w:firstLine="427"/>
        <w:jc w:val="both"/>
      </w:pPr>
      <w:r>
        <w:rPr>
          <w:w w:val="95"/>
        </w:rPr>
        <w:t>对于已确认减值损失的可供出售债务工具，在随后的会计期间公允价值已上升且客观上与确认原减值</w:t>
      </w:r>
      <w:r>
        <w:rPr>
          <w:w w:val="99"/>
        </w:rPr>
        <w:t> </w:t>
      </w:r>
      <w:r>
        <w:rPr>
          <w:w w:val="95"/>
        </w:rPr>
        <w:t>损失确认后发生的事项有关的，原确认的减值损失予以转回，计入当期损益。可供出售权益工具投资发生</w:t>
      </w:r>
      <w:r>
        <w:rPr>
          <w:spacing w:val="37"/>
          <w:w w:val="95"/>
        </w:rPr>
        <w:t> </w:t>
      </w:r>
      <w:r>
        <w:rPr>
          <w:spacing w:val="37"/>
          <w:w w:val="95"/>
        </w:rPr>
      </w:r>
      <w:r>
        <w:rPr/>
        <w:t>的减值损失，不通过损益转回。</w:t>
      </w:r>
    </w:p>
    <w:p>
      <w:pPr>
        <w:pStyle w:val="BodyText"/>
        <w:spacing w:line="432" w:lineRule="exact" w:before="27"/>
        <w:ind w:left="540" w:right="996"/>
        <w:jc w:val="left"/>
      </w:pPr>
      <w:r>
        <w:rPr/>
        <w:t>以成本计量的金融资产</w:t>
      </w:r>
      <w:r>
        <w:rPr>
          <w:w w:val="99"/>
        </w:rPr>
        <w:t> </w:t>
      </w:r>
      <w:r>
        <w:rPr>
          <w:w w:val="95"/>
        </w:rPr>
        <w:t>在活跃市场中没有报价且其公允价值不能可靠计量的权益工具投资，或与该权益工具挂钩并须通过交</w:t>
      </w:r>
      <w:r>
        <w:rPr/>
      </w:r>
    </w:p>
    <w:p>
      <w:pPr>
        <w:pStyle w:val="BodyText"/>
        <w:spacing w:line="255" w:lineRule="exact" w:before="0"/>
        <w:ind w:right="996"/>
        <w:jc w:val="left"/>
      </w:pPr>
      <w:r>
        <w:rPr/>
        <w:t>付该权益工具结算的衍生金融资产发生减值时，将该金融资产的账面价值，与按照类似金融资产当时市场</w:t>
      </w:r>
    </w:p>
    <w:p>
      <w:pPr>
        <w:pStyle w:val="BodyText"/>
        <w:spacing w:line="273" w:lineRule="auto" w:before="37"/>
        <w:ind w:right="996"/>
        <w:jc w:val="left"/>
      </w:pPr>
      <w:r>
        <w:rPr>
          <w:w w:val="95"/>
        </w:rPr>
        <w:t>收益率对未来现金流量折现确定的现值之间的差额，确认为减值损失，计入当期损益。发生的减值损失一</w:t>
      </w:r>
      <w:r>
        <w:rPr>
          <w:spacing w:val="37"/>
          <w:w w:val="95"/>
        </w:rPr>
        <w:t> </w:t>
      </w:r>
      <w:r>
        <w:rPr>
          <w:spacing w:val="37"/>
          <w:w w:val="95"/>
        </w:rPr>
      </w:r>
      <w:r>
        <w:rPr/>
        <w:t>经确认，不得转回。</w:t>
      </w:r>
    </w:p>
    <w:p>
      <w:pPr>
        <w:spacing w:line="240" w:lineRule="auto" w:before="7"/>
        <w:rPr>
          <w:rFonts w:ascii="宋体" w:hAnsi="宋体" w:cs="宋体" w:eastAsia="宋体" w:hint="default"/>
          <w:sz w:val="23"/>
          <w:szCs w:val="23"/>
        </w:rPr>
      </w:pPr>
    </w:p>
    <w:p>
      <w:pPr>
        <w:pStyle w:val="Heading4"/>
        <w:spacing w:line="240" w:lineRule="auto"/>
        <w:ind w:right="996"/>
        <w:jc w:val="left"/>
        <w:rPr>
          <w:b w:val="0"/>
          <w:bCs w:val="0"/>
        </w:rPr>
      </w:pPr>
      <w:r>
        <w:rPr/>
        <w:t>（</w:t>
      </w:r>
      <w:r>
        <w:rPr>
          <w:rFonts w:ascii="Arial" w:hAnsi="Arial" w:cs="Arial" w:eastAsia="Arial" w:hint="default"/>
        </w:rPr>
        <w:t>7</w:t>
      </w:r>
      <w:r>
        <w:rPr/>
        <w:t>）金融资产转移</w:t>
      </w:r>
      <w:r>
        <w:rPr>
          <w:b w:val="0"/>
          <w:bCs w:val="0"/>
        </w:rPr>
      </w:r>
    </w:p>
    <w:p>
      <w:pPr>
        <w:pStyle w:val="BodyText"/>
        <w:spacing w:line="430" w:lineRule="atLeast" w:before="167"/>
        <w:ind w:left="540" w:right="996"/>
        <w:jc w:val="left"/>
      </w:pPr>
      <w:r>
        <w:rPr/>
        <w:t>金融资产转移，是指将金融资产让与或交付给该金融资产发行方以外的另一方（转入方）。</w:t>
      </w:r>
      <w:r>
        <w:rPr>
          <w:w w:val="99"/>
        </w:rPr>
        <w:t> </w:t>
      </w:r>
      <w:r>
        <w:rPr>
          <w:w w:val="95"/>
        </w:rPr>
        <w:t>本集团已将金融资产所有权上几乎所有的风险和报酬转移给转入方的，终止确认该金融资产；保留了</w:t>
      </w:r>
      <w:r>
        <w:rPr/>
      </w:r>
    </w:p>
    <w:p>
      <w:pPr>
        <w:pStyle w:val="BodyText"/>
        <w:spacing w:line="240" w:lineRule="auto" w:before="37"/>
        <w:ind w:right="996"/>
        <w:jc w:val="left"/>
      </w:pPr>
      <w:r>
        <w:rPr/>
        <w:t>金融资产所有权上几乎所有的风险和报酬的，不终止确认该金融资产。</w:t>
      </w:r>
    </w:p>
    <w:p>
      <w:pPr>
        <w:pStyle w:val="BodyText"/>
        <w:spacing w:line="273" w:lineRule="auto" w:before="157"/>
        <w:ind w:right="1132" w:firstLine="427"/>
        <w:jc w:val="both"/>
      </w:pPr>
      <w:r>
        <w:rPr>
          <w:w w:val="95"/>
        </w:rPr>
        <w:t>本集团既没有转移也没有保留金融资产所有权上几乎所有的风险和报酬的，分别下列情况处理：放弃</w:t>
      </w:r>
      <w:r>
        <w:rPr>
          <w:w w:val="99"/>
        </w:rPr>
        <w:t> </w:t>
      </w:r>
      <w:r>
        <w:rPr>
          <w:w w:val="95"/>
        </w:rPr>
        <w:t>了对该金融资产控制的，终止确认该金融资产并确认产生的资产和负债；未放弃对该金融资产控制的，按</w:t>
      </w:r>
      <w:r>
        <w:rPr>
          <w:spacing w:val="40"/>
          <w:w w:val="95"/>
        </w:rPr>
        <w:t> </w:t>
      </w:r>
      <w:r>
        <w:rPr>
          <w:spacing w:val="40"/>
          <w:w w:val="95"/>
        </w:rPr>
      </w:r>
      <w:r>
        <w:rPr/>
        <w:t>照其继续涉入所转移金融资产的程度确认有关金融资产，并相应确认有关负债。</w:t>
      </w:r>
    </w:p>
    <w:p>
      <w:pPr>
        <w:spacing w:line="240" w:lineRule="auto" w:before="7"/>
        <w:rPr>
          <w:rFonts w:ascii="宋体" w:hAnsi="宋体" w:cs="宋体" w:eastAsia="宋体" w:hint="default"/>
          <w:sz w:val="23"/>
          <w:szCs w:val="23"/>
        </w:rPr>
      </w:pPr>
    </w:p>
    <w:p>
      <w:pPr>
        <w:pStyle w:val="Heading4"/>
        <w:spacing w:line="240" w:lineRule="auto"/>
        <w:ind w:right="996"/>
        <w:jc w:val="left"/>
        <w:rPr>
          <w:b w:val="0"/>
          <w:bCs w:val="0"/>
        </w:rPr>
      </w:pPr>
      <w:r>
        <w:rPr/>
        <w:t>（</w:t>
      </w:r>
      <w:r>
        <w:rPr>
          <w:rFonts w:ascii="Arial" w:hAnsi="Arial" w:cs="Arial" w:eastAsia="Arial" w:hint="default"/>
        </w:rPr>
        <w:t>8</w:t>
      </w:r>
      <w:r>
        <w:rPr/>
        <w:t>）金融资产和金融负债的抵销</w:t>
      </w:r>
      <w:r>
        <w:rPr>
          <w:b w:val="0"/>
          <w:bCs w:val="0"/>
        </w:rPr>
      </w:r>
    </w:p>
    <w:p>
      <w:pPr>
        <w:spacing w:after="0" w:line="240" w:lineRule="auto"/>
        <w:jc w:val="left"/>
        <w:sectPr>
          <w:pgSz w:w="11910" w:h="16840"/>
          <w:pgMar w:header="878" w:footer="978" w:top="1100" w:bottom="1160" w:left="1020" w:right="0"/>
        </w:sectPr>
      </w:pPr>
    </w:p>
    <w:p>
      <w:pPr>
        <w:spacing w:line="240" w:lineRule="auto" w:before="12"/>
        <w:rPr>
          <w:rFonts w:ascii="宋体" w:hAnsi="宋体" w:cs="宋体" w:eastAsia="宋体" w:hint="default"/>
          <w:b/>
          <w:bCs/>
          <w:sz w:val="20"/>
          <w:szCs w:val="20"/>
        </w:rPr>
      </w:pPr>
    </w:p>
    <w:p>
      <w:pPr>
        <w:pStyle w:val="BodyText"/>
        <w:spacing w:line="273" w:lineRule="auto"/>
        <w:ind w:right="1132" w:firstLine="427"/>
        <w:jc w:val="both"/>
      </w:pPr>
      <w:r>
        <w:rPr>
          <w:w w:val="95"/>
        </w:rPr>
        <w:t>当本集团具有抵销已确认金融资产和金融负债的法定权利，且目前可执行该种法定权利，同时本集团</w:t>
      </w:r>
      <w:r>
        <w:rPr>
          <w:w w:val="99"/>
        </w:rPr>
        <w:t> </w:t>
      </w:r>
      <w:r>
        <w:rPr>
          <w:w w:val="95"/>
        </w:rPr>
        <w:t>计划以净额结算或同时变现该金融资产和清偿该金融负债时，金融资产和金融负债以相互抵销后的金额在</w:t>
      </w:r>
      <w:r>
        <w:rPr>
          <w:spacing w:val="39"/>
          <w:w w:val="95"/>
        </w:rPr>
        <w:t> </w:t>
      </w:r>
      <w:r>
        <w:rPr>
          <w:spacing w:val="39"/>
          <w:w w:val="95"/>
        </w:rPr>
      </w:r>
      <w:r>
        <w:rPr/>
        <w:t>资产负债表内列示。除此以外，金融资产和金融负债在资产负债表内分别列示，不予相互抵销。</w:t>
      </w:r>
    </w:p>
    <w:p>
      <w:pPr>
        <w:spacing w:line="240" w:lineRule="auto" w:before="7"/>
        <w:rPr>
          <w:rFonts w:ascii="宋体" w:hAnsi="宋体" w:cs="宋体" w:eastAsia="宋体" w:hint="default"/>
          <w:sz w:val="23"/>
          <w:szCs w:val="23"/>
        </w:rPr>
      </w:pPr>
    </w:p>
    <w:p>
      <w:pPr>
        <w:pStyle w:val="Heading4"/>
        <w:spacing w:line="240" w:lineRule="auto"/>
        <w:ind w:right="996"/>
        <w:jc w:val="left"/>
        <w:rPr>
          <w:b w:val="0"/>
          <w:bCs w:val="0"/>
        </w:rPr>
      </w:pPr>
      <w:bookmarkStart w:name="11、应收票据及应收账款" w:id="176"/>
      <w:bookmarkEnd w:id="176"/>
      <w:r>
        <w:rPr>
          <w:b w:val="0"/>
          <w:bCs w:val="0"/>
        </w:rPr>
      </w:r>
      <w:r>
        <w:rPr>
          <w:rFonts w:ascii="Arial" w:hAnsi="Arial" w:cs="Arial" w:eastAsia="Arial" w:hint="default"/>
        </w:rPr>
        <w:t>11</w:t>
      </w:r>
      <w:r>
        <w:rPr/>
        <w:t>、应收票据及应收账款</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996"/>
        <w:jc w:val="left"/>
        <w:rPr>
          <w:b w:val="0"/>
          <w:bCs w:val="0"/>
        </w:rPr>
      </w:pPr>
      <w:bookmarkStart w:name="（1）单项金额重大并单独计提坏账准备的应收款项" w:id="177"/>
      <w:bookmarkEnd w:id="177"/>
      <w:r>
        <w:rPr>
          <w:b w:val="0"/>
          <w:bCs w:val="0"/>
        </w:rPr>
      </w:r>
      <w:r>
        <w:rPr/>
        <w:t>（</w:t>
      </w:r>
      <w:r>
        <w:rPr>
          <w:rFonts w:ascii="Arial" w:hAnsi="Arial" w:cs="Arial" w:eastAsia="Arial" w:hint="default"/>
        </w:rPr>
        <w:t>1</w:t>
      </w:r>
      <w:r>
        <w:rPr/>
        <w:t>）单项金额重大并单独计提坏账准备的应收款项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19"/>
        <w:gridCol w:w="6449"/>
      </w:tblGrid>
      <w:tr>
        <w:trPr>
          <w:trHeight w:val="714"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6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Arial" w:hAnsi="Arial" w:cs="Arial" w:eastAsia="Arial" w:hint="default"/>
                <w:sz w:val="18"/>
                <w:szCs w:val="18"/>
              </w:rPr>
            </w:pPr>
            <w:r>
              <w:rPr>
                <w:rFonts w:ascii="宋体" w:hAnsi="宋体" w:cs="宋体" w:eastAsia="宋体" w:hint="default"/>
                <w:sz w:val="18"/>
                <w:szCs w:val="18"/>
              </w:rPr>
              <w:t>应收账款期末余额超过</w:t>
            </w:r>
            <w:r>
              <w:rPr>
                <w:rFonts w:ascii="宋体" w:hAnsi="宋体" w:cs="宋体" w:eastAsia="宋体" w:hint="default"/>
                <w:spacing w:val="-47"/>
                <w:sz w:val="18"/>
                <w:szCs w:val="18"/>
              </w:rPr>
              <w:t> </w:t>
            </w:r>
            <w:r>
              <w:rPr>
                <w:rFonts w:ascii="Arial" w:hAnsi="Arial" w:cs="Arial" w:eastAsia="Arial" w:hint="default"/>
                <w:w w:val="99"/>
                <w:sz w:val="18"/>
                <w:szCs w:val="18"/>
              </w:rPr>
              <w:t>500</w:t>
            </w:r>
            <w:r>
              <w:rPr>
                <w:rFonts w:ascii="Arial" w:hAnsi="Arial" w:cs="Arial" w:eastAsia="Arial" w:hint="default"/>
                <w:spacing w:val="-7"/>
                <w:sz w:val="18"/>
                <w:szCs w:val="18"/>
              </w:rPr>
              <w:t> </w:t>
            </w:r>
            <w:r>
              <w:rPr>
                <w:rFonts w:ascii="宋体" w:hAnsi="宋体" w:cs="宋体" w:eastAsia="宋体" w:hint="default"/>
                <w:sz w:val="18"/>
                <w:szCs w:val="18"/>
              </w:rPr>
              <w:t>万元（含</w:t>
            </w:r>
            <w:r>
              <w:rPr>
                <w:rFonts w:ascii="宋体" w:hAnsi="宋体" w:cs="宋体" w:eastAsia="宋体" w:hint="default"/>
                <w:spacing w:val="-45"/>
                <w:sz w:val="18"/>
                <w:szCs w:val="18"/>
              </w:rPr>
              <w:t> </w:t>
            </w:r>
            <w:r>
              <w:rPr>
                <w:rFonts w:ascii="Arial" w:hAnsi="Arial" w:cs="Arial" w:eastAsia="Arial" w:hint="default"/>
                <w:w w:val="99"/>
                <w:sz w:val="18"/>
                <w:szCs w:val="18"/>
              </w:rPr>
              <w:t>500</w:t>
            </w:r>
            <w:r>
              <w:rPr>
                <w:rFonts w:ascii="Arial" w:hAnsi="Arial" w:cs="Arial" w:eastAsia="Arial" w:hint="default"/>
                <w:spacing w:val="-7"/>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、其他应收款期末余额超过</w:t>
            </w:r>
            <w:r>
              <w:rPr>
                <w:rFonts w:ascii="宋体" w:hAnsi="宋体" w:cs="宋体" w:eastAsia="宋体" w:hint="default"/>
                <w:spacing w:val="-45"/>
                <w:sz w:val="18"/>
                <w:szCs w:val="18"/>
              </w:rPr>
              <w:t> </w:t>
            </w:r>
            <w:r>
              <w:rPr>
                <w:rFonts w:ascii="Arial" w:hAnsi="Arial" w:cs="Arial" w:eastAsia="Arial" w:hint="default"/>
                <w:w w:val="99"/>
                <w:sz w:val="18"/>
                <w:szCs w:val="18"/>
              </w:rPr>
              <w:t>2</w:t>
            </w:r>
            <w:r>
              <w:rPr>
                <w:rFonts w:ascii="Arial" w:hAnsi="Arial" w:cs="Arial" w:eastAsia="Arial" w:hint="default"/>
                <w:spacing w:val="-2"/>
                <w:w w:val="99"/>
                <w:sz w:val="18"/>
                <w:szCs w:val="18"/>
              </w:rPr>
              <w:t>0</w:t>
            </w:r>
            <w:r>
              <w:rPr>
                <w:rFonts w:ascii="Arial" w:hAnsi="Arial" w:cs="Arial" w:eastAsia="Arial" w:hint="default"/>
                <w:w w:val="99"/>
                <w:sz w:val="18"/>
                <w:szCs w:val="18"/>
              </w:rPr>
              <w:t>0</w:t>
            </w:r>
            <w:r>
              <w:rPr>
                <w:rFonts w:ascii="Arial" w:hAnsi="Arial" w:cs="Arial" w:eastAsia="Arial"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万元（含</w:t>
            </w:r>
            <w:r>
              <w:rPr>
                <w:rFonts w:ascii="宋体" w:hAnsi="宋体" w:cs="宋体" w:eastAsia="宋体" w:hint="default"/>
                <w:spacing w:val="-48"/>
                <w:sz w:val="18"/>
                <w:szCs w:val="18"/>
              </w:rPr>
              <w:t> </w:t>
            </w:r>
            <w:r>
              <w:rPr>
                <w:rFonts w:ascii="Arial" w:hAnsi="Arial" w:cs="Arial" w:eastAsia="Arial" w:hint="default"/>
                <w:sz w:val="18"/>
                <w:szCs w:val="18"/>
              </w:rPr>
              <w:t>200</w:t>
            </w:r>
            <w:r>
              <w:rPr>
                <w:rFonts w:ascii="Arial" w:hAnsi="Arial" w:cs="Arial" w:eastAsia="Arial" w:hint="default"/>
                <w:spacing w:val="-8"/>
                <w:sz w:val="18"/>
                <w:szCs w:val="18"/>
              </w:rPr>
              <w:t> </w:t>
            </w:r>
            <w:r>
              <w:rPr>
                <w:rFonts w:ascii="宋体" w:hAnsi="宋体" w:cs="宋体" w:eastAsia="宋体" w:hint="default"/>
                <w:sz w:val="18"/>
                <w:szCs w:val="18"/>
              </w:rPr>
              <w:t>万元）为单项金额重大的应收款项。</w:t>
            </w:r>
          </w:p>
        </w:tc>
      </w:tr>
      <w:tr>
        <w:trPr>
          <w:trHeight w:val="1026"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 提方法</w:t>
            </w:r>
          </w:p>
        </w:tc>
        <w:tc>
          <w:tcPr>
            <w:tcW w:w="64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2"/>
              <w:jc w:val="both"/>
              <w:rPr>
                <w:rFonts w:ascii="宋体" w:hAnsi="宋体" w:cs="宋体" w:eastAsia="宋体" w:hint="default"/>
                <w:sz w:val="18"/>
                <w:szCs w:val="18"/>
              </w:rPr>
            </w:pPr>
            <w:r>
              <w:rPr>
                <w:rFonts w:ascii="宋体" w:hAnsi="宋体" w:cs="宋体" w:eastAsia="宋体" w:hint="default"/>
                <w:spacing w:val="-3"/>
                <w:sz w:val="18"/>
                <w:szCs w:val="18"/>
              </w:rPr>
              <w:t>对于单项金额重大的应收款项单独进行减值测试，有客观证据表明发生了减值，根</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据其未来现金流量现值低于其账面价值的差额计提坏账准备。单项金额重大经单独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测试未发生减值的应收款项，再按组合计提坏账准备。</w:t>
            </w:r>
          </w:p>
        </w:tc>
      </w:tr>
    </w:tbl>
    <w:p>
      <w:pPr>
        <w:spacing w:line="240" w:lineRule="auto" w:before="3"/>
        <w:rPr>
          <w:rFonts w:ascii="宋体" w:hAnsi="宋体" w:cs="宋体" w:eastAsia="宋体" w:hint="default"/>
          <w:b/>
          <w:bCs/>
          <w:sz w:val="19"/>
          <w:szCs w:val="19"/>
        </w:rPr>
      </w:pPr>
    </w:p>
    <w:p>
      <w:pPr>
        <w:pStyle w:val="Heading4"/>
        <w:spacing w:line="240" w:lineRule="auto" w:before="34"/>
        <w:ind w:right="996"/>
        <w:jc w:val="left"/>
        <w:rPr>
          <w:b w:val="0"/>
          <w:bCs w:val="0"/>
        </w:rPr>
      </w:pPr>
      <w:bookmarkStart w:name="（2）按信用风险特征组合计提坏账准备的应收款项" w:id="178"/>
      <w:bookmarkEnd w:id="178"/>
      <w:r>
        <w:rPr>
          <w:b w:val="0"/>
          <w:bCs w:val="0"/>
        </w:rPr>
      </w:r>
      <w:r>
        <w:rPr/>
        <w:t>（</w:t>
      </w:r>
      <w:r>
        <w:rPr>
          <w:rFonts w:ascii="Arial" w:hAnsi="Arial" w:cs="Arial" w:eastAsia="Arial" w:hint="default"/>
        </w:rPr>
        <w:t>2</w:t>
      </w:r>
      <w:r>
        <w:rPr/>
        <w:t>）按信用风险特征组合计提坏账准备的应收款项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9"/>
          <w:szCs w:val="29"/>
        </w:rPr>
      </w:pPr>
    </w:p>
    <w:p>
      <w:pPr>
        <w:spacing w:before="44"/>
        <w:ind w:left="0" w:right="1141" w:firstLine="0"/>
        <w:jc w:val="right"/>
        <w:rPr>
          <w:rFonts w:ascii="宋体" w:hAnsi="宋体" w:cs="宋体" w:eastAsia="宋体" w:hint="default"/>
          <w:sz w:val="18"/>
          <w:szCs w:val="18"/>
        </w:rPr>
      </w:pPr>
      <w:r>
        <w:rPr/>
        <w:pict>
          <v:shape style="position:absolute;margin-left:56.459999pt;margin-top:-81.197273pt;width:479.15pt;height:116.6pt;mso-position-horizontal-relative:page;mso-position-vertical-relative:paragraph;z-index:24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10"/>
                    <w:gridCol w:w="7158"/>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1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7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公司合并范围内的关联方</w:t>
                        </w:r>
                      </w:p>
                    </w:tc>
                    <w:tc>
                      <w:tcPr>
                        <w:tcW w:w="7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以历史损失率为基础估计未来现金流量低于其账面价值的差额计提坏账准备</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押金、备用金</w:t>
                        </w:r>
                      </w:p>
                    </w:tc>
                    <w:tc>
                      <w:tcPr>
                        <w:tcW w:w="7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以历史损失率为基础估计未来现金流量低于其账面价值的差额计提坏账准备</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71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1"/>
                          <w:jc w:val="left"/>
                          <w:rPr>
                            <w:rFonts w:ascii="宋体" w:hAnsi="宋体" w:cs="宋体" w:eastAsia="宋体" w:hint="default"/>
                            <w:sz w:val="18"/>
                            <w:szCs w:val="18"/>
                          </w:rPr>
                        </w:pPr>
                        <w:r>
                          <w:rPr>
                            <w:rFonts w:ascii="宋体" w:hAnsi="宋体" w:cs="宋体" w:eastAsia="宋体" w:hint="default"/>
                            <w:sz w:val="18"/>
                            <w:szCs w:val="18"/>
                          </w:rPr>
                          <w:t>结合承兑人、背书人、出票人以及其他债务人的信用风险，银行承兑汇票不计提坏账准备 商业承兑汇票，根据其未来现金流量现值低于其账面价值的差额计提坏账准备。</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before="0"/>
        <w:ind w:right="996"/>
        <w:jc w:val="left"/>
      </w:pPr>
      <w:r>
        <w:rPr/>
        <w:t>组合中，采用账龄分析法计提坏账准备的：</w:t>
      </w:r>
    </w:p>
    <w:p>
      <w:pPr>
        <w:pStyle w:val="BodyText"/>
        <w:spacing w:line="240" w:lineRule="auto" w:before="75"/>
        <w:ind w:right="996"/>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2"/>
        </w:rPr>
        <w:t> </w:t>
      </w:r>
      <w:r>
        <w:rPr/>
        <w:t>不适用</w:t>
      </w:r>
    </w:p>
    <w:p>
      <w:pPr>
        <w:spacing w:line="240" w:lineRule="auto" w:before="13"/>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w:t>
            </w:r>
            <w:r>
              <w:rPr>
                <w:rFonts w:ascii="Arial" w:hAnsi="Arial" w:cs="Arial" w:eastAsia="Arial" w:hint="default"/>
                <w:sz w:val="18"/>
                <w:szCs w:val="18"/>
              </w:rPr>
              <w:t>2</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w:t>
            </w:r>
            <w:r>
              <w:rPr>
                <w:rFonts w:ascii="Arial" w:hAnsi="Arial" w:cs="Arial" w:eastAsia="Arial" w:hint="default"/>
                <w:sz w:val="18"/>
                <w:szCs w:val="18"/>
              </w:rPr>
              <w:t>3</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w:t>
            </w:r>
            <w:r>
              <w:rPr>
                <w:rFonts w:ascii="Arial" w:hAnsi="Arial" w:cs="Arial" w:eastAsia="Arial" w:hint="default"/>
                <w:sz w:val="18"/>
                <w:szCs w:val="18"/>
              </w:rPr>
              <w:t>4</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w:t>
            </w:r>
            <w:r>
              <w:rPr>
                <w:rFonts w:ascii="Arial" w:hAnsi="Arial" w:cs="Arial" w:eastAsia="Arial" w:hint="default"/>
                <w:sz w:val="18"/>
                <w:szCs w:val="18"/>
              </w:rPr>
              <w:t>5</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100.00%</w:t>
            </w:r>
          </w:p>
        </w:tc>
      </w:tr>
    </w:tbl>
    <w:p>
      <w:pPr>
        <w:pStyle w:val="BodyText"/>
        <w:spacing w:line="240" w:lineRule="auto" w:before="24"/>
        <w:ind w:right="996"/>
        <w:jc w:val="left"/>
      </w:pPr>
      <w:r>
        <w:rPr/>
        <w:t>组合中，采用余额百分比法计提坏账准备的：</w:t>
      </w:r>
    </w:p>
    <w:p>
      <w:pPr>
        <w:pStyle w:val="BodyText"/>
        <w:spacing w:line="292" w:lineRule="auto" w:before="78"/>
        <w:ind w:right="689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7"/>
        </w:rPr>
        <w:t> </w:t>
      </w:r>
      <w:r>
        <w:rPr/>
        <w:t>不适用</w:t>
      </w:r>
      <w:r>
        <w:rPr>
          <w:w w:val="99"/>
        </w:rPr>
        <w:t> </w:t>
      </w:r>
      <w:r>
        <w:rPr>
          <w:w w:val="95"/>
        </w:rPr>
        <w:t>组合中，采用其他方法计提坏账准备的：</w:t>
      </w:r>
      <w:r>
        <w:rPr/>
      </w:r>
    </w:p>
    <w:p>
      <w:pPr>
        <w:pStyle w:val="BodyText"/>
        <w:spacing w:line="240" w:lineRule="auto" w:before="29"/>
        <w:ind w:right="996"/>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2"/>
        </w:rPr>
        <w:t> </w:t>
      </w:r>
      <w:r>
        <w:rPr/>
        <w:t>不适用</w:t>
      </w:r>
    </w:p>
    <w:p>
      <w:pPr>
        <w:spacing w:line="240" w:lineRule="auto" w:before="13"/>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公司合并范围内的关联方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0.00%</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押金、备用金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0.00%</w:t>
            </w:r>
          </w:p>
        </w:tc>
      </w:tr>
    </w:tbl>
    <w:p>
      <w:pPr>
        <w:spacing w:after="0" w:line="240" w:lineRule="auto"/>
        <w:jc w:val="right"/>
        <w:rPr>
          <w:rFonts w:ascii="Arial" w:hAnsi="Arial" w:cs="Arial" w:eastAsia="Arial" w:hint="default"/>
          <w:sz w:val="18"/>
          <w:szCs w:val="18"/>
        </w:rPr>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0.00%</w:t>
            </w:r>
          </w:p>
        </w:tc>
      </w:tr>
    </w:tbl>
    <w:p>
      <w:pPr>
        <w:spacing w:line="240" w:lineRule="auto" w:before="4"/>
        <w:rPr>
          <w:rFonts w:ascii="宋体" w:hAnsi="宋体" w:cs="宋体" w:eastAsia="宋体" w:hint="default"/>
          <w:sz w:val="19"/>
          <w:szCs w:val="19"/>
        </w:rPr>
      </w:pPr>
    </w:p>
    <w:p>
      <w:pPr>
        <w:pStyle w:val="Heading4"/>
        <w:spacing w:line="240" w:lineRule="auto" w:before="34"/>
        <w:ind w:right="996"/>
        <w:jc w:val="left"/>
        <w:rPr>
          <w:b w:val="0"/>
          <w:bCs w:val="0"/>
        </w:rPr>
      </w:pPr>
      <w:bookmarkStart w:name="（3）单项金额不重大但单独计提坏账准备的应收款项" w:id="179"/>
      <w:bookmarkEnd w:id="179"/>
      <w:r>
        <w:rPr>
          <w:b w:val="0"/>
          <w:bCs w:val="0"/>
        </w:rPr>
      </w:r>
      <w:r>
        <w:rPr/>
        <w:t>（</w:t>
      </w:r>
      <w:r>
        <w:rPr>
          <w:rFonts w:ascii="Arial" w:hAnsi="Arial" w:cs="Arial" w:eastAsia="Arial"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261"/>
        <w:gridCol w:w="6307"/>
      </w:tblGrid>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涉诉款项、客户信用状况恶化的应收款项</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根据其未来现金流量现值低于其账面价值的差额计提坏账准备</w:t>
            </w:r>
          </w:p>
        </w:tc>
      </w:tr>
    </w:tbl>
    <w:p>
      <w:pPr>
        <w:spacing w:line="240" w:lineRule="auto" w:before="3"/>
        <w:rPr>
          <w:rFonts w:ascii="宋体" w:hAnsi="宋体" w:cs="宋体" w:eastAsia="宋体" w:hint="default"/>
          <w:b/>
          <w:bCs/>
          <w:sz w:val="19"/>
          <w:szCs w:val="19"/>
        </w:rPr>
      </w:pPr>
    </w:p>
    <w:p>
      <w:pPr>
        <w:pStyle w:val="Heading4"/>
        <w:spacing w:line="240" w:lineRule="auto" w:before="34"/>
        <w:ind w:right="996"/>
        <w:jc w:val="left"/>
        <w:rPr>
          <w:b w:val="0"/>
          <w:bCs w:val="0"/>
        </w:rPr>
      </w:pPr>
      <w:bookmarkStart w:name="12、存货" w:id="180"/>
      <w:bookmarkEnd w:id="180"/>
      <w:r>
        <w:rPr>
          <w:b w:val="0"/>
          <w:bCs w:val="0"/>
        </w:rPr>
      </w:r>
      <w:r>
        <w:rPr>
          <w:rFonts w:ascii="Arial" w:hAnsi="Arial" w:cs="Arial" w:eastAsia="Arial" w:hint="default"/>
        </w:rPr>
        <w:t>12</w:t>
      </w:r>
      <w:r>
        <w:rPr/>
        <w:t>、存货</w:t>
      </w:r>
      <w:r>
        <w:rPr>
          <w:b w:val="0"/>
          <w:bCs w:val="0"/>
        </w:rPr>
      </w:r>
    </w:p>
    <w:p>
      <w:pPr>
        <w:spacing w:line="240" w:lineRule="auto" w:before="8"/>
        <w:rPr>
          <w:rFonts w:ascii="宋体" w:hAnsi="宋体" w:cs="宋体" w:eastAsia="宋体" w:hint="default"/>
          <w:b/>
          <w:bCs/>
          <w:sz w:val="24"/>
          <w:szCs w:val="24"/>
        </w:rPr>
      </w:pPr>
    </w:p>
    <w:p>
      <w:pPr>
        <w:spacing w:line="506" w:lineRule="auto" w:before="0"/>
        <w:ind w:left="540" w:right="3180" w:hanging="428"/>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b/>
          <w:bCs/>
          <w:w w:val="99"/>
          <w:sz w:val="21"/>
          <w:szCs w:val="21"/>
        </w:rPr>
        <w:t> </w:t>
      </w:r>
      <w:r>
        <w:rPr>
          <w:rFonts w:ascii="宋体" w:hAnsi="宋体" w:cs="宋体" w:eastAsia="宋体" w:hint="default"/>
          <w:w w:val="95"/>
          <w:sz w:val="21"/>
          <w:szCs w:val="21"/>
        </w:rPr>
        <w:t>本集团存货分为原材料、在产品、库存商品、发出商品、在途物资等。</w:t>
      </w:r>
      <w:r>
        <w:rPr>
          <w:rFonts w:ascii="宋体" w:hAnsi="宋体" w:cs="宋体" w:eastAsia="宋体" w:hint="default"/>
          <w:sz w:val="21"/>
          <w:szCs w:val="21"/>
        </w:rPr>
      </w:r>
    </w:p>
    <w:p>
      <w:pPr>
        <w:spacing w:line="506" w:lineRule="auto" w:before="104"/>
        <w:ind w:left="540" w:right="996" w:hanging="428"/>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99"/>
          <w:sz w:val="21"/>
          <w:szCs w:val="21"/>
        </w:rPr>
        <w:t> </w:t>
      </w:r>
      <w:r>
        <w:rPr>
          <w:rFonts w:ascii="宋体" w:hAnsi="宋体" w:cs="宋体" w:eastAsia="宋体" w:hint="default"/>
          <w:w w:val="95"/>
          <w:sz w:val="21"/>
          <w:szCs w:val="21"/>
        </w:rPr>
        <w:t>本集团存货取得时按实际成本计价。原材料、发出商品等发出时采用个别计价法计价。</w:t>
      </w:r>
      <w:r>
        <w:rPr>
          <w:rFonts w:ascii="宋体" w:hAnsi="宋体" w:cs="宋体" w:eastAsia="宋体" w:hint="default"/>
          <w:sz w:val="21"/>
          <w:szCs w:val="21"/>
        </w:rPr>
      </w:r>
    </w:p>
    <w:p>
      <w:pPr>
        <w:pStyle w:val="Heading4"/>
        <w:spacing w:line="240" w:lineRule="auto" w:before="104"/>
        <w:ind w:right="996"/>
        <w:jc w:val="left"/>
        <w:rPr>
          <w:b w:val="0"/>
          <w:bCs w:val="0"/>
        </w:rPr>
      </w:pPr>
      <w:r>
        <w:rPr/>
        <w:t>（</w:t>
      </w:r>
      <w:r>
        <w:rPr>
          <w:rFonts w:ascii="Arial" w:hAnsi="Arial" w:cs="Arial" w:eastAsia="Arial" w:hint="default"/>
        </w:rPr>
        <w:t>3</w:t>
      </w:r>
      <w:r>
        <w:rPr/>
        <w:t>）存货可变现净值的确定依据及存货跌价准备的计提方法</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1132" w:firstLine="427"/>
        <w:jc w:val="both"/>
      </w:pPr>
      <w:r>
        <w:rPr>
          <w:w w:val="95"/>
        </w:rPr>
        <w:t>存货可变现净值是按存货的估计售价减去至完工时估计将要发生的成本、估计的销售费用以及相关税</w:t>
      </w:r>
      <w:r>
        <w:rPr>
          <w:w w:val="99"/>
        </w:rPr>
        <w:t> </w:t>
      </w:r>
      <w:r>
        <w:rPr>
          <w:w w:val="95"/>
        </w:rPr>
        <w:t>费后的金额。在确定存货的可变现净值时，以取得的确凿证据为基础，同时考虑持有存货的目的以及资产</w:t>
      </w:r>
      <w:r>
        <w:rPr>
          <w:spacing w:val="40"/>
          <w:w w:val="95"/>
        </w:rPr>
        <w:t> </w:t>
      </w:r>
      <w:r>
        <w:rPr>
          <w:spacing w:val="40"/>
          <w:w w:val="95"/>
        </w:rPr>
      </w:r>
      <w:r>
        <w:rPr/>
        <w:t>负债表日后事项的影响。</w:t>
      </w:r>
    </w:p>
    <w:p>
      <w:pPr>
        <w:pStyle w:val="BodyText"/>
        <w:spacing w:line="273" w:lineRule="auto" w:before="127"/>
        <w:ind w:right="1135" w:firstLine="427"/>
        <w:jc w:val="both"/>
      </w:pPr>
      <w:r>
        <w:rPr>
          <w:w w:val="95"/>
        </w:rPr>
        <w:t>资产负债表日，存货成本高于其可变现净值的，计提存货跌价准备。本集团通常按照单个存货项目计</w:t>
      </w:r>
      <w:r>
        <w:rPr>
          <w:w w:val="99"/>
        </w:rPr>
        <w:t> </w:t>
      </w:r>
      <w:r>
        <w:rPr>
          <w:w w:val="95"/>
        </w:rPr>
        <w:t>提存货跌价准备，资产负债表日，以前减记存货价值的影响因素已经消失的，存货跌价准备在原已计提的</w:t>
      </w:r>
      <w:r>
        <w:rPr>
          <w:spacing w:val="37"/>
          <w:w w:val="95"/>
        </w:rPr>
        <w:t> </w:t>
      </w:r>
      <w:r>
        <w:rPr>
          <w:spacing w:val="37"/>
          <w:w w:val="95"/>
        </w:rPr>
      </w:r>
      <w:r>
        <w:rPr/>
        <w:t>金额内转回。</w:t>
      </w:r>
    </w:p>
    <w:p>
      <w:pPr>
        <w:spacing w:line="240" w:lineRule="auto" w:before="7"/>
        <w:rPr>
          <w:rFonts w:ascii="宋体" w:hAnsi="宋体" w:cs="宋体" w:eastAsia="宋体" w:hint="default"/>
          <w:sz w:val="23"/>
          <w:szCs w:val="23"/>
        </w:rPr>
      </w:pPr>
    </w:p>
    <w:p>
      <w:pPr>
        <w:spacing w:line="506" w:lineRule="auto" w:before="0"/>
        <w:ind w:left="540" w:right="6756" w:hanging="428"/>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本集团存货盘存制度采用永续盘存制。</w:t>
      </w:r>
    </w:p>
    <w:p>
      <w:pPr>
        <w:pStyle w:val="Heading4"/>
        <w:spacing w:line="240" w:lineRule="auto" w:before="106"/>
        <w:ind w:right="996"/>
        <w:jc w:val="left"/>
        <w:rPr>
          <w:b w:val="0"/>
          <w:bCs w:val="0"/>
        </w:rPr>
      </w:pPr>
      <w:bookmarkStart w:name="13、长期股权投资" w:id="181"/>
      <w:bookmarkEnd w:id="181"/>
      <w:r>
        <w:rPr>
          <w:b w:val="0"/>
          <w:bCs w:val="0"/>
        </w:rPr>
      </w:r>
      <w:r>
        <w:rPr>
          <w:rFonts w:ascii="Arial" w:hAnsi="Arial" w:cs="Arial" w:eastAsia="Arial" w:hint="default"/>
        </w:rPr>
        <w:t>13</w:t>
      </w:r>
      <w:r>
        <w:rPr/>
        <w:t>、长期股权投资</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1132" w:firstLine="427"/>
        <w:jc w:val="both"/>
      </w:pPr>
      <w:r>
        <w:rPr>
          <w:w w:val="95"/>
        </w:rPr>
        <w:t>长期股权投资包括对子公司、合营企业和联营企业的权益性投资。本集团能够对被投资单位施加重大</w:t>
      </w:r>
      <w:r>
        <w:rPr>
          <w:w w:val="99"/>
        </w:rPr>
        <w:t> </w:t>
      </w:r>
      <w:r>
        <w:rPr/>
        <w:t>影响的，为本集团的联营企业。</w:t>
      </w:r>
    </w:p>
    <w:p>
      <w:pPr>
        <w:spacing w:line="590" w:lineRule="atLeast" w:before="7"/>
        <w:ind w:left="540" w:right="996" w:hanging="428"/>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1</w:t>
      </w:r>
      <w:r>
        <w:rPr>
          <w:rFonts w:ascii="宋体" w:hAnsi="宋体" w:cs="宋体" w:eastAsia="宋体" w:hint="default"/>
          <w:b/>
          <w:bCs/>
          <w:sz w:val="21"/>
          <w:szCs w:val="21"/>
        </w:rPr>
        <w:t>）初始投资成本确定</w:t>
      </w:r>
      <w:r>
        <w:rPr>
          <w:rFonts w:ascii="宋体" w:hAnsi="宋体" w:cs="宋体" w:eastAsia="宋体" w:hint="default"/>
          <w:b/>
          <w:bCs/>
          <w:w w:val="99"/>
          <w:sz w:val="21"/>
          <w:szCs w:val="21"/>
        </w:rPr>
        <w:t> </w:t>
      </w:r>
      <w:r>
        <w:rPr>
          <w:rFonts w:ascii="宋体" w:hAnsi="宋体" w:cs="宋体" w:eastAsia="宋体" w:hint="default"/>
          <w:w w:val="95"/>
          <w:sz w:val="21"/>
          <w:szCs w:val="21"/>
        </w:rPr>
        <w:t>形成企业合并的长期股权投资：同一控制下企业合并取得的长期股权投资，在合并日按照取得被合并</w:t>
      </w:r>
      <w:r>
        <w:rPr>
          <w:rFonts w:ascii="宋体" w:hAnsi="宋体" w:cs="宋体" w:eastAsia="宋体" w:hint="default"/>
          <w:sz w:val="21"/>
          <w:szCs w:val="21"/>
        </w:rPr>
      </w:r>
    </w:p>
    <w:p>
      <w:pPr>
        <w:pStyle w:val="BodyText"/>
        <w:spacing w:line="273" w:lineRule="auto" w:before="37"/>
        <w:ind w:right="996"/>
        <w:jc w:val="left"/>
      </w:pPr>
      <w:r>
        <w:rPr>
          <w:w w:val="95"/>
        </w:rPr>
        <w:t>方所有者权益在最终控制方合并财务报表中的账面价值份额作为投资成本；非同一控制下企业合并取得的</w:t>
      </w:r>
      <w:r>
        <w:rPr>
          <w:spacing w:val="39"/>
          <w:w w:val="95"/>
        </w:rPr>
        <w:t> </w:t>
      </w:r>
      <w:r>
        <w:rPr>
          <w:spacing w:val="39"/>
          <w:w w:val="95"/>
        </w:rPr>
      </w:r>
      <w:r>
        <w:rPr/>
        <w:t>长期股权投资，按照合并成本作为长期股权投资的投资成本。</w:t>
      </w:r>
    </w:p>
    <w:p>
      <w:pPr>
        <w:pStyle w:val="BodyText"/>
        <w:spacing w:line="273" w:lineRule="auto" w:before="127"/>
        <w:ind w:right="1135" w:firstLine="427"/>
        <w:jc w:val="both"/>
      </w:pPr>
      <w:r>
        <w:rPr>
          <w:w w:val="95"/>
        </w:rPr>
        <w:t>对于其他方式取得的长期股权投资：支付现金取得的长期股权投资，按照实际支付的购买价款作为初</w:t>
      </w:r>
      <w:r>
        <w:rPr>
          <w:w w:val="99"/>
        </w:rPr>
        <w:t> </w:t>
      </w:r>
      <w:r>
        <w:rPr/>
        <w:t>始投资成本；发行权益性证券取得的长期股权投资，以发行权益性证券的公允价值作为初始投资成本。</w:t>
      </w:r>
    </w:p>
    <w:p>
      <w:pPr>
        <w:spacing w:after="0" w:line="273" w:lineRule="auto"/>
        <w:jc w:val="both"/>
        <w:sectPr>
          <w:pgSz w:w="11910" w:h="16840"/>
          <w:pgMar w:header="878" w:footer="978" w:top="1100" w:bottom="1160" w:left="1020" w:right="0"/>
        </w:sectPr>
      </w:pPr>
    </w:p>
    <w:p>
      <w:pPr>
        <w:spacing w:line="240" w:lineRule="auto" w:before="12"/>
        <w:rPr>
          <w:rFonts w:ascii="宋体" w:hAnsi="宋体" w:cs="宋体" w:eastAsia="宋体" w:hint="default"/>
          <w:sz w:val="20"/>
          <w:szCs w:val="20"/>
        </w:rPr>
      </w:pPr>
    </w:p>
    <w:p>
      <w:pPr>
        <w:pStyle w:val="Heading4"/>
        <w:spacing w:line="240" w:lineRule="auto" w:before="34"/>
        <w:ind w:right="996"/>
        <w:jc w:val="left"/>
        <w:rPr>
          <w:b w:val="0"/>
          <w:bCs w:val="0"/>
        </w:rPr>
      </w:pPr>
      <w:r>
        <w:rPr/>
        <w:t>（</w:t>
      </w:r>
      <w:r>
        <w:rPr>
          <w:rFonts w:ascii="Arial" w:hAnsi="Arial" w:cs="Arial" w:eastAsia="Arial" w:hint="default"/>
        </w:rPr>
        <w:t>2</w:t>
      </w:r>
      <w:r>
        <w:rPr/>
        <w:t>）后续计量及损益确认方法</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1106" w:firstLine="427"/>
        <w:jc w:val="both"/>
      </w:pPr>
      <w:r>
        <w:rPr>
          <w:w w:val="95"/>
        </w:rPr>
        <w:t>对子公司的投资，采用成本法核算，除非投资符合持有待售的条件；对联营企业和合营企业的投资，</w:t>
      </w:r>
      <w:r>
        <w:rPr>
          <w:spacing w:val="-88"/>
          <w:w w:val="95"/>
        </w:rPr>
        <w:t> </w:t>
      </w:r>
      <w:r>
        <w:rPr>
          <w:spacing w:val="-88"/>
          <w:w w:val="95"/>
        </w:rPr>
      </w:r>
      <w:r>
        <w:rPr/>
        <w:t>采用权益法核算。</w:t>
      </w:r>
    </w:p>
    <w:p>
      <w:pPr>
        <w:pStyle w:val="BodyText"/>
        <w:spacing w:line="273" w:lineRule="auto" w:before="127"/>
        <w:ind w:right="1132" w:firstLine="427"/>
        <w:jc w:val="both"/>
      </w:pPr>
      <w:r>
        <w:rPr>
          <w:w w:val="95"/>
        </w:rPr>
        <w:t>采用成本法核算的长期股权投资，除取得投资时实际支付的价款或对价中包含的已宣告但尚未发放的</w:t>
      </w:r>
      <w:r>
        <w:rPr>
          <w:w w:val="99"/>
        </w:rPr>
        <w:t> </w:t>
      </w:r>
      <w:r>
        <w:rPr/>
        <w:t>现金股利或利润外，被投资单位宣告分派的现金股利或利润，确认为投资收益计入当期损益。</w:t>
      </w:r>
    </w:p>
    <w:p>
      <w:pPr>
        <w:pStyle w:val="BodyText"/>
        <w:spacing w:line="273" w:lineRule="auto" w:before="127"/>
        <w:ind w:right="1132" w:firstLine="427"/>
        <w:jc w:val="both"/>
      </w:pPr>
      <w:r>
        <w:rPr>
          <w:w w:val="95"/>
        </w:rPr>
        <w:t>采用权益法核算的长期股权投资，初始投资成本大于投资时应享有被投资单位可辨认净资产公允价值</w:t>
      </w:r>
      <w:r>
        <w:rPr>
          <w:w w:val="99"/>
        </w:rPr>
        <w:t> </w:t>
      </w:r>
      <w:r>
        <w:rPr>
          <w:w w:val="95"/>
        </w:rPr>
        <w:t>份额的，不调整长期股权投资的投资成本；初始投资成本小于投资时应享有被投资单位可辨认净资产公允</w:t>
      </w:r>
      <w:r>
        <w:rPr>
          <w:spacing w:val="40"/>
          <w:w w:val="95"/>
        </w:rPr>
        <w:t> </w:t>
      </w:r>
      <w:r>
        <w:rPr>
          <w:spacing w:val="40"/>
          <w:w w:val="95"/>
        </w:rPr>
      </w:r>
      <w:r>
        <w:rPr/>
        <w:t>价值份额的，对长期股权投资的账面价值进行调整，差额计入投资当期的损益。</w:t>
      </w:r>
    </w:p>
    <w:p>
      <w:pPr>
        <w:pStyle w:val="BodyText"/>
        <w:spacing w:line="273" w:lineRule="auto" w:before="127"/>
        <w:ind w:right="1132" w:firstLine="427"/>
        <w:jc w:val="both"/>
      </w:pPr>
      <w:r>
        <w:rPr>
          <w:w w:val="95"/>
        </w:rPr>
        <w:t>采用权益法核算时，按照应享有或应分担的被投资单位实现的净损益和其他综合收益的份额，分别确</w:t>
      </w:r>
      <w:r>
        <w:rPr>
          <w:w w:val="99"/>
        </w:rPr>
        <w:t> </w:t>
      </w:r>
      <w:r>
        <w:rPr>
          <w:w w:val="95"/>
        </w:rPr>
        <w:t>认投资收益和其他综合收益，同时调整长期股权投资的账面价值；按照被投资单位宣告分派的利润或现金</w:t>
      </w:r>
      <w:r>
        <w:rPr>
          <w:spacing w:val="40"/>
          <w:w w:val="95"/>
        </w:rPr>
        <w:t> </w:t>
      </w:r>
      <w:r>
        <w:rPr>
          <w:spacing w:val="40"/>
          <w:w w:val="95"/>
        </w:rPr>
      </w:r>
      <w:r>
        <w:rPr>
          <w:w w:val="95"/>
        </w:rPr>
        <w:t>股利计算应享有的部分，相应减少长期股权投资的账面价值；被投资单位除净损益、其他综合收益和利润</w:t>
      </w:r>
      <w:r>
        <w:rPr>
          <w:spacing w:val="40"/>
          <w:w w:val="95"/>
        </w:rPr>
        <w:t> </w:t>
      </w:r>
      <w:r>
        <w:rPr>
          <w:spacing w:val="40"/>
          <w:w w:val="95"/>
        </w:rPr>
      </w:r>
      <w:r>
        <w:rPr>
          <w:w w:val="95"/>
        </w:rPr>
        <w:t>分配以外所有者权益的其他变动，调整长期股权投资的账面价值并计入资本公积（其他资本公积）。在确</w:t>
      </w:r>
      <w:r>
        <w:rPr>
          <w:spacing w:val="38"/>
          <w:w w:val="95"/>
        </w:rPr>
        <w:t> </w:t>
      </w:r>
      <w:r>
        <w:rPr>
          <w:spacing w:val="38"/>
          <w:w w:val="95"/>
        </w:rPr>
      </w:r>
      <w:r>
        <w:rPr>
          <w:w w:val="95"/>
        </w:rPr>
        <w:t>认应享有被投资单位净损益的份额时，以取得投资时被投资单位各项可辨认资产等的公允价值为基础，并</w:t>
      </w:r>
      <w:r>
        <w:rPr>
          <w:spacing w:val="40"/>
          <w:w w:val="95"/>
        </w:rPr>
        <w:t> </w:t>
      </w:r>
      <w:r>
        <w:rPr>
          <w:spacing w:val="40"/>
          <w:w w:val="95"/>
        </w:rPr>
      </w:r>
      <w:r>
        <w:rPr/>
        <w:t>按照本集团的会计政策及会计期间，对被投资单位的净利润进行调整后确认。</w:t>
      </w:r>
    </w:p>
    <w:p>
      <w:pPr>
        <w:pStyle w:val="BodyText"/>
        <w:spacing w:line="273" w:lineRule="auto" w:before="127"/>
        <w:ind w:right="1132" w:firstLine="427"/>
        <w:jc w:val="both"/>
      </w:pPr>
      <w:r>
        <w:rPr>
          <w:w w:val="95"/>
        </w:rPr>
        <w:t>因追加投资等原因能够对被投资单位施加重大影响或实施共同控制但不构成控制的，在转换日，按照</w:t>
      </w:r>
      <w:r>
        <w:rPr>
          <w:w w:val="99"/>
        </w:rPr>
        <w:t> </w:t>
      </w:r>
      <w:r>
        <w:rPr>
          <w:w w:val="95"/>
        </w:rPr>
        <w:t>原股权的公允价值加上新增投资成本之和，作为改按权益法核算的初始投资成本。原股权于转换日的公允</w:t>
      </w:r>
      <w:r>
        <w:rPr>
          <w:spacing w:val="37"/>
          <w:w w:val="95"/>
        </w:rPr>
        <w:t> </w:t>
      </w:r>
      <w:r>
        <w:rPr>
          <w:spacing w:val="37"/>
          <w:w w:val="95"/>
        </w:rPr>
      </w:r>
      <w:r>
        <w:rPr>
          <w:w w:val="95"/>
        </w:rPr>
        <w:t>价值与账面价值之间的差额，以及原计入其他综合收益的累计公允价值变动转入改按权益法核算的当期损   </w:t>
      </w:r>
      <w:r>
        <w:rPr>
          <w:spacing w:val="39"/>
          <w:w w:val="95"/>
        </w:rPr>
        <w:t> </w:t>
      </w:r>
      <w:r>
        <w:rPr>
          <w:spacing w:val="39"/>
          <w:w w:val="95"/>
        </w:rPr>
      </w:r>
      <w:r>
        <w:rPr/>
        <w:t>益。</w:t>
      </w:r>
    </w:p>
    <w:p>
      <w:pPr>
        <w:pStyle w:val="BodyText"/>
        <w:spacing w:line="268" w:lineRule="auto" w:before="127"/>
        <w:ind w:right="1132" w:firstLine="427"/>
        <w:jc w:val="both"/>
      </w:pPr>
      <w:r>
        <w:rPr>
          <w:w w:val="95"/>
        </w:rPr>
        <w:t>因处置部分股权投资等原因丧失了对被投资单位的共同控制或重大影响的，处置后的剩余股权在丧失</w:t>
      </w:r>
      <w:r>
        <w:rPr>
          <w:w w:val="99"/>
        </w:rPr>
        <w:t> </w:t>
      </w:r>
      <w:r>
        <w:rPr>
          <w:spacing w:val="-1"/>
          <w:w w:val="95"/>
        </w:rPr>
        <w:t>共同控制或重大影响之日改按《企业会计准则第</w:t>
      </w:r>
      <w:r>
        <w:rPr>
          <w:rFonts w:ascii="Arial" w:hAnsi="Arial" w:cs="Arial" w:eastAsia="Arial" w:hint="default"/>
          <w:spacing w:val="-1"/>
          <w:w w:val="95"/>
        </w:rPr>
        <w:t>22</w:t>
      </w:r>
      <w:r>
        <w:rPr>
          <w:spacing w:val="-1"/>
          <w:w w:val="95"/>
        </w:rPr>
        <w:t>号</w:t>
      </w:r>
      <w:r>
        <w:rPr>
          <w:rFonts w:ascii="Arial" w:hAnsi="Arial" w:cs="Arial" w:eastAsia="Arial" w:hint="default"/>
          <w:spacing w:val="-1"/>
          <w:w w:val="95"/>
        </w:rPr>
        <w:t>—</w:t>
      </w:r>
      <w:r>
        <w:rPr>
          <w:spacing w:val="-1"/>
          <w:w w:val="95"/>
        </w:rPr>
        <w:t>金融工具确认和计量》进行会计处理，公允价值与</w:t>
      </w:r>
      <w:r>
        <w:rPr>
          <w:spacing w:val="62"/>
          <w:w w:val="95"/>
        </w:rPr>
        <w:t> </w:t>
      </w:r>
      <w:r>
        <w:rPr>
          <w:spacing w:val="62"/>
          <w:w w:val="95"/>
        </w:rPr>
      </w:r>
      <w:r>
        <w:rPr>
          <w:w w:val="95"/>
        </w:rPr>
        <w:t>账面价值之间的差额计入当期损益。原股权投资因采用权益法核算而确认的其他综合收益，在终止采用权</w:t>
      </w:r>
      <w:r>
        <w:rPr>
          <w:spacing w:val="38"/>
          <w:w w:val="95"/>
        </w:rPr>
        <w:t> </w:t>
      </w:r>
      <w:r>
        <w:rPr>
          <w:spacing w:val="38"/>
          <w:w w:val="95"/>
        </w:rPr>
      </w:r>
      <w:r>
        <w:rPr>
          <w:w w:val="95"/>
        </w:rPr>
        <w:t>益法核算时采用与被投资单位直接处置相关资产或负债相同的基础进行会计处理；原股权投资相关的其他</w:t>
      </w:r>
      <w:r>
        <w:rPr>
          <w:spacing w:val="37"/>
          <w:w w:val="95"/>
        </w:rPr>
        <w:t> </w:t>
      </w:r>
      <w:r>
        <w:rPr>
          <w:spacing w:val="37"/>
          <w:w w:val="95"/>
        </w:rPr>
      </w:r>
      <w:r>
        <w:rPr/>
        <w:t>所有者权益变动转入当期损益。</w:t>
      </w:r>
    </w:p>
    <w:p>
      <w:pPr>
        <w:pStyle w:val="BodyText"/>
        <w:spacing w:line="268" w:lineRule="auto" w:before="132"/>
        <w:ind w:right="1025" w:firstLine="427"/>
        <w:jc w:val="left"/>
      </w:pPr>
      <w:r>
        <w:rPr/>
        <w:t>因处置部分股权投资等原因丧失了对被投资单位的控制的，处置后的剩余股权能够对被投资单位实施</w:t>
      </w:r>
      <w:r>
        <w:rPr>
          <w:w w:val="99"/>
        </w:rPr>
        <w:t> </w:t>
      </w:r>
      <w:r>
        <w:rPr>
          <w:spacing w:val="-3"/>
        </w:rPr>
        <w:t>共同控制或施加重大影响的，改按权益法核算，并对该剩余股权视同自取得时即采用权益法核算进行调整；</w:t>
      </w:r>
      <w:r>
        <w:rPr>
          <w:w w:val="99"/>
        </w:rPr>
        <w:t> </w:t>
      </w:r>
      <w:r>
        <w:rPr/>
        <w:t>处置后的剩余股权不能对被投资单位实施共同控制或施加重大影响的，改按《企业会计准则第</w:t>
      </w:r>
      <w:r>
        <w:rPr>
          <w:rFonts w:ascii="Arial" w:hAnsi="Arial" w:cs="Arial" w:eastAsia="Arial" w:hint="default"/>
        </w:rPr>
        <w:t>22</w:t>
      </w:r>
      <w:r>
        <w:rPr/>
        <w:t>号</w:t>
      </w:r>
      <w:r>
        <w:rPr>
          <w:rFonts w:ascii="Arial" w:hAnsi="Arial" w:cs="Arial" w:eastAsia="Arial" w:hint="default"/>
        </w:rPr>
        <w:t>—</w:t>
      </w:r>
      <w:r>
        <w:rPr/>
        <w:t>金融</w:t>
      </w:r>
      <w:r>
        <w:rPr>
          <w:w w:val="99"/>
        </w:rPr>
        <w:t> </w:t>
      </w:r>
      <w:r>
        <w:rPr/>
        <w:t>工具确认和计量》的有关规定进行会计处理，其在丧失控制之日的公允价值与账面价值之间的差额计入当</w:t>
      </w:r>
      <w:r>
        <w:rPr>
          <w:w w:val="99"/>
        </w:rPr>
        <w:t> </w:t>
      </w:r>
      <w:r>
        <w:rPr/>
        <w:t>期损益。</w:t>
      </w:r>
    </w:p>
    <w:p>
      <w:pPr>
        <w:pStyle w:val="BodyText"/>
        <w:spacing w:line="273" w:lineRule="auto" w:before="132"/>
        <w:ind w:right="1132" w:firstLine="427"/>
        <w:jc w:val="both"/>
      </w:pPr>
      <w:r>
        <w:rPr>
          <w:w w:val="95"/>
        </w:rPr>
        <w:t>因其他投资方增资而导致本公司持股比例下降、从而丧失控制权但能对被投资单位实施共同控制或施</w:t>
      </w:r>
      <w:r>
        <w:rPr>
          <w:w w:val="99"/>
        </w:rPr>
        <w:t> </w:t>
      </w:r>
      <w:r>
        <w:rPr>
          <w:w w:val="95"/>
        </w:rPr>
        <w:t>加重大影响的，按照新的持股比例确认本公司应享有的被投资单位因增资扩股而增加净资产的份额，与应</w:t>
      </w:r>
      <w:r>
        <w:rPr>
          <w:spacing w:val="37"/>
          <w:w w:val="95"/>
        </w:rPr>
        <w:t> </w:t>
      </w:r>
      <w:r>
        <w:rPr>
          <w:spacing w:val="37"/>
          <w:w w:val="95"/>
        </w:rPr>
      </w:r>
      <w:r>
        <w:rPr>
          <w:w w:val="95"/>
        </w:rPr>
        <w:t>结转持股比例下降部分所对应的长期股权投资原账面价值之间的差额计入当期损益；然后，按照新的持股</w:t>
      </w:r>
      <w:r>
        <w:rPr>
          <w:spacing w:val="37"/>
          <w:w w:val="95"/>
        </w:rPr>
        <w:t> </w:t>
      </w:r>
      <w:r>
        <w:rPr>
          <w:spacing w:val="37"/>
          <w:w w:val="95"/>
        </w:rPr>
      </w:r>
      <w:r>
        <w:rPr/>
        <w:t>比例视同自取得投资时即采用权益法核算进行调整。</w:t>
      </w:r>
    </w:p>
    <w:p>
      <w:pPr>
        <w:pStyle w:val="BodyText"/>
        <w:spacing w:line="273" w:lineRule="auto" w:before="127"/>
        <w:ind w:right="996" w:firstLine="427"/>
        <w:jc w:val="left"/>
      </w:pPr>
      <w:r>
        <w:rPr/>
        <w:t>本集团与联营企业及合营企业之间发生的未实现内部交易损益按照持股比例计算归属于本集团的部</w:t>
      </w:r>
      <w:r>
        <w:rPr>
          <w:w w:val="99"/>
        </w:rPr>
        <w:t> </w:t>
      </w:r>
      <w:r>
        <w:rPr>
          <w:w w:val="95"/>
        </w:rPr>
        <w:t>分，在抵销基础上确认投资损益。但本集团与被投资单位发生的未实现内部交易损失，属于所转让资产减</w:t>
      </w:r>
      <w:r>
        <w:rPr>
          <w:spacing w:val="37"/>
          <w:w w:val="95"/>
        </w:rPr>
        <w:t> </w:t>
      </w:r>
      <w:r>
        <w:rPr>
          <w:spacing w:val="37"/>
          <w:w w:val="95"/>
        </w:rPr>
      </w:r>
      <w:r>
        <w:rPr/>
        <w:t>值损失的，不予以抵销。</w:t>
      </w:r>
    </w:p>
    <w:p>
      <w:pPr>
        <w:spacing w:line="590" w:lineRule="atLeast" w:before="7"/>
        <w:ind w:left="540" w:right="996" w:hanging="428"/>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3</w:t>
      </w:r>
      <w:r>
        <w:rPr>
          <w:rFonts w:ascii="宋体" w:hAnsi="宋体" w:cs="宋体" w:eastAsia="宋体" w:hint="default"/>
          <w:b/>
          <w:bCs/>
          <w:sz w:val="21"/>
          <w:szCs w:val="21"/>
        </w:rPr>
        <w:t>）确定对被投资单位具有共同控制、重大影响的依据</w:t>
      </w:r>
      <w:r>
        <w:rPr>
          <w:rFonts w:ascii="宋体" w:hAnsi="宋体" w:cs="宋体" w:eastAsia="宋体" w:hint="default"/>
          <w:b/>
          <w:bCs/>
          <w:w w:val="99"/>
          <w:sz w:val="21"/>
          <w:szCs w:val="21"/>
        </w:rPr>
        <w:t> </w:t>
      </w:r>
      <w:r>
        <w:rPr>
          <w:rFonts w:ascii="宋体" w:hAnsi="宋体" w:cs="宋体" w:eastAsia="宋体" w:hint="default"/>
          <w:w w:val="95"/>
          <w:sz w:val="21"/>
          <w:szCs w:val="21"/>
        </w:rPr>
        <w:t>共同控制，是指按照相关约定对某项安排所共有的控制，并且该安排的相关活动必须经过分享控制权</w:t>
      </w:r>
      <w:r>
        <w:rPr>
          <w:rFonts w:ascii="宋体" w:hAnsi="宋体" w:cs="宋体" w:eastAsia="宋体" w:hint="default"/>
          <w:sz w:val="21"/>
          <w:szCs w:val="21"/>
        </w:rPr>
      </w:r>
    </w:p>
    <w:p>
      <w:pPr>
        <w:pStyle w:val="BodyText"/>
        <w:spacing w:line="240" w:lineRule="auto" w:before="37"/>
        <w:ind w:right="996"/>
        <w:jc w:val="left"/>
      </w:pPr>
      <w:r>
        <w:rPr/>
        <w:t>的参与方一致同意后才能决策。在判断是否存在共同控制时，首先判断是否由所有参与方或参与方组合集</w:t>
      </w:r>
    </w:p>
    <w:p>
      <w:pPr>
        <w:spacing w:after="0" w:line="240" w:lineRule="auto"/>
        <w:jc w:val="left"/>
        <w:sectPr>
          <w:pgSz w:w="11910" w:h="16840"/>
          <w:pgMar w:header="878" w:footer="978" w:top="1100" w:bottom="1160" w:left="1020" w:right="0"/>
        </w:sectPr>
      </w:pPr>
    </w:p>
    <w:p>
      <w:pPr>
        <w:spacing w:line="240" w:lineRule="auto" w:before="12"/>
        <w:rPr>
          <w:rFonts w:ascii="宋体" w:hAnsi="宋体" w:cs="宋体" w:eastAsia="宋体" w:hint="default"/>
          <w:sz w:val="20"/>
          <w:szCs w:val="20"/>
        </w:rPr>
      </w:pPr>
    </w:p>
    <w:p>
      <w:pPr>
        <w:pStyle w:val="BodyText"/>
        <w:spacing w:line="273" w:lineRule="auto"/>
        <w:ind w:right="1112"/>
        <w:jc w:val="both"/>
      </w:pPr>
      <w:r>
        <w:rPr>
          <w:w w:val="95"/>
        </w:rPr>
        <w:t>体控制该安排，其次再判断该安排相关活动的决策是否必须经过这些集体控制该安排的参与方一致同意。</w:t>
      </w:r>
      <w:r>
        <w:rPr>
          <w:spacing w:val="61"/>
          <w:w w:val="95"/>
        </w:rPr>
        <w:t> </w:t>
      </w:r>
      <w:r>
        <w:rPr>
          <w:spacing w:val="61"/>
          <w:w w:val="95"/>
        </w:rPr>
      </w:r>
      <w:r>
        <w:rPr>
          <w:w w:val="95"/>
        </w:rPr>
        <w:t>如果所有参与方或一组参与方必须一致行动才能决定某项安排的相关活动，则认为所有参与方或一组参与</w:t>
      </w:r>
      <w:r>
        <w:rPr>
          <w:spacing w:val="39"/>
          <w:w w:val="95"/>
        </w:rPr>
        <w:t> </w:t>
      </w:r>
      <w:r>
        <w:rPr>
          <w:spacing w:val="39"/>
          <w:w w:val="95"/>
        </w:rPr>
      </w:r>
      <w:r>
        <w:rPr>
          <w:w w:val="95"/>
        </w:rPr>
        <w:t>方集体控制该安排；如果存在两个或两个以上的参与方组合能够集体控制某项安排的，不构成共同控制。</w:t>
      </w:r>
      <w:r>
        <w:rPr>
          <w:spacing w:val="61"/>
          <w:w w:val="95"/>
        </w:rPr>
        <w:t> </w:t>
      </w:r>
      <w:r>
        <w:rPr>
          <w:spacing w:val="61"/>
          <w:w w:val="95"/>
        </w:rPr>
      </w:r>
      <w:r>
        <w:rPr/>
        <w:t>判断是否存在共同控制时，不考虑享有的保护性权利。</w:t>
      </w:r>
    </w:p>
    <w:p>
      <w:pPr>
        <w:pStyle w:val="BodyText"/>
        <w:spacing w:line="273" w:lineRule="auto" w:before="127"/>
        <w:ind w:right="996" w:firstLine="427"/>
        <w:jc w:val="left"/>
      </w:pPr>
      <w:r>
        <w:rPr>
          <w:w w:val="95"/>
        </w:rPr>
        <w:t>重大影响，是指投资方对被投资单位的财务和经营政策有参与决策的权力，但并不能够控制或者与其</w:t>
      </w:r>
      <w:r>
        <w:rPr>
          <w:w w:val="99"/>
        </w:rPr>
        <w:t> </w:t>
      </w:r>
      <w:r>
        <w:rPr>
          <w:w w:val="95"/>
        </w:rPr>
        <w:t>他方一起共同控制这些政策的制定。在确定能否对被投资单位施加重大影响时，考虑投资方直接或间接持</w:t>
      </w:r>
      <w:r>
        <w:rPr>
          <w:spacing w:val="40"/>
          <w:w w:val="95"/>
        </w:rPr>
        <w:t> </w:t>
      </w:r>
      <w:r>
        <w:rPr>
          <w:spacing w:val="40"/>
          <w:w w:val="95"/>
        </w:rPr>
      </w:r>
      <w:r>
        <w:rPr/>
        <w:t>有被投资单位的表决权股份以及投资方及其他方持有的当期可执行潜在表决权在假定转换为对被投资方</w:t>
      </w:r>
      <w:r>
        <w:rPr>
          <w:w w:val="99"/>
        </w:rPr>
        <w:t> </w:t>
      </w:r>
      <w:r>
        <w:rPr>
          <w:w w:val="95"/>
        </w:rPr>
        <w:t>单位的股权后产生的影响，包括被投资单位发行的当期可转换的认股权证、股份期权及可转换公司债券等</w:t>
      </w:r>
      <w:r>
        <w:rPr>
          <w:spacing w:val="40"/>
          <w:w w:val="95"/>
        </w:rPr>
        <w:t> </w:t>
      </w:r>
      <w:r>
        <w:rPr>
          <w:spacing w:val="40"/>
          <w:w w:val="95"/>
        </w:rPr>
      </w:r>
      <w:r>
        <w:rPr/>
        <w:t>的影响。</w:t>
      </w:r>
    </w:p>
    <w:p>
      <w:pPr>
        <w:pStyle w:val="BodyText"/>
        <w:spacing w:line="264" w:lineRule="auto" w:before="127"/>
        <w:ind w:right="996" w:firstLine="427"/>
        <w:jc w:val="left"/>
      </w:pPr>
      <w:r>
        <w:rPr/>
        <w:t>当本公司直接或通过子公司间接拥有被投资单位</w:t>
      </w:r>
      <w:r>
        <w:rPr>
          <w:rFonts w:ascii="Arial" w:hAnsi="Arial" w:cs="Arial" w:eastAsia="Arial" w:hint="default"/>
        </w:rPr>
        <w:t>20%</w:t>
      </w:r>
      <w:r>
        <w:rPr/>
        <w:t>（含</w:t>
      </w:r>
      <w:r>
        <w:rPr>
          <w:rFonts w:ascii="Arial" w:hAnsi="Arial" w:cs="Arial" w:eastAsia="Arial" w:hint="default"/>
        </w:rPr>
        <w:t>20%</w:t>
      </w:r>
      <w:r>
        <w:rPr/>
        <w:t>）以上但低于</w:t>
      </w:r>
      <w:r>
        <w:rPr>
          <w:rFonts w:ascii="Arial" w:hAnsi="Arial" w:cs="Arial" w:eastAsia="Arial" w:hint="default"/>
        </w:rPr>
        <w:t>50%</w:t>
      </w:r>
      <w:r>
        <w:rPr/>
        <w:t>的表决权股份时，一</w:t>
      </w:r>
      <w:r>
        <w:rPr>
          <w:w w:val="99"/>
        </w:rPr>
        <w:t> </w:t>
      </w:r>
      <w:r>
        <w:rPr>
          <w:w w:val="95"/>
        </w:rPr>
        <w:t>般认为对被投资单位具有重大影响，除非有明确证据表明该种情况下不能参与被投资单位的生产经营决策，</w:t>
      </w:r>
      <w:r>
        <w:rPr>
          <w:spacing w:val="49"/>
          <w:w w:val="95"/>
        </w:rPr>
        <w:t> </w:t>
      </w:r>
      <w:r>
        <w:rPr>
          <w:spacing w:val="49"/>
          <w:w w:val="95"/>
        </w:rPr>
      </w:r>
      <w:r>
        <w:rPr/>
        <w:t>不形成重大影响；本集团拥有被投资单位</w:t>
      </w:r>
      <w:r>
        <w:rPr>
          <w:rFonts w:ascii="Arial" w:hAnsi="Arial" w:cs="Arial" w:eastAsia="Arial" w:hint="default"/>
        </w:rPr>
        <w:t>20%</w:t>
      </w:r>
      <w:r>
        <w:rPr/>
        <w:t>（不含）以下的表决权股份时，一般不认为对被投资单位具</w:t>
      </w:r>
      <w:r>
        <w:rPr>
          <w:w w:val="99"/>
        </w:rPr>
        <w:t> </w:t>
      </w:r>
      <w:r>
        <w:rPr/>
        <w:t>有重大影响，除非有明确证据表明该种情况下能够参与被投资单位的生产经营决策，形成重大影响。</w:t>
      </w:r>
    </w:p>
    <w:p>
      <w:pPr>
        <w:spacing w:line="240" w:lineRule="auto" w:before="2"/>
        <w:rPr>
          <w:rFonts w:ascii="宋体" w:hAnsi="宋体" w:cs="宋体" w:eastAsia="宋体" w:hint="default"/>
          <w:sz w:val="24"/>
          <w:szCs w:val="24"/>
        </w:rPr>
      </w:pPr>
    </w:p>
    <w:p>
      <w:pPr>
        <w:spacing w:line="506" w:lineRule="auto" w:before="0"/>
        <w:ind w:left="540" w:right="996" w:hanging="428"/>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4</w:t>
      </w:r>
      <w:r>
        <w:rPr>
          <w:rFonts w:ascii="宋体" w:hAnsi="宋体" w:cs="宋体" w:eastAsia="宋体" w:hint="default"/>
          <w:b/>
          <w:bCs/>
          <w:sz w:val="21"/>
          <w:szCs w:val="21"/>
        </w:rPr>
        <w:t>）减值测试方法及减值准备计提方法</w:t>
      </w:r>
      <w:r>
        <w:rPr>
          <w:rFonts w:ascii="宋体" w:hAnsi="宋体" w:cs="宋体" w:eastAsia="宋体" w:hint="default"/>
          <w:b/>
          <w:bCs/>
          <w:w w:val="99"/>
          <w:sz w:val="21"/>
          <w:szCs w:val="21"/>
        </w:rPr>
        <w:t> </w:t>
      </w:r>
      <w:r>
        <w:rPr>
          <w:rFonts w:ascii="宋体" w:hAnsi="宋体" w:cs="宋体" w:eastAsia="宋体" w:hint="default"/>
          <w:w w:val="95"/>
          <w:sz w:val="21"/>
          <w:szCs w:val="21"/>
        </w:rPr>
        <w:t>对子公司、联营企业及合营企业的投资，计提资产减值的方法见附注五、</w:t>
      </w:r>
      <w:r>
        <w:rPr>
          <w:rFonts w:ascii="Arial" w:hAnsi="Arial" w:cs="Arial" w:eastAsia="Arial" w:hint="default"/>
          <w:w w:val="95"/>
          <w:sz w:val="21"/>
          <w:szCs w:val="21"/>
        </w:rPr>
        <w:t>18</w:t>
      </w:r>
      <w:r>
        <w:rPr>
          <w:rFonts w:ascii="宋体" w:hAnsi="宋体" w:cs="宋体" w:eastAsia="宋体" w:hint="default"/>
          <w:w w:val="95"/>
          <w:sz w:val="21"/>
          <w:szCs w:val="21"/>
        </w:rPr>
        <w:t>。</w:t>
      </w:r>
      <w:r>
        <w:rPr>
          <w:rFonts w:ascii="宋体" w:hAnsi="宋体" w:cs="宋体" w:eastAsia="宋体" w:hint="default"/>
          <w:sz w:val="21"/>
          <w:szCs w:val="21"/>
        </w:rPr>
      </w:r>
    </w:p>
    <w:p>
      <w:pPr>
        <w:pStyle w:val="Heading4"/>
        <w:spacing w:line="240" w:lineRule="auto" w:before="61"/>
        <w:ind w:right="0"/>
        <w:jc w:val="both"/>
        <w:rPr>
          <w:b w:val="0"/>
          <w:bCs w:val="0"/>
        </w:rPr>
      </w:pPr>
      <w:bookmarkStart w:name="14、固定资产" w:id="182"/>
      <w:bookmarkEnd w:id="182"/>
      <w:r>
        <w:rPr>
          <w:b w:val="0"/>
          <w:bCs w:val="0"/>
        </w:rPr>
      </w:r>
      <w:r>
        <w:rPr>
          <w:rFonts w:ascii="Arial" w:hAnsi="Arial" w:cs="Arial" w:eastAsia="Arial" w:hint="default"/>
        </w:rPr>
        <w:t>14</w:t>
      </w:r>
      <w:r>
        <w:rPr/>
        <w:t>、固定资产</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0"/>
        <w:jc w:val="both"/>
        <w:rPr>
          <w:b w:val="0"/>
          <w:bCs w:val="0"/>
        </w:rPr>
      </w:pPr>
      <w:bookmarkStart w:name="（1）确认条件" w:id="183"/>
      <w:bookmarkEnd w:id="183"/>
      <w:r>
        <w:rPr>
          <w:b w:val="0"/>
          <w:bCs w:val="0"/>
        </w:rPr>
      </w:r>
      <w:r>
        <w:rPr/>
        <w:t>（</w:t>
      </w:r>
      <w:r>
        <w:rPr>
          <w:rFonts w:ascii="Arial" w:hAnsi="Arial" w:cs="Arial" w:eastAsia="Arial" w:hint="default"/>
        </w:rPr>
        <w:t>1</w:t>
      </w:r>
      <w:r>
        <w:rPr/>
        <w:t>）确认条件</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1112" w:firstLine="427"/>
        <w:jc w:val="both"/>
      </w:pPr>
      <w:r>
        <w:rPr>
          <w:w w:val="95"/>
        </w:rPr>
        <w:t>本集团固定资产是指为生产商品、提供劳务、出租或经营管理而持有的，使用寿命超过一个会计年度</w:t>
      </w:r>
      <w:r>
        <w:rPr>
          <w:w w:val="99"/>
        </w:rPr>
        <w:t> </w:t>
      </w:r>
      <w:r>
        <w:rPr>
          <w:w w:val="95"/>
        </w:rPr>
        <w:t>的有形资产。与该固定资产有关的经济利益很可能流入企业，并且该固定资产的成本能够可靠地计量时，</w:t>
      </w:r>
      <w:r>
        <w:rPr>
          <w:spacing w:val="61"/>
          <w:w w:val="95"/>
        </w:rPr>
        <w:t> </w:t>
      </w:r>
      <w:r>
        <w:rPr>
          <w:spacing w:val="61"/>
          <w:w w:val="95"/>
        </w:rPr>
      </w:r>
      <w:r>
        <w:rPr/>
        <w:t>固定资产才能予以确认。本集团固定资产按照取得时的实际成本进行初始计量。</w:t>
      </w:r>
    </w:p>
    <w:p>
      <w:pPr>
        <w:spacing w:line="240" w:lineRule="auto" w:before="7"/>
        <w:rPr>
          <w:rFonts w:ascii="宋体" w:hAnsi="宋体" w:cs="宋体" w:eastAsia="宋体" w:hint="default"/>
          <w:sz w:val="23"/>
          <w:szCs w:val="23"/>
        </w:rPr>
      </w:pPr>
    </w:p>
    <w:p>
      <w:pPr>
        <w:pStyle w:val="Heading4"/>
        <w:spacing w:line="240" w:lineRule="auto"/>
        <w:ind w:right="0"/>
        <w:jc w:val="both"/>
        <w:rPr>
          <w:b w:val="0"/>
          <w:bCs w:val="0"/>
        </w:rPr>
      </w:pPr>
      <w:bookmarkStart w:name="（2）折旧方法" w:id="184"/>
      <w:bookmarkEnd w:id="184"/>
      <w:r>
        <w:rPr>
          <w:b w:val="0"/>
          <w:bCs w:val="0"/>
        </w:rPr>
      </w:r>
      <w:r>
        <w:rPr/>
        <w:t>（</w:t>
      </w:r>
      <w:r>
        <w:rPr>
          <w:rFonts w:ascii="Arial" w:hAnsi="Arial" w:cs="Arial" w:eastAsia="Arial"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Arial" w:hAnsi="Arial" w:cs="Arial" w:eastAsia="Arial" w:hint="default"/>
                <w:sz w:val="18"/>
                <w:szCs w:val="18"/>
              </w:rPr>
            </w:pPr>
            <w:r>
              <w:rPr>
                <w:rFonts w:ascii="Arial"/>
                <w:sz w:val="18"/>
              </w:rPr>
              <w:t>30-50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Arial" w:hAnsi="Arial" w:cs="Arial" w:eastAsia="Arial" w:hint="default"/>
                <w:sz w:val="18"/>
                <w:szCs w:val="18"/>
              </w:rPr>
            </w:pPr>
            <w:r>
              <w:rPr>
                <w:rFonts w:ascii="Arial"/>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Arial" w:hAnsi="Arial" w:cs="Arial" w:eastAsia="Arial" w:hint="default"/>
                <w:sz w:val="18"/>
                <w:szCs w:val="18"/>
              </w:rPr>
            </w:pPr>
            <w:r>
              <w:rPr>
                <w:rFonts w:ascii="Arial"/>
                <w:sz w:val="18"/>
              </w:rPr>
              <w:t>1.90%-3.17%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Arial" w:hAnsi="Arial" w:cs="Arial" w:eastAsia="Arial" w:hint="default"/>
                <w:sz w:val="18"/>
                <w:szCs w:val="18"/>
              </w:rPr>
            </w:pPr>
            <w:r>
              <w:rPr>
                <w:rFonts w:ascii="Arial"/>
                <w:sz w:val="18"/>
              </w:rPr>
              <w:t>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Arial" w:hAnsi="Arial" w:cs="Arial" w:eastAsia="Arial" w:hint="default"/>
                <w:sz w:val="18"/>
                <w:szCs w:val="18"/>
              </w:rPr>
            </w:pPr>
            <w:r>
              <w:rPr>
                <w:rFonts w:ascii="Arial"/>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Arial" w:hAnsi="Arial" w:cs="Arial" w:eastAsia="Arial" w:hint="default"/>
                <w:sz w:val="18"/>
                <w:szCs w:val="18"/>
              </w:rPr>
            </w:pPr>
            <w:r>
              <w:rPr>
                <w:rFonts w:ascii="Arial"/>
                <w:sz w:val="18"/>
              </w:rPr>
              <w:t>9.50%-23.75%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电子设备及其它</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Arial" w:hAnsi="Arial" w:cs="Arial" w:eastAsia="Arial" w:hint="default"/>
                <w:sz w:val="18"/>
                <w:szCs w:val="18"/>
              </w:rPr>
            </w:pPr>
            <w:r>
              <w:rPr>
                <w:rFonts w:ascii="Arial"/>
                <w:w w:val="99"/>
                <w:sz w:val="18"/>
              </w:rPr>
              <w:t>5</w:t>
            </w:r>
            <w:r>
              <w:rPr>
                <w:rFonts w:ascii="Arial"/>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Arial" w:hAnsi="Arial" w:cs="Arial" w:eastAsia="Arial" w:hint="default"/>
                <w:sz w:val="18"/>
                <w:szCs w:val="18"/>
              </w:rPr>
            </w:pPr>
            <w:r>
              <w:rPr>
                <w:rFonts w:ascii="Arial"/>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Arial" w:hAnsi="Arial" w:cs="Arial" w:eastAsia="Arial" w:hint="default"/>
                <w:sz w:val="18"/>
                <w:szCs w:val="18"/>
              </w:rPr>
            </w:pPr>
            <w:r>
              <w:rPr>
                <w:rFonts w:ascii="Arial"/>
                <w:sz w:val="18"/>
              </w:rPr>
              <w:t>19.00%</w:t>
            </w:r>
          </w:p>
        </w:tc>
      </w:tr>
    </w:tbl>
    <w:p>
      <w:pPr>
        <w:spacing w:line="240" w:lineRule="auto" w:before="5"/>
        <w:rPr>
          <w:rFonts w:ascii="宋体" w:hAnsi="宋体" w:cs="宋体" w:eastAsia="宋体" w:hint="default"/>
          <w:b/>
          <w:bCs/>
          <w:sz w:val="5"/>
          <w:szCs w:val="5"/>
        </w:rPr>
      </w:pPr>
    </w:p>
    <w:p>
      <w:pPr>
        <w:pStyle w:val="BodyText"/>
        <w:spacing w:line="273" w:lineRule="auto"/>
        <w:ind w:right="1132" w:firstLine="427"/>
        <w:jc w:val="both"/>
      </w:pPr>
      <w:r>
        <w:rPr>
          <w:w w:val="95"/>
        </w:rPr>
        <w:t>本集团采用年限平均法计提折旧。固定资产自达到预定可使用状态时开始计提折旧，终止确认时或划</w:t>
      </w:r>
      <w:r>
        <w:rPr>
          <w:w w:val="99"/>
        </w:rPr>
        <w:t> </w:t>
      </w:r>
      <w:r>
        <w:rPr>
          <w:w w:val="95"/>
        </w:rPr>
        <w:t>分为持有待售非流动资产时停止计提折旧。在不考虑减值准备的情况下，按固定资产类别、预计使用寿命</w:t>
      </w:r>
      <w:r>
        <w:rPr>
          <w:spacing w:val="37"/>
          <w:w w:val="95"/>
        </w:rPr>
        <w:t> </w:t>
      </w:r>
      <w:r>
        <w:rPr>
          <w:spacing w:val="37"/>
          <w:w w:val="95"/>
        </w:rPr>
      </w:r>
      <w:r>
        <w:rPr>
          <w:w w:val="95"/>
        </w:rPr>
        <w:t>和预计残值。其中，已计提减值准备的固定资产，还应扣除已计提的固定资产减值准备累计金额计算确定</w:t>
      </w:r>
      <w:r>
        <w:rPr>
          <w:spacing w:val="37"/>
          <w:w w:val="95"/>
        </w:rPr>
        <w:t> </w:t>
      </w:r>
      <w:r>
        <w:rPr>
          <w:spacing w:val="37"/>
          <w:w w:val="95"/>
        </w:rPr>
      </w:r>
      <w:r>
        <w:rPr/>
        <w:t>折旧率。</w:t>
      </w:r>
    </w:p>
    <w:p>
      <w:pPr>
        <w:spacing w:line="590" w:lineRule="atLeast" w:before="10"/>
        <w:ind w:left="540" w:right="996" w:hanging="428"/>
        <w:jc w:val="left"/>
        <w:rPr>
          <w:rFonts w:ascii="宋体" w:hAnsi="宋体" w:cs="宋体" w:eastAsia="宋体" w:hint="default"/>
          <w:sz w:val="21"/>
          <w:szCs w:val="21"/>
        </w:rPr>
      </w:pPr>
      <w:bookmarkStart w:name="（3）融资租入固定资产的认定依据、计价和折旧方法" w:id="185"/>
      <w:bookmarkEnd w:id="185"/>
      <w:r>
        <w:rPr/>
      </w:r>
      <w:r>
        <w:rPr>
          <w:rFonts w:ascii="宋体" w:hAnsi="宋体" w:cs="宋体" w:eastAsia="宋体" w:hint="default"/>
          <w:b/>
          <w:bCs/>
          <w:sz w:val="21"/>
          <w:szCs w:val="21"/>
        </w:rPr>
        <w:t>（</w:t>
      </w:r>
      <w:r>
        <w:rPr>
          <w:rFonts w:ascii="Arial" w:hAnsi="Arial" w:cs="Arial" w:eastAsia="Arial"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b/>
          <w:bCs/>
          <w:w w:val="99"/>
          <w:sz w:val="21"/>
          <w:szCs w:val="21"/>
        </w:rPr>
        <w:t> </w:t>
      </w:r>
      <w:r>
        <w:rPr>
          <w:rFonts w:ascii="宋体" w:hAnsi="宋体" w:cs="宋体" w:eastAsia="宋体" w:hint="default"/>
          <w:w w:val="95"/>
          <w:sz w:val="21"/>
          <w:szCs w:val="21"/>
        </w:rPr>
        <w:t>当本集团租入的固定资产符合下列一项或数项标准时，确认为融资租入固定资产：</w:t>
      </w:r>
      <w:r>
        <w:rPr>
          <w:rFonts w:ascii="宋体" w:hAnsi="宋体" w:cs="宋体" w:eastAsia="宋体" w:hint="default"/>
          <w:sz w:val="21"/>
          <w:szCs w:val="21"/>
        </w:rPr>
      </w:r>
    </w:p>
    <w:p>
      <w:pPr>
        <w:pStyle w:val="BodyText"/>
        <w:spacing w:line="240" w:lineRule="auto" w:before="157"/>
        <w:ind w:left="540" w:right="996"/>
        <w:jc w:val="left"/>
      </w:pPr>
      <w:r>
        <w:rPr/>
        <w:t>①在租赁期届满时，租赁资产的所有权转移给本集团。</w:t>
      </w:r>
    </w:p>
    <w:p>
      <w:pPr>
        <w:pStyle w:val="BodyText"/>
        <w:spacing w:line="240" w:lineRule="auto" w:before="157"/>
        <w:ind w:left="540" w:right="996"/>
        <w:jc w:val="left"/>
      </w:pPr>
      <w:r>
        <w:rPr/>
        <w:t>②本集团有购买租赁资产的选择权，所订立的购买价款预计将远低于行使选择权时租赁资产的公允价</w:t>
      </w:r>
    </w:p>
    <w:p>
      <w:pPr>
        <w:spacing w:after="0" w:line="240" w:lineRule="auto"/>
        <w:jc w:val="left"/>
        <w:sectPr>
          <w:pgSz w:w="11910" w:h="16840"/>
          <w:pgMar w:header="878" w:footer="978" w:top="1100" w:bottom="1160" w:left="1020" w:right="0"/>
        </w:sectPr>
      </w:pPr>
    </w:p>
    <w:p>
      <w:pPr>
        <w:spacing w:line="240" w:lineRule="auto" w:before="12"/>
        <w:rPr>
          <w:rFonts w:ascii="宋体" w:hAnsi="宋体" w:cs="宋体" w:eastAsia="宋体" w:hint="default"/>
          <w:sz w:val="20"/>
          <w:szCs w:val="20"/>
        </w:rPr>
      </w:pPr>
    </w:p>
    <w:p>
      <w:pPr>
        <w:pStyle w:val="BodyText"/>
        <w:spacing w:line="240" w:lineRule="auto"/>
        <w:ind w:right="996"/>
        <w:jc w:val="left"/>
      </w:pPr>
      <w:r>
        <w:rPr/>
        <w:t>值，因而在租赁开始日就可以合理确定本集团将会行使这种选择权。</w:t>
      </w:r>
    </w:p>
    <w:p>
      <w:pPr>
        <w:pStyle w:val="BodyText"/>
        <w:spacing w:line="240" w:lineRule="auto" w:before="157"/>
        <w:ind w:left="540" w:right="996"/>
        <w:jc w:val="left"/>
      </w:pPr>
      <w:r>
        <w:rPr/>
        <w:t>③即使资产的所有权不转移，但租赁期占租赁资产使用寿命的大部分。</w:t>
      </w:r>
    </w:p>
    <w:p>
      <w:pPr>
        <w:pStyle w:val="BodyText"/>
        <w:spacing w:line="240" w:lineRule="auto" w:before="157"/>
        <w:ind w:left="540" w:right="996"/>
        <w:jc w:val="left"/>
      </w:pPr>
      <w:r>
        <w:rPr/>
        <w:t>④本集团在租赁开始日的最低租赁付款额现值，几乎相当于租赁开始日租赁资产公允价值。</w:t>
      </w:r>
    </w:p>
    <w:p>
      <w:pPr>
        <w:pStyle w:val="BodyText"/>
        <w:spacing w:line="430" w:lineRule="atLeast" w:before="2"/>
        <w:ind w:left="540" w:right="996"/>
        <w:jc w:val="left"/>
      </w:pPr>
      <w:r>
        <w:rPr/>
        <w:t>⑤租赁资产性质特殊，如果不作较大改造，只有本集团才能使用。</w:t>
      </w:r>
      <w:r>
        <w:rPr>
          <w:w w:val="99"/>
        </w:rPr>
        <w:t> </w:t>
      </w:r>
      <w:r>
        <w:rPr>
          <w:w w:val="95"/>
        </w:rPr>
        <w:t>融资租赁租入的固定资产，按租赁开始日租赁资产公允价值与最低租赁付款额的现值两者中较低者，</w:t>
      </w:r>
      <w:r>
        <w:rPr/>
      </w:r>
    </w:p>
    <w:p>
      <w:pPr>
        <w:pStyle w:val="BodyText"/>
        <w:spacing w:line="273" w:lineRule="auto" w:before="37"/>
        <w:ind w:right="1132"/>
        <w:jc w:val="both"/>
      </w:pPr>
      <w:r>
        <w:rPr>
          <w:w w:val="95"/>
        </w:rPr>
        <w:t>作为入账价值。最低租赁付款额作为长期应付款的入账价值，其差额作为未确认融资费用。在租赁谈判和</w:t>
      </w:r>
      <w:r>
        <w:rPr>
          <w:spacing w:val="37"/>
          <w:w w:val="95"/>
        </w:rPr>
        <w:t> </w:t>
      </w:r>
      <w:r>
        <w:rPr>
          <w:spacing w:val="37"/>
          <w:w w:val="95"/>
        </w:rPr>
      </w:r>
      <w:r>
        <w:rPr>
          <w:w w:val="95"/>
        </w:rPr>
        <w:t>签订租赁合同过程中发生的，可归属于租赁项目的手续费、律师费、差旅费、印花税等初始直接费用，计</w:t>
      </w:r>
      <w:r>
        <w:rPr>
          <w:spacing w:val="39"/>
          <w:w w:val="95"/>
        </w:rPr>
        <w:t> </w:t>
      </w:r>
      <w:r>
        <w:rPr>
          <w:spacing w:val="39"/>
          <w:w w:val="95"/>
        </w:rPr>
      </w:r>
      <w:r>
        <w:rPr/>
        <w:t>入租入资产价值。未确认融资费用在租赁期内各个期间采用实际利率法进行分摊。</w:t>
      </w:r>
    </w:p>
    <w:p>
      <w:pPr>
        <w:pStyle w:val="BodyText"/>
        <w:spacing w:line="273" w:lineRule="auto" w:before="127"/>
        <w:ind w:right="1135" w:firstLine="427"/>
        <w:jc w:val="both"/>
      </w:pPr>
      <w:r>
        <w:rPr>
          <w:w w:val="95"/>
        </w:rPr>
        <w:t>融资租入的固定资产采用与自有固定资产一致的政策计提租赁资产折旧。能够合理确定租赁期届满时</w:t>
      </w:r>
      <w:r>
        <w:rPr>
          <w:w w:val="99"/>
        </w:rPr>
        <w:t> </w:t>
      </w:r>
      <w:r>
        <w:rPr>
          <w:w w:val="95"/>
        </w:rPr>
        <w:t>将会取得租赁资产所有权的，在租赁资产尚可使用年限内计提折旧；无法合理确定租赁期届满时能够取得</w:t>
      </w:r>
      <w:r>
        <w:rPr>
          <w:spacing w:val="37"/>
          <w:w w:val="95"/>
        </w:rPr>
        <w:t> </w:t>
      </w:r>
      <w:r>
        <w:rPr>
          <w:spacing w:val="37"/>
          <w:w w:val="95"/>
        </w:rPr>
      </w:r>
      <w:r>
        <w:rPr/>
        <w:t>租赁资产所有权的，在租赁期与租赁资产尚可使用年限两者中较短的期间内计提折旧。</w:t>
      </w:r>
    </w:p>
    <w:p>
      <w:pPr>
        <w:spacing w:line="590" w:lineRule="atLeast" w:before="7"/>
        <w:ind w:left="532" w:right="996" w:hanging="420"/>
        <w:jc w:val="left"/>
        <w:rPr>
          <w:rFonts w:ascii="宋体" w:hAnsi="宋体" w:cs="宋体" w:eastAsia="宋体" w:hint="default"/>
          <w:sz w:val="21"/>
          <w:szCs w:val="21"/>
        </w:rPr>
      </w:pPr>
      <w:bookmarkStart w:name="（4）每年年度终了，本集团对固定资产的使用寿命、预计净残值和折旧方法进行复核。" w:id="186"/>
      <w:bookmarkEnd w:id="186"/>
      <w:r>
        <w:rPr/>
      </w:r>
      <w:r>
        <w:rPr>
          <w:rFonts w:ascii="宋体" w:hAnsi="宋体" w:cs="宋体" w:eastAsia="宋体" w:hint="default"/>
          <w:b/>
          <w:bCs/>
          <w:sz w:val="21"/>
          <w:szCs w:val="21"/>
        </w:rPr>
        <w:t>（</w:t>
      </w:r>
      <w:r>
        <w:rPr>
          <w:rFonts w:ascii="Arial" w:hAnsi="Arial" w:cs="Arial" w:eastAsia="Arial" w:hint="default"/>
          <w:b/>
          <w:bCs/>
          <w:sz w:val="21"/>
          <w:szCs w:val="21"/>
        </w:rPr>
        <w:t>4</w:t>
      </w:r>
      <w:r>
        <w:rPr>
          <w:rFonts w:ascii="宋体" w:hAnsi="宋体" w:cs="宋体" w:eastAsia="宋体" w:hint="default"/>
          <w:b/>
          <w:bCs/>
          <w:sz w:val="21"/>
          <w:szCs w:val="21"/>
        </w:rPr>
        <w:t>）每年年度终了，本集团对固定资产的使用寿命、预计净残值和折旧方法进行复核。</w:t>
      </w:r>
      <w:r>
        <w:rPr>
          <w:rFonts w:ascii="宋体" w:hAnsi="宋体" w:cs="宋体" w:eastAsia="宋体" w:hint="default"/>
          <w:b/>
          <w:bCs/>
          <w:w w:val="99"/>
          <w:sz w:val="21"/>
          <w:szCs w:val="21"/>
        </w:rPr>
        <w:t> </w:t>
      </w:r>
      <w:r>
        <w:rPr>
          <w:rFonts w:ascii="宋体" w:hAnsi="宋体" w:cs="宋体" w:eastAsia="宋体" w:hint="default"/>
          <w:w w:val="95"/>
          <w:sz w:val="21"/>
          <w:szCs w:val="21"/>
        </w:rPr>
        <w:t>使用寿命预计数与原先估计数有差异的，调整固定资产使用寿命；预计净残值预计数与原先估计数有</w:t>
      </w:r>
      <w:r>
        <w:rPr>
          <w:rFonts w:ascii="宋体" w:hAnsi="宋体" w:cs="宋体" w:eastAsia="宋体" w:hint="default"/>
          <w:sz w:val="21"/>
          <w:szCs w:val="21"/>
        </w:rPr>
      </w:r>
    </w:p>
    <w:p>
      <w:pPr>
        <w:pStyle w:val="BodyText"/>
        <w:spacing w:line="240" w:lineRule="auto" w:before="37"/>
        <w:ind w:right="996"/>
        <w:jc w:val="left"/>
      </w:pPr>
      <w:r>
        <w:rPr/>
        <w:t>差异的，调整预计净残值。</w:t>
      </w:r>
    </w:p>
    <w:p>
      <w:pPr>
        <w:pStyle w:val="BodyText"/>
        <w:spacing w:line="590" w:lineRule="atLeast" w:before="39"/>
        <w:ind w:left="540" w:right="996" w:hanging="428"/>
        <w:jc w:val="left"/>
      </w:pPr>
      <w:bookmarkStart w:name="（5）大修理费用" w:id="187"/>
      <w:bookmarkEnd w:id="187"/>
      <w:r>
        <w:rPr/>
      </w:r>
      <w:r>
        <w:rPr>
          <w:rFonts w:ascii="宋体" w:hAnsi="宋体" w:cs="宋体" w:eastAsia="宋体" w:hint="default"/>
          <w:b/>
          <w:bCs/>
        </w:rPr>
        <w:t>（</w:t>
      </w:r>
      <w:r>
        <w:rPr>
          <w:rFonts w:ascii="Arial" w:hAnsi="Arial" w:cs="Arial" w:eastAsia="Arial" w:hint="default"/>
          <w:b/>
          <w:bCs/>
        </w:rPr>
        <w:t>5</w:t>
      </w:r>
      <w:r>
        <w:rPr>
          <w:rFonts w:ascii="宋体" w:hAnsi="宋体" w:cs="宋体" w:eastAsia="宋体" w:hint="default"/>
          <w:b/>
          <w:bCs/>
        </w:rPr>
        <w:t>）大修理费用</w:t>
      </w:r>
      <w:r>
        <w:rPr>
          <w:rFonts w:ascii="宋体" w:hAnsi="宋体" w:cs="宋体" w:eastAsia="宋体" w:hint="default"/>
          <w:b/>
          <w:bCs/>
          <w:w w:val="99"/>
        </w:rPr>
        <w:t> </w:t>
      </w:r>
      <w:r>
        <w:rPr>
          <w:w w:val="95"/>
        </w:rPr>
        <w:t>本集团对固定资产进行定期检查发生的大修理费用，有确凿证据表明符合固定资产确认条件的部分，</w:t>
      </w:r>
      <w:r>
        <w:rPr/>
      </w:r>
    </w:p>
    <w:p>
      <w:pPr>
        <w:pStyle w:val="BodyText"/>
        <w:spacing w:line="273" w:lineRule="auto" w:before="37"/>
        <w:ind w:right="996"/>
        <w:jc w:val="left"/>
      </w:pPr>
      <w:r>
        <w:rPr>
          <w:w w:val="95"/>
        </w:rPr>
        <w:t>计入固定资产成本，不符合固定资产确认条件的计入当期损益。固定资产在定期大修理间隔期间，照提折</w:t>
      </w:r>
      <w:r>
        <w:rPr>
          <w:spacing w:val="40"/>
          <w:w w:val="95"/>
        </w:rPr>
        <w:t> </w:t>
      </w:r>
      <w:r>
        <w:rPr>
          <w:spacing w:val="40"/>
          <w:w w:val="95"/>
        </w:rPr>
      </w:r>
      <w:r>
        <w:rPr/>
        <w:t>旧。固定资产的减值测试方法、减值准备计提方法见附注五、</w:t>
      </w:r>
      <w:r>
        <w:rPr>
          <w:rFonts w:ascii="Arial" w:hAnsi="Arial" w:cs="Arial" w:eastAsia="Arial" w:hint="default"/>
        </w:rPr>
        <w:t>18</w:t>
      </w:r>
      <w:r>
        <w:rPr/>
        <w:t>。</w:t>
      </w:r>
    </w:p>
    <w:p>
      <w:pPr>
        <w:spacing w:line="240" w:lineRule="auto" w:before="1"/>
        <w:rPr>
          <w:rFonts w:ascii="宋体" w:hAnsi="宋体" w:cs="宋体" w:eastAsia="宋体" w:hint="default"/>
          <w:sz w:val="22"/>
          <w:szCs w:val="22"/>
        </w:rPr>
      </w:pPr>
    </w:p>
    <w:p>
      <w:pPr>
        <w:pStyle w:val="Heading4"/>
        <w:spacing w:line="240" w:lineRule="auto"/>
        <w:ind w:right="996"/>
        <w:jc w:val="left"/>
        <w:rPr>
          <w:b w:val="0"/>
          <w:bCs w:val="0"/>
        </w:rPr>
      </w:pPr>
      <w:bookmarkStart w:name="15、在建工程" w:id="188"/>
      <w:bookmarkEnd w:id="188"/>
      <w:r>
        <w:rPr>
          <w:b w:val="0"/>
          <w:bCs w:val="0"/>
        </w:rPr>
      </w:r>
      <w:r>
        <w:rPr>
          <w:rFonts w:ascii="Arial" w:hAnsi="Arial" w:cs="Arial" w:eastAsia="Arial" w:hint="default"/>
        </w:rPr>
        <w:t>15</w:t>
      </w:r>
      <w:r>
        <w:rPr/>
        <w:t>、在建工程</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996" w:firstLine="427"/>
        <w:jc w:val="left"/>
      </w:pPr>
      <w:r>
        <w:rPr>
          <w:w w:val="95"/>
        </w:rPr>
        <w:t>本集团在建工程成本按实际工程支出确定，包括在建期间发生的各项必要工程支出、工程达到预定可</w:t>
      </w:r>
      <w:r>
        <w:rPr>
          <w:w w:val="99"/>
        </w:rPr>
        <w:t> </w:t>
      </w:r>
      <w:r>
        <w:rPr/>
        <w:t>使用状态前的应予资本化的借款费用以及其他相关费用等。</w:t>
      </w:r>
    </w:p>
    <w:p>
      <w:pPr>
        <w:pStyle w:val="BodyText"/>
        <w:spacing w:line="376" w:lineRule="auto" w:before="127"/>
        <w:ind w:left="540" w:right="5474"/>
        <w:jc w:val="left"/>
      </w:pPr>
      <w:r>
        <w:rPr>
          <w:w w:val="95"/>
        </w:rPr>
        <w:t>在建工程在达到预定可使用状态时转入固定资产。</w:t>
      </w:r>
      <w:r>
        <w:rPr>
          <w:spacing w:val="18"/>
          <w:w w:val="95"/>
        </w:rPr>
        <w:t> </w:t>
      </w:r>
      <w:r>
        <w:rPr>
          <w:spacing w:val="18"/>
          <w:w w:val="95"/>
        </w:rPr>
      </w:r>
      <w:r>
        <w:rPr/>
        <w:t>在建工程计提资产减值方法见附注五、</w:t>
      </w:r>
      <w:r>
        <w:rPr>
          <w:rFonts w:ascii="Arial" w:hAnsi="Arial" w:cs="Arial" w:eastAsia="Arial" w:hint="default"/>
        </w:rPr>
        <w:t>18</w:t>
      </w:r>
      <w:r>
        <w:rPr/>
        <w:t>。</w:t>
      </w:r>
    </w:p>
    <w:p>
      <w:pPr>
        <w:pStyle w:val="Heading4"/>
        <w:spacing w:line="240" w:lineRule="auto" w:before="188"/>
        <w:ind w:right="996"/>
        <w:jc w:val="left"/>
        <w:rPr>
          <w:b w:val="0"/>
          <w:bCs w:val="0"/>
        </w:rPr>
      </w:pPr>
      <w:bookmarkStart w:name="16、借款费用" w:id="189"/>
      <w:bookmarkEnd w:id="189"/>
      <w:r>
        <w:rPr>
          <w:b w:val="0"/>
          <w:bCs w:val="0"/>
        </w:rPr>
      </w:r>
      <w:r>
        <w:rPr>
          <w:rFonts w:ascii="Arial" w:hAnsi="Arial" w:cs="Arial" w:eastAsia="Arial" w:hint="default"/>
        </w:rPr>
        <w:t>16</w:t>
      </w:r>
      <w:r>
        <w:rPr/>
        <w:t>、借款费用</w:t>
      </w:r>
      <w:r>
        <w:rPr>
          <w:b w:val="0"/>
          <w:bCs w:val="0"/>
        </w:rPr>
      </w:r>
    </w:p>
    <w:p>
      <w:pPr>
        <w:spacing w:line="590" w:lineRule="atLeast" w:before="24"/>
        <w:ind w:left="540" w:right="996" w:hanging="428"/>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w w:val="99"/>
          <w:sz w:val="21"/>
          <w:szCs w:val="21"/>
        </w:rPr>
        <w:t> </w:t>
      </w:r>
      <w:r>
        <w:rPr>
          <w:rFonts w:ascii="宋体" w:hAnsi="宋体" w:cs="宋体" w:eastAsia="宋体" w:hint="default"/>
          <w:w w:val="95"/>
          <w:sz w:val="21"/>
          <w:szCs w:val="21"/>
        </w:rPr>
        <w:t>本集团发生的借款费用，可直接归属于符合资本化条件的资产的购建或者生产的，予以资本化，计入</w:t>
      </w:r>
      <w:r>
        <w:rPr>
          <w:rFonts w:ascii="宋体" w:hAnsi="宋体" w:cs="宋体" w:eastAsia="宋体" w:hint="default"/>
          <w:sz w:val="21"/>
          <w:szCs w:val="21"/>
        </w:rPr>
      </w:r>
    </w:p>
    <w:p>
      <w:pPr>
        <w:pStyle w:val="BodyText"/>
        <w:spacing w:line="273" w:lineRule="auto" w:before="37"/>
        <w:ind w:right="996"/>
        <w:jc w:val="left"/>
      </w:pPr>
      <w:r>
        <w:rPr>
          <w:w w:val="95"/>
        </w:rPr>
        <w:t>相关资产成本；其他借款费用，在发生时根据其发生额确认为费用，计入当期损益。借款费用同时满足下</w:t>
      </w:r>
      <w:r>
        <w:rPr>
          <w:spacing w:val="40"/>
          <w:w w:val="95"/>
        </w:rPr>
        <w:t> </w:t>
      </w:r>
      <w:r>
        <w:rPr>
          <w:spacing w:val="40"/>
          <w:w w:val="95"/>
        </w:rPr>
      </w:r>
      <w:r>
        <w:rPr/>
        <w:t>列条件的，开始资本化：</w:t>
      </w:r>
    </w:p>
    <w:p>
      <w:pPr>
        <w:pStyle w:val="BodyText"/>
        <w:spacing w:line="273" w:lineRule="auto" w:before="127"/>
        <w:ind w:right="996" w:firstLine="427"/>
        <w:jc w:val="left"/>
      </w:pPr>
      <w:r>
        <w:rPr>
          <w:w w:val="95"/>
        </w:rPr>
        <w:t>①资产支出已经发生，资产支出包括为购建或者生产符合资本化条件的资产而以支付现金、转移非现</w:t>
      </w:r>
      <w:r>
        <w:rPr>
          <w:w w:val="99"/>
        </w:rPr>
        <w:t> </w:t>
      </w:r>
      <w:r>
        <w:rPr/>
        <w:t>金资产或者承担带息债务形式发生的支出；</w:t>
      </w:r>
    </w:p>
    <w:p>
      <w:pPr>
        <w:pStyle w:val="BodyText"/>
        <w:spacing w:line="240" w:lineRule="auto" w:before="127"/>
        <w:ind w:left="540" w:right="996"/>
        <w:jc w:val="left"/>
      </w:pPr>
      <w:r>
        <w:rPr/>
        <w:t>②借款费用已经发生；</w:t>
      </w:r>
    </w:p>
    <w:p>
      <w:pPr>
        <w:pStyle w:val="BodyText"/>
        <w:spacing w:line="240" w:lineRule="auto" w:before="157"/>
        <w:ind w:left="540" w:right="996"/>
        <w:jc w:val="left"/>
      </w:pPr>
      <w:r>
        <w:rPr/>
        <w:t>③为使资产达到预定可使用或者可销售状态所必要的购建或者生产活动已经开始。</w:t>
      </w:r>
    </w:p>
    <w:p>
      <w:pPr>
        <w:spacing w:after="0" w:line="240" w:lineRule="auto"/>
        <w:jc w:val="left"/>
        <w:sectPr>
          <w:pgSz w:w="11910" w:h="16840"/>
          <w:pgMar w:header="878" w:footer="978" w:top="1100" w:bottom="1160" w:left="1020" w:right="0"/>
        </w:sectPr>
      </w:pPr>
    </w:p>
    <w:p>
      <w:pPr>
        <w:spacing w:line="240" w:lineRule="auto" w:before="12"/>
        <w:rPr>
          <w:rFonts w:ascii="宋体" w:hAnsi="宋体" w:cs="宋体" w:eastAsia="宋体" w:hint="default"/>
          <w:sz w:val="20"/>
          <w:szCs w:val="20"/>
        </w:rPr>
      </w:pPr>
    </w:p>
    <w:p>
      <w:pPr>
        <w:pStyle w:val="Heading4"/>
        <w:spacing w:line="240" w:lineRule="auto" w:before="34"/>
        <w:ind w:right="996"/>
        <w:jc w:val="left"/>
        <w:rPr>
          <w:b w:val="0"/>
          <w:bCs w:val="0"/>
        </w:rPr>
      </w:pPr>
      <w:r>
        <w:rPr/>
        <w:t>（</w:t>
      </w:r>
      <w:r>
        <w:rPr>
          <w:rFonts w:ascii="Arial" w:hAnsi="Arial" w:cs="Arial" w:eastAsia="Arial" w:hint="default"/>
        </w:rPr>
        <w:t>2</w:t>
      </w:r>
      <w:r>
        <w:rPr/>
        <w:t>）借款费用资本化期间</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996" w:firstLine="427"/>
        <w:jc w:val="left"/>
      </w:pPr>
      <w:r>
        <w:rPr>
          <w:w w:val="95"/>
        </w:rPr>
        <w:t>本集团购建或者生产符合资本化条件的资产达到预定可使用或者可销售状态时，借款费用停止资本化。</w:t>
      </w:r>
      <w:r>
        <w:rPr>
          <w:w w:val="99"/>
        </w:rPr>
        <w:t> </w:t>
      </w:r>
      <w:r>
        <w:rPr/>
        <w:t>在符合资本化条件的资产达到预定可使用或者可销售状态之后所发生的借款费用，在发生时根据其发生额</w:t>
      </w:r>
      <w:r>
        <w:rPr>
          <w:w w:val="99"/>
        </w:rPr>
        <w:t> </w:t>
      </w:r>
      <w:r>
        <w:rPr/>
        <w:t>确认为费用，计入当期损益。</w:t>
      </w:r>
    </w:p>
    <w:p>
      <w:pPr>
        <w:pStyle w:val="BodyText"/>
        <w:spacing w:line="259" w:lineRule="auto" w:before="127"/>
        <w:ind w:right="996" w:firstLine="427"/>
        <w:jc w:val="left"/>
      </w:pPr>
      <w:r>
        <w:rPr>
          <w:w w:val="95"/>
        </w:rPr>
        <w:t>符合资本化条件的资产在购建或者生产过程中发生非正常中断、且中断时间连续超过</w:t>
      </w:r>
      <w:r>
        <w:rPr>
          <w:rFonts w:ascii="Arial" w:hAnsi="Arial" w:cs="Arial" w:eastAsia="Arial" w:hint="default"/>
          <w:w w:val="95"/>
        </w:rPr>
        <w:t>3</w:t>
      </w:r>
      <w:r>
        <w:rPr>
          <w:w w:val="95"/>
        </w:rPr>
        <w:t>个月的，暂停</w:t>
      </w:r>
      <w:r>
        <w:rPr>
          <w:spacing w:val="-96"/>
          <w:w w:val="95"/>
        </w:rPr>
        <w:t> </w:t>
      </w:r>
      <w:r>
        <w:rPr>
          <w:spacing w:val="-96"/>
          <w:w w:val="95"/>
        </w:rPr>
      </w:r>
      <w:r>
        <w:rPr/>
        <w:t>借款费用的资本化；正常中断期间的借款费用继续资本化。</w:t>
      </w:r>
    </w:p>
    <w:p>
      <w:pPr>
        <w:spacing w:line="590" w:lineRule="atLeast" w:before="20"/>
        <w:ind w:left="540" w:right="996" w:hanging="428"/>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3</w:t>
      </w:r>
      <w:r>
        <w:rPr>
          <w:rFonts w:ascii="宋体" w:hAnsi="宋体" w:cs="宋体" w:eastAsia="宋体" w:hint="default"/>
          <w:b/>
          <w:bCs/>
          <w:sz w:val="21"/>
          <w:szCs w:val="21"/>
        </w:rPr>
        <w:t>）借款费用资本化率以及资本化金额的计算方法</w:t>
      </w:r>
      <w:r>
        <w:rPr>
          <w:rFonts w:ascii="宋体" w:hAnsi="宋体" w:cs="宋体" w:eastAsia="宋体" w:hint="default"/>
          <w:b/>
          <w:bCs/>
          <w:w w:val="99"/>
          <w:sz w:val="21"/>
          <w:szCs w:val="21"/>
        </w:rPr>
        <w:t> </w:t>
      </w:r>
      <w:r>
        <w:rPr>
          <w:rFonts w:ascii="宋体" w:hAnsi="宋体" w:cs="宋体" w:eastAsia="宋体" w:hint="default"/>
          <w:w w:val="95"/>
          <w:sz w:val="21"/>
          <w:szCs w:val="21"/>
        </w:rPr>
        <w:t>专门借款当期实际发生的利息费用，减去尚未动用的借款资金存入银行取得的利息收入或进行暂时性</w:t>
      </w:r>
      <w:r>
        <w:rPr>
          <w:rFonts w:ascii="宋体" w:hAnsi="宋体" w:cs="宋体" w:eastAsia="宋体" w:hint="default"/>
          <w:sz w:val="21"/>
          <w:szCs w:val="21"/>
        </w:rPr>
      </w:r>
    </w:p>
    <w:p>
      <w:pPr>
        <w:pStyle w:val="BodyText"/>
        <w:spacing w:line="273" w:lineRule="auto" w:before="37"/>
        <w:ind w:right="1132"/>
        <w:jc w:val="both"/>
      </w:pPr>
      <w:r>
        <w:rPr>
          <w:w w:val="95"/>
        </w:rPr>
        <w:t>投资取得的投资收益后的金额予以资本化；一般借款根据累计资产支出超过专门借款部分的资产支出加权</w:t>
      </w:r>
      <w:r>
        <w:rPr>
          <w:spacing w:val="39"/>
          <w:w w:val="95"/>
        </w:rPr>
        <w:t> </w:t>
      </w:r>
      <w:r>
        <w:rPr>
          <w:spacing w:val="39"/>
          <w:w w:val="95"/>
        </w:rPr>
      </w:r>
      <w:r>
        <w:rPr>
          <w:w w:val="95"/>
        </w:rPr>
        <w:t>平均数乘以所占用一般借款的资本化率，确定资本化金额。资本化率根据一般借款的加权平均利率计算确   </w:t>
      </w:r>
      <w:r>
        <w:rPr>
          <w:spacing w:val="37"/>
          <w:w w:val="95"/>
        </w:rPr>
        <w:t> </w:t>
      </w:r>
      <w:r>
        <w:rPr>
          <w:spacing w:val="37"/>
          <w:w w:val="95"/>
        </w:rPr>
      </w:r>
      <w:r>
        <w:rPr/>
        <w:t>定。</w:t>
      </w:r>
    </w:p>
    <w:p>
      <w:pPr>
        <w:pStyle w:val="BodyText"/>
        <w:spacing w:line="240" w:lineRule="auto" w:before="127"/>
        <w:ind w:left="540" w:right="996"/>
        <w:jc w:val="left"/>
      </w:pPr>
      <w:r>
        <w:rPr/>
        <w:t>资本化期间内，外币专门借款的汇兑差额全部予以资本化；外币一般借款的汇兑差额计入当期损益。</w:t>
      </w:r>
    </w:p>
    <w:p>
      <w:pPr>
        <w:spacing w:line="240" w:lineRule="auto" w:before="10"/>
        <w:rPr>
          <w:rFonts w:ascii="宋体" w:hAnsi="宋体" w:cs="宋体" w:eastAsia="宋体" w:hint="default"/>
          <w:sz w:val="25"/>
          <w:szCs w:val="25"/>
        </w:rPr>
      </w:pPr>
    </w:p>
    <w:p>
      <w:pPr>
        <w:pStyle w:val="Heading4"/>
        <w:spacing w:line="240" w:lineRule="auto"/>
        <w:ind w:right="996"/>
        <w:jc w:val="left"/>
        <w:rPr>
          <w:b w:val="0"/>
          <w:bCs w:val="0"/>
        </w:rPr>
      </w:pPr>
      <w:bookmarkStart w:name="17、无形资产" w:id="190"/>
      <w:bookmarkEnd w:id="190"/>
      <w:r>
        <w:rPr>
          <w:b w:val="0"/>
          <w:bCs w:val="0"/>
        </w:rPr>
      </w:r>
      <w:r>
        <w:rPr>
          <w:rFonts w:ascii="Arial" w:hAnsi="Arial" w:cs="Arial" w:eastAsia="Arial" w:hint="default"/>
        </w:rPr>
        <w:t>17</w:t>
      </w:r>
      <w:r>
        <w:rPr/>
        <w:t>、无形资产</w:t>
      </w:r>
      <w:r>
        <w:rPr>
          <w:b w:val="0"/>
          <w:bCs w:val="0"/>
        </w:rPr>
      </w:r>
    </w:p>
    <w:p>
      <w:pPr>
        <w:spacing w:line="590" w:lineRule="atLeast" w:before="24"/>
        <w:ind w:left="540" w:right="5474" w:hanging="428"/>
        <w:jc w:val="left"/>
        <w:rPr>
          <w:rFonts w:ascii="宋体" w:hAnsi="宋体" w:cs="宋体" w:eastAsia="宋体" w:hint="default"/>
          <w:sz w:val="21"/>
          <w:szCs w:val="21"/>
        </w:rPr>
      </w:pPr>
      <w:bookmarkStart w:name="（1）计价方法、使用寿命、减值测试" w:id="191"/>
      <w:bookmarkEnd w:id="191"/>
      <w:r>
        <w:rPr/>
      </w:r>
      <w:r>
        <w:rPr>
          <w:rFonts w:ascii="宋体" w:hAnsi="宋体" w:cs="宋体" w:eastAsia="宋体" w:hint="default"/>
          <w:b/>
          <w:bCs/>
          <w:sz w:val="21"/>
          <w:szCs w:val="21"/>
        </w:rPr>
        <w:t>（</w:t>
      </w:r>
      <w:r>
        <w:rPr>
          <w:rFonts w:ascii="Arial" w:hAnsi="Arial" w:cs="Arial" w:eastAsia="Arial"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b/>
          <w:bCs/>
          <w:w w:val="99"/>
          <w:sz w:val="21"/>
          <w:szCs w:val="21"/>
        </w:rPr>
        <w:t> </w:t>
      </w:r>
      <w:r>
        <w:rPr>
          <w:rFonts w:ascii="宋体" w:hAnsi="宋体" w:cs="宋体" w:eastAsia="宋体" w:hint="default"/>
          <w:w w:val="95"/>
          <w:sz w:val="21"/>
          <w:szCs w:val="21"/>
        </w:rPr>
        <w:t>本集团无形资产包括土地使用权、软件、专利权等。</w:t>
      </w:r>
      <w:r>
        <w:rPr>
          <w:rFonts w:ascii="宋体" w:hAnsi="宋体" w:cs="宋体" w:eastAsia="宋体" w:hint="default"/>
          <w:sz w:val="21"/>
          <w:szCs w:val="21"/>
        </w:rPr>
      </w:r>
    </w:p>
    <w:p>
      <w:pPr>
        <w:pStyle w:val="BodyText"/>
        <w:spacing w:line="273" w:lineRule="auto" w:before="157"/>
        <w:ind w:right="1132" w:firstLine="427"/>
        <w:jc w:val="both"/>
      </w:pPr>
      <w:r>
        <w:rPr>
          <w:w w:val="95"/>
        </w:rPr>
        <w:t>无形资产按照成本进行初始计量，并于取得无形资产时分析判断其使用寿命。使用寿命为有限的，自</w:t>
      </w:r>
      <w:r>
        <w:rPr>
          <w:w w:val="99"/>
        </w:rPr>
        <w:t> </w:t>
      </w:r>
      <w:r>
        <w:rPr>
          <w:w w:val="95"/>
        </w:rPr>
        <w:t>无形资产可供使用时起，采用能反映与该资产有关的经济利益的预期实现方式的摊销方法，在预计使用年</w:t>
      </w:r>
      <w:r>
        <w:rPr>
          <w:spacing w:val="37"/>
          <w:w w:val="95"/>
        </w:rPr>
        <w:t> </w:t>
      </w:r>
      <w:r>
        <w:rPr>
          <w:spacing w:val="37"/>
          <w:w w:val="95"/>
        </w:rPr>
      </w:r>
      <w:r>
        <w:rPr/>
        <w:t>限内摊销；无法可靠确定预期实现方式的，采用直线法摊销；使用寿命不确定的无形资产，不作摊销。</w:t>
      </w:r>
    </w:p>
    <w:p>
      <w:pPr>
        <w:pStyle w:val="BodyText"/>
        <w:spacing w:line="240" w:lineRule="auto" w:before="127"/>
        <w:ind w:left="540" w:right="996"/>
        <w:jc w:val="left"/>
      </w:pPr>
      <w:r>
        <w:rPr/>
        <w:t>使用寿命有限的无形资产摊销方法如下：</w:t>
      </w:r>
    </w:p>
    <w:p>
      <w:pPr>
        <w:spacing w:line="240" w:lineRule="auto" w:before="2"/>
        <w:rPr>
          <w:rFonts w:ascii="宋体" w:hAnsi="宋体" w:cs="宋体" w:eastAsia="宋体" w:hint="default"/>
          <w:sz w:val="13"/>
          <w:szCs w:val="13"/>
        </w:rPr>
      </w:pPr>
    </w:p>
    <w:tbl>
      <w:tblPr>
        <w:tblW w:w="0" w:type="auto"/>
        <w:jc w:val="left"/>
        <w:tblInd w:w="124" w:type="dxa"/>
        <w:tblLayout w:type="fixed"/>
        <w:tblCellMar>
          <w:top w:w="0" w:type="dxa"/>
          <w:left w:w="0" w:type="dxa"/>
          <w:bottom w:w="0" w:type="dxa"/>
          <w:right w:w="0" w:type="dxa"/>
        </w:tblCellMar>
        <w:tblLook w:val="01E0"/>
      </w:tblPr>
      <w:tblGrid>
        <w:gridCol w:w="3112"/>
        <w:gridCol w:w="3113"/>
        <w:gridCol w:w="3113"/>
      </w:tblGrid>
      <w:tr>
        <w:trPr>
          <w:trHeight w:val="347" w:hRule="exact"/>
        </w:trPr>
        <w:tc>
          <w:tcPr>
            <w:tcW w:w="3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使用寿命</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摊销方法</w:t>
            </w:r>
          </w:p>
        </w:tc>
      </w:tr>
      <w:tr>
        <w:trPr>
          <w:trHeight w:val="347" w:hRule="exact"/>
        </w:trPr>
        <w:tc>
          <w:tcPr>
            <w:tcW w:w="3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土地</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 w:right="0"/>
              <w:jc w:val="left"/>
              <w:rPr>
                <w:rFonts w:ascii="Arial" w:hAnsi="Arial" w:cs="Arial" w:eastAsia="Arial" w:hint="default"/>
                <w:sz w:val="18"/>
                <w:szCs w:val="18"/>
              </w:rPr>
            </w:pPr>
            <w:r>
              <w:rPr>
                <w:rFonts w:ascii="Arial"/>
                <w:sz w:val="18"/>
              </w:rPr>
              <w:t>50</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直线法</w:t>
            </w:r>
          </w:p>
        </w:tc>
      </w:tr>
      <w:tr>
        <w:trPr>
          <w:trHeight w:val="347" w:hRule="exact"/>
        </w:trPr>
        <w:tc>
          <w:tcPr>
            <w:tcW w:w="3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Arial" w:hAnsi="Arial" w:cs="Arial" w:eastAsia="Arial" w:hint="default"/>
                <w:sz w:val="18"/>
                <w:szCs w:val="18"/>
              </w:rPr>
            </w:pPr>
            <w:r>
              <w:rPr>
                <w:rFonts w:ascii="Arial"/>
                <w:sz w:val="18"/>
              </w:rPr>
              <w:t>5-10</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直线法</w:t>
            </w:r>
          </w:p>
        </w:tc>
      </w:tr>
      <w:tr>
        <w:trPr>
          <w:trHeight w:val="347" w:hRule="exact"/>
        </w:trPr>
        <w:tc>
          <w:tcPr>
            <w:tcW w:w="3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专利到期剩余期限</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直线法</w:t>
            </w:r>
          </w:p>
        </w:tc>
      </w:tr>
      <w:tr>
        <w:trPr>
          <w:trHeight w:val="347" w:hRule="exact"/>
        </w:trPr>
        <w:tc>
          <w:tcPr>
            <w:tcW w:w="3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 w:right="0"/>
              <w:jc w:val="left"/>
              <w:rPr>
                <w:rFonts w:ascii="Arial" w:hAnsi="Arial" w:cs="Arial" w:eastAsia="Arial" w:hint="default"/>
                <w:sz w:val="18"/>
                <w:szCs w:val="18"/>
              </w:rPr>
            </w:pPr>
            <w:r>
              <w:rPr>
                <w:rFonts w:ascii="Arial"/>
                <w:sz w:val="18"/>
              </w:rPr>
              <w:t>10</w:t>
            </w:r>
          </w:p>
        </w:tc>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直线法</w:t>
            </w:r>
          </w:p>
        </w:tc>
      </w:tr>
    </w:tbl>
    <w:p>
      <w:pPr>
        <w:spacing w:line="240" w:lineRule="auto" w:before="6"/>
        <w:rPr>
          <w:rFonts w:ascii="宋体" w:hAnsi="宋体" w:cs="宋体" w:eastAsia="宋体" w:hint="default"/>
          <w:sz w:val="5"/>
          <w:szCs w:val="5"/>
        </w:rPr>
      </w:pPr>
    </w:p>
    <w:p>
      <w:pPr>
        <w:pStyle w:val="BodyText"/>
        <w:spacing w:line="273" w:lineRule="auto"/>
        <w:ind w:right="996" w:firstLine="427"/>
        <w:jc w:val="left"/>
      </w:pPr>
      <w:r>
        <w:rPr>
          <w:w w:val="95"/>
        </w:rPr>
        <w:t>本集团于每年年度终了，对使用寿命有限的无形资产的使用寿命及摊销方法进行复核，与以前估计不</w:t>
      </w:r>
      <w:r>
        <w:rPr>
          <w:w w:val="99"/>
        </w:rPr>
        <w:t> </w:t>
      </w:r>
      <w:r>
        <w:rPr/>
        <w:t>同的，调整原先估计数，并按会计估计变更处理。</w:t>
      </w:r>
    </w:p>
    <w:p>
      <w:pPr>
        <w:pStyle w:val="BodyText"/>
        <w:spacing w:line="273" w:lineRule="auto" w:before="127"/>
        <w:ind w:right="996" w:firstLine="427"/>
        <w:jc w:val="left"/>
      </w:pPr>
      <w:r>
        <w:rPr>
          <w:w w:val="95"/>
        </w:rPr>
        <w:t>资产负债表日预计某项无形资产已经不能给企业带来未来经济利益的，将该项无形资产的账面价值全</w:t>
      </w:r>
      <w:r>
        <w:rPr>
          <w:w w:val="99"/>
        </w:rPr>
        <w:t> </w:t>
      </w:r>
      <w:r>
        <w:rPr/>
        <w:t>部转入当期损益。</w:t>
      </w:r>
    </w:p>
    <w:p>
      <w:pPr>
        <w:pStyle w:val="BodyText"/>
        <w:spacing w:line="240" w:lineRule="auto" w:before="127"/>
        <w:ind w:left="540" w:right="996"/>
        <w:jc w:val="left"/>
      </w:pPr>
      <w:r>
        <w:rPr/>
        <w:t>无形资产计提资产减值方法见附注五、</w:t>
      </w:r>
      <w:r>
        <w:rPr>
          <w:rFonts w:ascii="Arial" w:hAnsi="Arial" w:cs="Arial" w:eastAsia="Arial" w:hint="default"/>
        </w:rPr>
        <w:t>18</w:t>
      </w:r>
      <w:r>
        <w:rPr/>
        <w:t>。</w:t>
      </w:r>
    </w:p>
    <w:p>
      <w:pPr>
        <w:spacing w:line="240" w:lineRule="auto" w:before="8"/>
        <w:rPr>
          <w:rFonts w:ascii="宋体" w:hAnsi="宋体" w:cs="宋体" w:eastAsia="宋体" w:hint="default"/>
          <w:sz w:val="24"/>
          <w:szCs w:val="24"/>
        </w:rPr>
      </w:pPr>
    </w:p>
    <w:p>
      <w:pPr>
        <w:pStyle w:val="Heading4"/>
        <w:spacing w:line="240" w:lineRule="auto"/>
        <w:ind w:right="996"/>
        <w:jc w:val="left"/>
        <w:rPr>
          <w:b w:val="0"/>
          <w:bCs w:val="0"/>
        </w:rPr>
      </w:pPr>
      <w:bookmarkStart w:name="（2）内部研究开发支出会计政策" w:id="192"/>
      <w:bookmarkEnd w:id="192"/>
      <w:r>
        <w:rPr>
          <w:b w:val="0"/>
          <w:bCs w:val="0"/>
        </w:rPr>
      </w:r>
      <w:r>
        <w:rPr/>
        <w:t>（</w:t>
      </w:r>
      <w:r>
        <w:rPr>
          <w:rFonts w:ascii="Arial" w:hAnsi="Arial" w:cs="Arial" w:eastAsia="Arial" w:hint="default"/>
        </w:rPr>
        <w:t>2</w:t>
      </w:r>
      <w:r>
        <w:rPr/>
        <w:t>）内部研究开发支出会计政策</w:t>
      </w:r>
      <w:r>
        <w:rPr>
          <w:b w:val="0"/>
          <w:bCs w:val="0"/>
        </w:rPr>
      </w:r>
    </w:p>
    <w:p>
      <w:pPr>
        <w:spacing w:line="240" w:lineRule="auto" w:before="8"/>
        <w:rPr>
          <w:rFonts w:ascii="宋体" w:hAnsi="宋体" w:cs="宋体" w:eastAsia="宋体" w:hint="default"/>
          <w:b/>
          <w:bCs/>
          <w:sz w:val="24"/>
          <w:szCs w:val="24"/>
        </w:rPr>
      </w:pPr>
    </w:p>
    <w:p>
      <w:pPr>
        <w:pStyle w:val="BodyText"/>
        <w:spacing w:line="376" w:lineRule="auto" w:before="0"/>
        <w:ind w:left="540" w:right="996"/>
        <w:jc w:val="left"/>
      </w:pPr>
      <w:r>
        <w:rPr>
          <w:w w:val="95"/>
        </w:rPr>
        <w:t>本集团将内部研究开发项目的支出，区分为研究阶段支出和开发阶段支出。</w:t>
      </w:r>
      <w:r>
        <w:rPr>
          <w:spacing w:val="30"/>
          <w:w w:val="95"/>
        </w:rPr>
        <w:t> </w:t>
      </w:r>
      <w:r>
        <w:rPr>
          <w:spacing w:val="30"/>
          <w:w w:val="95"/>
        </w:rPr>
      </w:r>
      <w:r>
        <w:rPr/>
        <w:t>研究阶段的支出，于发生时计入当期损益。</w:t>
      </w:r>
    </w:p>
    <w:p>
      <w:pPr>
        <w:spacing w:after="0" w:line="376" w:lineRule="auto"/>
        <w:jc w:val="left"/>
        <w:sectPr>
          <w:footerReference w:type="default" r:id="rId42"/>
          <w:pgSz w:w="11910" w:h="16840"/>
          <w:pgMar w:footer="978" w:header="878" w:top="1100" w:bottom="1160" w:left="1020" w:right="0"/>
          <w:pgNumType w:start="120"/>
        </w:sectPr>
      </w:pPr>
    </w:p>
    <w:p>
      <w:pPr>
        <w:spacing w:line="240" w:lineRule="auto" w:before="12"/>
        <w:rPr>
          <w:rFonts w:ascii="宋体" w:hAnsi="宋体" w:cs="宋体" w:eastAsia="宋体" w:hint="default"/>
          <w:sz w:val="20"/>
          <w:szCs w:val="20"/>
        </w:rPr>
      </w:pPr>
    </w:p>
    <w:p>
      <w:pPr>
        <w:pStyle w:val="BodyText"/>
        <w:spacing w:line="273" w:lineRule="auto"/>
        <w:ind w:right="1028" w:firstLine="427"/>
        <w:jc w:val="both"/>
      </w:pPr>
      <w:r>
        <w:rPr/>
        <w:t>开发阶段的支出，同时满足下列条件的，才能予以资本化：完成该无形资产以使其能够使用或出售在</w:t>
      </w:r>
      <w:r>
        <w:rPr>
          <w:w w:val="99"/>
        </w:rPr>
        <w:t> </w:t>
      </w:r>
      <w:r>
        <w:rPr/>
        <w:t>技术上具有可行性；具有完成该无形资产并使用或出售的意图；无形资产产生经济利益的方式，包括能够</w:t>
      </w:r>
      <w:r>
        <w:rPr>
          <w:w w:val="99"/>
        </w:rPr>
        <w:t> </w:t>
      </w:r>
      <w:r>
        <w:rPr/>
        <w:t>证明运用该无形资产生产的产品存在市场或无形资产自身存在市场，无形资产将在内部使用的，能够证明</w:t>
      </w:r>
      <w:r>
        <w:rPr>
          <w:w w:val="99"/>
        </w:rPr>
        <w:t> </w:t>
      </w:r>
      <w:r>
        <w:rPr/>
        <w:t>其有用性；有足够的技术、财务资源和其他资源支持，以完成该无形资产的开发，并有能力使用或出售该</w:t>
      </w:r>
      <w:r>
        <w:rPr>
          <w:w w:val="99"/>
        </w:rPr>
        <w:t> </w:t>
      </w:r>
      <w:r>
        <w:rPr>
          <w:spacing w:val="-3"/>
        </w:rPr>
        <w:t>无形资产；归属于该无形资产开发阶段的支出能够可靠地计量。不满足上述条件的开发支出计入当期损益。</w:t>
      </w:r>
    </w:p>
    <w:p>
      <w:pPr>
        <w:pStyle w:val="BodyText"/>
        <w:spacing w:line="273" w:lineRule="auto" w:before="127"/>
        <w:ind w:right="996" w:firstLine="427"/>
        <w:jc w:val="left"/>
      </w:pPr>
      <w:r>
        <w:rPr>
          <w:w w:val="95"/>
        </w:rPr>
        <w:t>本集团研究开发项目在满足上述条件，通过技术可行性及经济可行性研究，形成项目立项后，进入开</w:t>
      </w:r>
      <w:r>
        <w:rPr>
          <w:w w:val="99"/>
        </w:rPr>
        <w:t> </w:t>
      </w:r>
      <w:r>
        <w:rPr/>
        <w:t>发阶段。</w:t>
      </w:r>
    </w:p>
    <w:p>
      <w:pPr>
        <w:pStyle w:val="BodyText"/>
        <w:spacing w:line="240" w:lineRule="auto" w:before="127"/>
        <w:ind w:left="540" w:right="996"/>
        <w:jc w:val="left"/>
      </w:pPr>
      <w:r>
        <w:rPr/>
        <w:t>已资本化的开发阶段的支出在资产负债表上列示为开发支出，自该项目达到预定用途之日转为无形资</w:t>
      </w:r>
    </w:p>
    <w:p>
      <w:pPr>
        <w:pStyle w:val="BodyText"/>
        <w:spacing w:line="240" w:lineRule="auto" w:before="37"/>
        <w:ind w:right="996"/>
        <w:jc w:val="left"/>
      </w:pPr>
      <w:r>
        <w:rPr/>
        <w:t>产。</w:t>
      </w:r>
    </w:p>
    <w:p>
      <w:pPr>
        <w:spacing w:line="240" w:lineRule="auto" w:before="5"/>
        <w:rPr>
          <w:rFonts w:ascii="宋体" w:hAnsi="宋体" w:cs="宋体" w:eastAsia="宋体" w:hint="default"/>
          <w:sz w:val="9"/>
          <w:szCs w:val="9"/>
        </w:rPr>
      </w:pPr>
    </w:p>
    <w:p>
      <w:pPr>
        <w:pStyle w:val="BodyText"/>
        <w:spacing w:line="240" w:lineRule="auto"/>
        <w:ind w:left="540" w:right="996"/>
        <w:jc w:val="left"/>
      </w:pPr>
      <w:r>
        <w:rPr/>
        <w:t>具体研发项目的资本化标准：</w:t>
      </w:r>
    </w:p>
    <w:p>
      <w:pPr>
        <w:pStyle w:val="BodyText"/>
        <w:spacing w:line="273" w:lineRule="auto" w:before="157"/>
        <w:ind w:right="996" w:firstLine="427"/>
        <w:jc w:val="left"/>
      </w:pPr>
      <w:r>
        <w:rPr>
          <w:w w:val="95"/>
        </w:rPr>
        <w:t>公司将产品策划阶段作为研究阶段，即开发部门根据市场调研情况，对计划开发的产品进行可行性论</w:t>
      </w:r>
      <w:r>
        <w:rPr>
          <w:w w:val="99"/>
        </w:rPr>
        <w:t> </w:t>
      </w:r>
      <w:r>
        <w:rPr/>
        <w:t>证，撰写立项报告，并经审批通过。</w:t>
      </w:r>
    </w:p>
    <w:p>
      <w:pPr>
        <w:pStyle w:val="BodyText"/>
        <w:spacing w:line="273" w:lineRule="auto" w:before="128"/>
        <w:ind w:right="996" w:firstLine="427"/>
        <w:jc w:val="left"/>
      </w:pPr>
      <w:r>
        <w:rPr>
          <w:w w:val="95"/>
        </w:rPr>
        <w:t>公司将产品开发阶段作为开发阶段，即产品论证结束后，由开发部门提交软件产品立项审批表申请立</w:t>
      </w:r>
      <w:r>
        <w:rPr>
          <w:w w:val="99"/>
        </w:rPr>
        <w:t> </w:t>
      </w:r>
      <w:r>
        <w:rPr/>
        <w:t>项，经审批通过后，产品正式立项，组建产品开发项目组，指定产品经理，开发支出资本化过程开始。</w:t>
      </w:r>
    </w:p>
    <w:p>
      <w:pPr>
        <w:pStyle w:val="BodyText"/>
        <w:spacing w:line="590" w:lineRule="atLeast" w:before="7"/>
        <w:ind w:left="540" w:right="996" w:hanging="428"/>
        <w:jc w:val="left"/>
      </w:pPr>
      <w:bookmarkStart w:name="18、长期资产减值" w:id="193"/>
      <w:bookmarkEnd w:id="193"/>
      <w:r>
        <w:rPr/>
      </w:r>
      <w:r>
        <w:rPr>
          <w:rFonts w:ascii="Arial" w:hAnsi="Arial" w:cs="Arial" w:eastAsia="Arial" w:hint="default"/>
          <w:b/>
          <w:bCs/>
        </w:rPr>
        <w:t>18</w:t>
      </w:r>
      <w:r>
        <w:rPr>
          <w:rFonts w:ascii="宋体" w:hAnsi="宋体" w:cs="宋体" w:eastAsia="宋体" w:hint="default"/>
          <w:b/>
          <w:bCs/>
        </w:rPr>
        <w:t>、长期资产减值</w:t>
      </w:r>
      <w:r>
        <w:rPr>
          <w:rFonts w:ascii="宋体" w:hAnsi="宋体" w:cs="宋体" w:eastAsia="宋体" w:hint="default"/>
          <w:b/>
          <w:bCs/>
          <w:w w:val="99"/>
        </w:rPr>
        <w:t> </w:t>
      </w:r>
      <w:r>
        <w:rPr>
          <w:w w:val="95"/>
        </w:rPr>
        <w:t>对子公司、联营企业和合营企业的长期股权投资、采用成本模式进行后续计量的投资性房地产、固定</w:t>
      </w:r>
      <w:r>
        <w:rPr/>
      </w:r>
    </w:p>
    <w:p>
      <w:pPr>
        <w:pStyle w:val="BodyText"/>
        <w:spacing w:line="273" w:lineRule="auto" w:before="37"/>
        <w:ind w:right="1132"/>
        <w:jc w:val="both"/>
      </w:pPr>
      <w:r>
        <w:rPr>
          <w:w w:val="95"/>
        </w:rPr>
        <w:t>资产、在建工程、采用成本模式计量的生产性生物资产、无形资产、商誉、探明石油天然气矿区权益和井</w:t>
      </w:r>
      <w:r>
        <w:rPr>
          <w:spacing w:val="40"/>
          <w:w w:val="95"/>
        </w:rPr>
        <w:t> </w:t>
      </w:r>
      <w:r>
        <w:rPr>
          <w:spacing w:val="40"/>
          <w:w w:val="95"/>
        </w:rPr>
      </w:r>
      <w:r>
        <w:rPr>
          <w:w w:val="95"/>
        </w:rPr>
        <w:t>及相关设施等（存货、按公允价值模式计量的投资性房地产、递延所得税资产、金融资产除外）的资产减</w:t>
      </w:r>
      <w:r>
        <w:rPr>
          <w:spacing w:val="37"/>
          <w:w w:val="95"/>
        </w:rPr>
        <w:t> </w:t>
      </w:r>
      <w:r>
        <w:rPr>
          <w:spacing w:val="37"/>
          <w:w w:val="95"/>
        </w:rPr>
      </w:r>
      <w:r>
        <w:rPr/>
        <w:t>值，按以下方法确定：</w:t>
      </w:r>
    </w:p>
    <w:p>
      <w:pPr>
        <w:pStyle w:val="BodyText"/>
        <w:spacing w:line="273" w:lineRule="auto" w:before="127"/>
        <w:ind w:right="1132" w:firstLine="427"/>
        <w:jc w:val="both"/>
      </w:pPr>
      <w:r>
        <w:rPr>
          <w:w w:val="95"/>
        </w:rPr>
        <w:t>于资产负债表日判断资产是否存在可能发生减值的迹象，存在减值迹象的，本集团将估计其可收回金</w:t>
      </w:r>
      <w:r>
        <w:rPr>
          <w:w w:val="99"/>
        </w:rPr>
        <w:t> </w:t>
      </w:r>
      <w:r>
        <w:rPr>
          <w:w w:val="95"/>
        </w:rPr>
        <w:t>额，进行减值测试。对因企业合并所形成的商誉、使用寿命不确定的无形资产和尚未达到可使用状态的无</w:t>
      </w:r>
      <w:r>
        <w:rPr>
          <w:spacing w:val="37"/>
          <w:w w:val="95"/>
        </w:rPr>
        <w:t> </w:t>
      </w:r>
      <w:r>
        <w:rPr>
          <w:spacing w:val="37"/>
          <w:w w:val="95"/>
        </w:rPr>
      </w:r>
      <w:r>
        <w:rPr/>
        <w:t>形资产无论是否存在减值迹象，每年都进行减值测试。</w:t>
      </w:r>
    </w:p>
    <w:p>
      <w:pPr>
        <w:pStyle w:val="BodyText"/>
        <w:spacing w:line="273" w:lineRule="auto" w:before="128"/>
        <w:ind w:right="996" w:firstLine="427"/>
        <w:jc w:val="left"/>
      </w:pPr>
      <w:r>
        <w:rPr/>
        <w:t>可收回金额根据资产的公允价值减去处置费用后的净额与资产预计未来现金流量的现值两者之间较</w:t>
      </w:r>
      <w:r>
        <w:rPr>
          <w:w w:val="99"/>
        </w:rPr>
        <w:t> </w:t>
      </w:r>
      <w:r>
        <w:rPr>
          <w:w w:val="95"/>
        </w:rPr>
        <w:t>高者确定。本集团以单项资产为基础估计其可收回金额；难以对单项资产的可收回金额进行估计的，以该</w:t>
      </w:r>
      <w:r>
        <w:rPr>
          <w:spacing w:val="37"/>
          <w:w w:val="95"/>
        </w:rPr>
        <w:t> </w:t>
      </w:r>
      <w:r>
        <w:rPr>
          <w:spacing w:val="37"/>
          <w:w w:val="95"/>
        </w:rPr>
      </w:r>
      <w:r>
        <w:rPr>
          <w:w w:val="95"/>
        </w:rPr>
        <w:t>资产所属的资产组为基础确定资产组的可收回金额。资产组的认定，以资产组产生的主要现金流入是否独</w:t>
      </w:r>
      <w:r>
        <w:rPr>
          <w:spacing w:val="37"/>
          <w:w w:val="95"/>
        </w:rPr>
        <w:t> </w:t>
      </w:r>
      <w:r>
        <w:rPr>
          <w:spacing w:val="37"/>
          <w:w w:val="95"/>
        </w:rPr>
      </w:r>
      <w:r>
        <w:rPr/>
        <w:t>立于其他资产或者资产组的现金流入为依据。</w:t>
      </w:r>
    </w:p>
    <w:p>
      <w:pPr>
        <w:pStyle w:val="BodyText"/>
        <w:spacing w:line="273" w:lineRule="auto" w:before="127"/>
        <w:ind w:right="996" w:firstLine="427"/>
        <w:jc w:val="left"/>
      </w:pPr>
      <w:r>
        <w:rPr>
          <w:w w:val="95"/>
        </w:rPr>
        <w:t>当资产或资产组的可收回金额低于其账面价值时，本集团将其账面价值减记至可收回金额，减记的金</w:t>
      </w:r>
      <w:r>
        <w:rPr>
          <w:w w:val="99"/>
        </w:rPr>
        <w:t> </w:t>
      </w:r>
      <w:r>
        <w:rPr/>
        <w:t>额计入当期损益，同时计提相应的资产减值准备。</w:t>
      </w:r>
    </w:p>
    <w:p>
      <w:pPr>
        <w:pStyle w:val="BodyText"/>
        <w:spacing w:line="273" w:lineRule="auto" w:before="128"/>
        <w:ind w:right="1025" w:firstLine="427"/>
        <w:jc w:val="left"/>
      </w:pPr>
      <w:r>
        <w:rPr/>
        <w:t>就商誉的减值测试而言，对于因企业合并形成的商誉的账面价值，自购买日起按照合理的方法分摊至</w:t>
      </w:r>
      <w:r>
        <w:rPr>
          <w:w w:val="99"/>
        </w:rPr>
        <w:t> </w:t>
      </w:r>
      <w:r>
        <w:rPr>
          <w:spacing w:val="-3"/>
        </w:rPr>
        <w:t>相关的资产组；难以分摊至相关的资产组的，将其分摊至相关的资产组组合。相关的资产组或资产组组合，</w:t>
      </w:r>
      <w:r>
        <w:rPr>
          <w:w w:val="99"/>
        </w:rPr>
        <w:t> </w:t>
      </w:r>
      <w:r>
        <w:rPr/>
        <w:t>是能够从企业合并的协同效应中受益的资产组或者资产组组合，且不大于本集团确定的报告分部。</w:t>
      </w:r>
    </w:p>
    <w:p>
      <w:pPr>
        <w:pStyle w:val="BodyText"/>
        <w:spacing w:line="273" w:lineRule="auto" w:before="127"/>
        <w:ind w:right="1132" w:firstLine="427"/>
        <w:jc w:val="both"/>
      </w:pPr>
      <w:r>
        <w:rPr>
          <w:w w:val="95"/>
        </w:rPr>
        <w:t>减值测试时，如与商誉相关的资产组或者资产组组合存在减值迹象的，首先对不包含商誉的资产组或</w:t>
      </w:r>
      <w:r>
        <w:rPr>
          <w:w w:val="99"/>
        </w:rPr>
        <w:t> </w:t>
      </w:r>
      <w:r>
        <w:rPr>
          <w:w w:val="95"/>
        </w:rPr>
        <w:t>者资产组组合进行减值测试，计算可收回金额，确认相应的减值损失。然后对包含商誉的资产组或者资产</w:t>
      </w:r>
      <w:r>
        <w:rPr>
          <w:spacing w:val="40"/>
          <w:w w:val="95"/>
        </w:rPr>
        <w:t> </w:t>
      </w:r>
      <w:r>
        <w:rPr>
          <w:spacing w:val="40"/>
          <w:w w:val="95"/>
        </w:rPr>
      </w:r>
      <w:r>
        <w:rPr>
          <w:w w:val="95"/>
        </w:rPr>
        <w:t>组组合进行减值测试，比较其账面价值与可收回金额，如可收回金额低于账面价值的，确认商誉的减值损   </w:t>
      </w:r>
      <w:r>
        <w:rPr>
          <w:spacing w:val="37"/>
          <w:w w:val="95"/>
        </w:rPr>
        <w:t> </w:t>
      </w:r>
      <w:r>
        <w:rPr>
          <w:spacing w:val="37"/>
          <w:w w:val="95"/>
        </w:rPr>
      </w:r>
      <w:r>
        <w:rPr/>
        <w:t>失。</w:t>
      </w:r>
    </w:p>
    <w:p>
      <w:pPr>
        <w:pStyle w:val="BodyText"/>
        <w:spacing w:line="240" w:lineRule="auto" w:before="127"/>
        <w:ind w:left="540" w:right="996"/>
        <w:jc w:val="left"/>
      </w:pPr>
      <w:r>
        <w:rPr/>
        <w:t>长期资产减值损失一经确认，在以后会计期间不再转回。</w:t>
      </w:r>
    </w:p>
    <w:p>
      <w:pPr>
        <w:spacing w:after="0" w:line="240" w:lineRule="auto"/>
        <w:jc w:val="left"/>
        <w:sectPr>
          <w:pgSz w:w="11910" w:h="16840"/>
          <w:pgMar w:header="878" w:footer="978" w:top="1100" w:bottom="1160" w:left="1020" w:right="0"/>
        </w:sectPr>
      </w:pPr>
    </w:p>
    <w:p>
      <w:pPr>
        <w:spacing w:line="240" w:lineRule="auto" w:before="12"/>
        <w:rPr>
          <w:rFonts w:ascii="宋体" w:hAnsi="宋体" w:cs="宋体" w:eastAsia="宋体" w:hint="default"/>
          <w:sz w:val="20"/>
          <w:szCs w:val="20"/>
        </w:rPr>
      </w:pPr>
    </w:p>
    <w:p>
      <w:pPr>
        <w:pStyle w:val="Heading4"/>
        <w:spacing w:line="240" w:lineRule="auto" w:before="34"/>
        <w:ind w:right="996"/>
        <w:jc w:val="left"/>
        <w:rPr>
          <w:b w:val="0"/>
          <w:bCs w:val="0"/>
        </w:rPr>
      </w:pPr>
      <w:bookmarkStart w:name="19、长期待摊费用" w:id="194"/>
      <w:bookmarkEnd w:id="194"/>
      <w:r>
        <w:rPr>
          <w:b w:val="0"/>
          <w:bCs w:val="0"/>
        </w:rPr>
      </w:r>
      <w:r>
        <w:rPr>
          <w:rFonts w:ascii="Arial" w:hAnsi="Arial" w:cs="Arial" w:eastAsia="Arial" w:hint="default"/>
        </w:rPr>
        <w:t>19</w:t>
      </w:r>
      <w:r>
        <w:rPr/>
        <w:t>、长期待摊费用</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1132" w:firstLine="427"/>
        <w:jc w:val="both"/>
      </w:pPr>
      <w:r>
        <w:rPr>
          <w:w w:val="95"/>
        </w:rPr>
        <w:t>本集团发生的长期待摊费用按实际成本计价，并按预计受益期限平均摊销。对不能使以后会计期间受</w:t>
      </w:r>
      <w:r>
        <w:rPr>
          <w:w w:val="99"/>
        </w:rPr>
        <w:t> </w:t>
      </w:r>
      <w:r>
        <w:rPr/>
        <w:t>益的长期待摊费用项目，其摊余价值全部计入当期损益。</w:t>
      </w:r>
    </w:p>
    <w:p>
      <w:pPr>
        <w:spacing w:line="240" w:lineRule="auto" w:before="9"/>
        <w:rPr>
          <w:rFonts w:ascii="宋体" w:hAnsi="宋体" w:cs="宋体" w:eastAsia="宋体" w:hint="default"/>
          <w:sz w:val="23"/>
          <w:szCs w:val="23"/>
        </w:rPr>
      </w:pPr>
    </w:p>
    <w:p>
      <w:pPr>
        <w:pStyle w:val="Heading4"/>
        <w:spacing w:line="240" w:lineRule="auto"/>
        <w:ind w:right="996"/>
        <w:jc w:val="left"/>
        <w:rPr>
          <w:b w:val="0"/>
          <w:bCs w:val="0"/>
        </w:rPr>
      </w:pPr>
      <w:bookmarkStart w:name="20、职工薪酬" w:id="195"/>
      <w:bookmarkEnd w:id="195"/>
      <w:r>
        <w:rPr>
          <w:b w:val="0"/>
          <w:bCs w:val="0"/>
        </w:rPr>
      </w:r>
      <w:r>
        <w:rPr>
          <w:rFonts w:ascii="Arial" w:hAnsi="Arial" w:cs="Arial" w:eastAsia="Arial" w:hint="default"/>
        </w:rPr>
        <w:t>20</w:t>
      </w:r>
      <w:r>
        <w:rPr/>
        <w:t>、职工薪酬</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1112" w:firstLine="427"/>
        <w:jc w:val="both"/>
      </w:pPr>
      <w:r>
        <w:rPr>
          <w:w w:val="95"/>
        </w:rPr>
        <w:t>职工薪酬，是指企业为获得职工提供的服务或解除劳动关系而给予的各种形式的报酬或补偿。职工薪</w:t>
      </w:r>
      <w:r>
        <w:rPr>
          <w:w w:val="99"/>
        </w:rPr>
        <w:t> </w:t>
      </w:r>
      <w:r>
        <w:rPr>
          <w:w w:val="95"/>
        </w:rPr>
        <w:t>酬包括短期薪酬、离职后福利、辞退福利和其他长期职工福利。企业提供给职工配偶、子女、受赡养人、</w:t>
      </w:r>
      <w:r>
        <w:rPr>
          <w:spacing w:val="61"/>
          <w:w w:val="95"/>
        </w:rPr>
        <w:t> </w:t>
      </w:r>
      <w:r>
        <w:rPr>
          <w:spacing w:val="61"/>
          <w:w w:val="95"/>
        </w:rPr>
      </w:r>
      <w:r>
        <w:rPr/>
        <w:t>已故员工遗属及其他受益人等的福利，也属于职工薪酬。</w:t>
      </w:r>
    </w:p>
    <w:p>
      <w:pPr>
        <w:pStyle w:val="BodyText"/>
        <w:spacing w:line="240" w:lineRule="auto" w:before="127"/>
        <w:ind w:left="540" w:right="996"/>
        <w:jc w:val="left"/>
      </w:pPr>
      <w:r>
        <w:rPr/>
        <w:t>根据流动性，职工薪酬分别列示于资产负债表的</w:t>
      </w:r>
      <w:r>
        <w:rPr>
          <w:rFonts w:ascii="Arial" w:hAnsi="Arial" w:cs="Arial" w:eastAsia="Arial" w:hint="default"/>
        </w:rPr>
        <w:t>“</w:t>
      </w:r>
      <w:r>
        <w:rPr/>
        <w:t>应付职工薪酬</w:t>
      </w:r>
      <w:r>
        <w:rPr>
          <w:rFonts w:ascii="Arial" w:hAnsi="Arial" w:cs="Arial" w:eastAsia="Arial" w:hint="default"/>
        </w:rPr>
        <w:t>”</w:t>
      </w:r>
      <w:r>
        <w:rPr/>
        <w:t>项目和</w:t>
      </w:r>
      <w:r>
        <w:rPr>
          <w:rFonts w:ascii="Arial" w:hAnsi="Arial" w:cs="Arial" w:eastAsia="Arial" w:hint="default"/>
        </w:rPr>
        <w:t>“</w:t>
      </w:r>
      <w:r>
        <w:rPr/>
        <w:t>长期应付职工薪酬</w:t>
      </w:r>
      <w:r>
        <w:rPr>
          <w:rFonts w:ascii="Arial" w:hAnsi="Arial" w:cs="Arial" w:eastAsia="Arial" w:hint="default"/>
        </w:rPr>
        <w:t>”</w:t>
      </w:r>
      <w:r>
        <w:rPr/>
        <w:t>项目。</w:t>
      </w:r>
    </w:p>
    <w:p>
      <w:pPr>
        <w:spacing w:line="590" w:lineRule="atLeast" w:before="22"/>
        <w:ind w:left="540" w:right="996" w:hanging="428"/>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w w:val="95"/>
          <w:sz w:val="21"/>
          <w:szCs w:val="21"/>
        </w:rPr>
        <w:t>本集团在职工提供服务的会计期间，将实际发生的职工工资、奖金、按规定的基准和比例为职工缴纳</w:t>
      </w:r>
      <w:r>
        <w:rPr>
          <w:rFonts w:ascii="宋体" w:hAnsi="宋体" w:cs="宋体" w:eastAsia="宋体" w:hint="default"/>
          <w:sz w:val="21"/>
          <w:szCs w:val="21"/>
        </w:rPr>
      </w:r>
    </w:p>
    <w:p>
      <w:pPr>
        <w:pStyle w:val="BodyText"/>
        <w:spacing w:line="273" w:lineRule="auto" w:before="37"/>
        <w:ind w:right="1132"/>
        <w:jc w:val="both"/>
      </w:pPr>
      <w:r>
        <w:rPr>
          <w:w w:val="95"/>
        </w:rPr>
        <w:t>的医疗保险费、工伤保险费和生育保险费等社会保险费和住房公积金，确认为负债，并计入当期损益或相</w:t>
      </w:r>
      <w:r>
        <w:rPr>
          <w:spacing w:val="40"/>
          <w:w w:val="95"/>
        </w:rPr>
        <w:t> </w:t>
      </w:r>
      <w:r>
        <w:rPr>
          <w:spacing w:val="40"/>
          <w:w w:val="95"/>
        </w:rPr>
      </w:r>
      <w:r>
        <w:rPr>
          <w:w w:val="95"/>
        </w:rPr>
        <w:t>关资产成本。如果该负债预期在职工提供相关服务的年度报告期结束后十二个月内不能完全支付，且财务</w:t>
      </w:r>
      <w:r>
        <w:rPr>
          <w:spacing w:val="40"/>
          <w:w w:val="95"/>
        </w:rPr>
        <w:t> </w:t>
      </w:r>
      <w:r>
        <w:rPr>
          <w:spacing w:val="40"/>
          <w:w w:val="95"/>
        </w:rPr>
      </w:r>
      <w:r>
        <w:rPr/>
        <w:t>影响重大的，则该负债将以折现后的金额计量。</w:t>
      </w:r>
    </w:p>
    <w:p>
      <w:pPr>
        <w:spacing w:line="590" w:lineRule="atLeast" w:before="7"/>
        <w:ind w:left="540" w:right="996" w:hanging="428"/>
        <w:jc w:val="left"/>
        <w:rPr>
          <w:rFonts w:ascii="宋体" w:hAnsi="宋体" w:cs="宋体" w:eastAsia="宋体" w:hint="default"/>
          <w:sz w:val="21"/>
          <w:szCs w:val="21"/>
        </w:rPr>
      </w:pPr>
      <w:bookmarkStart w:name="（2）离职后福利的会计处理方法" w:id="196"/>
      <w:bookmarkEnd w:id="196"/>
      <w:r>
        <w:rPr/>
      </w:r>
      <w:r>
        <w:rPr>
          <w:rFonts w:ascii="宋体" w:hAnsi="宋体" w:cs="宋体" w:eastAsia="宋体" w:hint="default"/>
          <w:b/>
          <w:bCs/>
          <w:sz w:val="21"/>
          <w:szCs w:val="21"/>
        </w:rPr>
        <w:t>（</w:t>
      </w:r>
      <w:r>
        <w:rPr>
          <w:rFonts w:ascii="Arial" w:hAnsi="Arial" w:cs="Arial" w:eastAsia="Arial"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w w:val="95"/>
          <w:sz w:val="21"/>
          <w:szCs w:val="21"/>
        </w:rPr>
        <w:t>离职后福利计划包括设定提存计划和设定受益计划。其中，设定提存计划，是指向独立的基金缴存固</w:t>
      </w:r>
      <w:r>
        <w:rPr>
          <w:rFonts w:ascii="宋体" w:hAnsi="宋体" w:cs="宋体" w:eastAsia="宋体" w:hint="default"/>
          <w:sz w:val="21"/>
          <w:szCs w:val="21"/>
        </w:rPr>
      </w:r>
    </w:p>
    <w:p>
      <w:pPr>
        <w:pStyle w:val="BodyText"/>
        <w:spacing w:line="273" w:lineRule="auto" w:before="37"/>
        <w:ind w:right="1135"/>
        <w:jc w:val="both"/>
      </w:pPr>
      <w:r>
        <w:rPr>
          <w:w w:val="95"/>
        </w:rPr>
        <w:t>定费用后，企业不再承担进一步支付义务的离职后福利计划；设定受益计划，是指除设定提存计划以外的</w:t>
      </w:r>
      <w:r>
        <w:rPr>
          <w:spacing w:val="37"/>
          <w:w w:val="95"/>
        </w:rPr>
        <w:t> </w:t>
      </w:r>
      <w:r>
        <w:rPr>
          <w:spacing w:val="37"/>
          <w:w w:val="95"/>
        </w:rPr>
      </w:r>
      <w:r>
        <w:rPr/>
        <w:t>离职后福利计划。</w:t>
      </w:r>
    </w:p>
    <w:p>
      <w:pPr>
        <w:pStyle w:val="BodyText"/>
        <w:spacing w:line="376" w:lineRule="auto" w:before="127"/>
        <w:ind w:left="540" w:right="5474"/>
        <w:jc w:val="left"/>
      </w:pPr>
      <w:r>
        <w:rPr/>
        <w:t>设定提存计划</w:t>
      </w:r>
      <w:r>
        <w:rPr>
          <w:w w:val="99"/>
        </w:rPr>
        <w:t> </w:t>
      </w:r>
      <w:r>
        <w:rPr>
          <w:w w:val="95"/>
        </w:rPr>
        <w:t>设定提存计划包括基本养老保险、失业保险等。</w:t>
      </w:r>
      <w:r>
        <w:rPr/>
      </w:r>
    </w:p>
    <w:p>
      <w:pPr>
        <w:pStyle w:val="BodyText"/>
        <w:spacing w:line="273" w:lineRule="auto" w:before="37"/>
        <w:ind w:right="1132" w:firstLine="427"/>
        <w:jc w:val="both"/>
      </w:pPr>
      <w:r>
        <w:rPr>
          <w:w w:val="95"/>
        </w:rPr>
        <w:t>在职工提供服务的会计期间，根据设定提存计划计算的应缴存金额确认为负债，并计入当期损益或相</w:t>
      </w:r>
      <w:r>
        <w:rPr>
          <w:w w:val="99"/>
        </w:rPr>
        <w:t> </w:t>
      </w:r>
      <w:r>
        <w:rPr/>
        <w:t>关资产成本。</w:t>
      </w:r>
    </w:p>
    <w:p>
      <w:pPr>
        <w:pStyle w:val="BodyText"/>
        <w:spacing w:line="432" w:lineRule="exact" w:before="27"/>
        <w:ind w:left="540" w:right="996"/>
        <w:jc w:val="left"/>
      </w:pPr>
      <w:r>
        <w:rPr/>
        <w:t>设定受益计划</w:t>
      </w:r>
      <w:r>
        <w:rPr>
          <w:w w:val="99"/>
        </w:rPr>
        <w:t> </w:t>
      </w:r>
      <w:r>
        <w:rPr>
          <w:w w:val="95"/>
        </w:rPr>
        <w:t>对于设定受益计划，在年度资产负债表日由独立精算师进行精算估值，以预期累积福利单位法确定提</w:t>
      </w:r>
      <w:r>
        <w:rPr/>
      </w:r>
    </w:p>
    <w:p>
      <w:pPr>
        <w:pStyle w:val="BodyText"/>
        <w:spacing w:line="255" w:lineRule="exact" w:before="0"/>
        <w:ind w:right="996"/>
        <w:jc w:val="left"/>
      </w:pPr>
      <w:r>
        <w:rPr/>
        <w:t>供福利的成本。本集团设定受益计划导致的职工薪酬成本包括下列组成部分：</w:t>
      </w:r>
    </w:p>
    <w:p>
      <w:pPr>
        <w:pStyle w:val="BodyText"/>
        <w:spacing w:line="273" w:lineRule="auto" w:before="157"/>
        <w:ind w:right="1135" w:firstLine="427"/>
        <w:jc w:val="both"/>
      </w:pPr>
      <w:r>
        <w:rPr>
          <w:w w:val="95"/>
        </w:rPr>
        <w:t>①服务成本，包括当期服务成本、过去服务成本和结算利得或损失。其中，当期服务成本，是指职工</w:t>
      </w:r>
      <w:r>
        <w:rPr>
          <w:w w:val="99"/>
        </w:rPr>
        <w:t> </w:t>
      </w:r>
      <w:r>
        <w:rPr>
          <w:w w:val="95"/>
        </w:rPr>
        <w:t>当期提供服务所导致的设定受益计划义务现值的增加额；过去服务成本，是指设定受益计划修改所导致的</w:t>
      </w:r>
      <w:r>
        <w:rPr>
          <w:spacing w:val="37"/>
          <w:w w:val="95"/>
        </w:rPr>
        <w:t> </w:t>
      </w:r>
      <w:r>
        <w:rPr>
          <w:spacing w:val="37"/>
          <w:w w:val="95"/>
        </w:rPr>
      </w:r>
      <w:r>
        <w:rPr/>
        <w:t>与以前期间职工服务相关的设定受益计划义务现值的增加或减少。</w:t>
      </w:r>
    </w:p>
    <w:p>
      <w:pPr>
        <w:pStyle w:val="BodyText"/>
        <w:spacing w:line="273" w:lineRule="auto" w:before="127"/>
        <w:ind w:right="1135" w:firstLine="427"/>
        <w:jc w:val="both"/>
      </w:pPr>
      <w:r>
        <w:rPr>
          <w:w w:val="95"/>
        </w:rPr>
        <w:t>②设定受益计划净负债或净资产的利息净额，包括计划资产的利息收益、设定受益计划义务的利息费</w:t>
      </w:r>
      <w:r>
        <w:rPr>
          <w:w w:val="99"/>
        </w:rPr>
        <w:t> </w:t>
      </w:r>
      <w:r>
        <w:rPr/>
        <w:t>用以及资产上限影响的利息。</w:t>
      </w:r>
    </w:p>
    <w:p>
      <w:pPr>
        <w:pStyle w:val="BodyText"/>
        <w:spacing w:line="432" w:lineRule="exact" w:before="27"/>
        <w:ind w:left="540" w:right="996"/>
        <w:jc w:val="left"/>
      </w:pPr>
      <w:r>
        <w:rPr/>
        <w:t>③重新计量设定受益计划净负债或净资产所产生的变动。</w:t>
      </w:r>
      <w:r>
        <w:rPr>
          <w:w w:val="99"/>
        </w:rPr>
        <w:t> </w:t>
      </w:r>
      <w:r>
        <w:rPr>
          <w:w w:val="95"/>
        </w:rPr>
        <w:t>除非其他会计准则要求或允许职工福利成本计入资产成本，本集团将上述第①和②项计入当期损益；</w:t>
      </w:r>
      <w:r>
        <w:rPr/>
      </w:r>
    </w:p>
    <w:p>
      <w:pPr>
        <w:pStyle w:val="BodyText"/>
        <w:spacing w:line="255" w:lineRule="exact" w:before="0"/>
        <w:ind w:right="996"/>
        <w:jc w:val="left"/>
      </w:pPr>
      <w:r>
        <w:rPr/>
        <w:t>第③项计入其他综合收益且不会在后续会计期间转回至损益，在原设定受益计划终止时在权益范围内将原</w:t>
      </w:r>
    </w:p>
    <w:p>
      <w:pPr>
        <w:pStyle w:val="BodyText"/>
        <w:spacing w:line="240" w:lineRule="auto" w:before="37"/>
        <w:ind w:right="996"/>
        <w:jc w:val="left"/>
      </w:pPr>
      <w:r>
        <w:rPr/>
        <w:t>计入其他综合收益的部分全部结转至未分配利润。</w:t>
      </w:r>
    </w:p>
    <w:p>
      <w:pPr>
        <w:spacing w:after="0" w:line="240" w:lineRule="auto"/>
        <w:jc w:val="left"/>
        <w:sectPr>
          <w:pgSz w:w="11910" w:h="16840"/>
          <w:pgMar w:header="878" w:footer="978" w:top="1100" w:bottom="1160" w:left="1020" w:right="0"/>
        </w:sectPr>
      </w:pPr>
    </w:p>
    <w:p>
      <w:pPr>
        <w:spacing w:line="240" w:lineRule="auto" w:before="12"/>
        <w:rPr>
          <w:rFonts w:ascii="宋体" w:hAnsi="宋体" w:cs="宋体" w:eastAsia="宋体" w:hint="default"/>
          <w:sz w:val="20"/>
          <w:szCs w:val="20"/>
        </w:rPr>
      </w:pPr>
    </w:p>
    <w:p>
      <w:pPr>
        <w:pStyle w:val="Heading4"/>
        <w:spacing w:line="240" w:lineRule="auto" w:before="34"/>
        <w:ind w:right="996"/>
        <w:jc w:val="left"/>
        <w:rPr>
          <w:b w:val="0"/>
          <w:bCs w:val="0"/>
        </w:rPr>
      </w:pPr>
      <w:bookmarkStart w:name="（3）辞退福利的会计处理方法" w:id="197"/>
      <w:bookmarkEnd w:id="197"/>
      <w:r>
        <w:rPr>
          <w:b w:val="0"/>
          <w:bCs w:val="0"/>
        </w:rPr>
      </w:r>
      <w:r>
        <w:rPr/>
        <w:t>（</w:t>
      </w:r>
      <w:r>
        <w:rPr>
          <w:rFonts w:ascii="Arial" w:hAnsi="Arial" w:cs="Arial" w:eastAsia="Arial" w:hint="default"/>
        </w:rPr>
        <w:t>3</w:t>
      </w:r>
      <w:r>
        <w:rPr/>
        <w:t>）辞退福利的会计处理方法</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1135" w:firstLine="427"/>
        <w:jc w:val="both"/>
      </w:pPr>
      <w:r>
        <w:rPr>
          <w:w w:val="95"/>
        </w:rPr>
        <w:t>本集团向职工提供辞退福利的，在下列两者孰早日确认辞退福利产生的职工薪酬负债，并计入当期损</w:t>
      </w:r>
      <w:r>
        <w:rPr>
          <w:w w:val="99"/>
        </w:rPr>
        <w:t> </w:t>
      </w:r>
      <w:r>
        <w:rPr>
          <w:w w:val="95"/>
        </w:rPr>
        <w:t>益：本集团不能单方面撤回因解除劳动关系计划或裁减建议所提供的辞退福利时；本集团确认与涉及支付</w:t>
      </w:r>
      <w:r>
        <w:rPr>
          <w:spacing w:val="38"/>
          <w:w w:val="95"/>
        </w:rPr>
        <w:t> </w:t>
      </w:r>
      <w:r>
        <w:rPr>
          <w:spacing w:val="38"/>
          <w:w w:val="95"/>
        </w:rPr>
      </w:r>
      <w:r>
        <w:rPr/>
        <w:t>辞退福利的重组相关的成本或费用时。</w:t>
      </w:r>
    </w:p>
    <w:p>
      <w:pPr>
        <w:pStyle w:val="BodyText"/>
        <w:spacing w:line="273" w:lineRule="auto" w:before="127"/>
        <w:ind w:right="1132" w:firstLine="427"/>
        <w:jc w:val="both"/>
      </w:pPr>
      <w:r>
        <w:rPr>
          <w:w w:val="95"/>
        </w:rPr>
        <w:t>实行职工内部退休计划的，在正式退休日之前的经济补偿，属于辞退福利，自职工停止提供服务日至</w:t>
      </w:r>
      <w:r>
        <w:rPr>
          <w:w w:val="99"/>
        </w:rPr>
        <w:t> </w:t>
      </w:r>
      <w:r>
        <w:rPr>
          <w:w w:val="95"/>
        </w:rPr>
        <w:t>正常退休日期间，拟支付的内退职工工资和缴纳的社会保险费等一次性计入当期损益。正式退休日期之后</w:t>
      </w:r>
      <w:r>
        <w:rPr>
          <w:spacing w:val="38"/>
          <w:w w:val="95"/>
        </w:rPr>
        <w:t> </w:t>
      </w:r>
      <w:r>
        <w:rPr>
          <w:spacing w:val="38"/>
          <w:w w:val="95"/>
        </w:rPr>
      </w:r>
      <w:r>
        <w:rPr/>
        <w:t>的经济补偿（如正常养老退休金），按照离职后福利处理。</w:t>
      </w:r>
    </w:p>
    <w:p>
      <w:pPr>
        <w:spacing w:line="590" w:lineRule="atLeast" w:before="10"/>
        <w:ind w:left="540" w:right="996" w:hanging="428"/>
        <w:jc w:val="left"/>
        <w:rPr>
          <w:rFonts w:ascii="宋体" w:hAnsi="宋体" w:cs="宋体" w:eastAsia="宋体" w:hint="default"/>
          <w:sz w:val="21"/>
          <w:szCs w:val="21"/>
        </w:rPr>
      </w:pPr>
      <w:bookmarkStart w:name="（4）其他长期职工福利的会计处理方法" w:id="198"/>
      <w:bookmarkEnd w:id="198"/>
      <w:r>
        <w:rPr/>
      </w:r>
      <w:r>
        <w:rPr>
          <w:rFonts w:ascii="宋体" w:hAnsi="宋体" w:cs="宋体" w:eastAsia="宋体" w:hint="default"/>
          <w:b/>
          <w:bCs/>
          <w:sz w:val="21"/>
          <w:szCs w:val="21"/>
        </w:rPr>
        <w:t>（</w:t>
      </w:r>
      <w:r>
        <w:rPr>
          <w:rFonts w:ascii="Arial" w:hAnsi="Arial" w:cs="Arial" w:eastAsia="Arial"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w w:val="95"/>
          <w:sz w:val="21"/>
          <w:szCs w:val="21"/>
        </w:rPr>
        <w:t>本集团向职工提供的其他长期职工福利，符合设定提存计划条件的，按照上述关于设定提存计划的有</w:t>
      </w:r>
      <w:r>
        <w:rPr>
          <w:rFonts w:ascii="宋体" w:hAnsi="宋体" w:cs="宋体" w:eastAsia="宋体" w:hint="default"/>
          <w:sz w:val="21"/>
          <w:szCs w:val="21"/>
        </w:rPr>
      </w:r>
    </w:p>
    <w:p>
      <w:pPr>
        <w:pStyle w:val="BodyText"/>
        <w:spacing w:line="273" w:lineRule="auto" w:before="37"/>
        <w:ind w:right="996"/>
        <w:jc w:val="left"/>
      </w:pPr>
      <w:r>
        <w:rPr>
          <w:w w:val="95"/>
        </w:rPr>
        <w:t>关规定进行处理。符合设定受益计划的，按照上述关于设定受益计划的有关规定进行处理，但相关职工薪</w:t>
      </w:r>
      <w:r>
        <w:rPr>
          <w:spacing w:val="37"/>
          <w:w w:val="95"/>
        </w:rPr>
        <w:t> </w:t>
      </w:r>
      <w:r>
        <w:rPr>
          <w:spacing w:val="37"/>
          <w:w w:val="95"/>
        </w:rPr>
      </w:r>
      <w:r>
        <w:rPr/>
        <w:t>酬成本中</w:t>
      </w:r>
      <w:r>
        <w:rPr>
          <w:rFonts w:ascii="Arial" w:hAnsi="Arial" w:cs="Arial" w:eastAsia="Arial" w:hint="default"/>
        </w:rPr>
        <w:t>“</w:t>
      </w:r>
      <w:r>
        <w:rPr/>
        <w:t>重新计量设定受益计划净负债或净资产所产生的变动</w:t>
      </w:r>
      <w:r>
        <w:rPr>
          <w:rFonts w:ascii="Arial" w:hAnsi="Arial" w:cs="Arial" w:eastAsia="Arial" w:hint="default"/>
        </w:rPr>
        <w:t>”</w:t>
      </w:r>
      <w:r>
        <w:rPr/>
        <w:t>部分计入当期损益或相关资产成本。</w:t>
      </w:r>
    </w:p>
    <w:p>
      <w:pPr>
        <w:spacing w:line="240" w:lineRule="auto" w:before="1"/>
        <w:rPr>
          <w:rFonts w:ascii="宋体" w:hAnsi="宋体" w:cs="宋体" w:eastAsia="宋体" w:hint="default"/>
          <w:sz w:val="22"/>
          <w:szCs w:val="22"/>
        </w:rPr>
      </w:pPr>
    </w:p>
    <w:p>
      <w:pPr>
        <w:pStyle w:val="Heading4"/>
        <w:spacing w:line="240" w:lineRule="auto"/>
        <w:ind w:right="996"/>
        <w:jc w:val="left"/>
        <w:rPr>
          <w:b w:val="0"/>
          <w:bCs w:val="0"/>
        </w:rPr>
      </w:pPr>
      <w:bookmarkStart w:name="21、预计负债" w:id="199"/>
      <w:bookmarkEnd w:id="199"/>
      <w:r>
        <w:rPr>
          <w:b w:val="0"/>
          <w:bCs w:val="0"/>
        </w:rPr>
      </w:r>
      <w:r>
        <w:rPr>
          <w:rFonts w:ascii="Arial" w:hAnsi="Arial" w:cs="Arial" w:eastAsia="Arial" w:hint="default"/>
        </w:rPr>
        <w:t>21</w:t>
      </w:r>
      <w:r>
        <w:rPr/>
        <w:t>、预计负债</w:t>
      </w:r>
      <w:r>
        <w:rPr>
          <w:b w:val="0"/>
          <w:bCs w:val="0"/>
        </w:rPr>
      </w:r>
    </w:p>
    <w:p>
      <w:pPr>
        <w:spacing w:line="240" w:lineRule="auto" w:before="8"/>
        <w:rPr>
          <w:rFonts w:ascii="宋体" w:hAnsi="宋体" w:cs="宋体" w:eastAsia="宋体" w:hint="default"/>
          <w:b/>
          <w:bCs/>
          <w:sz w:val="24"/>
          <w:szCs w:val="24"/>
        </w:rPr>
      </w:pPr>
    </w:p>
    <w:p>
      <w:pPr>
        <w:pStyle w:val="BodyText"/>
        <w:spacing w:line="240" w:lineRule="auto" w:before="0"/>
        <w:ind w:left="540" w:right="996"/>
        <w:jc w:val="left"/>
      </w:pPr>
      <w:r>
        <w:rPr/>
        <w:t>如果与或有事项相关的义务同时符合以下条件，本集团将其确认为预计负债：</w:t>
      </w:r>
    </w:p>
    <w:p>
      <w:pPr>
        <w:pStyle w:val="BodyText"/>
        <w:spacing w:line="240" w:lineRule="auto" w:before="157"/>
        <w:ind w:left="540" w:right="996"/>
        <w:jc w:val="left"/>
      </w:pPr>
      <w:r>
        <w:rPr/>
        <w:t>（</w:t>
      </w:r>
      <w:r>
        <w:rPr>
          <w:rFonts w:ascii="Arial" w:hAnsi="Arial" w:cs="Arial" w:eastAsia="Arial" w:hint="default"/>
        </w:rPr>
        <w:t>1</w:t>
      </w:r>
      <w:r>
        <w:rPr/>
        <w:t>）该义务是本集团承担的现时义务；</w:t>
      </w:r>
    </w:p>
    <w:p>
      <w:pPr>
        <w:pStyle w:val="BodyText"/>
        <w:spacing w:line="240" w:lineRule="auto" w:before="142"/>
        <w:ind w:left="540" w:right="996"/>
        <w:jc w:val="left"/>
      </w:pPr>
      <w:r>
        <w:rPr/>
        <w:t>（</w:t>
      </w:r>
      <w:r>
        <w:rPr>
          <w:rFonts w:ascii="Arial" w:hAnsi="Arial" w:cs="Arial" w:eastAsia="Arial" w:hint="default"/>
        </w:rPr>
        <w:t>2</w:t>
      </w:r>
      <w:r>
        <w:rPr/>
        <w:t>）该义务的履行很可能导致经济利益流出本集团；</w:t>
      </w:r>
    </w:p>
    <w:p>
      <w:pPr>
        <w:pStyle w:val="BodyText"/>
        <w:spacing w:line="357" w:lineRule="auto" w:before="142"/>
        <w:ind w:left="540" w:right="996"/>
        <w:jc w:val="left"/>
      </w:pPr>
      <w:r>
        <w:rPr/>
        <w:t>（</w:t>
      </w:r>
      <w:r>
        <w:rPr>
          <w:rFonts w:ascii="Arial" w:hAnsi="Arial" w:cs="Arial" w:eastAsia="Arial" w:hint="default"/>
        </w:rPr>
        <w:t>3</w:t>
      </w:r>
      <w:r>
        <w:rPr/>
        <w:t>）该义务的金额能够可靠地计量。</w:t>
      </w:r>
      <w:r>
        <w:rPr>
          <w:w w:val="99"/>
        </w:rPr>
        <w:t> </w:t>
      </w:r>
      <w:r>
        <w:rPr>
          <w:w w:val="95"/>
        </w:rPr>
        <w:t>预计负债按照履行相关现时义务所需支出的最佳估计数进行初始计量，并综合考虑与或有事项有关的</w:t>
      </w:r>
      <w:r>
        <w:rPr/>
      </w:r>
    </w:p>
    <w:p>
      <w:pPr>
        <w:pStyle w:val="BodyText"/>
        <w:spacing w:line="209" w:lineRule="exact" w:before="0"/>
        <w:ind w:right="996"/>
        <w:jc w:val="left"/>
      </w:pPr>
      <w:r>
        <w:rPr/>
        <w:t>风险、不确定性和货币时间价值等因素。货币时间价值影响重大的，通过对相关未来现金流出进行折现后</w:t>
      </w:r>
    </w:p>
    <w:p>
      <w:pPr>
        <w:pStyle w:val="BodyText"/>
        <w:spacing w:line="273" w:lineRule="auto" w:before="37"/>
        <w:ind w:right="996"/>
        <w:jc w:val="left"/>
      </w:pPr>
      <w:r>
        <w:rPr>
          <w:w w:val="95"/>
        </w:rPr>
        <w:t>确定最佳估计数。本集团于资产负债表日对预计负债的账面价值进行复核，并对账面价值进行调整以反映</w:t>
      </w:r>
      <w:r>
        <w:rPr>
          <w:spacing w:val="40"/>
          <w:w w:val="95"/>
        </w:rPr>
        <w:t> </w:t>
      </w:r>
      <w:r>
        <w:rPr>
          <w:spacing w:val="40"/>
          <w:w w:val="95"/>
        </w:rPr>
      </w:r>
      <w:r>
        <w:rPr/>
        <w:t>当前最佳估计数。</w:t>
      </w:r>
    </w:p>
    <w:p>
      <w:pPr>
        <w:pStyle w:val="BodyText"/>
        <w:spacing w:line="273" w:lineRule="auto" w:before="127"/>
        <w:ind w:right="996" w:firstLine="530"/>
        <w:jc w:val="left"/>
      </w:pPr>
      <w:r>
        <w:rPr>
          <w:w w:val="95"/>
        </w:rPr>
        <w:t>如果清偿已确认预计负债所需支出全部或部分预期由第三方或其他方补偿，则补偿金额只能在基本</w:t>
      </w:r>
      <w:r>
        <w:rPr>
          <w:w w:val="99"/>
        </w:rPr>
        <w:t> </w:t>
      </w:r>
      <w:r>
        <w:rPr/>
        <w:t>确定能收到时，作为资产单独确认。确认的补偿金额不超过所确认负债的账面价值。</w:t>
      </w:r>
    </w:p>
    <w:p>
      <w:pPr>
        <w:spacing w:line="240" w:lineRule="auto" w:before="7"/>
        <w:rPr>
          <w:rFonts w:ascii="宋体" w:hAnsi="宋体" w:cs="宋体" w:eastAsia="宋体" w:hint="default"/>
          <w:sz w:val="23"/>
          <w:szCs w:val="23"/>
        </w:rPr>
      </w:pPr>
    </w:p>
    <w:p>
      <w:pPr>
        <w:pStyle w:val="Heading4"/>
        <w:spacing w:line="240" w:lineRule="auto"/>
        <w:ind w:right="996"/>
        <w:jc w:val="left"/>
        <w:rPr>
          <w:b w:val="0"/>
          <w:bCs w:val="0"/>
        </w:rPr>
      </w:pPr>
      <w:bookmarkStart w:name="22、股份支付" w:id="200"/>
      <w:bookmarkEnd w:id="200"/>
      <w:r>
        <w:rPr>
          <w:b w:val="0"/>
          <w:bCs w:val="0"/>
        </w:rPr>
      </w:r>
      <w:r>
        <w:rPr>
          <w:rFonts w:ascii="Arial" w:hAnsi="Arial" w:cs="Arial" w:eastAsia="Arial" w:hint="default"/>
        </w:rPr>
        <w:t>22</w:t>
      </w:r>
      <w:r>
        <w:rPr/>
        <w:t>、股份支付</w:t>
      </w:r>
      <w:r>
        <w:rPr>
          <w:b w:val="0"/>
          <w:bCs w:val="0"/>
        </w:rPr>
      </w:r>
    </w:p>
    <w:p>
      <w:pPr>
        <w:spacing w:line="240" w:lineRule="auto" w:before="11"/>
        <w:rPr>
          <w:rFonts w:ascii="宋体" w:hAnsi="宋体" w:cs="宋体" w:eastAsia="宋体" w:hint="default"/>
          <w:b/>
          <w:bCs/>
          <w:sz w:val="24"/>
          <w:szCs w:val="24"/>
        </w:rPr>
      </w:pPr>
    </w:p>
    <w:p>
      <w:pPr>
        <w:spacing w:line="506" w:lineRule="auto" w:before="0"/>
        <w:ind w:left="540" w:right="3180" w:hanging="428"/>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1</w:t>
      </w:r>
      <w:r>
        <w:rPr>
          <w:rFonts w:ascii="宋体" w:hAnsi="宋体" w:cs="宋体" w:eastAsia="宋体" w:hint="default"/>
          <w:b/>
          <w:bCs/>
          <w:sz w:val="21"/>
          <w:szCs w:val="21"/>
        </w:rPr>
        <w:t>）股份支付的种类</w:t>
      </w:r>
      <w:r>
        <w:rPr>
          <w:rFonts w:ascii="宋体" w:hAnsi="宋体" w:cs="宋体" w:eastAsia="宋体" w:hint="default"/>
          <w:b/>
          <w:bCs/>
          <w:w w:val="99"/>
          <w:sz w:val="21"/>
          <w:szCs w:val="21"/>
        </w:rPr>
        <w:t> </w:t>
      </w:r>
      <w:r>
        <w:rPr>
          <w:rFonts w:ascii="宋体" w:hAnsi="宋体" w:cs="宋体" w:eastAsia="宋体" w:hint="default"/>
          <w:w w:val="95"/>
          <w:sz w:val="21"/>
          <w:szCs w:val="21"/>
        </w:rPr>
        <w:t>本集团股份支付分为以权益结算的股份支付和以现金结算的股份支付。</w:t>
      </w:r>
      <w:r>
        <w:rPr>
          <w:rFonts w:ascii="宋体" w:hAnsi="宋体" w:cs="宋体" w:eastAsia="宋体" w:hint="default"/>
          <w:sz w:val="21"/>
          <w:szCs w:val="21"/>
        </w:rPr>
      </w:r>
    </w:p>
    <w:p>
      <w:pPr>
        <w:pStyle w:val="Heading4"/>
        <w:spacing w:line="240" w:lineRule="auto" w:before="104"/>
        <w:ind w:right="996"/>
        <w:jc w:val="left"/>
        <w:rPr>
          <w:b w:val="0"/>
          <w:bCs w:val="0"/>
        </w:rPr>
      </w:pPr>
      <w:r>
        <w:rPr/>
        <w:t>（</w:t>
      </w:r>
      <w:r>
        <w:rPr>
          <w:rFonts w:ascii="Arial" w:hAnsi="Arial" w:cs="Arial" w:eastAsia="Arial" w:hint="default"/>
        </w:rPr>
        <w:t>2</w:t>
      </w:r>
      <w:r>
        <w:rPr/>
        <w:t>）权益工具公允价值的确定方法</w:t>
      </w:r>
      <w:r>
        <w:rPr>
          <w:b w:val="0"/>
          <w:bCs w:val="0"/>
        </w:rPr>
      </w:r>
    </w:p>
    <w:p>
      <w:pPr>
        <w:spacing w:line="240" w:lineRule="auto" w:before="8"/>
        <w:rPr>
          <w:rFonts w:ascii="宋体" w:hAnsi="宋体" w:cs="宋体" w:eastAsia="宋体" w:hint="default"/>
          <w:b/>
          <w:bCs/>
          <w:sz w:val="24"/>
          <w:szCs w:val="24"/>
        </w:rPr>
      </w:pPr>
    </w:p>
    <w:p>
      <w:pPr>
        <w:pStyle w:val="BodyText"/>
        <w:spacing w:line="268" w:lineRule="auto" w:before="0"/>
        <w:ind w:right="996" w:firstLine="427"/>
        <w:jc w:val="left"/>
      </w:pPr>
      <w:r>
        <w:rPr/>
        <w:t>本集团对于授予的存在活跃市场的期权等权益工具，按照活跃市场中的报价确定其公允价值。对于授</w:t>
      </w:r>
      <w:r>
        <w:rPr>
          <w:w w:val="99"/>
        </w:rPr>
        <w:t> </w:t>
      </w:r>
      <w:r>
        <w:rPr/>
        <w:t>予的不存在活跃市场的期权等权益工具，采用期权定价模型等确定其公允价值。选用的期权定价模型考虑</w:t>
      </w:r>
      <w:r>
        <w:rPr>
          <w:w w:val="99"/>
        </w:rPr>
        <w:t> </w:t>
      </w:r>
      <w:r>
        <w:rPr>
          <w:w w:val="95"/>
        </w:rPr>
        <w:t>以下因素：</w:t>
      </w:r>
      <w:r>
        <w:rPr>
          <w:rFonts w:ascii="Arial" w:hAnsi="Arial" w:cs="Arial" w:eastAsia="Arial" w:hint="default"/>
          <w:w w:val="95"/>
        </w:rPr>
        <w:t>A</w:t>
      </w:r>
      <w:r>
        <w:rPr>
          <w:w w:val="95"/>
        </w:rPr>
        <w:t>、期权的行权价格；</w:t>
      </w:r>
      <w:r>
        <w:rPr>
          <w:rFonts w:ascii="Arial" w:hAnsi="Arial" w:cs="Arial" w:eastAsia="Arial" w:hint="default"/>
          <w:w w:val="95"/>
        </w:rPr>
        <w:t>B</w:t>
      </w:r>
      <w:r>
        <w:rPr>
          <w:w w:val="95"/>
        </w:rPr>
        <w:t>、期权的有效期；</w:t>
      </w:r>
      <w:r>
        <w:rPr>
          <w:rFonts w:ascii="Arial" w:hAnsi="Arial" w:cs="Arial" w:eastAsia="Arial" w:hint="default"/>
          <w:w w:val="95"/>
        </w:rPr>
        <w:t>C</w:t>
      </w:r>
      <w:r>
        <w:rPr>
          <w:w w:val="95"/>
        </w:rPr>
        <w:t>、标的股份的现行价格；</w:t>
      </w:r>
      <w:r>
        <w:rPr>
          <w:rFonts w:ascii="Arial" w:hAnsi="Arial" w:cs="Arial" w:eastAsia="Arial" w:hint="default"/>
          <w:w w:val="95"/>
        </w:rPr>
        <w:t>D</w:t>
      </w:r>
      <w:r>
        <w:rPr>
          <w:w w:val="95"/>
        </w:rPr>
        <w:t>、股价预计波动率；</w:t>
      </w:r>
      <w:r>
        <w:rPr>
          <w:rFonts w:ascii="Arial" w:hAnsi="Arial" w:cs="Arial" w:eastAsia="Arial" w:hint="default"/>
          <w:w w:val="95"/>
        </w:rPr>
        <w:t>E</w:t>
      </w:r>
      <w:r>
        <w:rPr>
          <w:w w:val="95"/>
        </w:rPr>
        <w:t>、</w:t>
      </w:r>
      <w:r>
        <w:rPr>
          <w:spacing w:val="54"/>
          <w:w w:val="95"/>
        </w:rPr>
        <w:t> </w:t>
      </w:r>
      <w:r>
        <w:rPr/>
        <w:t>股份的预计股利；</w:t>
      </w:r>
      <w:r>
        <w:rPr>
          <w:rFonts w:ascii="Arial" w:hAnsi="Arial" w:cs="Arial" w:eastAsia="Arial" w:hint="default"/>
        </w:rPr>
        <w:t>F</w:t>
      </w:r>
      <w:r>
        <w:rPr/>
        <w:t>、期权有效期内的无风险利率。</w:t>
      </w:r>
    </w:p>
    <w:p>
      <w:pPr>
        <w:spacing w:line="240" w:lineRule="auto" w:before="6"/>
        <w:rPr>
          <w:rFonts w:ascii="宋体" w:hAnsi="宋体" w:cs="宋体" w:eastAsia="宋体" w:hint="default"/>
          <w:sz w:val="22"/>
          <w:szCs w:val="22"/>
        </w:rPr>
      </w:pPr>
    </w:p>
    <w:p>
      <w:pPr>
        <w:pStyle w:val="Heading4"/>
        <w:spacing w:line="240" w:lineRule="auto"/>
        <w:ind w:right="996"/>
        <w:jc w:val="left"/>
        <w:rPr>
          <w:b w:val="0"/>
          <w:bCs w:val="0"/>
        </w:rPr>
      </w:pPr>
      <w:r>
        <w:rPr/>
        <w:t>（</w:t>
      </w:r>
      <w:r>
        <w:rPr>
          <w:rFonts w:ascii="Arial" w:hAnsi="Arial" w:cs="Arial" w:eastAsia="Arial" w:hint="default"/>
        </w:rPr>
        <w:t>3</w:t>
      </w:r>
      <w:r>
        <w:rPr/>
        <w:t>）确认可行权权益工具最佳估计的依据</w:t>
      </w:r>
      <w:r>
        <w:rPr>
          <w:b w:val="0"/>
          <w:bCs w:val="0"/>
        </w:rPr>
      </w:r>
    </w:p>
    <w:p>
      <w:pPr>
        <w:spacing w:after="0" w:line="240" w:lineRule="auto"/>
        <w:jc w:val="left"/>
        <w:sectPr>
          <w:pgSz w:w="11910" w:h="16840"/>
          <w:pgMar w:header="878" w:footer="978" w:top="1100" w:bottom="1160" w:left="1020" w:right="0"/>
        </w:sectPr>
      </w:pPr>
    </w:p>
    <w:p>
      <w:pPr>
        <w:spacing w:line="240" w:lineRule="auto" w:before="12"/>
        <w:rPr>
          <w:rFonts w:ascii="宋体" w:hAnsi="宋体" w:cs="宋体" w:eastAsia="宋体" w:hint="default"/>
          <w:b/>
          <w:bCs/>
          <w:sz w:val="20"/>
          <w:szCs w:val="20"/>
        </w:rPr>
      </w:pPr>
    </w:p>
    <w:p>
      <w:pPr>
        <w:pStyle w:val="BodyText"/>
        <w:spacing w:line="273" w:lineRule="auto"/>
        <w:ind w:right="1106" w:firstLine="427"/>
        <w:jc w:val="both"/>
      </w:pPr>
      <w:r>
        <w:rPr>
          <w:w w:val="95"/>
        </w:rPr>
        <w:t>等待期内每个资产负债表日，本集团根据最新取得的可行权职工人数变动等后续信息作出最佳估计，</w:t>
      </w:r>
      <w:r>
        <w:rPr>
          <w:spacing w:val="-88"/>
          <w:w w:val="95"/>
        </w:rPr>
        <w:t> </w:t>
      </w:r>
      <w:r>
        <w:rPr>
          <w:spacing w:val="-88"/>
          <w:w w:val="95"/>
        </w:rPr>
      </w:r>
      <w:r>
        <w:rPr>
          <w:w w:val="95"/>
        </w:rPr>
        <w:t>修正预计可行权的权益工具数量。在可行权日，最终预计可行权权益工具的数量应当与实际可行权数量一   </w:t>
      </w:r>
      <w:r>
        <w:rPr>
          <w:spacing w:val="40"/>
          <w:w w:val="95"/>
        </w:rPr>
        <w:t> </w:t>
      </w:r>
      <w:r>
        <w:rPr>
          <w:spacing w:val="40"/>
          <w:w w:val="95"/>
        </w:rPr>
      </w:r>
      <w:r>
        <w:rPr/>
        <w:t>致。</w:t>
      </w:r>
    </w:p>
    <w:p>
      <w:pPr>
        <w:spacing w:line="590" w:lineRule="atLeast" w:before="7"/>
        <w:ind w:left="540" w:right="996" w:hanging="428"/>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4</w:t>
      </w:r>
      <w:r>
        <w:rPr>
          <w:rFonts w:ascii="宋体" w:hAnsi="宋体" w:cs="宋体" w:eastAsia="宋体" w:hint="default"/>
          <w:b/>
          <w:bCs/>
          <w:sz w:val="21"/>
          <w:szCs w:val="21"/>
        </w:rPr>
        <w:t>）实施、修改、终止股份支付计划的相关会计处理</w:t>
      </w:r>
      <w:r>
        <w:rPr>
          <w:rFonts w:ascii="宋体" w:hAnsi="宋体" w:cs="宋体" w:eastAsia="宋体" w:hint="default"/>
          <w:b/>
          <w:bCs/>
          <w:w w:val="99"/>
          <w:sz w:val="21"/>
          <w:szCs w:val="21"/>
        </w:rPr>
        <w:t> </w:t>
      </w:r>
      <w:r>
        <w:rPr>
          <w:rFonts w:ascii="宋体" w:hAnsi="宋体" w:cs="宋体" w:eastAsia="宋体" w:hint="default"/>
          <w:w w:val="95"/>
          <w:sz w:val="21"/>
          <w:szCs w:val="21"/>
        </w:rPr>
        <w:t>以权益结算的股份支付，按授予职工权益工具的公允价值计量。授予后立即可行权的，在授予日按照</w:t>
      </w:r>
      <w:r>
        <w:rPr>
          <w:rFonts w:ascii="宋体" w:hAnsi="宋体" w:cs="宋体" w:eastAsia="宋体" w:hint="default"/>
          <w:sz w:val="21"/>
          <w:szCs w:val="21"/>
        </w:rPr>
      </w:r>
    </w:p>
    <w:p>
      <w:pPr>
        <w:pStyle w:val="BodyText"/>
        <w:spacing w:line="273" w:lineRule="auto" w:before="37"/>
        <w:ind w:right="1135"/>
        <w:jc w:val="both"/>
      </w:pPr>
      <w:r>
        <w:rPr>
          <w:w w:val="95"/>
        </w:rPr>
        <w:t>权益工具的公允价值计入相关成本或费用，相应增加资本公积。在完成等待期内的服务或达到规定业绩条</w:t>
      </w:r>
      <w:r>
        <w:rPr>
          <w:spacing w:val="37"/>
          <w:w w:val="95"/>
        </w:rPr>
        <w:t> </w:t>
      </w:r>
      <w:r>
        <w:rPr>
          <w:spacing w:val="37"/>
          <w:w w:val="95"/>
        </w:rPr>
      </w:r>
      <w:r>
        <w:rPr>
          <w:w w:val="95"/>
        </w:rPr>
        <w:t>件才可行权的，在等待期内的每个资产负债表日，以对可行权权益工具数量的最佳估计为基础，按照权益</w:t>
      </w:r>
      <w:r>
        <w:rPr>
          <w:spacing w:val="37"/>
          <w:w w:val="95"/>
        </w:rPr>
        <w:t> </w:t>
      </w:r>
      <w:r>
        <w:rPr>
          <w:spacing w:val="37"/>
          <w:w w:val="95"/>
        </w:rPr>
      </w:r>
      <w:r>
        <w:rPr>
          <w:w w:val="95"/>
        </w:rPr>
        <w:t>工具授予日的公允价值，将当期取得的服务计入相关成本或费用和资本公积。在可行权日之后不再对已确</w:t>
      </w:r>
      <w:r>
        <w:rPr>
          <w:spacing w:val="37"/>
          <w:w w:val="95"/>
        </w:rPr>
        <w:t> </w:t>
      </w:r>
      <w:r>
        <w:rPr>
          <w:spacing w:val="37"/>
          <w:w w:val="95"/>
        </w:rPr>
      </w:r>
      <w:r>
        <w:rPr/>
        <w:t>认的相关成本或费用和所有者权益总额进行调整。</w:t>
      </w:r>
    </w:p>
    <w:p>
      <w:pPr>
        <w:pStyle w:val="BodyText"/>
        <w:spacing w:line="273" w:lineRule="auto" w:before="127"/>
        <w:ind w:right="1025" w:firstLine="427"/>
        <w:jc w:val="left"/>
      </w:pPr>
      <w:r>
        <w:rPr/>
        <w:t>以现金结算的股份支付，按照本集团承担的以股份或其他权益工具为基础计算确定的负债的公允价值</w:t>
      </w:r>
      <w:r>
        <w:rPr>
          <w:w w:val="99"/>
        </w:rPr>
        <w:t> </w:t>
      </w:r>
      <w:r>
        <w:rPr>
          <w:spacing w:val="-3"/>
        </w:rPr>
        <w:t>计量。授予后立即可行权的，在授予日以本集团承担负债的公允价值计入相关成本或费用，相应增加负债。</w:t>
      </w:r>
      <w:r>
        <w:rPr>
          <w:w w:val="99"/>
        </w:rPr>
        <w:t> </w:t>
      </w:r>
      <w:r>
        <w:rPr/>
        <w:t>在完成等待期内的服务或达到规定业绩条件以后才可行权的以现金结算的股份支付，在等待期内的每个资</w:t>
      </w:r>
      <w:r>
        <w:rPr>
          <w:w w:val="99"/>
        </w:rPr>
        <w:t> </w:t>
      </w:r>
      <w:r>
        <w:rPr/>
        <w:t>产负债表日，以对可行权情况的最佳估计为基础，按照本集团承担负债的公允价值金额，将当期取得的服</w:t>
      </w:r>
      <w:r>
        <w:rPr>
          <w:w w:val="99"/>
        </w:rPr>
        <w:t> </w:t>
      </w:r>
      <w:r>
        <w:rPr/>
        <w:t>务计入成本或费用和相应的负债。在相关负债结算前的每个资产负债表日以及结算日，对负债的公允价值</w:t>
      </w:r>
      <w:r>
        <w:rPr>
          <w:w w:val="99"/>
        </w:rPr>
        <w:t> </w:t>
      </w:r>
      <w:r>
        <w:rPr/>
        <w:t>重新计量，其变动计入当期损益。</w:t>
      </w:r>
    </w:p>
    <w:p>
      <w:pPr>
        <w:pStyle w:val="BodyText"/>
        <w:spacing w:line="273" w:lineRule="auto" w:before="127"/>
        <w:ind w:right="1132" w:firstLine="427"/>
        <w:jc w:val="both"/>
      </w:pPr>
      <w:r>
        <w:rPr>
          <w:w w:val="95"/>
        </w:rPr>
        <w:t>本集团对股份支付计划进行修改时，若修改增加了所授予权益工具的公允价值，按照权益工具公允价</w:t>
      </w:r>
      <w:r>
        <w:rPr>
          <w:w w:val="99"/>
        </w:rPr>
        <w:t> </w:t>
      </w:r>
      <w:r>
        <w:rPr>
          <w:w w:val="95"/>
        </w:rPr>
        <w:t>值的增加相应地确认取得服务的增加；若修改增加了所授予权益工具的数量，则将增加的权益工具的公允</w:t>
      </w:r>
      <w:r>
        <w:rPr>
          <w:spacing w:val="37"/>
          <w:w w:val="95"/>
        </w:rPr>
        <w:t> </w:t>
      </w:r>
      <w:r>
        <w:rPr>
          <w:spacing w:val="37"/>
          <w:w w:val="95"/>
        </w:rPr>
      </w:r>
      <w:r>
        <w:rPr>
          <w:w w:val="95"/>
        </w:rPr>
        <w:t>价值相应地确认为取得服务的增加。权益工具公允价值的增加是指修改前后的权益工具在修改日的公允价</w:t>
      </w:r>
      <w:r>
        <w:rPr>
          <w:spacing w:val="37"/>
          <w:w w:val="95"/>
        </w:rPr>
        <w:t> </w:t>
      </w:r>
      <w:r>
        <w:rPr>
          <w:spacing w:val="37"/>
          <w:w w:val="95"/>
        </w:rPr>
      </w:r>
      <w:r>
        <w:rPr>
          <w:w w:val="95"/>
        </w:rPr>
        <w:t>值之间的差额。若修改减少了股份支付公允价值总额或采用了其他不利于职工的方式修改股份支付计划的</w:t>
      </w:r>
      <w:r>
        <w:rPr>
          <w:spacing w:val="39"/>
          <w:w w:val="95"/>
        </w:rPr>
        <w:t> </w:t>
      </w:r>
      <w:r>
        <w:rPr>
          <w:spacing w:val="39"/>
          <w:w w:val="95"/>
        </w:rPr>
      </w:r>
      <w:r>
        <w:rPr>
          <w:w w:val="95"/>
        </w:rPr>
        <w:t>条款和条件，则仍继续对取得的服务进行会计处理，视同该变更从未发生，除非本集团取消了部分或全部</w:t>
      </w:r>
      <w:r>
        <w:rPr>
          <w:spacing w:val="40"/>
          <w:w w:val="95"/>
        </w:rPr>
        <w:t> </w:t>
      </w:r>
      <w:r>
        <w:rPr>
          <w:spacing w:val="40"/>
          <w:w w:val="95"/>
        </w:rPr>
      </w:r>
      <w:r>
        <w:rPr/>
        <w:t>已授予的权益工具。</w:t>
      </w:r>
    </w:p>
    <w:p>
      <w:pPr>
        <w:pStyle w:val="BodyText"/>
        <w:spacing w:line="273" w:lineRule="auto" w:before="127"/>
        <w:ind w:right="1132" w:firstLine="427"/>
        <w:jc w:val="both"/>
      </w:pPr>
      <w:r>
        <w:rPr>
          <w:w w:val="95"/>
        </w:rPr>
        <w:t>在等待期内，如果取消了授予的权益工具（因未满足可行权条件的非市场条件而被取消的除外），本</w:t>
      </w:r>
      <w:r>
        <w:rPr>
          <w:w w:val="99"/>
        </w:rPr>
        <w:t> </w:t>
      </w:r>
      <w:r>
        <w:rPr>
          <w:w w:val="95"/>
        </w:rPr>
        <w:t>集团对取消所授予的权益性工具作为加速行权处理，将剩余等待期内应确认的金额立即计入当期损益，同</w:t>
      </w:r>
      <w:r>
        <w:rPr>
          <w:spacing w:val="40"/>
          <w:w w:val="95"/>
        </w:rPr>
        <w:t> </w:t>
      </w:r>
      <w:r>
        <w:rPr>
          <w:spacing w:val="40"/>
          <w:w w:val="95"/>
        </w:rPr>
      </w:r>
      <w:r>
        <w:rPr>
          <w:w w:val="95"/>
        </w:rPr>
        <w:t>时确认资本公积。职工或其他方能够选择满足非可行权条件但在等待期内未满足的，本集团将其作为授予</w:t>
      </w:r>
      <w:r>
        <w:rPr>
          <w:spacing w:val="40"/>
          <w:w w:val="95"/>
        </w:rPr>
        <w:t> </w:t>
      </w:r>
      <w:r>
        <w:rPr>
          <w:spacing w:val="40"/>
          <w:w w:val="95"/>
        </w:rPr>
      </w:r>
      <w:r>
        <w:rPr/>
        <w:t>权益工具的取消处理。</w:t>
      </w:r>
    </w:p>
    <w:p>
      <w:pPr>
        <w:pStyle w:val="BodyText"/>
        <w:spacing w:line="590" w:lineRule="atLeast" w:before="7"/>
        <w:ind w:left="540" w:right="996" w:hanging="428"/>
        <w:jc w:val="left"/>
      </w:pPr>
      <w:r>
        <w:rPr>
          <w:rFonts w:ascii="宋体" w:hAnsi="宋体" w:cs="宋体" w:eastAsia="宋体" w:hint="default"/>
          <w:b/>
          <w:bCs/>
        </w:rPr>
        <w:t>（</w:t>
      </w:r>
      <w:r>
        <w:rPr>
          <w:rFonts w:ascii="Arial" w:hAnsi="Arial" w:cs="Arial" w:eastAsia="Arial" w:hint="default"/>
          <w:b/>
          <w:bCs/>
        </w:rPr>
        <w:t>5</w:t>
      </w:r>
      <w:r>
        <w:rPr>
          <w:rFonts w:ascii="宋体" w:hAnsi="宋体" w:cs="宋体" w:eastAsia="宋体" w:hint="default"/>
          <w:b/>
          <w:bCs/>
        </w:rPr>
        <w:t>）限制性股票</w:t>
      </w:r>
      <w:r>
        <w:rPr>
          <w:rFonts w:ascii="宋体" w:hAnsi="宋体" w:cs="宋体" w:eastAsia="宋体" w:hint="default"/>
          <w:b/>
          <w:bCs/>
          <w:w w:val="99"/>
        </w:rPr>
        <w:t> </w:t>
      </w:r>
      <w:r>
        <w:rPr>
          <w:w w:val="95"/>
        </w:rPr>
        <w:t>股权激励计划中，本公司授予被激励对象限制性股票，被激励对象先认购股票，如果后续未达到股权</w:t>
      </w:r>
      <w:r>
        <w:rPr/>
      </w:r>
    </w:p>
    <w:p>
      <w:pPr>
        <w:pStyle w:val="BodyText"/>
        <w:spacing w:line="273" w:lineRule="auto" w:before="37"/>
        <w:ind w:right="1132"/>
        <w:jc w:val="both"/>
      </w:pPr>
      <w:r>
        <w:rPr>
          <w:w w:val="95"/>
        </w:rPr>
        <w:t>激励计划规定的解锁条件，则本公司按照事先约定的价格回购股票。向职工发行的限制性股票按有关规定</w:t>
      </w:r>
      <w:r>
        <w:rPr>
          <w:spacing w:val="37"/>
          <w:w w:val="95"/>
        </w:rPr>
        <w:t> </w:t>
      </w:r>
      <w:r>
        <w:rPr>
          <w:spacing w:val="37"/>
          <w:w w:val="95"/>
        </w:rPr>
      </w:r>
      <w:r>
        <w:rPr>
          <w:w w:val="95"/>
        </w:rPr>
        <w:t>履行了注册登记等增资手续的，在授予日，本公司根据收到的职工缴纳的认股款确认股本和资本公积（股</w:t>
      </w:r>
      <w:r>
        <w:rPr>
          <w:spacing w:val="40"/>
          <w:w w:val="95"/>
        </w:rPr>
        <w:t> </w:t>
      </w:r>
      <w:r>
        <w:rPr>
          <w:spacing w:val="40"/>
          <w:w w:val="95"/>
        </w:rPr>
      </w:r>
      <w:r>
        <w:rPr/>
        <w:t>本溢价）；同时就回购义务确认库存股和其他应付款。</w:t>
      </w:r>
    </w:p>
    <w:p>
      <w:pPr>
        <w:spacing w:line="240" w:lineRule="auto" w:before="7"/>
        <w:rPr>
          <w:rFonts w:ascii="宋体" w:hAnsi="宋体" w:cs="宋体" w:eastAsia="宋体" w:hint="default"/>
          <w:sz w:val="23"/>
          <w:szCs w:val="23"/>
        </w:rPr>
      </w:pPr>
    </w:p>
    <w:p>
      <w:pPr>
        <w:pStyle w:val="Heading4"/>
        <w:spacing w:line="240" w:lineRule="auto"/>
        <w:ind w:right="0"/>
        <w:jc w:val="both"/>
        <w:rPr>
          <w:b w:val="0"/>
          <w:bCs w:val="0"/>
        </w:rPr>
      </w:pPr>
      <w:bookmarkStart w:name="23、收入" w:id="201"/>
      <w:bookmarkEnd w:id="201"/>
      <w:r>
        <w:rPr>
          <w:b w:val="0"/>
          <w:bCs w:val="0"/>
        </w:rPr>
      </w:r>
      <w:r>
        <w:rPr>
          <w:rFonts w:ascii="Arial" w:hAnsi="Arial" w:cs="Arial" w:eastAsia="Arial" w:hint="default"/>
        </w:rPr>
        <w:t>23</w:t>
      </w:r>
      <w:r>
        <w:rPr/>
        <w:t>、收入</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Arial" w:hAnsi="Arial" w:cs="Arial" w:eastAsia="Arial" w:hint="default"/>
        </w:rPr>
        <w:t>1</w:t>
      </w:r>
      <w:r>
        <w:rPr/>
        <w:t>）一般原则</w:t>
      </w:r>
      <w:r>
        <w:rPr>
          <w:b w:val="0"/>
          <w:bCs w:val="0"/>
        </w:rPr>
      </w:r>
    </w:p>
    <w:p>
      <w:pPr>
        <w:pStyle w:val="BodyText"/>
        <w:spacing w:line="430" w:lineRule="atLeast" w:before="167"/>
        <w:ind w:left="540" w:right="996"/>
        <w:jc w:val="left"/>
      </w:pPr>
      <w:r>
        <w:rPr/>
        <w:t>①销售商品</w:t>
      </w:r>
      <w:r>
        <w:rPr>
          <w:w w:val="99"/>
        </w:rPr>
        <w:t> </w:t>
      </w:r>
      <w:r>
        <w:rPr>
          <w:w w:val="95"/>
        </w:rPr>
        <w:t>在已将商品所有权上的主要风险和报酬转移给购货方，既没有保留通常与所有权相联系的继续管理权，</w:t>
      </w:r>
      <w:r>
        <w:rPr/>
      </w:r>
    </w:p>
    <w:p>
      <w:pPr>
        <w:pStyle w:val="BodyText"/>
        <w:spacing w:line="273" w:lineRule="auto" w:before="37"/>
        <w:ind w:right="1132"/>
        <w:jc w:val="both"/>
      </w:pPr>
      <w:r>
        <w:rPr>
          <w:w w:val="95"/>
        </w:rPr>
        <w:t>也没有对已售商品实施有效控制，收入的金额能够可靠地计量，相关的经济利益很可能流入企业，相关的</w:t>
      </w:r>
      <w:r>
        <w:rPr>
          <w:spacing w:val="40"/>
          <w:w w:val="95"/>
        </w:rPr>
        <w:t> </w:t>
      </w:r>
      <w:r>
        <w:rPr>
          <w:spacing w:val="40"/>
          <w:w w:val="95"/>
        </w:rPr>
      </w:r>
      <w:r>
        <w:rPr/>
        <w:t>已发生或将发生的成本能够可靠地计量时，确认商品销售收入的实现。</w:t>
      </w:r>
    </w:p>
    <w:p>
      <w:pPr>
        <w:spacing w:after="0" w:line="273" w:lineRule="auto"/>
        <w:jc w:val="both"/>
        <w:sectPr>
          <w:pgSz w:w="11910" w:h="16840"/>
          <w:pgMar w:header="878" w:footer="978" w:top="1100" w:bottom="1160" w:left="1020" w:right="0"/>
        </w:sectPr>
      </w:pPr>
    </w:p>
    <w:p>
      <w:pPr>
        <w:spacing w:line="240" w:lineRule="auto" w:before="12"/>
        <w:rPr>
          <w:rFonts w:ascii="宋体" w:hAnsi="宋体" w:cs="宋体" w:eastAsia="宋体" w:hint="default"/>
          <w:sz w:val="20"/>
          <w:szCs w:val="20"/>
        </w:rPr>
      </w:pPr>
    </w:p>
    <w:p>
      <w:pPr>
        <w:pStyle w:val="BodyText"/>
        <w:spacing w:line="376" w:lineRule="auto"/>
        <w:ind w:left="540" w:right="996"/>
        <w:jc w:val="left"/>
      </w:pPr>
      <w:r>
        <w:rPr/>
        <w:t>②提供劳务</w:t>
      </w:r>
      <w:r>
        <w:rPr>
          <w:w w:val="99"/>
        </w:rPr>
        <w:t> </w:t>
      </w:r>
      <w:r>
        <w:rPr>
          <w:w w:val="95"/>
        </w:rPr>
        <w:t>对在提供劳务交易的结果能够可靠估计的情况下，本集团于资产负债表日按完工百分比法确认收入。</w:t>
      </w:r>
      <w:r>
        <w:rPr>
          <w:spacing w:val="39"/>
          <w:w w:val="95"/>
        </w:rPr>
        <w:t> </w:t>
      </w:r>
      <w:r>
        <w:rPr>
          <w:spacing w:val="39"/>
          <w:w w:val="95"/>
        </w:rPr>
      </w:r>
      <w:r>
        <w:rPr/>
        <w:t>劳务交易的完工进度按已完工作的测量占应提供劳务总量的比例确定。</w:t>
      </w:r>
    </w:p>
    <w:p>
      <w:pPr>
        <w:pStyle w:val="BodyText"/>
        <w:spacing w:line="259" w:lineRule="auto" w:before="37"/>
        <w:ind w:right="996" w:firstLine="427"/>
        <w:jc w:val="left"/>
      </w:pPr>
      <w:r>
        <w:rPr>
          <w:spacing w:val="-2"/>
          <w:w w:val="95"/>
        </w:rPr>
        <w:t>提供劳务交易的结果能够可靠估计是指同时满足：</w:t>
      </w:r>
      <w:r>
        <w:rPr>
          <w:rFonts w:ascii="Arial" w:hAnsi="Arial" w:cs="Arial" w:eastAsia="Arial" w:hint="default"/>
          <w:spacing w:val="-2"/>
          <w:w w:val="95"/>
        </w:rPr>
        <w:t>A</w:t>
      </w:r>
      <w:r>
        <w:rPr>
          <w:spacing w:val="-2"/>
          <w:w w:val="95"/>
        </w:rPr>
        <w:t>、收入的金额能够可靠地计量；</w:t>
      </w:r>
      <w:r>
        <w:rPr>
          <w:rFonts w:ascii="Arial" w:hAnsi="Arial" w:cs="Arial" w:eastAsia="Arial" w:hint="default"/>
          <w:spacing w:val="-2"/>
          <w:w w:val="95"/>
        </w:rPr>
        <w:t>B</w:t>
      </w:r>
      <w:r>
        <w:rPr>
          <w:spacing w:val="-2"/>
          <w:w w:val="95"/>
        </w:rPr>
        <w:t>、相关的经济利</w:t>
      </w:r>
      <w:r>
        <w:rPr>
          <w:spacing w:val="-96"/>
          <w:w w:val="95"/>
        </w:rPr>
        <w:t> </w:t>
      </w:r>
      <w:r>
        <w:rPr>
          <w:spacing w:val="-96"/>
          <w:w w:val="95"/>
        </w:rPr>
      </w:r>
      <w:r>
        <w:rPr/>
        <w:t>益很可能流入企业；</w:t>
      </w:r>
      <w:r>
        <w:rPr>
          <w:rFonts w:ascii="Arial" w:hAnsi="Arial" w:cs="Arial" w:eastAsia="Arial" w:hint="default"/>
        </w:rPr>
        <w:t>C</w:t>
      </w:r>
      <w:r>
        <w:rPr/>
        <w:t>、交易的完工程度能够可靠地确定；</w:t>
      </w:r>
      <w:r>
        <w:rPr>
          <w:rFonts w:ascii="Arial" w:hAnsi="Arial" w:cs="Arial" w:eastAsia="Arial" w:hint="default"/>
        </w:rPr>
        <w:t>D</w:t>
      </w:r>
      <w:r>
        <w:rPr/>
        <w:t>、交易中已发生和将发生的成本能够可靠地</w:t>
      </w:r>
      <w:r>
        <w:rPr>
          <w:w w:val="99"/>
        </w:rPr>
        <w:t> </w:t>
      </w:r>
      <w:r>
        <w:rPr/>
        <w:t>计量。</w:t>
      </w:r>
    </w:p>
    <w:p>
      <w:pPr>
        <w:pStyle w:val="BodyText"/>
        <w:spacing w:line="273" w:lineRule="auto" w:before="140"/>
        <w:ind w:right="1132" w:firstLine="427"/>
        <w:jc w:val="both"/>
      </w:pPr>
      <w:r>
        <w:rPr>
          <w:w w:val="95"/>
        </w:rPr>
        <w:t>如果提供劳务交易的结果不能够可靠估计，则按已经发生并预计能够得到补偿的劳务成本金额确认提</w:t>
      </w:r>
      <w:r>
        <w:rPr>
          <w:w w:val="99"/>
        </w:rPr>
        <w:t> </w:t>
      </w:r>
      <w:r>
        <w:rPr>
          <w:w w:val="95"/>
        </w:rPr>
        <w:t>供的劳务收入，并将已发生的劳务成本作为当期费用。已经发生的劳务成本如预计不能得到补偿的，则不</w:t>
      </w:r>
      <w:r>
        <w:rPr>
          <w:spacing w:val="37"/>
          <w:w w:val="95"/>
        </w:rPr>
        <w:t> </w:t>
      </w:r>
      <w:r>
        <w:rPr>
          <w:spacing w:val="37"/>
          <w:w w:val="95"/>
        </w:rPr>
      </w:r>
      <w:r>
        <w:rPr/>
        <w:t>确认收入。</w:t>
      </w:r>
    </w:p>
    <w:p>
      <w:pPr>
        <w:pStyle w:val="BodyText"/>
        <w:spacing w:line="376" w:lineRule="auto" w:before="127"/>
        <w:ind w:left="540" w:right="996"/>
        <w:jc w:val="left"/>
      </w:pPr>
      <w:r>
        <w:rPr/>
        <w:t>③让渡资产使用权</w:t>
      </w:r>
      <w:r>
        <w:rPr>
          <w:w w:val="99"/>
        </w:rPr>
        <w:t> </w:t>
      </w:r>
      <w:r>
        <w:rPr>
          <w:w w:val="95"/>
        </w:rPr>
        <w:t>与资产使用权让渡相关的经济利益能够流入及收入的金额能够可靠地计量时，本集团确认收入。</w:t>
      </w:r>
      <w:r>
        <w:rPr/>
      </w:r>
    </w:p>
    <w:p>
      <w:pPr>
        <w:spacing w:line="240" w:lineRule="auto" w:before="8"/>
        <w:rPr>
          <w:rFonts w:ascii="宋体" w:hAnsi="宋体" w:cs="宋体" w:eastAsia="宋体" w:hint="default"/>
          <w:sz w:val="16"/>
          <w:szCs w:val="16"/>
        </w:rPr>
      </w:pPr>
    </w:p>
    <w:p>
      <w:pPr>
        <w:pStyle w:val="Heading4"/>
        <w:spacing w:line="240" w:lineRule="auto"/>
        <w:ind w:right="996"/>
        <w:jc w:val="left"/>
        <w:rPr>
          <w:b w:val="0"/>
          <w:bCs w:val="0"/>
        </w:rPr>
      </w:pPr>
      <w:r>
        <w:rPr/>
        <w:t>（</w:t>
      </w:r>
      <w:r>
        <w:rPr>
          <w:rFonts w:ascii="Arial" w:hAnsi="Arial" w:cs="Arial" w:eastAsia="Arial" w:hint="default"/>
        </w:rPr>
        <w:t>2</w:t>
      </w:r>
      <w:r>
        <w:rPr/>
        <w:t>）收入确认的具体方法</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1135" w:firstLine="427"/>
        <w:jc w:val="both"/>
      </w:pPr>
      <w:r>
        <w:rPr>
          <w:w w:val="95"/>
        </w:rPr>
        <w:t>本公司的主营业务为电子政务系统的产品开发与服务，主要面向政府、法院、检察院、食药监等领域</w:t>
      </w:r>
      <w:r>
        <w:rPr>
          <w:w w:val="99"/>
        </w:rPr>
        <w:t> </w:t>
      </w:r>
      <w:r>
        <w:rPr/>
        <w:t>的客户提供应用软件、系统建设服务和运行维护服务。收入确认的具体方法如下：</w:t>
      </w:r>
    </w:p>
    <w:p>
      <w:pPr>
        <w:pStyle w:val="BodyText"/>
        <w:spacing w:line="432" w:lineRule="exact" w:before="27"/>
        <w:ind w:left="540" w:right="996"/>
        <w:jc w:val="left"/>
      </w:pPr>
      <w:r>
        <w:rPr/>
        <w:t>应用软件</w:t>
      </w:r>
      <w:r>
        <w:rPr>
          <w:w w:val="99"/>
        </w:rPr>
        <w:t> </w:t>
      </w:r>
      <w:r>
        <w:rPr>
          <w:w w:val="95"/>
        </w:rPr>
        <w:t>应用软件指公司针对客户的业务应用需求而提供的软件产品及应用软件定制开发。由于软件产品销售</w:t>
      </w:r>
      <w:r>
        <w:rPr/>
      </w:r>
    </w:p>
    <w:p>
      <w:pPr>
        <w:pStyle w:val="BodyText"/>
        <w:spacing w:line="255" w:lineRule="exact" w:before="0"/>
        <w:ind w:right="996"/>
        <w:jc w:val="left"/>
      </w:pPr>
      <w:r>
        <w:rPr/>
        <w:t>与软件定制开发的收入能够区分且能够单独计量，因此公司分别按照销售商品的收入确认原则和提供劳务</w:t>
      </w:r>
    </w:p>
    <w:p>
      <w:pPr>
        <w:pStyle w:val="BodyText"/>
        <w:spacing w:line="240" w:lineRule="auto" w:before="37"/>
        <w:ind w:right="996"/>
        <w:jc w:val="left"/>
      </w:pPr>
      <w:r>
        <w:rPr/>
        <w:t>的收入确认原则对软件产品与软件开发确认收入。</w:t>
      </w:r>
    </w:p>
    <w:p>
      <w:pPr>
        <w:pStyle w:val="BodyText"/>
        <w:spacing w:line="273" w:lineRule="auto" w:before="157"/>
        <w:ind w:right="1106" w:firstLine="427"/>
        <w:jc w:val="both"/>
      </w:pPr>
      <w:r>
        <w:rPr>
          <w:w w:val="95"/>
        </w:rPr>
        <w:t>在遵循收入确认基本原则的基础上，软件产品销售在取得客户确认的《软件安装报告》时确认收入。</w:t>
      </w:r>
      <w:r>
        <w:rPr>
          <w:spacing w:val="-88"/>
          <w:w w:val="95"/>
        </w:rPr>
        <w:t> </w:t>
      </w:r>
      <w:r>
        <w:rPr>
          <w:spacing w:val="-88"/>
          <w:w w:val="95"/>
        </w:rPr>
      </w:r>
      <w:r>
        <w:rPr>
          <w:w w:val="95"/>
        </w:rPr>
        <w:t>软件开发采取对已完工作进行测量的方法，以资产负债表日的完工进度确认收入。公司在资产负债表日编</w:t>
      </w:r>
      <w:r>
        <w:rPr>
          <w:spacing w:val="37"/>
          <w:w w:val="95"/>
        </w:rPr>
        <w:t> </w:t>
      </w:r>
      <w:r>
        <w:rPr>
          <w:spacing w:val="37"/>
          <w:w w:val="95"/>
        </w:rPr>
      </w:r>
      <w:r>
        <w:rPr>
          <w:w w:val="95"/>
        </w:rPr>
        <w:t>制《软件开发进度报告》，对完工进度进行测量，按照软件开发收入总额乘以完工进度扣除以前会计期间</w:t>
      </w:r>
      <w:r>
        <w:rPr>
          <w:spacing w:val="38"/>
          <w:w w:val="95"/>
        </w:rPr>
        <w:t> </w:t>
      </w:r>
      <w:r>
        <w:rPr>
          <w:spacing w:val="38"/>
          <w:w w:val="95"/>
        </w:rPr>
      </w:r>
      <w:r>
        <w:rPr/>
        <w:t>累计已确认软件开发收入后的金额，确认当期软件开发收入。</w:t>
      </w:r>
    </w:p>
    <w:p>
      <w:pPr>
        <w:pStyle w:val="BodyText"/>
        <w:spacing w:line="432" w:lineRule="exact" w:before="27"/>
        <w:ind w:left="540" w:right="996"/>
        <w:jc w:val="left"/>
      </w:pPr>
      <w:r>
        <w:rPr/>
        <w:t>系统建设服务</w:t>
      </w:r>
      <w:r>
        <w:rPr>
          <w:w w:val="99"/>
        </w:rPr>
        <w:t> </w:t>
      </w:r>
      <w:r>
        <w:rPr>
          <w:w w:val="95"/>
        </w:rPr>
        <w:t>系统建设服务指公司针对客户在信息化基础环境建设、网络平台建设、系统平台建设、安全体系建设</w:t>
      </w:r>
      <w:r>
        <w:rPr/>
      </w:r>
    </w:p>
    <w:p>
      <w:pPr>
        <w:pStyle w:val="BodyText"/>
        <w:spacing w:line="255" w:lineRule="exact" w:before="0"/>
        <w:ind w:right="996"/>
        <w:jc w:val="left"/>
      </w:pPr>
      <w:r>
        <w:rPr/>
        <w:t>和管理等方面的需求，为客户提供的信息化基础环境建设服务。信息化基础环境建设服务按照提供劳务的</w:t>
      </w:r>
    </w:p>
    <w:p>
      <w:pPr>
        <w:pStyle w:val="BodyText"/>
        <w:spacing w:line="273" w:lineRule="auto" w:before="37"/>
        <w:ind w:right="996"/>
        <w:jc w:val="left"/>
      </w:pPr>
      <w:r>
        <w:rPr>
          <w:w w:val="95"/>
        </w:rPr>
        <w:t>收入确认原则确认收入。服务与设备的收入不能够区分或不能单独计量的，与设备共同按照销售商品的收</w:t>
      </w:r>
      <w:r>
        <w:rPr>
          <w:spacing w:val="40"/>
          <w:w w:val="95"/>
        </w:rPr>
        <w:t> </w:t>
      </w:r>
      <w:r>
        <w:rPr>
          <w:spacing w:val="40"/>
          <w:w w:val="95"/>
        </w:rPr>
      </w:r>
      <w:r>
        <w:rPr/>
        <w:t>入确认原则确认收入。</w:t>
      </w:r>
    </w:p>
    <w:p>
      <w:pPr>
        <w:pStyle w:val="BodyText"/>
        <w:spacing w:line="273" w:lineRule="auto" w:before="127"/>
        <w:ind w:right="1112" w:firstLine="427"/>
        <w:jc w:val="both"/>
      </w:pPr>
      <w:r>
        <w:rPr>
          <w:w w:val="95"/>
        </w:rPr>
        <w:t>在遵循收入确认基本原则的基础上，信息化基础环境建设服务在服务已提供，并取得客户确认的《验</w:t>
      </w:r>
      <w:r>
        <w:rPr>
          <w:w w:val="99"/>
        </w:rPr>
        <w:t> </w:t>
      </w:r>
      <w:r>
        <w:rPr>
          <w:w w:val="95"/>
        </w:rPr>
        <w:t>收报告》时确认收入；设备的收入在取得客户确认的《货物接收单》（不需安装调试的）或《验收报告》</w:t>
      </w:r>
      <w:r>
        <w:rPr/>
      </w:r>
    </w:p>
    <w:p>
      <w:pPr>
        <w:pStyle w:val="BodyText"/>
        <w:spacing w:line="376" w:lineRule="auto" w:before="7"/>
        <w:ind w:left="540" w:right="7604" w:hanging="428"/>
        <w:jc w:val="left"/>
      </w:pPr>
      <w:r>
        <w:rPr/>
        <w:t>（需要安装调试的）时确认收入。</w:t>
      </w:r>
      <w:r>
        <w:rPr>
          <w:w w:val="99"/>
        </w:rPr>
        <w:t> </w:t>
      </w:r>
      <w:r>
        <w:rPr/>
        <w:t>运行维护服务</w:t>
      </w:r>
    </w:p>
    <w:p>
      <w:pPr>
        <w:pStyle w:val="BodyText"/>
        <w:spacing w:line="273" w:lineRule="auto" w:before="37"/>
        <w:ind w:right="1132" w:firstLine="427"/>
        <w:jc w:val="both"/>
      </w:pPr>
      <w:r>
        <w:rPr>
          <w:w w:val="95"/>
        </w:rPr>
        <w:t>运行维护服务指，除应用软件和系统建设服务之外，公司针对客户的专业服务需求，围绕信息化应用</w:t>
      </w:r>
      <w:r>
        <w:rPr>
          <w:w w:val="99"/>
        </w:rPr>
        <w:t> </w:t>
      </w:r>
      <w:r>
        <w:rPr>
          <w:w w:val="95"/>
        </w:rPr>
        <w:t>的生命周期，为客户提供的涵盖应用软件及系统运行平台的信息化系统运维管理、信息化应用推广、信息</w:t>
      </w:r>
      <w:r>
        <w:rPr>
          <w:spacing w:val="37"/>
          <w:w w:val="95"/>
        </w:rPr>
        <w:t> </w:t>
      </w:r>
      <w:r>
        <w:rPr>
          <w:spacing w:val="37"/>
          <w:w w:val="95"/>
        </w:rPr>
      </w:r>
      <w:r>
        <w:rPr/>
        <w:t>化规划咨询等服务。</w:t>
      </w:r>
    </w:p>
    <w:p>
      <w:pPr>
        <w:pStyle w:val="BodyText"/>
        <w:spacing w:line="273" w:lineRule="auto" w:before="127"/>
        <w:ind w:right="1135" w:firstLine="427"/>
        <w:jc w:val="both"/>
      </w:pPr>
      <w:r>
        <w:rPr>
          <w:w w:val="95"/>
        </w:rPr>
        <w:t>在遵循收入确认基本原则的基础上，对于单次提供的服务，在服务已经提供，收到价款或取得收款的</w:t>
      </w:r>
      <w:r>
        <w:rPr>
          <w:w w:val="99"/>
        </w:rPr>
        <w:t> </w:t>
      </w:r>
      <w:r>
        <w:rPr/>
        <w:t>依据后确认收入；对于在一定期间内持续提供的服务，在服务期内分期确认收入。</w:t>
      </w:r>
    </w:p>
    <w:p>
      <w:pPr>
        <w:spacing w:after="0" w:line="273" w:lineRule="auto"/>
        <w:jc w:val="both"/>
        <w:sectPr>
          <w:pgSz w:w="11910" w:h="16840"/>
          <w:pgMar w:header="878" w:footer="978" w:top="1100" w:bottom="1160" w:left="1020" w:right="0"/>
        </w:sectPr>
      </w:pPr>
    </w:p>
    <w:p>
      <w:pPr>
        <w:spacing w:line="240" w:lineRule="auto" w:before="12"/>
        <w:rPr>
          <w:rFonts w:ascii="宋体" w:hAnsi="宋体" w:cs="宋体" w:eastAsia="宋体" w:hint="default"/>
          <w:sz w:val="20"/>
          <w:szCs w:val="20"/>
        </w:rPr>
      </w:pPr>
    </w:p>
    <w:p>
      <w:pPr>
        <w:pStyle w:val="Heading4"/>
        <w:spacing w:line="240" w:lineRule="auto" w:before="34"/>
        <w:ind w:right="996"/>
        <w:jc w:val="left"/>
        <w:rPr>
          <w:b w:val="0"/>
          <w:bCs w:val="0"/>
        </w:rPr>
      </w:pPr>
      <w:bookmarkStart w:name="24、政府补助" w:id="202"/>
      <w:bookmarkEnd w:id="202"/>
      <w:r>
        <w:rPr>
          <w:b w:val="0"/>
          <w:bCs w:val="0"/>
        </w:rPr>
      </w:r>
      <w:r>
        <w:rPr>
          <w:rFonts w:ascii="Arial" w:hAnsi="Arial" w:cs="Arial" w:eastAsia="Arial" w:hint="default"/>
        </w:rPr>
        <w:t>24</w:t>
      </w:r>
      <w:r>
        <w:rPr/>
        <w:t>、政府补助</w:t>
      </w:r>
      <w:r>
        <w:rPr>
          <w:b w:val="0"/>
          <w:bCs w:val="0"/>
        </w:rPr>
      </w:r>
    </w:p>
    <w:p>
      <w:pPr>
        <w:pStyle w:val="BodyText"/>
        <w:spacing w:line="430" w:lineRule="atLeast" w:before="167"/>
        <w:ind w:left="540" w:right="996"/>
        <w:jc w:val="left"/>
      </w:pPr>
      <w:r>
        <w:rPr/>
        <w:t>政府补助在满足政府补助所附条件并能够收到时确认。</w:t>
      </w:r>
      <w:r>
        <w:rPr>
          <w:w w:val="99"/>
        </w:rPr>
        <w:t> </w:t>
      </w:r>
      <w:r>
        <w:rPr>
          <w:w w:val="95"/>
        </w:rPr>
        <w:t>对于货币性资产的政府补助，按照收到或应收的金额计量。对于非货币性资产的政府补助，按照公允</w:t>
      </w:r>
      <w:r>
        <w:rPr/>
      </w:r>
    </w:p>
    <w:p>
      <w:pPr>
        <w:pStyle w:val="BodyText"/>
        <w:spacing w:line="240" w:lineRule="auto" w:before="37"/>
        <w:ind w:right="996"/>
        <w:jc w:val="left"/>
      </w:pPr>
      <w:r>
        <w:rPr/>
        <w:t>价值计量；公允价值不能够可靠取得的，按照名义金额</w:t>
      </w:r>
      <w:r>
        <w:rPr>
          <w:rFonts w:ascii="Arial" w:hAnsi="Arial" w:cs="Arial" w:eastAsia="Arial" w:hint="default"/>
        </w:rPr>
        <w:t>1</w:t>
      </w:r>
      <w:r>
        <w:rPr/>
        <w:t>元计量。</w:t>
      </w:r>
    </w:p>
    <w:p>
      <w:pPr>
        <w:spacing w:line="590" w:lineRule="atLeast" w:before="22"/>
        <w:ind w:left="540" w:right="996" w:hanging="428"/>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w w:val="95"/>
          <w:sz w:val="21"/>
          <w:szCs w:val="21"/>
        </w:rPr>
        <w:t>与资产相关的政府补助，是指本集团取得的、用于购建或以其他方式形成长期资产的政府补助；除此</w:t>
      </w:r>
      <w:r>
        <w:rPr>
          <w:rFonts w:ascii="宋体" w:hAnsi="宋体" w:cs="宋体" w:eastAsia="宋体" w:hint="default"/>
          <w:sz w:val="21"/>
          <w:szCs w:val="21"/>
        </w:rPr>
      </w:r>
    </w:p>
    <w:p>
      <w:pPr>
        <w:pStyle w:val="BodyText"/>
        <w:spacing w:line="240" w:lineRule="auto" w:before="37"/>
        <w:ind w:right="996"/>
        <w:jc w:val="left"/>
      </w:pPr>
      <w:r>
        <w:rPr/>
        <w:t>之外，作为与收益相关的政府补助。</w:t>
      </w:r>
    </w:p>
    <w:p>
      <w:pPr>
        <w:pStyle w:val="BodyText"/>
        <w:spacing w:line="273" w:lineRule="auto" w:before="157"/>
        <w:ind w:right="1132" w:firstLine="427"/>
        <w:jc w:val="both"/>
      </w:pPr>
      <w:r>
        <w:rPr>
          <w:w w:val="95"/>
        </w:rPr>
        <w:t>对于政府文件未明确规定补助对象的，能够形成长期资产的，与资产价值相对应的政府补助部分作为</w:t>
      </w:r>
      <w:r>
        <w:rPr>
          <w:w w:val="99"/>
        </w:rPr>
        <w:t> </w:t>
      </w:r>
      <w:r>
        <w:rPr>
          <w:w w:val="95"/>
        </w:rPr>
        <w:t>与资产相关的政府补助，其余部分作为与收益相关的政府补助；难以区分的，将政府补助整体作为与收益</w:t>
      </w:r>
      <w:r>
        <w:rPr>
          <w:spacing w:val="37"/>
          <w:w w:val="95"/>
        </w:rPr>
        <w:t> </w:t>
      </w:r>
      <w:r>
        <w:rPr>
          <w:spacing w:val="37"/>
          <w:w w:val="95"/>
        </w:rPr>
      </w:r>
      <w:r>
        <w:rPr/>
        <w:t>相关的政府补助。</w:t>
      </w:r>
    </w:p>
    <w:p>
      <w:pPr>
        <w:pStyle w:val="BodyText"/>
        <w:spacing w:line="240" w:lineRule="auto" w:before="127"/>
        <w:ind w:left="540" w:right="0"/>
        <w:jc w:val="left"/>
      </w:pPr>
      <w:r>
        <w:rPr>
          <w:spacing w:val="-3"/>
        </w:rPr>
        <w:t>与资产相关的政府补助，确认为递延收益在相关资产使用期限内按照合理、系统的方法分期计入损益。</w:t>
      </w:r>
    </w:p>
    <w:p>
      <w:pPr>
        <w:spacing w:line="590" w:lineRule="atLeast" w:before="37"/>
        <w:ind w:left="540" w:right="996" w:hanging="428"/>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w w:val="95"/>
          <w:sz w:val="21"/>
          <w:szCs w:val="21"/>
        </w:rPr>
        <w:t>与收益相关的政府补助，用于补偿已发生的相关成本费用或损失的，计入当期损益；用于补偿以后期</w:t>
      </w:r>
      <w:r>
        <w:rPr>
          <w:rFonts w:ascii="宋体" w:hAnsi="宋体" w:cs="宋体" w:eastAsia="宋体" w:hint="default"/>
          <w:sz w:val="21"/>
          <w:szCs w:val="21"/>
        </w:rPr>
      </w:r>
    </w:p>
    <w:p>
      <w:pPr>
        <w:pStyle w:val="BodyText"/>
        <w:spacing w:line="273" w:lineRule="auto" w:before="37"/>
        <w:ind w:right="1135"/>
        <w:jc w:val="both"/>
      </w:pPr>
      <w:r>
        <w:rPr>
          <w:w w:val="95"/>
        </w:rPr>
        <w:t>间的相关成本费用或损失的，则计入递延收益，于相关成本费用或损失确认期间计入当期损益成本。按照</w:t>
      </w:r>
      <w:r>
        <w:rPr>
          <w:spacing w:val="37"/>
          <w:w w:val="95"/>
        </w:rPr>
        <w:t> </w:t>
      </w:r>
      <w:r>
        <w:rPr>
          <w:spacing w:val="37"/>
          <w:w w:val="95"/>
        </w:rPr>
      </w:r>
      <w:r>
        <w:rPr>
          <w:w w:val="95"/>
        </w:rPr>
        <w:t>名义金额计量的政府补助，直接计入当期损益。本集团对相同或类似的政府补助业务，采用一致的方法处   </w:t>
      </w:r>
      <w:r>
        <w:rPr>
          <w:spacing w:val="37"/>
          <w:w w:val="95"/>
        </w:rPr>
        <w:t> </w:t>
      </w:r>
      <w:r>
        <w:rPr>
          <w:spacing w:val="37"/>
          <w:w w:val="95"/>
        </w:rPr>
      </w:r>
      <w:r>
        <w:rPr/>
        <w:t>理。</w:t>
      </w:r>
    </w:p>
    <w:p>
      <w:pPr>
        <w:pStyle w:val="BodyText"/>
        <w:spacing w:line="273" w:lineRule="auto" w:before="127"/>
        <w:ind w:right="1135" w:firstLine="427"/>
        <w:jc w:val="both"/>
      </w:pPr>
      <w:r>
        <w:rPr>
          <w:w w:val="95"/>
        </w:rPr>
        <w:t>与日常活动相关的政府补助，按照经济业务实质，计入其他收益。与日常活动无关的政府补助，计入</w:t>
      </w:r>
      <w:r>
        <w:rPr>
          <w:w w:val="99"/>
        </w:rPr>
        <w:t> </w:t>
      </w:r>
      <w:r>
        <w:rPr/>
        <w:t>营业外收支。</w:t>
      </w:r>
    </w:p>
    <w:p>
      <w:pPr>
        <w:pStyle w:val="BodyText"/>
        <w:spacing w:line="273" w:lineRule="auto" w:before="127"/>
        <w:ind w:right="1135" w:firstLine="427"/>
        <w:jc w:val="both"/>
      </w:pPr>
      <w:r>
        <w:rPr>
          <w:w w:val="95"/>
        </w:rPr>
        <w:t>已确认的政府补助需要返还时，初始确认时冲减相关资产账面价值的，调整资产账面价值；存在相关</w:t>
      </w:r>
      <w:r>
        <w:rPr>
          <w:w w:val="99"/>
        </w:rPr>
        <w:t> </w:t>
      </w:r>
      <w:r>
        <w:rPr>
          <w:w w:val="95"/>
        </w:rPr>
        <w:t>递延收益余额的，冲减相关递延收益账面余额，超出部分计入当期损益；属于其他情况的，直接计入当期  </w:t>
      </w:r>
      <w:r>
        <w:rPr>
          <w:spacing w:val="39"/>
          <w:w w:val="95"/>
        </w:rPr>
        <w:t> </w:t>
      </w:r>
      <w:r>
        <w:rPr>
          <w:spacing w:val="39"/>
          <w:w w:val="95"/>
        </w:rPr>
      </w:r>
      <w:r>
        <w:rPr/>
        <w:t>损益。</w:t>
      </w:r>
    </w:p>
    <w:p>
      <w:pPr>
        <w:spacing w:line="590" w:lineRule="atLeast" w:before="10"/>
        <w:ind w:left="540" w:right="996" w:hanging="428"/>
        <w:jc w:val="left"/>
        <w:rPr>
          <w:rFonts w:ascii="宋体" w:hAnsi="宋体" w:cs="宋体" w:eastAsia="宋体" w:hint="default"/>
          <w:sz w:val="21"/>
          <w:szCs w:val="21"/>
        </w:rPr>
      </w:pPr>
      <w:bookmarkStart w:name="25、递延所得税资产/递延所得税负债" w:id="203"/>
      <w:bookmarkEnd w:id="203"/>
      <w:r>
        <w:rPr/>
      </w:r>
      <w:r>
        <w:rPr>
          <w:rFonts w:ascii="Arial" w:hAnsi="Arial" w:cs="Arial" w:eastAsia="Arial" w:hint="default"/>
          <w:b/>
          <w:bCs/>
          <w:sz w:val="21"/>
          <w:szCs w:val="21"/>
        </w:rPr>
        <w:t>25</w:t>
      </w:r>
      <w:r>
        <w:rPr>
          <w:rFonts w:ascii="宋体" w:hAnsi="宋体" w:cs="宋体" w:eastAsia="宋体" w:hint="default"/>
          <w:b/>
          <w:bCs/>
          <w:sz w:val="21"/>
          <w:szCs w:val="21"/>
        </w:rPr>
        <w:t>、递延所得税资产</w:t>
      </w:r>
      <w:r>
        <w:rPr>
          <w:rFonts w:ascii="Arial" w:hAnsi="Arial" w:cs="Arial" w:eastAsia="Arial"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w w:val="95"/>
          <w:sz w:val="21"/>
          <w:szCs w:val="21"/>
        </w:rPr>
        <w:t>所得税包括当期所得税和递延所得税。除由于企业合并产生的调整商誉，或与直接计入所有者权益的</w:t>
      </w:r>
      <w:r>
        <w:rPr>
          <w:rFonts w:ascii="宋体" w:hAnsi="宋体" w:cs="宋体" w:eastAsia="宋体" w:hint="default"/>
          <w:sz w:val="21"/>
          <w:szCs w:val="21"/>
        </w:rPr>
      </w:r>
    </w:p>
    <w:p>
      <w:pPr>
        <w:pStyle w:val="BodyText"/>
        <w:spacing w:line="240" w:lineRule="auto" w:before="37"/>
        <w:ind w:right="996"/>
        <w:jc w:val="left"/>
      </w:pPr>
      <w:r>
        <w:rPr/>
        <w:t>交易或者事项相关的递延所得税计入所有者权益外，均作为所得税费用计入当期损益。</w:t>
      </w:r>
    </w:p>
    <w:p>
      <w:pPr>
        <w:pStyle w:val="BodyText"/>
        <w:spacing w:line="273" w:lineRule="auto" w:before="157"/>
        <w:ind w:right="1135" w:firstLine="427"/>
        <w:jc w:val="both"/>
      </w:pPr>
      <w:r>
        <w:rPr>
          <w:w w:val="95"/>
        </w:rPr>
        <w:t>本集团根据资产、负债于资产负债表日的账面价值与计税基础之间的暂时性差异，采用资产负债表债</w:t>
      </w:r>
      <w:r>
        <w:rPr>
          <w:w w:val="99"/>
        </w:rPr>
        <w:t> </w:t>
      </w:r>
      <w:r>
        <w:rPr/>
        <w:t>务法确认递延所得税。</w:t>
      </w:r>
    </w:p>
    <w:p>
      <w:pPr>
        <w:pStyle w:val="BodyText"/>
        <w:spacing w:line="240" w:lineRule="auto" w:before="127"/>
        <w:ind w:left="540" w:right="996"/>
        <w:jc w:val="left"/>
      </w:pPr>
      <w:r>
        <w:rPr/>
        <w:t>各项应纳税暂时性差异均确认相关的递延所得税负债，除非该应纳税暂时性差异是在以下交易中产生</w:t>
      </w:r>
    </w:p>
    <w:p>
      <w:pPr>
        <w:pStyle w:val="BodyText"/>
        <w:spacing w:line="240" w:lineRule="auto" w:before="37"/>
        <w:ind w:right="996"/>
        <w:jc w:val="left"/>
      </w:pPr>
      <w:r>
        <w:rPr/>
        <w:t>的：</w:t>
      </w:r>
    </w:p>
    <w:p>
      <w:pPr>
        <w:spacing w:line="240" w:lineRule="auto" w:before="5"/>
        <w:rPr>
          <w:rFonts w:ascii="宋体" w:hAnsi="宋体" w:cs="宋体" w:eastAsia="宋体" w:hint="default"/>
          <w:sz w:val="9"/>
          <w:szCs w:val="9"/>
        </w:rPr>
      </w:pPr>
    </w:p>
    <w:p>
      <w:pPr>
        <w:pStyle w:val="BodyText"/>
        <w:spacing w:line="259" w:lineRule="auto"/>
        <w:ind w:right="996" w:firstLine="427"/>
        <w:jc w:val="left"/>
      </w:pPr>
      <w:r>
        <w:rPr>
          <w:w w:val="95"/>
        </w:rPr>
        <w:t>（</w:t>
      </w:r>
      <w:r>
        <w:rPr>
          <w:rFonts w:ascii="Arial" w:hAnsi="Arial" w:cs="Arial" w:eastAsia="Arial" w:hint="default"/>
          <w:w w:val="95"/>
        </w:rPr>
        <w:t>1</w:t>
      </w:r>
      <w:r>
        <w:rPr>
          <w:w w:val="95"/>
        </w:rPr>
        <w:t>）商誉的初始确认，或者具有以下特征的交易中产生的资产或负债的初始确认：该交易不是企业</w:t>
      </w:r>
      <w:r>
        <w:rPr>
          <w:spacing w:val="-97"/>
          <w:w w:val="95"/>
        </w:rPr>
        <w:t> </w:t>
      </w:r>
      <w:r>
        <w:rPr>
          <w:spacing w:val="-97"/>
          <w:w w:val="95"/>
        </w:rPr>
      </w:r>
      <w:r>
        <w:rPr/>
        <w:t>合并，并且交易发生时既不影响会计利润也不影响应纳税所得额；</w:t>
      </w:r>
    </w:p>
    <w:p>
      <w:pPr>
        <w:pStyle w:val="BodyText"/>
        <w:spacing w:line="259" w:lineRule="auto" w:before="140"/>
        <w:ind w:right="996" w:firstLine="427"/>
        <w:jc w:val="left"/>
      </w:pPr>
      <w:r>
        <w:rPr>
          <w:w w:val="95"/>
        </w:rPr>
        <w:t>（</w:t>
      </w:r>
      <w:r>
        <w:rPr>
          <w:rFonts w:ascii="Arial" w:hAnsi="Arial" w:cs="Arial" w:eastAsia="Arial" w:hint="default"/>
          <w:w w:val="95"/>
        </w:rPr>
        <w:t>2</w:t>
      </w:r>
      <w:r>
        <w:rPr>
          <w:w w:val="95"/>
        </w:rPr>
        <w:t>）对于与子公司、合营企业及联营企业投资相关的应纳税暂时性差异，该暂时性差异转回的时间</w:t>
      </w:r>
      <w:r>
        <w:rPr>
          <w:spacing w:val="-97"/>
          <w:w w:val="95"/>
        </w:rPr>
        <w:t> </w:t>
      </w:r>
      <w:r>
        <w:rPr>
          <w:spacing w:val="-97"/>
          <w:w w:val="95"/>
        </w:rPr>
      </w:r>
      <w:r>
        <w:rPr/>
        <w:t>能够控制并且该暂时性差异在可预见的未来很可能不会转回。</w:t>
      </w:r>
    </w:p>
    <w:p>
      <w:pPr>
        <w:pStyle w:val="BodyText"/>
        <w:spacing w:line="273" w:lineRule="auto" w:before="140"/>
        <w:ind w:right="996" w:firstLine="427"/>
        <w:jc w:val="left"/>
      </w:pPr>
      <w:r>
        <w:rPr>
          <w:w w:val="95"/>
        </w:rPr>
        <w:t>对于可抵扣暂时性差异、能够结转以后年度的可抵扣亏损和税款抵减，本集团以很可能取得用来抵扣</w:t>
      </w:r>
      <w:r>
        <w:rPr>
          <w:w w:val="99"/>
        </w:rPr>
        <w:t> </w:t>
      </w:r>
      <w:r>
        <w:rPr>
          <w:w w:val="95"/>
        </w:rPr>
        <w:t>可抵扣暂时性差异、可抵扣亏损和税款抵减的未来应纳税所得额为限，确认由此产生的递延所得税资产，</w:t>
      </w:r>
      <w:r>
        <w:rPr/>
      </w:r>
    </w:p>
    <w:p>
      <w:pPr>
        <w:spacing w:after="0" w:line="273" w:lineRule="auto"/>
        <w:jc w:val="left"/>
        <w:sectPr>
          <w:pgSz w:w="11910" w:h="16840"/>
          <w:pgMar w:header="878" w:footer="978" w:top="1100" w:bottom="1160" w:left="1020" w:right="0"/>
        </w:sectPr>
      </w:pPr>
    </w:p>
    <w:p>
      <w:pPr>
        <w:spacing w:line="240" w:lineRule="auto" w:before="12"/>
        <w:rPr>
          <w:rFonts w:ascii="宋体" w:hAnsi="宋体" w:cs="宋体" w:eastAsia="宋体" w:hint="default"/>
          <w:sz w:val="20"/>
          <w:szCs w:val="20"/>
        </w:rPr>
      </w:pPr>
    </w:p>
    <w:p>
      <w:pPr>
        <w:pStyle w:val="BodyText"/>
        <w:spacing w:line="240" w:lineRule="auto"/>
        <w:ind w:right="996"/>
        <w:jc w:val="left"/>
      </w:pPr>
      <w:r>
        <w:rPr/>
        <w:t>除非该可抵扣暂时性差异是在以下交易中产生的：</w:t>
      </w:r>
    </w:p>
    <w:p>
      <w:pPr>
        <w:pStyle w:val="BodyText"/>
        <w:spacing w:line="240" w:lineRule="auto" w:before="157"/>
        <w:ind w:left="540" w:right="996"/>
        <w:jc w:val="left"/>
      </w:pPr>
      <w:r>
        <w:rPr/>
        <w:t>（</w:t>
      </w:r>
      <w:r>
        <w:rPr>
          <w:rFonts w:ascii="Arial" w:hAnsi="Arial" w:cs="Arial" w:eastAsia="Arial" w:hint="default"/>
        </w:rPr>
        <w:t>1</w:t>
      </w:r>
      <w:r>
        <w:rPr/>
        <w:t>）该交易不是企业合并，并且交易发生时既不影响会计利润也不影响应纳税所得额；</w:t>
      </w:r>
    </w:p>
    <w:p>
      <w:pPr>
        <w:pStyle w:val="BodyText"/>
        <w:spacing w:line="266" w:lineRule="auto" w:before="142"/>
        <w:ind w:right="1135" w:firstLine="427"/>
        <w:jc w:val="both"/>
      </w:pPr>
      <w:r>
        <w:rPr/>
        <w:t>（</w:t>
      </w:r>
      <w:r>
        <w:rPr>
          <w:rFonts w:ascii="Arial" w:hAnsi="Arial" w:cs="Arial" w:eastAsia="Arial" w:hint="default"/>
        </w:rPr>
        <w:t>2</w:t>
      </w:r>
      <w:r>
        <w:rPr/>
        <w:t>）对于与子公司、合营企业及联营企业投资相关的可抵扣暂时性差异，同时满足下列条件的，确</w:t>
      </w:r>
      <w:r>
        <w:rPr>
          <w:w w:val="99"/>
        </w:rPr>
        <w:t> </w:t>
      </w:r>
      <w:r>
        <w:rPr>
          <w:w w:val="95"/>
        </w:rPr>
        <w:t>认相应的递延所得税资产：暂时性差异在可预见的未来很可能转回，且未来很可能获得用来抵扣可抵扣暂</w:t>
      </w:r>
      <w:r>
        <w:rPr>
          <w:spacing w:val="37"/>
          <w:w w:val="95"/>
        </w:rPr>
        <w:t> </w:t>
      </w:r>
      <w:r>
        <w:rPr>
          <w:spacing w:val="37"/>
          <w:w w:val="95"/>
        </w:rPr>
      </w:r>
      <w:r>
        <w:rPr/>
        <w:t>时性差异的应纳税所得额。</w:t>
      </w:r>
    </w:p>
    <w:p>
      <w:pPr>
        <w:pStyle w:val="BodyText"/>
        <w:spacing w:line="273" w:lineRule="auto" w:before="134"/>
        <w:ind w:right="1135" w:firstLine="427"/>
        <w:jc w:val="both"/>
      </w:pPr>
      <w:r>
        <w:rPr>
          <w:w w:val="95"/>
        </w:rPr>
        <w:t>于资产负债表日，本集团对递延所得税资产和递延所得税负债，按照预期收回该资产或清偿该负债期</w:t>
      </w:r>
      <w:r>
        <w:rPr>
          <w:w w:val="99"/>
        </w:rPr>
        <w:t> </w:t>
      </w:r>
      <w:r>
        <w:rPr/>
        <w:t>间的适用税率计量，并反映资产负债表日预期收回资产或清偿负债方式的所得税影响。</w:t>
      </w:r>
    </w:p>
    <w:p>
      <w:pPr>
        <w:pStyle w:val="BodyText"/>
        <w:spacing w:line="273" w:lineRule="auto" w:before="127"/>
        <w:ind w:right="1132" w:firstLine="427"/>
        <w:jc w:val="both"/>
      </w:pPr>
      <w:r>
        <w:rPr>
          <w:w w:val="95"/>
        </w:rPr>
        <w:t>于资产负债表日，本集团对递延所得税资产的账面价值进行复核。如果未来期间很可能无法获得足够</w:t>
      </w:r>
      <w:r>
        <w:rPr>
          <w:w w:val="99"/>
        </w:rPr>
        <w:t> </w:t>
      </w:r>
      <w:r>
        <w:rPr>
          <w:w w:val="95"/>
        </w:rPr>
        <w:t>的应纳税所得额用以抵扣递延所得税资产的利益，减记递延所得税资产的账面价值。在很可能获得足够的</w:t>
      </w:r>
      <w:r>
        <w:rPr>
          <w:spacing w:val="40"/>
          <w:w w:val="95"/>
        </w:rPr>
        <w:t> </w:t>
      </w:r>
      <w:r>
        <w:rPr>
          <w:spacing w:val="40"/>
          <w:w w:val="95"/>
        </w:rPr>
      </w:r>
      <w:r>
        <w:rPr/>
        <w:t>应纳税所得额时，减记的金额予以转回。</w:t>
      </w:r>
    </w:p>
    <w:p>
      <w:pPr>
        <w:spacing w:line="240" w:lineRule="auto" w:before="7"/>
        <w:rPr>
          <w:rFonts w:ascii="宋体" w:hAnsi="宋体" w:cs="宋体" w:eastAsia="宋体" w:hint="default"/>
          <w:sz w:val="23"/>
          <w:szCs w:val="23"/>
        </w:rPr>
      </w:pPr>
    </w:p>
    <w:p>
      <w:pPr>
        <w:pStyle w:val="Heading4"/>
        <w:spacing w:line="240" w:lineRule="auto"/>
        <w:ind w:right="996"/>
        <w:jc w:val="left"/>
        <w:rPr>
          <w:b w:val="0"/>
          <w:bCs w:val="0"/>
        </w:rPr>
      </w:pPr>
      <w:bookmarkStart w:name="26、租赁" w:id="204"/>
      <w:bookmarkEnd w:id="204"/>
      <w:r>
        <w:rPr>
          <w:b w:val="0"/>
          <w:bCs w:val="0"/>
        </w:rPr>
      </w:r>
      <w:r>
        <w:rPr>
          <w:rFonts w:ascii="Arial" w:hAnsi="Arial" w:cs="Arial" w:eastAsia="Arial" w:hint="default"/>
        </w:rPr>
        <w:t>26</w:t>
      </w:r>
      <w:r>
        <w:rPr/>
        <w:t>、租赁</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1132" w:firstLine="427"/>
        <w:jc w:val="both"/>
      </w:pPr>
      <w:r>
        <w:rPr>
          <w:w w:val="95"/>
        </w:rPr>
        <w:t>本集团将实质上转移了与资产所有权有关的全部风险和报酬的租赁确认为融资租赁，除融资租赁之外</w:t>
      </w:r>
      <w:r>
        <w:rPr>
          <w:w w:val="99"/>
        </w:rPr>
        <w:t> </w:t>
      </w:r>
      <w:r>
        <w:rPr/>
        <w:t>的其他租赁确认为经营租赁。</w:t>
      </w:r>
    </w:p>
    <w:p>
      <w:pPr>
        <w:spacing w:line="240" w:lineRule="auto" w:before="7"/>
        <w:rPr>
          <w:rFonts w:ascii="宋体" w:hAnsi="宋体" w:cs="宋体" w:eastAsia="宋体" w:hint="default"/>
          <w:sz w:val="23"/>
          <w:szCs w:val="23"/>
        </w:rPr>
      </w:pPr>
    </w:p>
    <w:p>
      <w:pPr>
        <w:pStyle w:val="Heading4"/>
        <w:spacing w:line="240" w:lineRule="auto"/>
        <w:ind w:right="996"/>
        <w:jc w:val="left"/>
        <w:rPr>
          <w:b w:val="0"/>
          <w:bCs w:val="0"/>
        </w:rPr>
      </w:pPr>
      <w:r>
        <w:rPr/>
        <w:t>（</w:t>
      </w:r>
      <w:r>
        <w:rPr>
          <w:rFonts w:ascii="Arial" w:hAnsi="Arial" w:cs="Arial" w:eastAsia="Arial" w:hint="default"/>
        </w:rPr>
        <w:t>1</w:t>
      </w:r>
      <w:r>
        <w:rPr/>
        <w:t>）经营租赁的会计处理方法</w:t>
      </w:r>
      <w:r>
        <w:rPr>
          <w:b w:val="0"/>
          <w:bCs w:val="0"/>
        </w:rPr>
      </w:r>
    </w:p>
    <w:p>
      <w:pPr>
        <w:pStyle w:val="BodyText"/>
        <w:spacing w:line="430" w:lineRule="atLeast" w:before="167"/>
        <w:ind w:left="540" w:right="996"/>
        <w:jc w:val="left"/>
      </w:pPr>
      <w:r>
        <w:rPr/>
        <w:t>①本公司作为出租人</w:t>
      </w:r>
      <w:r>
        <w:rPr>
          <w:w w:val="99"/>
        </w:rPr>
        <w:t> </w:t>
      </w:r>
      <w:r>
        <w:rPr>
          <w:w w:val="95"/>
        </w:rPr>
        <w:t>经营租赁中的租金，本集团在租赁期内各个期间按照直线法确认当期损益。发生的初始直接费用，计</w:t>
      </w:r>
      <w:r>
        <w:rPr/>
      </w:r>
    </w:p>
    <w:p>
      <w:pPr>
        <w:pStyle w:val="BodyText"/>
        <w:spacing w:line="240" w:lineRule="auto" w:before="37"/>
        <w:ind w:right="996"/>
        <w:jc w:val="left"/>
      </w:pPr>
      <w:r>
        <w:rPr/>
        <w:t>入当期损益。</w:t>
      </w:r>
    </w:p>
    <w:p>
      <w:pPr>
        <w:pStyle w:val="BodyText"/>
        <w:spacing w:line="430" w:lineRule="atLeast" w:before="2"/>
        <w:ind w:left="540" w:right="996"/>
        <w:jc w:val="left"/>
      </w:pPr>
      <w:r>
        <w:rPr/>
        <w:t>②本公司作为承租人</w:t>
      </w:r>
      <w:r>
        <w:rPr>
          <w:w w:val="99"/>
        </w:rPr>
        <w:t> </w:t>
      </w:r>
      <w:r>
        <w:rPr>
          <w:w w:val="95"/>
        </w:rPr>
        <w:t>经营租赁中的租金，本集团在租赁期内各个期间按照直线法计入相关资产成本或当期损益；发生的初</w:t>
      </w:r>
      <w:r>
        <w:rPr/>
      </w:r>
    </w:p>
    <w:p>
      <w:pPr>
        <w:pStyle w:val="BodyText"/>
        <w:spacing w:line="240" w:lineRule="auto" w:before="37"/>
        <w:ind w:right="996"/>
        <w:jc w:val="left"/>
      </w:pPr>
      <w:r>
        <w:rPr/>
        <w:t>始直接费用，计入当期损益。</w:t>
      </w:r>
    </w:p>
    <w:p>
      <w:pPr>
        <w:spacing w:line="240" w:lineRule="auto" w:before="12"/>
        <w:rPr>
          <w:rFonts w:ascii="宋体" w:hAnsi="宋体" w:cs="宋体" w:eastAsia="宋体" w:hint="default"/>
          <w:sz w:val="25"/>
          <w:szCs w:val="25"/>
        </w:rPr>
      </w:pPr>
    </w:p>
    <w:p>
      <w:pPr>
        <w:pStyle w:val="Heading4"/>
        <w:spacing w:line="240" w:lineRule="auto"/>
        <w:ind w:right="996"/>
        <w:jc w:val="left"/>
        <w:rPr>
          <w:b w:val="0"/>
          <w:bCs w:val="0"/>
        </w:rPr>
      </w:pPr>
      <w:bookmarkStart w:name="（2）融资租赁的会计处理方法" w:id="205"/>
      <w:bookmarkEnd w:id="205"/>
      <w:r>
        <w:rPr>
          <w:b w:val="0"/>
          <w:bCs w:val="0"/>
        </w:rPr>
      </w:r>
      <w:r>
        <w:rPr/>
        <w:t>（</w:t>
      </w:r>
      <w:r>
        <w:rPr>
          <w:rFonts w:ascii="Arial" w:hAnsi="Arial" w:cs="Arial" w:eastAsia="Arial" w:hint="default"/>
        </w:rPr>
        <w:t>2</w:t>
      </w:r>
      <w:r>
        <w:rPr/>
        <w:t>）融资租赁的会计处理方法</w:t>
      </w:r>
      <w:r>
        <w:rPr>
          <w:b w:val="0"/>
          <w:bCs w:val="0"/>
        </w:rPr>
      </w:r>
    </w:p>
    <w:p>
      <w:pPr>
        <w:pStyle w:val="BodyText"/>
        <w:spacing w:line="430" w:lineRule="atLeast" w:before="167"/>
        <w:ind w:left="540" w:right="996"/>
        <w:jc w:val="left"/>
      </w:pPr>
      <w:r>
        <w:rPr/>
        <w:t>①本公司作为出租人</w:t>
      </w:r>
      <w:r>
        <w:rPr>
          <w:w w:val="99"/>
        </w:rPr>
        <w:t> </w:t>
      </w:r>
      <w:r>
        <w:rPr>
          <w:w w:val="95"/>
        </w:rPr>
        <w:t>融资租赁中，在租赁期开始日本集团按最低租赁收款额与初始直接费用之和作为应收融资租赁款的入</w:t>
      </w:r>
      <w:r>
        <w:rPr/>
      </w:r>
    </w:p>
    <w:p>
      <w:pPr>
        <w:pStyle w:val="BodyText"/>
        <w:spacing w:line="273" w:lineRule="auto" w:before="37"/>
        <w:ind w:right="996"/>
        <w:jc w:val="left"/>
      </w:pPr>
      <w:r>
        <w:rPr>
          <w:w w:val="95"/>
        </w:rPr>
        <w:t>账价值，同时记录未担保余值；将最低租赁收款额、初始直接费用及未担保余值之和与其现值之和的差额</w:t>
      </w:r>
      <w:r>
        <w:rPr>
          <w:spacing w:val="37"/>
          <w:w w:val="95"/>
        </w:rPr>
        <w:t> </w:t>
      </w:r>
      <w:r>
        <w:rPr>
          <w:spacing w:val="37"/>
          <w:w w:val="95"/>
        </w:rPr>
      </w:r>
      <w:r>
        <w:rPr>
          <w:w w:val="95"/>
        </w:rPr>
        <w:t>确认为未实现融资收益。未实现融资收益在租赁期内各个期间采用实际利率法计算确认当期的融资收入。</w:t>
      </w:r>
      <w:r>
        <w:rPr/>
      </w:r>
    </w:p>
    <w:p>
      <w:pPr>
        <w:pStyle w:val="BodyText"/>
        <w:spacing w:line="432" w:lineRule="exact" w:before="27"/>
        <w:ind w:left="540" w:right="996"/>
        <w:jc w:val="left"/>
      </w:pPr>
      <w:r>
        <w:rPr/>
        <w:t>②本公司作为承租人</w:t>
      </w:r>
      <w:r>
        <w:rPr>
          <w:w w:val="99"/>
        </w:rPr>
        <w:t> </w:t>
      </w:r>
      <w:r>
        <w:rPr>
          <w:w w:val="95"/>
        </w:rPr>
        <w:t>融资租赁中，在租赁期开始日本集团将租赁资产公允价值与最低租赁付款额现值两者中较低者作为租</w:t>
      </w:r>
      <w:r>
        <w:rPr/>
      </w:r>
    </w:p>
    <w:p>
      <w:pPr>
        <w:pStyle w:val="BodyText"/>
        <w:spacing w:line="255" w:lineRule="exact" w:before="0"/>
        <w:ind w:right="996"/>
        <w:jc w:val="left"/>
      </w:pPr>
      <w:r>
        <w:rPr/>
        <w:t>入资产的入账价值，将最低租赁付款额作为长期应付款的入账价值，其差额作为未确认融资费用。初始直</w:t>
      </w:r>
    </w:p>
    <w:p>
      <w:pPr>
        <w:pStyle w:val="BodyText"/>
        <w:spacing w:line="273" w:lineRule="auto" w:before="37"/>
        <w:ind w:right="996"/>
        <w:jc w:val="left"/>
      </w:pPr>
      <w:r>
        <w:rPr>
          <w:w w:val="95"/>
        </w:rPr>
        <w:t>接费用计入租入资产价值。未确认融资费用在租赁期内各个期间采用实际利率法计算确认当期的融资费用。</w:t>
      </w:r>
      <w:r>
        <w:rPr>
          <w:spacing w:val="49"/>
          <w:w w:val="95"/>
        </w:rPr>
        <w:t> </w:t>
      </w:r>
      <w:r>
        <w:rPr>
          <w:spacing w:val="49"/>
          <w:w w:val="95"/>
        </w:rPr>
      </w:r>
      <w:r>
        <w:rPr/>
        <w:t>本集团采用与自有固定资产相一致的折旧政策计提租赁资产折旧。</w:t>
      </w:r>
    </w:p>
    <w:p>
      <w:pPr>
        <w:spacing w:line="590" w:lineRule="atLeast" w:before="7"/>
        <w:ind w:left="540" w:right="996" w:hanging="428"/>
        <w:jc w:val="left"/>
        <w:rPr>
          <w:rFonts w:ascii="宋体" w:hAnsi="宋体" w:cs="宋体" w:eastAsia="宋体" w:hint="default"/>
          <w:sz w:val="21"/>
          <w:szCs w:val="21"/>
        </w:rPr>
      </w:pPr>
      <w:bookmarkStart w:name="27、其他重要的会计政策和会计估计" w:id="206"/>
      <w:bookmarkEnd w:id="206"/>
      <w:r>
        <w:rPr/>
      </w:r>
      <w:r>
        <w:rPr>
          <w:rFonts w:ascii="Arial" w:hAnsi="Arial" w:cs="Arial" w:eastAsia="Arial" w:hint="default"/>
          <w:b/>
          <w:bCs/>
          <w:sz w:val="21"/>
          <w:szCs w:val="21"/>
        </w:rPr>
        <w:t>27</w:t>
      </w:r>
      <w:r>
        <w:rPr>
          <w:rFonts w:ascii="宋体" w:hAnsi="宋体" w:cs="宋体" w:eastAsia="宋体" w:hint="default"/>
          <w:b/>
          <w:bCs/>
          <w:sz w:val="21"/>
          <w:szCs w:val="21"/>
        </w:rPr>
        <w:t>、其他重要的会计政策和会计估计</w:t>
      </w:r>
      <w:r>
        <w:rPr>
          <w:rFonts w:ascii="宋体" w:hAnsi="宋体" w:cs="宋体" w:eastAsia="宋体" w:hint="default"/>
          <w:b/>
          <w:bCs/>
          <w:w w:val="99"/>
          <w:sz w:val="21"/>
          <w:szCs w:val="21"/>
        </w:rPr>
        <w:t> </w:t>
      </w:r>
      <w:r>
        <w:rPr>
          <w:rFonts w:ascii="宋体" w:hAnsi="宋体" w:cs="宋体" w:eastAsia="宋体" w:hint="default"/>
          <w:w w:val="95"/>
          <w:sz w:val="21"/>
          <w:szCs w:val="21"/>
        </w:rPr>
        <w:t>本公司根据历史经验和其它因素，包括对未来事项的合理预期，对所采用的重要会计估计和关键假设</w:t>
      </w:r>
      <w:r>
        <w:rPr>
          <w:rFonts w:ascii="宋体" w:hAnsi="宋体" w:cs="宋体" w:eastAsia="宋体" w:hint="default"/>
          <w:sz w:val="21"/>
          <w:szCs w:val="21"/>
        </w:rPr>
      </w:r>
    </w:p>
    <w:p>
      <w:pPr>
        <w:pStyle w:val="BodyText"/>
        <w:spacing w:line="240" w:lineRule="auto" w:before="37"/>
        <w:ind w:right="996"/>
        <w:jc w:val="left"/>
      </w:pPr>
      <w:r>
        <w:rPr/>
        <w:t>进行持续的评价。</w:t>
      </w:r>
    </w:p>
    <w:p>
      <w:pPr>
        <w:spacing w:after="0" w:line="240" w:lineRule="auto"/>
        <w:jc w:val="left"/>
        <w:sectPr>
          <w:pgSz w:w="11910" w:h="16840"/>
          <w:pgMar w:header="878" w:footer="978" w:top="1100" w:bottom="1160" w:left="1020" w:right="0"/>
        </w:sectPr>
      </w:pPr>
    </w:p>
    <w:p>
      <w:pPr>
        <w:spacing w:line="240" w:lineRule="auto" w:before="12"/>
        <w:rPr>
          <w:rFonts w:ascii="宋体" w:hAnsi="宋体" w:cs="宋体" w:eastAsia="宋体" w:hint="default"/>
          <w:sz w:val="20"/>
          <w:szCs w:val="20"/>
        </w:rPr>
      </w:pPr>
    </w:p>
    <w:p>
      <w:pPr>
        <w:pStyle w:val="BodyText"/>
        <w:spacing w:line="273" w:lineRule="auto"/>
        <w:ind w:right="1232" w:firstLine="427"/>
        <w:jc w:val="left"/>
      </w:pPr>
      <w:r>
        <w:rPr>
          <w:w w:val="95"/>
        </w:rPr>
        <w:t>很可能导致下一会计年度资产和负债的账面价值出现重大调整风险的重要会计估计和关键假设列示</w:t>
      </w:r>
      <w:r>
        <w:rPr>
          <w:spacing w:val="-98"/>
          <w:w w:val="95"/>
        </w:rPr>
        <w:t> </w:t>
      </w:r>
      <w:r>
        <w:rPr>
          <w:spacing w:val="-98"/>
          <w:w w:val="95"/>
        </w:rPr>
      </w:r>
      <w:r>
        <w:rPr/>
        <w:t>如下：</w:t>
      </w:r>
    </w:p>
    <w:p>
      <w:pPr>
        <w:pStyle w:val="BodyText"/>
        <w:spacing w:line="432" w:lineRule="exact" w:before="27"/>
        <w:ind w:left="540" w:right="996"/>
        <w:jc w:val="left"/>
      </w:pPr>
      <w:r>
        <w:rPr/>
        <w:t>商誉减值</w:t>
      </w:r>
      <w:r>
        <w:rPr>
          <w:w w:val="99"/>
        </w:rPr>
        <w:t> </w:t>
      </w:r>
      <w:r>
        <w:rPr>
          <w:w w:val="95"/>
        </w:rPr>
        <w:t>本公司至少每年评估商誉是否发生减值。这要求对分配了商誉的资产组的使用价值进行估计。估计使</w:t>
      </w:r>
      <w:r>
        <w:rPr/>
      </w:r>
    </w:p>
    <w:p>
      <w:pPr>
        <w:pStyle w:val="BodyText"/>
        <w:spacing w:line="255" w:lineRule="exact" w:before="0"/>
        <w:ind w:right="996"/>
        <w:jc w:val="left"/>
      </w:pPr>
      <w:r>
        <w:rPr>
          <w:spacing w:val="-3"/>
        </w:rPr>
        <w:t>用价值时，本集团需要估计未来来自资产组的现金流量，同时选择恰当的折现率计算未来现金流量的现值。</w:t>
      </w:r>
    </w:p>
    <w:p>
      <w:pPr>
        <w:pStyle w:val="BodyText"/>
        <w:spacing w:line="430" w:lineRule="atLeast" w:before="2"/>
        <w:ind w:left="540" w:right="996"/>
        <w:jc w:val="left"/>
      </w:pPr>
      <w:r>
        <w:rPr/>
        <w:t>开发支出</w:t>
      </w:r>
      <w:r>
        <w:rPr>
          <w:w w:val="99"/>
        </w:rPr>
        <w:t> </w:t>
      </w:r>
      <w:r>
        <w:rPr>
          <w:w w:val="95"/>
        </w:rPr>
        <w:t>确定资本化的金额时，管理层必须做出有关资产的预期未来现金的产生、应采用的折现率以及预计受</w:t>
      </w:r>
      <w:r>
        <w:rPr/>
      </w:r>
    </w:p>
    <w:p>
      <w:pPr>
        <w:pStyle w:val="BodyText"/>
        <w:spacing w:line="376" w:lineRule="auto" w:before="37"/>
        <w:ind w:left="540" w:right="8856" w:hanging="428"/>
        <w:jc w:val="left"/>
      </w:pPr>
      <w:r>
        <w:rPr/>
        <w:t>益期间的假设。</w:t>
      </w:r>
      <w:r>
        <w:rPr>
          <w:w w:val="99"/>
        </w:rPr>
        <w:t> </w:t>
      </w:r>
      <w:r>
        <w:rPr/>
        <w:t>递延所得税资产</w:t>
      </w:r>
    </w:p>
    <w:p>
      <w:pPr>
        <w:pStyle w:val="BodyText"/>
        <w:spacing w:line="273" w:lineRule="auto" w:before="37"/>
        <w:ind w:right="1132" w:firstLine="427"/>
        <w:jc w:val="both"/>
      </w:pPr>
      <w:r>
        <w:rPr>
          <w:w w:val="95"/>
        </w:rPr>
        <w:t>在很有可能有足够的应纳税利润来抵扣亏损的限度内，应就所有未利用的税务亏损确认递延所得税资</w:t>
      </w:r>
      <w:r>
        <w:rPr>
          <w:w w:val="99"/>
        </w:rPr>
        <w:t> </w:t>
      </w:r>
      <w:r>
        <w:rPr>
          <w:w w:val="95"/>
        </w:rPr>
        <w:t>产。这需要管理层运用大量的判断来估计未来应纳税利润发生的时间和金额，结合纳税筹划策略，以决定</w:t>
      </w:r>
      <w:r>
        <w:rPr>
          <w:spacing w:val="40"/>
          <w:w w:val="95"/>
        </w:rPr>
        <w:t> </w:t>
      </w:r>
      <w:r>
        <w:rPr>
          <w:spacing w:val="40"/>
          <w:w w:val="95"/>
        </w:rPr>
      </w:r>
      <w:r>
        <w:rPr/>
        <w:t>应确认的递延所得税资产的金额。</w:t>
      </w:r>
    </w:p>
    <w:p>
      <w:pPr>
        <w:spacing w:line="240" w:lineRule="auto" w:before="7"/>
        <w:rPr>
          <w:rFonts w:ascii="宋体" w:hAnsi="宋体" w:cs="宋体" w:eastAsia="宋体" w:hint="default"/>
          <w:sz w:val="23"/>
          <w:szCs w:val="23"/>
        </w:rPr>
      </w:pPr>
    </w:p>
    <w:p>
      <w:pPr>
        <w:pStyle w:val="Heading4"/>
        <w:spacing w:line="240" w:lineRule="auto"/>
        <w:ind w:right="996"/>
        <w:jc w:val="left"/>
        <w:rPr>
          <w:b w:val="0"/>
          <w:bCs w:val="0"/>
        </w:rPr>
      </w:pPr>
      <w:bookmarkStart w:name="28、重要会计政策和会计估计变更" w:id="207"/>
      <w:bookmarkEnd w:id="207"/>
      <w:r>
        <w:rPr>
          <w:b w:val="0"/>
          <w:bCs w:val="0"/>
        </w:rPr>
      </w:r>
      <w:r>
        <w:rPr>
          <w:rFonts w:ascii="Arial" w:hAnsi="Arial" w:cs="Arial" w:eastAsia="Arial" w:hint="default"/>
        </w:rPr>
        <w:t>28</w:t>
      </w:r>
      <w:r>
        <w:rPr/>
        <w:t>、重要会计政策和会计估计变更</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996"/>
        <w:jc w:val="left"/>
        <w:rPr>
          <w:b w:val="0"/>
          <w:bCs w:val="0"/>
        </w:rPr>
      </w:pPr>
      <w:bookmarkStart w:name="（1）重要会计政策变更" w:id="208"/>
      <w:bookmarkEnd w:id="208"/>
      <w:r>
        <w:rPr>
          <w:b w:val="0"/>
          <w:bCs w:val="0"/>
        </w:rPr>
      </w:r>
      <w:r>
        <w:rPr/>
        <w:t>（</w:t>
      </w:r>
      <w:r>
        <w:rPr>
          <w:rFonts w:ascii="Arial" w:hAnsi="Arial" w:cs="Arial" w:eastAsia="Arial" w:hint="default"/>
        </w:rPr>
        <w:t>1</w:t>
      </w:r>
      <w:r>
        <w:rPr/>
        <w:t>）重要会计政策变更</w:t>
      </w:r>
      <w:r>
        <w:rPr>
          <w:b w:val="0"/>
          <w:bCs w:val="0"/>
        </w:rPr>
      </w:r>
    </w:p>
    <w:p>
      <w:pPr>
        <w:spacing w:line="240" w:lineRule="auto" w:before="8"/>
        <w:rPr>
          <w:rFonts w:ascii="宋体" w:hAnsi="宋体" w:cs="宋体" w:eastAsia="宋体" w:hint="default"/>
          <w:b/>
          <w:bCs/>
          <w:sz w:val="24"/>
          <w:szCs w:val="24"/>
        </w:rPr>
      </w:pPr>
    </w:p>
    <w:p>
      <w:pPr>
        <w:pStyle w:val="BodyText"/>
        <w:spacing w:line="309" w:lineRule="auto" w:before="0"/>
        <w:ind w:right="886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5"/>
        </w:rPr>
        <w:t> </w:t>
      </w:r>
      <w:r>
        <w:rPr/>
        <w:t>不适用</w:t>
      </w:r>
      <w:r>
        <w:rPr>
          <w:w w:val="99"/>
        </w:rPr>
        <w:t> </w:t>
      </w:r>
      <w:r>
        <w:rPr/>
        <w:t>会计政策变更说明：</w:t>
      </w:r>
    </w:p>
    <w:p>
      <w:pPr>
        <w:pStyle w:val="BodyText"/>
        <w:spacing w:line="297" w:lineRule="auto" w:before="22"/>
        <w:ind w:right="1135" w:firstLine="427"/>
        <w:jc w:val="both"/>
      </w:pPr>
      <w:r>
        <w:rPr>
          <w:spacing w:val="-1"/>
          <w:w w:val="95"/>
        </w:rPr>
        <w:t>①根据财政部《关于修订印发</w:t>
      </w:r>
      <w:r>
        <w:rPr>
          <w:rFonts w:ascii="Arial" w:hAnsi="Arial" w:cs="Arial" w:eastAsia="Arial" w:hint="default"/>
          <w:spacing w:val="-1"/>
          <w:w w:val="95"/>
        </w:rPr>
        <w:t>2018</w:t>
      </w:r>
      <w:r>
        <w:rPr>
          <w:spacing w:val="-1"/>
          <w:w w:val="95"/>
        </w:rPr>
        <w:t>年度一般企业财务报表格式的通知》（财会</w:t>
      </w:r>
      <w:r>
        <w:rPr>
          <w:rFonts w:ascii="Arial" w:hAnsi="Arial" w:cs="Arial" w:eastAsia="Arial" w:hint="default"/>
          <w:spacing w:val="-1"/>
          <w:w w:val="95"/>
        </w:rPr>
        <w:t>[2018]15</w:t>
      </w:r>
      <w:r>
        <w:rPr>
          <w:spacing w:val="-1"/>
          <w:w w:val="95"/>
        </w:rPr>
        <w:t>号），本集团</w:t>
      </w:r>
      <w:r>
        <w:rPr>
          <w:spacing w:val="-92"/>
          <w:w w:val="95"/>
        </w:rPr>
        <w:t> </w:t>
      </w:r>
      <w:r>
        <w:rPr>
          <w:spacing w:val="-92"/>
          <w:w w:val="95"/>
        </w:rPr>
      </w:r>
      <w:r>
        <w:rPr/>
        <w:t>对财务报表格式进行了以下修订：</w:t>
      </w:r>
    </w:p>
    <w:p>
      <w:pPr>
        <w:pStyle w:val="BodyText"/>
        <w:spacing w:line="297" w:lineRule="auto" w:before="32"/>
        <w:ind w:left="540" w:right="3180"/>
        <w:jc w:val="left"/>
      </w:pPr>
      <w:r>
        <w:rPr>
          <w:rFonts w:ascii="Arial" w:hAnsi="Arial" w:cs="Arial" w:eastAsia="Arial" w:hint="default"/>
        </w:rPr>
        <w:t>A</w:t>
      </w:r>
      <w:r>
        <w:rPr/>
        <w:t>、资产负债表</w:t>
      </w:r>
      <w:r>
        <w:rPr>
          <w:w w:val="99"/>
        </w:rPr>
        <w:t> </w:t>
      </w:r>
      <w:r>
        <w:rPr/>
        <w:t>将原</w:t>
      </w:r>
      <w:r>
        <w:rPr>
          <w:rFonts w:ascii="Arial" w:hAnsi="Arial" w:cs="Arial" w:eastAsia="Arial" w:hint="default"/>
        </w:rPr>
        <w:t>“</w:t>
      </w:r>
      <w:r>
        <w:rPr/>
        <w:t>应收票据</w:t>
      </w:r>
      <w:r>
        <w:rPr>
          <w:rFonts w:ascii="Arial" w:hAnsi="Arial" w:cs="Arial" w:eastAsia="Arial" w:hint="default"/>
        </w:rPr>
        <w:t>”</w:t>
      </w:r>
      <w:r>
        <w:rPr/>
        <w:t>及</w:t>
      </w:r>
      <w:r>
        <w:rPr>
          <w:rFonts w:ascii="Arial" w:hAnsi="Arial" w:cs="Arial" w:eastAsia="Arial" w:hint="default"/>
        </w:rPr>
        <w:t>“</w:t>
      </w:r>
      <w:r>
        <w:rPr/>
        <w:t>应收账款</w:t>
      </w:r>
      <w:r>
        <w:rPr>
          <w:rFonts w:ascii="Arial" w:hAnsi="Arial" w:cs="Arial" w:eastAsia="Arial" w:hint="default"/>
        </w:rPr>
        <w:t>”</w:t>
      </w:r>
      <w:r>
        <w:rPr/>
        <w:t>行项目整合为</w:t>
      </w:r>
      <w:r>
        <w:rPr>
          <w:rFonts w:ascii="Arial" w:hAnsi="Arial" w:cs="Arial" w:eastAsia="Arial" w:hint="default"/>
        </w:rPr>
        <w:t>“</w:t>
      </w:r>
      <w:r>
        <w:rPr/>
        <w:t>应收票据及应收账款</w:t>
      </w:r>
      <w:r>
        <w:rPr>
          <w:rFonts w:ascii="Arial" w:hAnsi="Arial" w:cs="Arial" w:eastAsia="Arial" w:hint="default"/>
        </w:rPr>
        <w:t>”</w:t>
      </w:r>
      <w:r>
        <w:rPr/>
        <w:t>；</w:t>
      </w:r>
      <w:r>
        <w:rPr>
          <w:w w:val="99"/>
        </w:rPr>
        <w:t> </w:t>
      </w:r>
      <w:r>
        <w:rPr/>
        <w:t>将原</w:t>
      </w:r>
      <w:r>
        <w:rPr>
          <w:rFonts w:ascii="Arial" w:hAnsi="Arial" w:cs="Arial" w:eastAsia="Arial" w:hint="default"/>
        </w:rPr>
        <w:t>“</w:t>
      </w:r>
      <w:r>
        <w:rPr/>
        <w:t>应收利息</w:t>
      </w:r>
      <w:r>
        <w:rPr>
          <w:rFonts w:ascii="Arial" w:hAnsi="Arial" w:cs="Arial" w:eastAsia="Arial" w:hint="default"/>
        </w:rPr>
        <w:t>”</w:t>
      </w:r>
      <w:r>
        <w:rPr/>
        <w:t>及</w:t>
      </w:r>
      <w:r>
        <w:rPr>
          <w:rFonts w:ascii="Arial" w:hAnsi="Arial" w:cs="Arial" w:eastAsia="Arial" w:hint="default"/>
        </w:rPr>
        <w:t>“</w:t>
      </w:r>
      <w:r>
        <w:rPr/>
        <w:t>应收股利</w:t>
      </w:r>
      <w:r>
        <w:rPr>
          <w:rFonts w:ascii="Arial" w:hAnsi="Arial" w:cs="Arial" w:eastAsia="Arial" w:hint="default"/>
        </w:rPr>
        <w:t>”</w:t>
      </w:r>
      <w:r>
        <w:rPr/>
        <w:t>行项目归并至</w:t>
      </w:r>
      <w:r>
        <w:rPr>
          <w:rFonts w:ascii="Arial" w:hAnsi="Arial" w:cs="Arial" w:eastAsia="Arial" w:hint="default"/>
        </w:rPr>
        <w:t>“</w:t>
      </w:r>
      <w:r>
        <w:rPr/>
        <w:t>其他应收款</w:t>
      </w:r>
      <w:r>
        <w:rPr>
          <w:rFonts w:ascii="Arial" w:hAnsi="Arial" w:cs="Arial" w:eastAsia="Arial" w:hint="default"/>
        </w:rPr>
        <w:t>”</w:t>
      </w:r>
      <w:r>
        <w:rPr/>
        <w:t>；</w:t>
      </w:r>
      <w:r>
        <w:rPr>
          <w:w w:val="99"/>
        </w:rPr>
        <w:t> </w:t>
      </w:r>
      <w:r>
        <w:rPr/>
        <w:t>将原</w:t>
      </w:r>
      <w:r>
        <w:rPr>
          <w:rFonts w:ascii="Arial" w:hAnsi="Arial" w:cs="Arial" w:eastAsia="Arial" w:hint="default"/>
        </w:rPr>
        <w:t>“</w:t>
      </w:r>
      <w:r>
        <w:rPr/>
        <w:t>固定资产清理</w:t>
      </w:r>
      <w:r>
        <w:rPr>
          <w:rFonts w:ascii="Arial" w:hAnsi="Arial" w:cs="Arial" w:eastAsia="Arial" w:hint="default"/>
        </w:rPr>
        <w:t>”</w:t>
      </w:r>
      <w:r>
        <w:rPr/>
        <w:t>行项目归并至</w:t>
      </w:r>
      <w:r>
        <w:rPr>
          <w:rFonts w:ascii="Arial" w:hAnsi="Arial" w:cs="Arial" w:eastAsia="Arial" w:hint="default"/>
        </w:rPr>
        <w:t>“</w:t>
      </w:r>
      <w:r>
        <w:rPr/>
        <w:t>固定资产</w:t>
      </w:r>
      <w:r>
        <w:rPr>
          <w:rFonts w:ascii="Arial" w:hAnsi="Arial" w:cs="Arial" w:eastAsia="Arial" w:hint="default"/>
        </w:rPr>
        <w:t>”</w:t>
      </w:r>
      <w:r>
        <w:rPr/>
        <w:t>；</w:t>
      </w:r>
      <w:r>
        <w:rPr>
          <w:w w:val="99"/>
        </w:rPr>
        <w:t> </w:t>
      </w:r>
      <w:r>
        <w:rPr/>
        <w:t>将原</w:t>
      </w:r>
      <w:r>
        <w:rPr>
          <w:rFonts w:ascii="Arial" w:hAnsi="Arial" w:cs="Arial" w:eastAsia="Arial" w:hint="default"/>
        </w:rPr>
        <w:t>“</w:t>
      </w:r>
      <w:r>
        <w:rPr/>
        <w:t>工程物资</w:t>
      </w:r>
      <w:r>
        <w:rPr>
          <w:rFonts w:ascii="Arial" w:hAnsi="Arial" w:cs="Arial" w:eastAsia="Arial" w:hint="default"/>
        </w:rPr>
        <w:t>”</w:t>
      </w:r>
      <w:r>
        <w:rPr/>
        <w:t>行项目归并至</w:t>
      </w:r>
      <w:r>
        <w:rPr>
          <w:rFonts w:ascii="Arial" w:hAnsi="Arial" w:cs="Arial" w:eastAsia="Arial" w:hint="default"/>
        </w:rPr>
        <w:t>“</w:t>
      </w:r>
      <w:r>
        <w:rPr/>
        <w:t>在建工程</w:t>
      </w:r>
      <w:r>
        <w:rPr>
          <w:rFonts w:ascii="Arial" w:hAnsi="Arial" w:cs="Arial" w:eastAsia="Arial" w:hint="default"/>
        </w:rPr>
        <w:t>”</w:t>
      </w:r>
      <w:r>
        <w:rPr/>
        <w:t>；</w:t>
      </w:r>
      <w:r>
        <w:rPr>
          <w:w w:val="99"/>
        </w:rPr>
        <w:t> </w:t>
      </w:r>
      <w:r>
        <w:rPr>
          <w:w w:val="95"/>
        </w:rPr>
        <w:t>将原</w:t>
      </w:r>
      <w:r>
        <w:rPr>
          <w:rFonts w:ascii="Arial" w:hAnsi="Arial" w:cs="Arial" w:eastAsia="Arial" w:hint="default"/>
          <w:w w:val="95"/>
        </w:rPr>
        <w:t>“</w:t>
      </w:r>
      <w:r>
        <w:rPr>
          <w:w w:val="95"/>
        </w:rPr>
        <w:t>应付票据</w:t>
      </w:r>
      <w:r>
        <w:rPr>
          <w:rFonts w:ascii="Arial" w:hAnsi="Arial" w:cs="Arial" w:eastAsia="Arial" w:hint="default"/>
          <w:w w:val="95"/>
        </w:rPr>
        <w:t>”</w:t>
      </w:r>
      <w:r>
        <w:rPr>
          <w:w w:val="95"/>
        </w:rPr>
        <w:t>及</w:t>
      </w:r>
      <w:r>
        <w:rPr>
          <w:rFonts w:ascii="Arial" w:hAnsi="Arial" w:cs="Arial" w:eastAsia="Arial" w:hint="default"/>
          <w:w w:val="95"/>
        </w:rPr>
        <w:t>“</w:t>
      </w:r>
      <w:r>
        <w:rPr>
          <w:w w:val="95"/>
        </w:rPr>
        <w:t>应付账款</w:t>
      </w:r>
      <w:r>
        <w:rPr>
          <w:rFonts w:ascii="Arial" w:hAnsi="Arial" w:cs="Arial" w:eastAsia="Arial" w:hint="default"/>
          <w:w w:val="95"/>
        </w:rPr>
        <w:t>”</w:t>
      </w:r>
      <w:r>
        <w:rPr>
          <w:w w:val="95"/>
        </w:rPr>
        <w:t>行项目整合为</w:t>
      </w:r>
      <w:r>
        <w:rPr>
          <w:rFonts w:ascii="Arial" w:hAnsi="Arial" w:cs="Arial" w:eastAsia="Arial" w:hint="default"/>
          <w:w w:val="95"/>
        </w:rPr>
        <w:t>“</w:t>
      </w:r>
      <w:r>
        <w:rPr>
          <w:w w:val="95"/>
        </w:rPr>
        <w:t>应付票据及应付账款</w:t>
      </w:r>
      <w:r>
        <w:rPr>
          <w:rFonts w:ascii="Arial" w:hAnsi="Arial" w:cs="Arial" w:eastAsia="Arial" w:hint="default"/>
          <w:w w:val="95"/>
        </w:rPr>
        <w:t>”</w:t>
      </w:r>
      <w:r>
        <w:rPr>
          <w:w w:val="95"/>
        </w:rPr>
        <w:t>项目；</w:t>
      </w:r>
      <w:r>
        <w:rPr>
          <w:spacing w:val="9"/>
          <w:w w:val="95"/>
        </w:rPr>
        <w:t> </w:t>
      </w:r>
      <w:r>
        <w:rPr>
          <w:spacing w:val="9"/>
          <w:w w:val="95"/>
        </w:rPr>
      </w:r>
      <w:r>
        <w:rPr/>
        <w:t>将原</w:t>
      </w:r>
      <w:r>
        <w:rPr>
          <w:rFonts w:ascii="Arial" w:hAnsi="Arial" w:cs="Arial" w:eastAsia="Arial" w:hint="default"/>
        </w:rPr>
        <w:t>“</w:t>
      </w:r>
      <w:r>
        <w:rPr/>
        <w:t>应付利息</w:t>
      </w:r>
      <w:r>
        <w:rPr>
          <w:rFonts w:ascii="Arial" w:hAnsi="Arial" w:cs="Arial" w:eastAsia="Arial" w:hint="default"/>
        </w:rPr>
        <w:t>”</w:t>
      </w:r>
      <w:r>
        <w:rPr/>
        <w:t>及</w:t>
      </w:r>
      <w:r>
        <w:rPr>
          <w:rFonts w:ascii="Arial" w:hAnsi="Arial" w:cs="Arial" w:eastAsia="Arial" w:hint="default"/>
        </w:rPr>
        <w:t>“</w:t>
      </w:r>
      <w:r>
        <w:rPr/>
        <w:t>应付股利</w:t>
      </w:r>
      <w:r>
        <w:rPr>
          <w:rFonts w:ascii="Arial" w:hAnsi="Arial" w:cs="Arial" w:eastAsia="Arial" w:hint="default"/>
        </w:rPr>
        <w:t>”</w:t>
      </w:r>
      <w:r>
        <w:rPr/>
        <w:t>行项目归并至</w:t>
      </w:r>
      <w:r>
        <w:rPr>
          <w:rFonts w:ascii="Arial" w:hAnsi="Arial" w:cs="Arial" w:eastAsia="Arial" w:hint="default"/>
        </w:rPr>
        <w:t>“</w:t>
      </w:r>
      <w:r>
        <w:rPr/>
        <w:t>其他应付款</w:t>
      </w:r>
      <w:r>
        <w:rPr>
          <w:rFonts w:ascii="Arial" w:hAnsi="Arial" w:cs="Arial" w:eastAsia="Arial" w:hint="default"/>
        </w:rPr>
        <w:t>”</w:t>
      </w:r>
      <w:r>
        <w:rPr/>
        <w:t>；</w:t>
      </w:r>
      <w:r>
        <w:rPr>
          <w:w w:val="99"/>
        </w:rPr>
        <w:t> </w:t>
      </w:r>
      <w:r>
        <w:rPr/>
        <w:t>将原</w:t>
      </w:r>
      <w:r>
        <w:rPr>
          <w:rFonts w:ascii="Arial" w:hAnsi="Arial" w:cs="Arial" w:eastAsia="Arial" w:hint="default"/>
        </w:rPr>
        <w:t>“</w:t>
      </w:r>
      <w:r>
        <w:rPr/>
        <w:t>专项应付款</w:t>
      </w:r>
      <w:r>
        <w:rPr>
          <w:rFonts w:ascii="Arial" w:hAnsi="Arial" w:cs="Arial" w:eastAsia="Arial" w:hint="default"/>
        </w:rPr>
        <w:t>”</w:t>
      </w:r>
      <w:r>
        <w:rPr/>
        <w:t>行项目归并至</w:t>
      </w:r>
      <w:r>
        <w:rPr>
          <w:rFonts w:ascii="Arial" w:hAnsi="Arial" w:cs="Arial" w:eastAsia="Arial" w:hint="default"/>
        </w:rPr>
        <w:t>“</w:t>
      </w:r>
      <w:r>
        <w:rPr/>
        <w:t>长期应付款</w:t>
      </w:r>
      <w:r>
        <w:rPr>
          <w:rFonts w:ascii="Arial" w:hAnsi="Arial" w:cs="Arial" w:eastAsia="Arial" w:hint="default"/>
        </w:rPr>
        <w:t>”</w:t>
      </w:r>
      <w:r>
        <w:rPr/>
        <w:t>。</w:t>
      </w:r>
    </w:p>
    <w:p>
      <w:pPr>
        <w:pStyle w:val="BodyText"/>
        <w:spacing w:line="297" w:lineRule="auto" w:before="11"/>
        <w:ind w:left="540" w:right="6899"/>
        <w:jc w:val="left"/>
      </w:pPr>
      <w:r>
        <w:rPr>
          <w:rFonts w:ascii="Arial" w:hAnsi="Arial" w:cs="Arial" w:eastAsia="Arial" w:hint="default"/>
        </w:rPr>
        <w:t>B</w:t>
      </w:r>
      <w:r>
        <w:rPr/>
        <w:t>、利润表</w:t>
      </w:r>
      <w:r>
        <w:rPr>
          <w:w w:val="99"/>
        </w:rPr>
        <w:t> </w:t>
      </w:r>
      <w:r>
        <w:rPr>
          <w:w w:val="95"/>
        </w:rPr>
        <w:t>从原</w:t>
      </w:r>
      <w:r>
        <w:rPr>
          <w:rFonts w:ascii="Arial" w:hAnsi="Arial" w:cs="Arial" w:eastAsia="Arial" w:hint="default"/>
          <w:w w:val="95"/>
        </w:rPr>
        <w:t>“</w:t>
      </w:r>
      <w:r>
        <w:rPr>
          <w:w w:val="95"/>
        </w:rPr>
        <w:t>管理费用</w:t>
      </w:r>
      <w:r>
        <w:rPr>
          <w:rFonts w:ascii="Arial" w:hAnsi="Arial" w:cs="Arial" w:eastAsia="Arial" w:hint="default"/>
          <w:w w:val="95"/>
        </w:rPr>
        <w:t>”</w:t>
      </w:r>
      <w:r>
        <w:rPr>
          <w:w w:val="95"/>
        </w:rPr>
        <w:t>中分拆出</w:t>
      </w:r>
      <w:r>
        <w:rPr>
          <w:rFonts w:ascii="Arial" w:hAnsi="Arial" w:cs="Arial" w:eastAsia="Arial" w:hint="default"/>
          <w:w w:val="95"/>
        </w:rPr>
        <w:t>“</w:t>
      </w:r>
      <w:r>
        <w:rPr>
          <w:w w:val="95"/>
        </w:rPr>
        <w:t>研发费用</w:t>
      </w:r>
      <w:r>
        <w:rPr>
          <w:rFonts w:ascii="Arial" w:hAnsi="Arial" w:cs="Arial" w:eastAsia="Arial" w:hint="default"/>
          <w:w w:val="95"/>
        </w:rPr>
        <w:t>”</w:t>
      </w:r>
      <w:r>
        <w:rPr>
          <w:w w:val="95"/>
        </w:rPr>
        <w:t>；</w:t>
      </w:r>
      <w:r>
        <w:rPr/>
      </w:r>
    </w:p>
    <w:p>
      <w:pPr>
        <w:pStyle w:val="BodyText"/>
        <w:spacing w:line="240" w:lineRule="auto" w:before="11"/>
        <w:ind w:left="540" w:right="996"/>
        <w:jc w:val="left"/>
      </w:pPr>
      <w:r>
        <w:rPr/>
        <w:t>在</w:t>
      </w:r>
      <w:r>
        <w:rPr>
          <w:rFonts w:ascii="Arial" w:hAnsi="Arial" w:cs="Arial" w:eastAsia="Arial" w:hint="default"/>
        </w:rPr>
        <w:t>“</w:t>
      </w:r>
      <w:r>
        <w:rPr/>
        <w:t>财务费用</w:t>
      </w:r>
      <w:r>
        <w:rPr>
          <w:rFonts w:ascii="Arial" w:hAnsi="Arial" w:cs="Arial" w:eastAsia="Arial" w:hint="default"/>
        </w:rPr>
        <w:t>”</w:t>
      </w:r>
      <w:r>
        <w:rPr/>
        <w:t>行项目下分别列示</w:t>
      </w:r>
      <w:r>
        <w:rPr>
          <w:rFonts w:ascii="Arial" w:hAnsi="Arial" w:cs="Arial" w:eastAsia="Arial" w:hint="default"/>
        </w:rPr>
        <w:t>“</w:t>
      </w:r>
      <w:r>
        <w:rPr/>
        <w:t>利息费用</w:t>
      </w:r>
      <w:r>
        <w:rPr>
          <w:rFonts w:ascii="Arial" w:hAnsi="Arial" w:cs="Arial" w:eastAsia="Arial" w:hint="default"/>
        </w:rPr>
        <w:t>”</w:t>
      </w:r>
      <w:r>
        <w:rPr/>
        <w:t>和</w:t>
      </w:r>
      <w:r>
        <w:rPr>
          <w:rFonts w:ascii="Arial" w:hAnsi="Arial" w:cs="Arial" w:eastAsia="Arial" w:hint="default"/>
        </w:rPr>
        <w:t>“</w:t>
      </w:r>
      <w:r>
        <w:rPr/>
        <w:t>利息收入</w:t>
      </w:r>
      <w:r>
        <w:rPr>
          <w:rFonts w:ascii="Arial" w:hAnsi="Arial" w:cs="Arial" w:eastAsia="Arial" w:hint="default"/>
        </w:rPr>
        <w:t>”</w:t>
      </w:r>
      <w:r>
        <w:rPr/>
        <w:t>明细项目；</w:t>
      </w:r>
    </w:p>
    <w:p>
      <w:pPr>
        <w:pStyle w:val="BodyText"/>
        <w:spacing w:line="295" w:lineRule="auto" w:before="70"/>
        <w:ind w:left="540" w:right="996"/>
        <w:jc w:val="left"/>
      </w:pPr>
      <w:r>
        <w:rPr>
          <w:rFonts w:ascii="Arial" w:hAnsi="Arial" w:cs="Arial" w:eastAsia="Arial" w:hint="default"/>
        </w:rPr>
        <w:t>C</w:t>
      </w:r>
      <w:r>
        <w:rPr/>
        <w:t>、股东权益变动表</w:t>
      </w:r>
      <w:r>
        <w:rPr>
          <w:w w:val="99"/>
        </w:rPr>
        <w:t> </w:t>
      </w:r>
      <w:r>
        <w:rPr>
          <w:spacing w:val="-2"/>
          <w:w w:val="99"/>
        </w:rPr>
        <w:t>在</w:t>
      </w:r>
      <w:r>
        <w:rPr>
          <w:rFonts w:ascii="Arial" w:hAnsi="Arial" w:cs="Arial" w:eastAsia="Arial" w:hint="default"/>
          <w:spacing w:val="-2"/>
          <w:w w:val="99"/>
        </w:rPr>
        <w:t>“</w:t>
      </w:r>
      <w:r>
        <w:rPr>
          <w:spacing w:val="-2"/>
          <w:w w:val="99"/>
        </w:rPr>
        <w:t>股东权益内部结转</w:t>
      </w:r>
      <w:r>
        <w:rPr>
          <w:rFonts w:ascii="Arial" w:hAnsi="Arial" w:cs="Arial" w:eastAsia="Arial" w:hint="default"/>
          <w:spacing w:val="-2"/>
          <w:w w:val="99"/>
        </w:rPr>
        <w:t>”</w:t>
      </w:r>
      <w:r>
        <w:rPr>
          <w:spacing w:val="-2"/>
          <w:w w:val="99"/>
        </w:rPr>
        <w:t>行项目下，将原</w:t>
      </w:r>
      <w:r>
        <w:rPr>
          <w:rFonts w:ascii="Arial" w:hAnsi="Arial" w:cs="Arial" w:eastAsia="Arial" w:hint="default"/>
          <w:spacing w:val="-2"/>
          <w:w w:val="99"/>
        </w:rPr>
        <w:t>“</w:t>
      </w:r>
      <w:r>
        <w:rPr>
          <w:spacing w:val="-2"/>
          <w:w w:val="99"/>
        </w:rPr>
        <w:t>结转重新计量设定受益计划净负债或净资产所产生的变动</w:t>
      </w:r>
      <w:r>
        <w:rPr>
          <w:rFonts w:ascii="Arial" w:hAnsi="Arial" w:cs="Arial" w:eastAsia="Arial" w:hint="default"/>
          <w:spacing w:val="-2"/>
          <w:w w:val="99"/>
        </w:rPr>
        <w:t>”</w:t>
      </w:r>
      <w:r>
        <w:rPr>
          <w:spacing w:val="-2"/>
          <w:w w:val="99"/>
        </w:rPr>
        <w:t>改为</w:t>
      </w:r>
      <w:r>
        <w:rPr>
          <w:spacing w:val="-2"/>
        </w:rPr>
      </w:r>
    </w:p>
    <w:p>
      <w:pPr>
        <w:pStyle w:val="BodyText"/>
        <w:spacing w:line="297" w:lineRule="auto" w:before="16"/>
        <w:ind w:left="540" w:right="2114" w:hanging="428"/>
        <w:jc w:val="left"/>
      </w:pPr>
      <w:r>
        <w:rPr>
          <w:rFonts w:ascii="Arial" w:hAnsi="Arial" w:cs="Arial" w:eastAsia="Arial" w:hint="default"/>
        </w:rPr>
        <w:t>“</w:t>
      </w:r>
      <w:r>
        <w:rPr/>
        <w:t>设定受益计划变动额结转留存收益</w:t>
      </w:r>
      <w:r>
        <w:rPr>
          <w:rFonts w:ascii="Arial" w:hAnsi="Arial" w:cs="Arial" w:eastAsia="Arial" w:hint="default"/>
        </w:rPr>
        <w:t>”</w:t>
      </w:r>
      <w:r>
        <w:rPr/>
        <w:t>。</w:t>
      </w:r>
      <w:r>
        <w:rPr>
          <w:w w:val="99"/>
        </w:rPr>
        <w:t> </w:t>
      </w:r>
      <w:r>
        <w:rPr/>
        <w:t>本集团对可比期间的比较数据按照财会</w:t>
      </w:r>
      <w:r>
        <w:rPr>
          <w:rFonts w:ascii="Arial" w:hAnsi="Arial" w:cs="Arial" w:eastAsia="Arial" w:hint="default"/>
        </w:rPr>
        <w:t>[2018]15</w:t>
      </w:r>
      <w:r>
        <w:rPr/>
        <w:t>号文进行调整。</w:t>
      </w:r>
      <w:r>
        <w:rPr>
          <w:w w:val="99"/>
        </w:rPr>
        <w:t> </w:t>
      </w:r>
      <w:r>
        <w:rPr>
          <w:w w:val="95"/>
        </w:rPr>
        <w:t>财务报表格式的修订对本集团的资产总额、负债总额、净利润、其他综合收益等无影响。</w:t>
      </w:r>
      <w:r>
        <w:rPr/>
      </w:r>
    </w:p>
    <w:p>
      <w:pPr>
        <w:pStyle w:val="BodyText"/>
        <w:spacing w:line="297" w:lineRule="auto" w:before="32"/>
        <w:ind w:right="1135" w:firstLine="427"/>
        <w:jc w:val="both"/>
      </w:pPr>
      <w:r>
        <w:rPr>
          <w:spacing w:val="-2"/>
        </w:rPr>
        <w:t>②根据财政部《关于</w:t>
      </w:r>
      <w:r>
        <w:rPr>
          <w:rFonts w:ascii="Arial" w:hAnsi="Arial" w:cs="Arial" w:eastAsia="Arial" w:hint="default"/>
          <w:spacing w:val="-2"/>
        </w:rPr>
        <w:t>2018</w:t>
      </w:r>
      <w:r>
        <w:rPr>
          <w:spacing w:val="-2"/>
        </w:rPr>
        <w:t>年度一般企业财务报表格式有关问题的解读》，本集团作为个人所得税的扣</w:t>
      </w:r>
      <w:r>
        <w:rPr>
          <w:w w:val="99"/>
        </w:rPr>
        <w:t> </w:t>
      </w:r>
      <w:r>
        <w:rPr/>
        <w:t>缴义务人，根据《中华人民共和国个人所得税法》收到的扣缴税款手续费在</w:t>
      </w:r>
      <w:r>
        <w:rPr>
          <w:rFonts w:ascii="Arial" w:hAnsi="Arial" w:cs="Arial" w:eastAsia="Arial" w:hint="default"/>
        </w:rPr>
        <w:t>“</w:t>
      </w:r>
      <w:r>
        <w:rPr/>
        <w:t>其他收益</w:t>
      </w:r>
      <w:r>
        <w:rPr>
          <w:rFonts w:ascii="Arial" w:hAnsi="Arial" w:cs="Arial" w:eastAsia="Arial" w:hint="default"/>
        </w:rPr>
        <w:t>”</w:t>
      </w:r>
      <w:r>
        <w:rPr/>
        <w:t>中填列，对可比期</w:t>
      </w:r>
    </w:p>
    <w:p>
      <w:pPr>
        <w:spacing w:after="0" w:line="297" w:lineRule="auto"/>
        <w:jc w:val="both"/>
        <w:sectPr>
          <w:pgSz w:w="11910" w:h="16840"/>
          <w:pgMar w:header="878" w:footer="978" w:top="1100" w:bottom="1160" w:left="1020" w:right="0"/>
        </w:sectPr>
      </w:pPr>
    </w:p>
    <w:p>
      <w:pPr>
        <w:spacing w:line="240" w:lineRule="auto" w:before="7"/>
        <w:rPr>
          <w:rFonts w:ascii="宋体" w:hAnsi="宋体" w:cs="宋体" w:eastAsia="宋体" w:hint="default"/>
          <w:sz w:val="22"/>
          <w:szCs w:val="22"/>
        </w:rPr>
      </w:pPr>
    </w:p>
    <w:p>
      <w:pPr>
        <w:pStyle w:val="BodyText"/>
        <w:spacing w:line="297" w:lineRule="auto"/>
        <w:ind w:right="996"/>
        <w:jc w:val="left"/>
      </w:pPr>
      <w:r>
        <w:rPr>
          <w:spacing w:val="-3"/>
        </w:rPr>
        <w:t>间的比较数据进行调整，调增</w:t>
      </w:r>
      <w:r>
        <w:rPr>
          <w:rFonts w:ascii="Arial" w:hAnsi="Arial" w:cs="Arial" w:eastAsia="Arial" w:hint="default"/>
          <w:spacing w:val="-3"/>
        </w:rPr>
        <w:t>2017</w:t>
      </w:r>
      <w:r>
        <w:rPr>
          <w:spacing w:val="-3"/>
        </w:rPr>
        <w:t>年度其他收益</w:t>
      </w:r>
      <w:r>
        <w:rPr>
          <w:rFonts w:ascii="Arial" w:hAnsi="Arial" w:cs="Arial" w:eastAsia="Arial" w:hint="default"/>
          <w:spacing w:val="-3"/>
        </w:rPr>
        <w:t>1,270,454.70</w:t>
      </w:r>
      <w:r>
        <w:rPr>
          <w:spacing w:val="-3"/>
        </w:rPr>
        <w:t>元，调增</w:t>
      </w:r>
      <w:r>
        <w:rPr>
          <w:rFonts w:ascii="Arial" w:hAnsi="Arial" w:cs="Arial" w:eastAsia="Arial" w:hint="default"/>
          <w:spacing w:val="-3"/>
        </w:rPr>
        <w:t>2017</w:t>
      </w:r>
      <w:r>
        <w:rPr>
          <w:spacing w:val="-3"/>
        </w:rPr>
        <w:t>年度管理费用</w:t>
      </w:r>
      <w:r>
        <w:rPr>
          <w:rFonts w:ascii="Arial" w:hAnsi="Arial" w:cs="Arial" w:eastAsia="Arial" w:hint="default"/>
          <w:spacing w:val="-3"/>
        </w:rPr>
        <w:t>1,208,794.45</w:t>
      </w:r>
      <w:r>
        <w:rPr>
          <w:spacing w:val="-3"/>
        </w:rPr>
        <w:t>元，</w:t>
      </w:r>
      <w:r>
        <w:rPr>
          <w:spacing w:val="-93"/>
        </w:rPr>
        <w:t> </w:t>
      </w:r>
      <w:r>
        <w:rPr>
          <w:spacing w:val="-93"/>
        </w:rPr>
      </w:r>
      <w:r>
        <w:rPr/>
        <w:t>调减</w:t>
      </w:r>
      <w:r>
        <w:rPr>
          <w:rFonts w:ascii="Arial" w:hAnsi="Arial" w:cs="Arial" w:eastAsia="Arial" w:hint="default"/>
        </w:rPr>
        <w:t>2017</w:t>
      </w:r>
      <w:r>
        <w:rPr/>
        <w:t>年度营业外收入</w:t>
      </w:r>
      <w:r>
        <w:rPr>
          <w:rFonts w:ascii="Arial" w:hAnsi="Arial" w:cs="Arial" w:eastAsia="Arial" w:hint="default"/>
        </w:rPr>
        <w:t>61,660.25</w:t>
      </w:r>
      <w:r>
        <w:rPr/>
        <w:t>元。</w:t>
      </w:r>
    </w:p>
    <w:p>
      <w:pPr>
        <w:pStyle w:val="BodyText"/>
        <w:spacing w:line="314" w:lineRule="auto" w:before="11"/>
        <w:ind w:right="1132" w:firstLine="427"/>
        <w:jc w:val="both"/>
      </w:pPr>
      <w:r>
        <w:rPr>
          <w:w w:val="95"/>
        </w:rPr>
        <w:t>本集团实际收到的政府补助，无论是与资产相关还是与收益相关，在编制现金流量表时均作为经营活</w:t>
      </w:r>
      <w:r>
        <w:rPr>
          <w:w w:val="99"/>
        </w:rPr>
        <w:t> </w:t>
      </w:r>
      <w:r>
        <w:rPr/>
        <w:t>动产生的现金流量列报，对可比期间的比较数据无需调整。</w:t>
      </w:r>
    </w:p>
    <w:p>
      <w:pPr>
        <w:pStyle w:val="BodyText"/>
        <w:spacing w:line="297" w:lineRule="auto" w:before="17"/>
        <w:ind w:right="1135" w:firstLine="427"/>
        <w:jc w:val="both"/>
      </w:pPr>
      <w:r>
        <w:rPr/>
        <w:t>③根据《企业会计准则解释第</w:t>
      </w:r>
      <w:r>
        <w:rPr>
          <w:rFonts w:ascii="Arial" w:hAnsi="Arial" w:cs="Arial" w:eastAsia="Arial" w:hint="default"/>
        </w:rPr>
        <w:t>11</w:t>
      </w:r>
      <w:r>
        <w:rPr/>
        <w:t>号》（财会</w:t>
      </w:r>
      <w:r>
        <w:rPr>
          <w:rFonts w:ascii="Arial" w:hAnsi="Arial" w:cs="Arial" w:eastAsia="Arial" w:hint="default"/>
        </w:rPr>
        <w:t>[2017]18</w:t>
      </w:r>
      <w:r>
        <w:rPr/>
        <w:t>号）规定，按照《企业会计准则第</w:t>
      </w:r>
      <w:r>
        <w:rPr>
          <w:rFonts w:ascii="Arial" w:hAnsi="Arial" w:cs="Arial" w:eastAsia="Arial" w:hint="default"/>
        </w:rPr>
        <w:t>6</w:t>
      </w:r>
      <w:r>
        <w:rPr/>
        <w:t>号</w:t>
      </w:r>
      <w:r>
        <w:rPr>
          <w:rFonts w:ascii="Arial" w:hAnsi="Arial" w:cs="Arial" w:eastAsia="Arial" w:hint="default"/>
        </w:rPr>
        <w:t>——</w:t>
      </w:r>
      <w:r>
        <w:rPr/>
        <w:t>无形</w:t>
      </w:r>
      <w:r>
        <w:rPr>
          <w:w w:val="99"/>
        </w:rPr>
        <w:t> </w:t>
      </w:r>
      <w:r>
        <w:rPr>
          <w:w w:val="95"/>
        </w:rPr>
        <w:t>资产》选择无形资产摊销方法的要求，</w:t>
      </w:r>
      <w:r>
        <w:rPr>
          <w:rFonts w:ascii="Arial" w:hAnsi="Arial" w:cs="Arial" w:eastAsia="Arial" w:hint="default"/>
          <w:w w:val="95"/>
        </w:rPr>
        <w:t>2018</w:t>
      </w:r>
      <w:r>
        <w:rPr>
          <w:w w:val="95"/>
        </w:rPr>
        <w:t>年</w:t>
      </w:r>
      <w:r>
        <w:rPr>
          <w:rFonts w:ascii="Arial" w:hAnsi="Arial" w:cs="Arial" w:eastAsia="Arial" w:hint="default"/>
          <w:w w:val="95"/>
        </w:rPr>
        <w:t>11</w:t>
      </w:r>
      <w:r>
        <w:rPr>
          <w:w w:val="95"/>
        </w:rPr>
        <w:t>月</w:t>
      </w:r>
      <w:r>
        <w:rPr>
          <w:rFonts w:ascii="Arial" w:hAnsi="Arial" w:cs="Arial" w:eastAsia="Arial" w:hint="default"/>
          <w:w w:val="95"/>
        </w:rPr>
        <w:t>5</w:t>
      </w:r>
      <w:r>
        <w:rPr>
          <w:w w:val="95"/>
        </w:rPr>
        <w:t>日，公司召开第六届董事会第三十五次会议审议通过</w:t>
      </w:r>
      <w:r>
        <w:rPr>
          <w:spacing w:val="59"/>
          <w:w w:val="95"/>
        </w:rPr>
        <w:t> </w:t>
      </w:r>
      <w:r>
        <w:rPr>
          <w:spacing w:val="59"/>
          <w:w w:val="95"/>
        </w:rPr>
      </w:r>
      <w:r>
        <w:rPr/>
        <w:t>将无形资产摊销方式变更为直线法摊销。</w:t>
      </w:r>
    </w:p>
    <w:p>
      <w:pPr>
        <w:spacing w:line="240" w:lineRule="auto" w:before="13"/>
        <w:rPr>
          <w:rFonts w:ascii="宋体" w:hAnsi="宋体" w:cs="宋体" w:eastAsia="宋体" w:hint="default"/>
          <w:sz w:val="21"/>
          <w:szCs w:val="21"/>
        </w:rPr>
      </w:pPr>
    </w:p>
    <w:p>
      <w:pPr>
        <w:pStyle w:val="Heading2"/>
        <w:spacing w:line="240" w:lineRule="auto" w:before="0"/>
        <w:ind w:right="996"/>
        <w:jc w:val="left"/>
        <w:rPr>
          <w:b w:val="0"/>
          <w:bCs w:val="0"/>
        </w:rPr>
      </w:pPr>
      <w:bookmarkStart w:name="六、税项" w:id="209"/>
      <w:bookmarkEnd w:id="209"/>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96"/>
        <w:jc w:val="left"/>
        <w:rPr>
          <w:b w:val="0"/>
          <w:bCs w:val="0"/>
        </w:rPr>
      </w:pPr>
      <w:bookmarkStart w:name="1、主要税种及税率" w:id="210"/>
      <w:bookmarkEnd w:id="210"/>
      <w:r>
        <w:rPr>
          <w:b w:val="0"/>
          <w:bCs w:val="0"/>
        </w:rPr>
      </w:r>
      <w:r>
        <w:rPr>
          <w:rFonts w:ascii="Arial" w:hAnsi="Arial" w:cs="Arial" w:eastAsia="Arial" w:hint="default"/>
        </w:rPr>
        <w:t>1</w:t>
      </w:r>
      <w:r>
        <w:rPr/>
        <w:t>、主要税种及税率</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Arial" w:hAnsi="Arial" w:cs="Arial" w:eastAsia="Arial" w:hint="default"/>
                <w:sz w:val="18"/>
                <w:szCs w:val="18"/>
              </w:rPr>
            </w:pPr>
            <w:r>
              <w:rPr>
                <w:rFonts w:ascii="Arial" w:hAnsi="Arial" w:cs="Arial" w:eastAsia="Arial" w:hint="default"/>
                <w:sz w:val="18"/>
                <w:szCs w:val="18"/>
              </w:rPr>
              <w:t>6%</w:t>
            </w:r>
            <w:r>
              <w:rPr>
                <w:rFonts w:ascii="宋体" w:hAnsi="宋体" w:cs="宋体" w:eastAsia="宋体" w:hint="default"/>
                <w:sz w:val="18"/>
                <w:szCs w:val="18"/>
              </w:rPr>
              <w:t>、</w:t>
            </w:r>
            <w:r>
              <w:rPr>
                <w:rFonts w:ascii="Arial" w:hAnsi="Arial" w:cs="Arial" w:eastAsia="Arial" w:hint="default"/>
                <w:sz w:val="18"/>
                <w:szCs w:val="18"/>
              </w:rPr>
              <w:t>10%</w:t>
            </w:r>
            <w:r>
              <w:rPr>
                <w:rFonts w:ascii="宋体" w:hAnsi="宋体" w:cs="宋体" w:eastAsia="宋体" w:hint="default"/>
                <w:sz w:val="18"/>
                <w:szCs w:val="18"/>
              </w:rPr>
              <w:t>、</w:t>
            </w:r>
            <w:r>
              <w:rPr>
                <w:rFonts w:ascii="Arial" w:hAnsi="Arial" w:cs="Arial" w:eastAsia="Arial" w:hint="default"/>
                <w:sz w:val="18"/>
                <w:szCs w:val="18"/>
              </w:rPr>
              <w:t>11%</w:t>
            </w:r>
            <w:r>
              <w:rPr>
                <w:rFonts w:ascii="宋体" w:hAnsi="宋体" w:cs="宋体" w:eastAsia="宋体" w:hint="default"/>
                <w:sz w:val="18"/>
                <w:szCs w:val="18"/>
              </w:rPr>
              <w:t>、</w:t>
            </w:r>
            <w:r>
              <w:rPr>
                <w:rFonts w:ascii="Arial" w:hAnsi="Arial" w:cs="Arial" w:eastAsia="Arial" w:hint="default"/>
                <w:sz w:val="18"/>
                <w:szCs w:val="18"/>
              </w:rPr>
              <w:t>16%</w:t>
            </w:r>
            <w:r>
              <w:rPr>
                <w:rFonts w:ascii="宋体" w:hAnsi="宋体" w:cs="宋体" w:eastAsia="宋体" w:hint="default"/>
                <w:sz w:val="18"/>
                <w:szCs w:val="18"/>
              </w:rPr>
              <w:t>、</w:t>
            </w:r>
            <w:r>
              <w:rPr>
                <w:rFonts w:ascii="Arial" w:hAnsi="Arial" w:cs="Arial" w:eastAsia="Arial" w:hint="default"/>
                <w:sz w:val="18"/>
                <w:szCs w:val="18"/>
              </w:rPr>
              <w:t>17%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Arial" w:hAnsi="Arial" w:cs="Arial" w:eastAsia="Arial" w:hint="default"/>
                <w:sz w:val="18"/>
                <w:szCs w:val="18"/>
              </w:rPr>
            </w:pPr>
            <w:r>
              <w:rPr>
                <w:rFonts w:ascii="Arial" w:hAnsi="Arial" w:cs="Arial" w:eastAsia="Arial" w:hint="default"/>
                <w:sz w:val="18"/>
                <w:szCs w:val="18"/>
              </w:rPr>
              <w:t>1%</w:t>
            </w:r>
            <w:r>
              <w:rPr>
                <w:rFonts w:ascii="宋体" w:hAnsi="宋体" w:cs="宋体" w:eastAsia="宋体" w:hint="default"/>
                <w:sz w:val="18"/>
                <w:szCs w:val="18"/>
              </w:rPr>
              <w:t>、</w:t>
            </w:r>
            <w:r>
              <w:rPr>
                <w:rFonts w:ascii="Arial" w:hAnsi="Arial" w:cs="Arial" w:eastAsia="Arial" w:hint="default"/>
                <w:sz w:val="18"/>
                <w:szCs w:val="18"/>
              </w:rPr>
              <w:t>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Arial" w:hAnsi="Arial" w:cs="Arial" w:eastAsia="Arial" w:hint="default"/>
                <w:sz w:val="18"/>
                <w:szCs w:val="18"/>
              </w:rPr>
            </w:pPr>
            <w:r>
              <w:rPr>
                <w:rFonts w:ascii="Arial"/>
                <w:sz w:val="18"/>
              </w:rPr>
              <w:t>25%</w:t>
            </w:r>
          </w:p>
        </w:tc>
      </w:tr>
    </w:tbl>
    <w:p>
      <w:pPr>
        <w:spacing w:line="240" w:lineRule="auto" w:before="7"/>
        <w:rPr>
          <w:rFonts w:ascii="宋体" w:hAnsi="宋体" w:cs="宋体" w:eastAsia="宋体" w:hint="default"/>
          <w:b/>
          <w:bCs/>
          <w:sz w:val="6"/>
          <w:szCs w:val="6"/>
        </w:rPr>
      </w:pPr>
    </w:p>
    <w:p>
      <w:pPr>
        <w:spacing w:before="44"/>
        <w:ind w:left="112" w:right="996"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3"/>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北京亿信华辰软件有限责任公司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Arial" w:hAnsi="Arial" w:cs="Arial" w:eastAsia="Arial" w:hint="default"/>
                <w:sz w:val="18"/>
                <w:szCs w:val="18"/>
              </w:rPr>
            </w:pPr>
            <w:r>
              <w:rPr>
                <w:rFonts w:ascii="Arial"/>
                <w:sz w:val="18"/>
              </w:rPr>
              <w:t>10%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北京华宇信息技术有限公司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Arial" w:hAnsi="Arial" w:cs="Arial" w:eastAsia="Arial" w:hint="default"/>
                <w:sz w:val="18"/>
                <w:szCs w:val="18"/>
              </w:rPr>
            </w:pPr>
            <w:r>
              <w:rPr>
                <w:rFonts w:ascii="Arial"/>
                <w:sz w:val="18"/>
              </w:rPr>
              <w:t>10%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上海浦东华宇信息技术有限公司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Arial" w:hAnsi="Arial" w:cs="Arial" w:eastAsia="Arial" w:hint="default"/>
                <w:sz w:val="18"/>
                <w:szCs w:val="18"/>
              </w:rPr>
            </w:pPr>
            <w:r>
              <w:rPr>
                <w:rFonts w:ascii="Arial"/>
                <w:sz w:val="18"/>
              </w:rPr>
              <w:t>10%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联奕科技有限公司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Arial" w:hAnsi="Arial" w:cs="Arial" w:eastAsia="Arial" w:hint="default"/>
                <w:sz w:val="18"/>
                <w:szCs w:val="18"/>
              </w:rPr>
            </w:pPr>
            <w:r>
              <w:rPr>
                <w:rFonts w:ascii="Arial"/>
                <w:sz w:val="18"/>
              </w:rPr>
              <w:t>10%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华宇（大连）信息服务有限公司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Arial" w:hAnsi="Arial" w:cs="Arial" w:eastAsia="Arial" w:hint="default"/>
                <w:sz w:val="18"/>
                <w:szCs w:val="18"/>
              </w:rPr>
            </w:pPr>
            <w:r>
              <w:rPr>
                <w:rFonts w:ascii="Arial"/>
                <w:sz w:val="18"/>
              </w:rPr>
              <w:t>12.5%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北京华宇软件股份有限公司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Arial" w:hAnsi="Arial" w:cs="Arial" w:eastAsia="Arial" w:hint="default"/>
                <w:sz w:val="18"/>
                <w:szCs w:val="18"/>
              </w:rPr>
            </w:pPr>
            <w:r>
              <w:rPr>
                <w:rFonts w:ascii="Arial"/>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广州华宇信息技术有限公司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Arial" w:hAnsi="Arial" w:cs="Arial" w:eastAsia="Arial" w:hint="default"/>
                <w:sz w:val="18"/>
                <w:szCs w:val="18"/>
              </w:rPr>
            </w:pPr>
            <w:r>
              <w:rPr>
                <w:rFonts w:ascii="Arial"/>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广州数字方舟信息技术股份有限公司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Arial" w:hAnsi="Arial" w:cs="Arial" w:eastAsia="Arial" w:hint="default"/>
                <w:sz w:val="18"/>
                <w:szCs w:val="18"/>
              </w:rPr>
            </w:pPr>
            <w:r>
              <w:rPr>
                <w:rFonts w:ascii="Arial"/>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华宇金信（北京）软件有限公司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Arial" w:hAnsi="Arial" w:cs="Arial" w:eastAsia="Arial" w:hint="default"/>
                <w:sz w:val="18"/>
                <w:szCs w:val="18"/>
              </w:rPr>
            </w:pPr>
            <w:r>
              <w:rPr>
                <w:rFonts w:ascii="Arial"/>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华宇金信（深圳）信息技术有限公司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Arial" w:hAnsi="Arial" w:cs="Arial" w:eastAsia="Arial" w:hint="default"/>
                <w:sz w:val="18"/>
                <w:szCs w:val="18"/>
              </w:rPr>
            </w:pPr>
            <w:r>
              <w:rPr>
                <w:rFonts w:ascii="Arial"/>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北京万户网络技术有限公司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Arial" w:hAnsi="Arial" w:cs="Arial" w:eastAsia="Arial" w:hint="default"/>
                <w:sz w:val="18"/>
                <w:szCs w:val="18"/>
              </w:rPr>
            </w:pPr>
            <w:r>
              <w:rPr>
                <w:rFonts w:ascii="Arial"/>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合肥万户网络技术有限公司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Arial" w:hAnsi="Arial" w:cs="Arial" w:eastAsia="Arial" w:hint="default"/>
                <w:sz w:val="18"/>
                <w:szCs w:val="18"/>
              </w:rPr>
            </w:pPr>
            <w:r>
              <w:rPr>
                <w:rFonts w:ascii="Arial"/>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上海万户网络技术有限公司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Arial" w:hAnsi="Arial" w:cs="Arial" w:eastAsia="Arial" w:hint="default"/>
                <w:sz w:val="18"/>
                <w:szCs w:val="18"/>
              </w:rPr>
            </w:pPr>
            <w:r>
              <w:rPr>
                <w:rFonts w:ascii="Arial"/>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北京华宇元典信息服务有限公司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Arial" w:hAnsi="Arial" w:cs="Arial" w:eastAsia="Arial" w:hint="default"/>
                <w:sz w:val="18"/>
                <w:szCs w:val="18"/>
              </w:rPr>
            </w:pPr>
            <w:r>
              <w:rPr>
                <w:rFonts w:ascii="Arial"/>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北京华宇信码技术有限公司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Arial" w:hAnsi="Arial" w:cs="Arial" w:eastAsia="Arial" w:hint="default"/>
                <w:sz w:val="18"/>
                <w:szCs w:val="18"/>
              </w:rPr>
            </w:pPr>
            <w:r>
              <w:rPr>
                <w:rFonts w:ascii="Arial"/>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溯源云（北京）科技服务有限公司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Arial" w:hAnsi="Arial" w:cs="Arial" w:eastAsia="Arial" w:hint="default"/>
                <w:sz w:val="18"/>
                <w:szCs w:val="18"/>
              </w:rPr>
            </w:pPr>
            <w:r>
              <w:rPr>
                <w:rFonts w:ascii="Arial"/>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广州优奕科信息科技有限公司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Arial" w:hAnsi="Arial" w:cs="Arial" w:eastAsia="Arial" w:hint="default"/>
                <w:sz w:val="18"/>
                <w:szCs w:val="18"/>
              </w:rPr>
            </w:pPr>
            <w:r>
              <w:rPr>
                <w:rFonts w:ascii="Arial"/>
                <w:sz w:val="18"/>
              </w:rPr>
              <w:t>25%</w:t>
            </w:r>
          </w:p>
        </w:tc>
      </w:tr>
      <w:tr>
        <w:trPr>
          <w:trHeight w:val="400"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中科智慧水运科技创新（广州）有限公司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Arial" w:hAnsi="Arial" w:cs="Arial" w:eastAsia="Arial" w:hint="default"/>
                <w:sz w:val="18"/>
                <w:szCs w:val="18"/>
              </w:rPr>
            </w:pPr>
            <w:r>
              <w:rPr>
                <w:rFonts w:ascii="Arial"/>
                <w:sz w:val="18"/>
              </w:rPr>
              <w:t>25%</w:t>
            </w:r>
          </w:p>
        </w:tc>
      </w:tr>
    </w:tbl>
    <w:p>
      <w:pPr>
        <w:spacing w:after="0" w:line="240" w:lineRule="auto"/>
        <w:jc w:val="left"/>
        <w:rPr>
          <w:rFonts w:ascii="Arial" w:hAnsi="Arial" w:cs="Arial" w:eastAsia="Arial" w:hint="default"/>
          <w:sz w:val="18"/>
          <w:szCs w:val="18"/>
        </w:rPr>
        <w:sectPr>
          <w:pgSz w:w="11910" w:h="16840"/>
          <w:pgMar w:header="878" w:footer="978" w:top="1100" w:bottom="1160" w:left="1020" w:right="0"/>
        </w:sectPr>
      </w:pPr>
    </w:p>
    <w:p>
      <w:pPr>
        <w:spacing w:line="240" w:lineRule="auto" w:before="3"/>
        <w:rPr>
          <w:rFonts w:ascii="宋体" w:hAnsi="宋体" w:cs="宋体" w:eastAsia="宋体" w:hint="default"/>
          <w:sz w:val="24"/>
          <w:szCs w:val="24"/>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2;top:5;width:2;height:402" coordorigin="4792,5" coordsize="2,402">
              <v:shape style="position:absolute;left:4792;top:5;width:2;height:402" coordorigin="4792,5" coordsize="0,402" path="m4792,5l4792,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2;height:402" type="#_x0000_t202" filled="false" stroked="false">
                <v:textbox inset="0,0,0,0">
                  <w:txbxContent>
                    <w:p>
                      <w:pPr>
                        <w:spacing w:before="54"/>
                        <w:ind w:left="27" w:right="0" w:firstLine="0"/>
                        <w:jc w:val="left"/>
                        <w:rPr>
                          <w:rFonts w:ascii="宋体" w:hAnsi="宋体" w:cs="宋体" w:eastAsia="宋体" w:hint="default"/>
                          <w:sz w:val="18"/>
                          <w:szCs w:val="18"/>
                        </w:rPr>
                      </w:pPr>
                      <w:r>
                        <w:rPr>
                          <w:rFonts w:ascii="宋体" w:hAnsi="宋体" w:cs="宋体" w:eastAsia="宋体" w:hint="default"/>
                          <w:sz w:val="18"/>
                          <w:szCs w:val="18"/>
                        </w:rPr>
                        <w:t>北京华宇九品科技有限公司</w:t>
                      </w:r>
                    </w:p>
                  </w:txbxContent>
                </v:textbox>
                <w10:wrap type="none"/>
              </v:shape>
              <v:shape style="position:absolute;left:4820;top:131;width:362;height:180" type="#_x0000_t202" filled="false" stroked="false">
                <v:textbox inset="0,0,0,0">
                  <w:txbxContent>
                    <w:p>
                      <w:pPr>
                        <w:spacing w:line="180" w:lineRule="exact" w:before="0"/>
                        <w:ind w:left="0" w:right="0" w:firstLine="0"/>
                        <w:jc w:val="left"/>
                        <w:rPr>
                          <w:rFonts w:ascii="Arial" w:hAnsi="Arial" w:cs="Arial" w:eastAsia="Arial" w:hint="default"/>
                          <w:sz w:val="18"/>
                          <w:szCs w:val="18"/>
                        </w:rPr>
                      </w:pPr>
                      <w:r>
                        <w:rPr>
                          <w:rFonts w:ascii="Arial"/>
                          <w:sz w:val="18"/>
                        </w:rPr>
                        <w:t>25%</w:t>
                      </w:r>
                    </w:p>
                  </w:txbxContent>
                </v:textbox>
                <w10:wrap type="none"/>
              </v:shape>
            </v:group>
          </v:group>
        </w:pict>
      </w:r>
      <w:r>
        <w:rPr>
          <w:rFonts w:ascii="宋体" w:hAnsi="宋体" w:cs="宋体" w:eastAsia="宋体" w:hint="default"/>
          <w:position w:val="-7"/>
          <w:sz w:val="20"/>
          <w:szCs w:val="20"/>
        </w:rPr>
      </w:r>
    </w:p>
    <w:p>
      <w:pPr>
        <w:spacing w:line="240" w:lineRule="auto" w:before="5"/>
        <w:rPr>
          <w:rFonts w:ascii="宋体" w:hAnsi="宋体" w:cs="宋体" w:eastAsia="宋体" w:hint="default"/>
          <w:sz w:val="19"/>
          <w:szCs w:val="19"/>
        </w:rPr>
      </w:pPr>
    </w:p>
    <w:p>
      <w:pPr>
        <w:pStyle w:val="Heading4"/>
        <w:spacing w:line="240" w:lineRule="auto" w:before="34"/>
        <w:ind w:right="0"/>
        <w:jc w:val="both"/>
        <w:rPr>
          <w:b w:val="0"/>
          <w:bCs w:val="0"/>
        </w:rPr>
      </w:pPr>
      <w:bookmarkStart w:name="2、税收优惠" w:id="211"/>
      <w:bookmarkEnd w:id="211"/>
      <w:r>
        <w:rPr>
          <w:b w:val="0"/>
          <w:bCs w:val="0"/>
        </w:rPr>
      </w:r>
      <w:r>
        <w:rPr>
          <w:rFonts w:ascii="Arial" w:hAnsi="Arial" w:cs="Arial" w:eastAsia="Arial" w:hint="default"/>
        </w:rPr>
        <w:t>2</w:t>
      </w:r>
      <w:r>
        <w:rPr/>
        <w:t>、税收优惠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Arial" w:hAnsi="Arial" w:cs="Arial" w:eastAsia="Arial" w:hint="default"/>
        </w:rPr>
        <w:t>1</w:t>
      </w:r>
      <w:r>
        <w:rPr/>
        <w:t>）增值税</w:t>
      </w:r>
      <w:r>
        <w:rPr>
          <w:b w:val="0"/>
          <w:bCs w:val="0"/>
        </w:rPr>
      </w:r>
    </w:p>
    <w:p>
      <w:pPr>
        <w:spacing w:line="240" w:lineRule="auto" w:before="8"/>
        <w:rPr>
          <w:rFonts w:ascii="宋体" w:hAnsi="宋体" w:cs="宋体" w:eastAsia="宋体" w:hint="default"/>
          <w:b/>
          <w:bCs/>
          <w:sz w:val="24"/>
          <w:szCs w:val="24"/>
        </w:rPr>
      </w:pPr>
    </w:p>
    <w:p>
      <w:pPr>
        <w:pStyle w:val="BodyText"/>
        <w:spacing w:line="240" w:lineRule="auto" w:before="0"/>
        <w:ind w:left="540" w:right="996"/>
        <w:jc w:val="left"/>
      </w:pPr>
      <w:r>
        <w:rPr/>
        <w:t>①依据国务院下发的《国务院关于印发进一步鼓励软件产业和集成电路产业发展的若干政策的通知》</w:t>
      </w:r>
    </w:p>
    <w:p>
      <w:pPr>
        <w:pStyle w:val="BodyText"/>
        <w:spacing w:line="268" w:lineRule="auto" w:before="37"/>
        <w:ind w:right="1112"/>
        <w:jc w:val="both"/>
      </w:pPr>
      <w:r>
        <w:rPr/>
        <w:t>（国发</w:t>
      </w:r>
      <w:r>
        <w:rPr>
          <w:rFonts w:ascii="Arial" w:hAnsi="Arial" w:cs="Arial" w:eastAsia="Arial" w:hint="default"/>
        </w:rPr>
        <w:t>[2011]4</w:t>
      </w:r>
      <w:r>
        <w:rPr/>
        <w:t>号）第（一）条及第（三十三）条的规定。</w:t>
      </w:r>
      <w:r>
        <w:rPr>
          <w:rFonts w:ascii="Arial" w:hAnsi="Arial" w:cs="Arial" w:eastAsia="Arial" w:hint="default"/>
        </w:rPr>
        <w:t>2011</w:t>
      </w:r>
      <w:r>
        <w:rPr/>
        <w:t>年</w:t>
      </w:r>
      <w:r>
        <w:rPr>
          <w:rFonts w:ascii="Arial" w:hAnsi="Arial" w:cs="Arial" w:eastAsia="Arial" w:hint="default"/>
        </w:rPr>
        <w:t>1</w:t>
      </w:r>
      <w:r>
        <w:rPr/>
        <w:t>月</w:t>
      </w:r>
      <w:r>
        <w:rPr>
          <w:rFonts w:ascii="Arial" w:hAnsi="Arial" w:cs="Arial" w:eastAsia="Arial" w:hint="default"/>
        </w:rPr>
        <w:t>1</w:t>
      </w:r>
      <w:r>
        <w:rPr/>
        <w:t>日起公司及公司所属子公司北京亿</w:t>
      </w:r>
      <w:r>
        <w:rPr>
          <w:w w:val="99"/>
        </w:rPr>
        <w:t> </w:t>
      </w:r>
      <w:r>
        <w:rPr>
          <w:w w:val="95"/>
        </w:rPr>
        <w:t>信华辰软件有限责任公司、北京华宇信息技术有限公司、华宇（大连）信息服务有限公司、华宇金信（北</w:t>
      </w:r>
      <w:r>
        <w:rPr>
          <w:spacing w:val="40"/>
          <w:w w:val="95"/>
        </w:rPr>
        <w:t> </w:t>
      </w:r>
      <w:r>
        <w:rPr>
          <w:spacing w:val="40"/>
          <w:w w:val="95"/>
        </w:rPr>
      </w:r>
      <w:r>
        <w:rPr>
          <w:w w:val="95"/>
        </w:rPr>
        <w:t>京）软件有限公司、北京万户网络技术有限公司、上海浦东华宇信息技术有限公司、联奕科技有限公司、</w:t>
      </w:r>
      <w:r>
        <w:rPr>
          <w:spacing w:val="61"/>
          <w:w w:val="95"/>
        </w:rPr>
        <w:t> </w:t>
      </w:r>
      <w:r>
        <w:rPr>
          <w:spacing w:val="61"/>
          <w:w w:val="95"/>
        </w:rPr>
      </w:r>
      <w:r>
        <w:rPr>
          <w:w w:val="95"/>
        </w:rPr>
        <w:t>北京华宇元典信息服务有限公司，公司孙公司广州数字方舟信息技术股份有限公司、合肥万户网络技术有</w:t>
      </w:r>
      <w:r>
        <w:rPr>
          <w:spacing w:val="40"/>
          <w:w w:val="95"/>
        </w:rPr>
        <w:t> </w:t>
      </w:r>
      <w:r>
        <w:rPr>
          <w:spacing w:val="40"/>
          <w:w w:val="95"/>
        </w:rPr>
      </w:r>
      <w:r>
        <w:rPr>
          <w:w w:val="95"/>
        </w:rPr>
        <w:t>限公司、上海万户网络技术有限公司销售其自行开发生产的软件产品，按法定税率征收增值税后，享受增</w:t>
      </w:r>
      <w:r>
        <w:rPr>
          <w:spacing w:val="40"/>
          <w:w w:val="95"/>
        </w:rPr>
        <w:t> </w:t>
      </w:r>
      <w:r>
        <w:rPr>
          <w:spacing w:val="40"/>
          <w:w w:val="95"/>
        </w:rPr>
      </w:r>
      <w:r>
        <w:rPr/>
        <w:t>值税实际税负超过</w:t>
      </w:r>
      <w:r>
        <w:rPr>
          <w:rFonts w:ascii="Arial" w:hAnsi="Arial" w:cs="Arial" w:eastAsia="Arial" w:hint="default"/>
        </w:rPr>
        <w:t>3%</w:t>
      </w:r>
      <w:r>
        <w:rPr/>
        <w:t>的部分实行即征即退的优惠政策。</w:t>
      </w:r>
    </w:p>
    <w:p>
      <w:pPr>
        <w:pStyle w:val="BodyText"/>
        <w:spacing w:line="268" w:lineRule="auto" w:before="114"/>
        <w:ind w:right="996" w:firstLine="427"/>
        <w:jc w:val="left"/>
      </w:pPr>
      <w:r>
        <w:rPr>
          <w:spacing w:val="-5"/>
        </w:rPr>
        <w:t>②根据《财政部、国家税务总局关于软件产品增值税政策的通知》（财税</w:t>
      </w:r>
      <w:r>
        <w:rPr>
          <w:rFonts w:ascii="Arial" w:hAnsi="Arial" w:cs="Arial" w:eastAsia="Arial" w:hint="default"/>
          <w:spacing w:val="-5"/>
        </w:rPr>
        <w:t>[2011]100</w:t>
      </w:r>
      <w:r>
        <w:rPr>
          <w:spacing w:val="-5"/>
        </w:rPr>
        <w:t>号）第一款第（三）</w:t>
      </w:r>
      <w:r>
        <w:rPr>
          <w:w w:val="99"/>
        </w:rPr>
        <w:t> </w:t>
      </w:r>
      <w:r>
        <w:rPr/>
        <w:t>条的规定，公司及所属子公司北京亿信华辰软件有限责任公司、广州华宇信息技术有限公司、北京华宇信</w:t>
      </w:r>
      <w:r>
        <w:rPr>
          <w:w w:val="99"/>
        </w:rPr>
        <w:t> </w:t>
      </w:r>
      <w:r>
        <w:rPr/>
        <w:t>息技术有限公司、华宇金信（北京）软件有限公司、上海浦东华宇信息技术有限公司、北京万户网络技术</w:t>
      </w:r>
      <w:r>
        <w:rPr>
          <w:w w:val="99"/>
        </w:rPr>
        <w:t> </w:t>
      </w:r>
      <w:r>
        <w:rPr/>
        <w:t>有限公司以及公司孙公司合肥万户网络技术有限公司的受托开发软件产品，著作权属于公司或属于与委托</w:t>
      </w:r>
      <w:r>
        <w:rPr>
          <w:w w:val="99"/>
        </w:rPr>
        <w:t> </w:t>
      </w:r>
      <w:r>
        <w:rPr/>
        <w:t>方共有的享受不征收增值税的优惠政策。</w:t>
      </w:r>
    </w:p>
    <w:p>
      <w:pPr>
        <w:spacing w:line="240" w:lineRule="auto" w:before="11"/>
        <w:rPr>
          <w:rFonts w:ascii="宋体" w:hAnsi="宋体" w:cs="宋体" w:eastAsia="宋体" w:hint="default"/>
          <w:sz w:val="23"/>
          <w:szCs w:val="23"/>
        </w:rPr>
      </w:pPr>
    </w:p>
    <w:p>
      <w:pPr>
        <w:pStyle w:val="Heading4"/>
        <w:spacing w:line="240" w:lineRule="auto"/>
        <w:ind w:right="0"/>
        <w:jc w:val="both"/>
        <w:rPr>
          <w:b w:val="0"/>
          <w:bCs w:val="0"/>
        </w:rPr>
      </w:pPr>
      <w:r>
        <w:rPr/>
        <w:t>（</w:t>
      </w:r>
      <w:r>
        <w:rPr>
          <w:rFonts w:ascii="Arial" w:hAnsi="Arial" w:cs="Arial" w:eastAsia="Arial" w:hint="default"/>
        </w:rPr>
        <w:t>2</w:t>
      </w:r>
      <w:r>
        <w:rPr/>
        <w:t>）企业所得税</w:t>
      </w:r>
      <w:r>
        <w:rPr>
          <w:b w:val="0"/>
          <w:bCs w:val="0"/>
        </w:rPr>
      </w:r>
    </w:p>
    <w:p>
      <w:pPr>
        <w:spacing w:line="240" w:lineRule="auto" w:before="8"/>
        <w:rPr>
          <w:rFonts w:ascii="宋体" w:hAnsi="宋体" w:cs="宋体" w:eastAsia="宋体" w:hint="default"/>
          <w:b/>
          <w:bCs/>
          <w:sz w:val="24"/>
          <w:szCs w:val="24"/>
        </w:rPr>
      </w:pPr>
    </w:p>
    <w:p>
      <w:pPr>
        <w:pStyle w:val="BodyText"/>
        <w:spacing w:line="259" w:lineRule="auto" w:before="0"/>
        <w:ind w:right="1135" w:firstLine="427"/>
        <w:jc w:val="both"/>
      </w:pPr>
      <w:r>
        <w:rPr/>
        <w:t>①公司</w:t>
      </w:r>
      <w:r>
        <w:rPr>
          <w:rFonts w:ascii="Arial" w:hAnsi="Arial" w:cs="Arial" w:eastAsia="Arial" w:hint="default"/>
        </w:rPr>
        <w:t>2017</w:t>
      </w:r>
      <w:r>
        <w:rPr/>
        <w:t>年再次被认定为高新技术企业，根据自</w:t>
      </w:r>
      <w:r>
        <w:rPr>
          <w:rFonts w:ascii="Arial" w:hAnsi="Arial" w:cs="Arial" w:eastAsia="Arial" w:hint="default"/>
        </w:rPr>
        <w:t>2008</w:t>
      </w:r>
      <w:r>
        <w:rPr/>
        <w:t>年</w:t>
      </w:r>
      <w:r>
        <w:rPr>
          <w:rFonts w:ascii="Arial" w:hAnsi="Arial" w:cs="Arial" w:eastAsia="Arial" w:hint="default"/>
        </w:rPr>
        <w:t>1</w:t>
      </w:r>
      <w:r>
        <w:rPr/>
        <w:t>月</w:t>
      </w:r>
      <w:r>
        <w:rPr>
          <w:rFonts w:ascii="Arial" w:hAnsi="Arial" w:cs="Arial" w:eastAsia="Arial" w:hint="default"/>
        </w:rPr>
        <w:t>1</w:t>
      </w:r>
      <w:r>
        <w:rPr/>
        <w:t>日起施行的《中华人民共和国企业所</w:t>
      </w:r>
      <w:r>
        <w:rPr>
          <w:w w:val="99"/>
        </w:rPr>
        <w:t> </w:t>
      </w:r>
      <w:r>
        <w:rPr>
          <w:spacing w:val="-1"/>
          <w:w w:val="95"/>
        </w:rPr>
        <w:t>得税法实施条例》及其实施细则规定，国家需要重点扶持的高新技术企业，减按</w:t>
      </w:r>
      <w:r>
        <w:rPr>
          <w:rFonts w:ascii="Arial" w:hAnsi="Arial" w:cs="Arial" w:eastAsia="Arial" w:hint="default"/>
          <w:spacing w:val="-1"/>
          <w:w w:val="95"/>
        </w:rPr>
        <w:t>15</w:t>
      </w:r>
      <w:r>
        <w:rPr>
          <w:spacing w:val="-1"/>
          <w:w w:val="95"/>
        </w:rPr>
        <w:t>％的税率征收企业所得</w:t>
      </w:r>
      <w:r>
        <w:rPr>
          <w:w w:val="95"/>
        </w:rPr>
        <w:t>   </w:t>
      </w:r>
      <w:r>
        <w:rPr>
          <w:spacing w:val="62"/>
          <w:w w:val="95"/>
        </w:rPr>
        <w:t> </w:t>
      </w:r>
      <w:r>
        <w:rPr>
          <w:spacing w:val="62"/>
          <w:w w:val="95"/>
        </w:rPr>
      </w:r>
      <w:r>
        <w:rPr/>
        <w:t>税。</w:t>
      </w:r>
    </w:p>
    <w:p>
      <w:pPr>
        <w:pStyle w:val="BodyText"/>
        <w:spacing w:line="264" w:lineRule="auto" w:before="140"/>
        <w:ind w:right="1132" w:firstLine="427"/>
        <w:jc w:val="both"/>
      </w:pPr>
      <w:r>
        <w:rPr>
          <w:w w:val="95"/>
        </w:rPr>
        <w:t>②公司所属子公司北京华宇信息技术有限公司、北京亿信华辰软件有限责任公司、上海浦东华宇信息</w:t>
      </w:r>
      <w:r>
        <w:rPr>
          <w:w w:val="99"/>
        </w:rPr>
        <w:t> </w:t>
      </w:r>
      <w:r>
        <w:rPr>
          <w:spacing w:val="-2"/>
        </w:rPr>
        <w:t>技术有限公司、联奕科技有限公司，四家公司根据财税〔</w:t>
      </w:r>
      <w:r>
        <w:rPr>
          <w:rFonts w:ascii="Arial" w:hAnsi="Arial" w:cs="Arial" w:eastAsia="Arial" w:hint="default"/>
          <w:spacing w:val="-2"/>
        </w:rPr>
        <w:t>2016</w:t>
      </w:r>
      <w:r>
        <w:rPr>
          <w:spacing w:val="-2"/>
        </w:rPr>
        <w:t>〕</w:t>
      </w:r>
      <w:r>
        <w:rPr>
          <w:rFonts w:ascii="Arial" w:hAnsi="Arial" w:cs="Arial" w:eastAsia="Arial" w:hint="default"/>
          <w:spacing w:val="-2"/>
        </w:rPr>
        <w:t>49</w:t>
      </w:r>
      <w:r>
        <w:rPr>
          <w:spacing w:val="-2"/>
        </w:rPr>
        <w:t>号《关于软件和集成电路产业企业所得</w:t>
      </w:r>
      <w:r>
        <w:rPr>
          <w:w w:val="99"/>
        </w:rPr>
        <w:t> </w:t>
      </w:r>
      <w:r>
        <w:rPr>
          <w:w w:val="95"/>
        </w:rPr>
        <w:t>税优惠政策有关问题的通知》，可享受国家规划布局内重点软件企业减按</w:t>
      </w:r>
      <w:r>
        <w:rPr>
          <w:rFonts w:ascii="Arial" w:hAnsi="Arial" w:cs="Arial" w:eastAsia="Arial" w:hint="default"/>
          <w:w w:val="95"/>
        </w:rPr>
        <w:t>10%</w:t>
      </w:r>
      <w:r>
        <w:rPr>
          <w:w w:val="95"/>
        </w:rPr>
        <w:t>税率征收企业所得税的优惠</w:t>
      </w:r>
      <w:r>
        <w:rPr>
          <w:spacing w:val="37"/>
          <w:w w:val="95"/>
        </w:rPr>
        <w:t> </w:t>
      </w:r>
      <w:r>
        <w:rPr>
          <w:spacing w:val="37"/>
          <w:w w:val="95"/>
        </w:rPr>
      </w:r>
      <w:r>
        <w:rPr/>
        <w:t>税收政策。</w:t>
      </w:r>
    </w:p>
    <w:p>
      <w:pPr>
        <w:pStyle w:val="BodyText"/>
        <w:spacing w:line="259" w:lineRule="auto" w:before="136"/>
        <w:ind w:right="1136" w:firstLine="427"/>
        <w:jc w:val="both"/>
      </w:pPr>
      <w:r>
        <w:rPr>
          <w:spacing w:val="-2"/>
        </w:rPr>
        <w:t>③华宇（大连）信息服务有限公司</w:t>
      </w:r>
      <w:r>
        <w:rPr>
          <w:rFonts w:ascii="Arial" w:hAnsi="Arial" w:cs="Arial" w:eastAsia="Arial" w:hint="default"/>
          <w:spacing w:val="-2"/>
        </w:rPr>
        <w:t>2016</w:t>
      </w:r>
      <w:r>
        <w:rPr>
          <w:spacing w:val="-2"/>
        </w:rPr>
        <w:t>年度被认定为符合条件的软件企业，根据《财政部、国家税务</w:t>
      </w:r>
      <w:r>
        <w:rPr>
          <w:w w:val="99"/>
        </w:rPr>
        <w:t> </w:t>
      </w:r>
      <w:r>
        <w:rPr>
          <w:spacing w:val="-4"/>
          <w:w w:val="99"/>
        </w:rPr>
        <w:t>总局关于进一步鼓励软件产业和集成电路产业发展企业所得税政策的通知》（财税</w:t>
      </w:r>
      <w:r>
        <w:rPr>
          <w:rFonts w:ascii="Arial" w:hAnsi="Arial" w:cs="Arial" w:eastAsia="Arial" w:hint="default"/>
          <w:spacing w:val="-4"/>
          <w:w w:val="99"/>
        </w:rPr>
        <w:t>[2012]27</w:t>
      </w:r>
      <w:r>
        <w:rPr>
          <w:spacing w:val="-4"/>
          <w:w w:val="99"/>
        </w:rPr>
        <w:t>号），华宇（大</w:t>
      </w:r>
      <w:r>
        <w:rPr>
          <w:spacing w:val="-87"/>
          <w:w w:val="99"/>
        </w:rPr>
        <w:t> </w:t>
      </w:r>
      <w:r>
        <w:rPr>
          <w:spacing w:val="-87"/>
          <w:w w:val="99"/>
        </w:rPr>
      </w:r>
      <w:r>
        <w:rPr>
          <w:spacing w:val="-1"/>
        </w:rPr>
        <w:t>连）信息服务有限公司</w:t>
      </w:r>
      <w:r>
        <w:rPr>
          <w:rFonts w:ascii="Arial" w:hAnsi="Arial" w:cs="Arial" w:eastAsia="Arial" w:hint="default"/>
          <w:spacing w:val="-1"/>
        </w:rPr>
        <w:t>2016</w:t>
      </w:r>
      <w:r>
        <w:rPr>
          <w:spacing w:val="-1"/>
        </w:rPr>
        <w:t>年度、</w:t>
      </w:r>
      <w:r>
        <w:rPr>
          <w:rFonts w:ascii="Arial" w:hAnsi="Arial" w:cs="Arial" w:eastAsia="Arial" w:hint="default"/>
          <w:spacing w:val="-1"/>
        </w:rPr>
        <w:t>2017</w:t>
      </w:r>
      <w:r>
        <w:rPr>
          <w:spacing w:val="-1"/>
        </w:rPr>
        <w:t>年度免征企业所得税，</w:t>
      </w:r>
      <w:r>
        <w:rPr>
          <w:rFonts w:ascii="Arial" w:hAnsi="Arial" w:cs="Arial" w:eastAsia="Arial" w:hint="default"/>
          <w:spacing w:val="-1"/>
        </w:rPr>
        <w:t>2018</w:t>
      </w:r>
      <w:r>
        <w:rPr>
          <w:spacing w:val="-1"/>
        </w:rPr>
        <w:t>年度、</w:t>
      </w:r>
      <w:r>
        <w:rPr>
          <w:rFonts w:ascii="Arial" w:hAnsi="Arial" w:cs="Arial" w:eastAsia="Arial" w:hint="default"/>
          <w:spacing w:val="-1"/>
        </w:rPr>
        <w:t>2019</w:t>
      </w:r>
      <w:r>
        <w:rPr>
          <w:spacing w:val="-1"/>
        </w:rPr>
        <w:t>年度、</w:t>
      </w:r>
      <w:r>
        <w:rPr>
          <w:rFonts w:ascii="Arial" w:hAnsi="Arial" w:cs="Arial" w:eastAsia="Arial" w:hint="default"/>
          <w:spacing w:val="-1"/>
        </w:rPr>
        <w:t>2020</w:t>
      </w:r>
      <w:r>
        <w:rPr>
          <w:spacing w:val="-1"/>
        </w:rPr>
        <w:t>年度减半征收</w:t>
      </w:r>
      <w:r>
        <w:rPr>
          <w:w w:val="99"/>
        </w:rPr>
        <w:t> </w:t>
      </w:r>
      <w:r>
        <w:rPr/>
        <w:t>企业所得税。</w:t>
      </w:r>
    </w:p>
    <w:p>
      <w:pPr>
        <w:pStyle w:val="BodyText"/>
        <w:spacing w:line="261" w:lineRule="auto" w:before="140"/>
        <w:ind w:right="996" w:firstLine="427"/>
        <w:jc w:val="left"/>
      </w:pPr>
      <w:r>
        <w:rPr>
          <w:w w:val="95"/>
        </w:rPr>
        <w:t>④公司所属子公司广州华宇信息技术有限公司，所属孙公司广州数字方舟信息技术股份有限公司、合</w:t>
      </w:r>
      <w:r>
        <w:rPr>
          <w:w w:val="99"/>
        </w:rPr>
        <w:t> </w:t>
      </w:r>
      <w:r>
        <w:rPr/>
        <w:t>肥万户网络技术有限公司</w:t>
      </w:r>
      <w:r>
        <w:rPr>
          <w:rFonts w:ascii="Arial" w:hAnsi="Arial" w:cs="Arial" w:eastAsia="Arial" w:hint="default"/>
        </w:rPr>
        <w:t>2018</w:t>
      </w:r>
      <w:r>
        <w:rPr/>
        <w:t>年度再次被认定为高新技术企业；所属孙公司上海万户网络技术有限公司</w:t>
      </w:r>
      <w:r>
        <w:rPr>
          <w:w w:val="99"/>
        </w:rPr>
        <w:t> </w:t>
      </w:r>
      <w:r>
        <w:rPr>
          <w:rFonts w:ascii="Arial" w:hAnsi="Arial" w:cs="Arial" w:eastAsia="Arial" w:hint="default"/>
          <w:spacing w:val="-1"/>
          <w:w w:val="95"/>
        </w:rPr>
        <w:t>2016</w:t>
      </w:r>
      <w:r>
        <w:rPr>
          <w:spacing w:val="-1"/>
          <w:w w:val="95"/>
        </w:rPr>
        <w:t>年度首次被认定为高新技术企业；所属子公司华宇金信（北京）软件有限公司、北京万户网络技术有</w:t>
      </w:r>
      <w:r>
        <w:rPr>
          <w:spacing w:val="44"/>
          <w:w w:val="95"/>
        </w:rPr>
        <w:t> </w:t>
      </w:r>
      <w:r>
        <w:rPr>
          <w:spacing w:val="44"/>
          <w:w w:val="95"/>
        </w:rPr>
      </w:r>
      <w:r>
        <w:rPr/>
        <w:t>限公司</w:t>
      </w:r>
      <w:r>
        <w:rPr>
          <w:rFonts w:ascii="Arial" w:hAnsi="Arial" w:cs="Arial" w:eastAsia="Arial" w:hint="default"/>
        </w:rPr>
        <w:t>2016</w:t>
      </w:r>
      <w:r>
        <w:rPr/>
        <w:t>年度再次被认定为高新技术企业。所属孙公司华宇金信（深圳）信息技术有限公司</w:t>
      </w:r>
      <w:r>
        <w:rPr>
          <w:rFonts w:ascii="Arial" w:hAnsi="Arial" w:cs="Arial" w:eastAsia="Arial" w:hint="default"/>
        </w:rPr>
        <w:t>2017</w:t>
      </w:r>
      <w:r>
        <w:rPr/>
        <w:t>年度</w:t>
      </w:r>
      <w:r>
        <w:rPr>
          <w:w w:val="99"/>
        </w:rPr>
        <w:t> </w:t>
      </w:r>
      <w:r>
        <w:rPr>
          <w:spacing w:val="-1"/>
          <w:w w:val="95"/>
        </w:rPr>
        <w:t>首次被认定为高新技术企业。所属子公司北京华宇元典信息服务有限公司</w:t>
      </w:r>
      <w:r>
        <w:rPr>
          <w:rFonts w:ascii="Arial" w:hAnsi="Arial" w:cs="Arial" w:eastAsia="Arial" w:hint="default"/>
          <w:spacing w:val="-1"/>
          <w:w w:val="95"/>
        </w:rPr>
        <w:t>2018</w:t>
      </w:r>
      <w:r>
        <w:rPr>
          <w:spacing w:val="-1"/>
          <w:w w:val="95"/>
        </w:rPr>
        <w:t>年度首次被认定为高新技术</w:t>
      </w:r>
      <w:r>
        <w:rPr>
          <w:spacing w:val="39"/>
          <w:w w:val="95"/>
        </w:rPr>
        <w:t> </w:t>
      </w:r>
      <w:r>
        <w:rPr>
          <w:spacing w:val="39"/>
          <w:w w:val="95"/>
        </w:rPr>
      </w:r>
      <w:r>
        <w:rPr/>
        <w:t>企业</w:t>
      </w:r>
      <w:r>
        <w:rPr>
          <w:rFonts w:ascii="Arial" w:hAnsi="Arial" w:cs="Arial" w:eastAsia="Arial" w:hint="default"/>
        </w:rPr>
        <w:t>.</w:t>
      </w:r>
      <w:r>
        <w:rPr/>
        <w:t>。根据自</w:t>
      </w:r>
      <w:r>
        <w:rPr>
          <w:rFonts w:ascii="Arial" w:hAnsi="Arial" w:cs="Arial" w:eastAsia="Arial" w:hint="default"/>
        </w:rPr>
        <w:t>2008</w:t>
      </w:r>
      <w:r>
        <w:rPr/>
        <w:t>年</w:t>
      </w:r>
      <w:r>
        <w:rPr>
          <w:rFonts w:ascii="Arial" w:hAnsi="Arial" w:cs="Arial" w:eastAsia="Arial" w:hint="default"/>
        </w:rPr>
        <w:t>1</w:t>
      </w:r>
      <w:r>
        <w:rPr/>
        <w:t>月</w:t>
      </w:r>
      <w:r>
        <w:rPr>
          <w:rFonts w:ascii="Arial" w:hAnsi="Arial" w:cs="Arial" w:eastAsia="Arial" w:hint="default"/>
        </w:rPr>
        <w:t>1</w:t>
      </w:r>
      <w:r>
        <w:rPr/>
        <w:t>日起施行的《中华人民共和国企业所得税法实施条例》及其实施细则规定，国</w:t>
      </w:r>
      <w:r>
        <w:rPr>
          <w:w w:val="99"/>
        </w:rPr>
        <w:t> </w:t>
      </w:r>
      <w:r>
        <w:rPr/>
        <w:t>家需要重点扶持的高新技术企业，减按</w:t>
      </w:r>
      <w:r>
        <w:rPr>
          <w:rFonts w:ascii="Arial" w:hAnsi="Arial" w:cs="Arial" w:eastAsia="Arial" w:hint="default"/>
        </w:rPr>
        <w:t>15</w:t>
      </w:r>
      <w:r>
        <w:rPr/>
        <w:t>％的税率征收企业所得税。</w:t>
      </w:r>
    </w:p>
    <w:p>
      <w:pPr>
        <w:pStyle w:val="BodyText"/>
        <w:spacing w:line="266" w:lineRule="auto" w:before="121"/>
        <w:ind w:right="1132" w:firstLine="427"/>
        <w:jc w:val="both"/>
        <w:rPr>
          <w:rFonts w:ascii="Arial" w:hAnsi="Arial" w:cs="Arial" w:eastAsia="Arial" w:hint="default"/>
        </w:rPr>
      </w:pPr>
      <w:r>
        <w:rPr>
          <w:spacing w:val="-5"/>
          <w:w w:val="99"/>
        </w:rPr>
        <w:t>依据国务院下发的《国务院关于印发进一步鼓励软件产业和集成电路产业发展的若干政策的通知》（国</w:t>
      </w:r>
      <w:r>
        <w:rPr>
          <w:w w:val="99"/>
        </w:rPr>
        <w:t> </w:t>
      </w:r>
      <w:r>
        <w:rPr>
          <w:spacing w:val="-2"/>
        </w:rPr>
        <w:t>发</w:t>
      </w:r>
      <w:r>
        <w:rPr>
          <w:rFonts w:ascii="Arial" w:hAnsi="Arial" w:cs="Arial" w:eastAsia="Arial" w:hint="default"/>
          <w:spacing w:val="-2"/>
        </w:rPr>
        <w:t>[2011]4</w:t>
      </w:r>
      <w:r>
        <w:rPr>
          <w:spacing w:val="-2"/>
        </w:rPr>
        <w:t>号）第（一）条及第（三十三）条的规定，公司及公司所属子公司、孙公司享受增值税实际税负</w:t>
      </w:r>
      <w:r>
        <w:rPr>
          <w:w w:val="99"/>
        </w:rPr>
        <w:t> </w:t>
      </w:r>
      <w:r>
        <w:rPr/>
        <w:t>超过</w:t>
      </w:r>
      <w:r>
        <w:rPr>
          <w:rFonts w:ascii="Arial" w:hAnsi="Arial" w:cs="Arial" w:eastAsia="Arial" w:hint="default"/>
        </w:rPr>
        <w:t>3%</w:t>
      </w:r>
      <w:r>
        <w:rPr/>
        <w:t>的部分实行即征即退的优惠政策。报告期内，增值税即征即退计入其他收益金额为</w:t>
      </w:r>
      <w:r>
        <w:rPr>
          <w:rFonts w:ascii="Arial" w:hAnsi="Arial" w:cs="Arial" w:eastAsia="Arial" w:hint="default"/>
        </w:rPr>
        <w:t>95,290,037.54</w:t>
      </w:r>
    </w:p>
    <w:p>
      <w:pPr>
        <w:spacing w:after="0" w:line="266" w:lineRule="auto"/>
        <w:jc w:val="both"/>
        <w:rPr>
          <w:rFonts w:ascii="Arial" w:hAnsi="Arial" w:cs="Arial" w:eastAsia="Arial" w:hint="default"/>
        </w:rPr>
        <w:sectPr>
          <w:footerReference w:type="default" r:id="rId43"/>
          <w:pgSz w:w="11910" w:h="16840"/>
          <w:pgMar w:footer="978" w:header="878" w:top="1100" w:bottom="1160" w:left="1020" w:right="0"/>
          <w:pgNumType w:start="130"/>
        </w:sectPr>
      </w:pPr>
    </w:p>
    <w:p>
      <w:pPr>
        <w:spacing w:line="240" w:lineRule="auto" w:before="9"/>
        <w:rPr>
          <w:rFonts w:ascii="Arial" w:hAnsi="Arial" w:cs="Arial" w:eastAsia="Arial" w:hint="default"/>
          <w:sz w:val="23"/>
          <w:szCs w:val="23"/>
        </w:rPr>
      </w:pPr>
    </w:p>
    <w:p>
      <w:pPr>
        <w:pStyle w:val="Heading2"/>
        <w:spacing w:line="491" w:lineRule="auto" w:before="34"/>
        <w:ind w:right="7862"/>
        <w:jc w:val="left"/>
        <w:rPr>
          <w:b w:val="0"/>
          <w:bCs w:val="0"/>
        </w:rPr>
      </w:pPr>
      <w:r>
        <w:rPr>
          <w:rFonts w:ascii="宋体" w:hAnsi="宋体" w:cs="宋体" w:eastAsia="宋体" w:hint="default"/>
          <w:b w:val="0"/>
          <w:bCs w:val="0"/>
          <w:sz w:val="21"/>
          <w:szCs w:val="21"/>
        </w:rPr>
        <w:t>元。</w:t>
      </w:r>
      <w:r>
        <w:rPr>
          <w:rFonts w:ascii="宋体" w:hAnsi="宋体" w:cs="宋体" w:eastAsia="宋体" w:hint="default"/>
          <w:b w:val="0"/>
          <w:bCs w:val="0"/>
          <w:w w:val="99"/>
          <w:sz w:val="21"/>
          <w:szCs w:val="21"/>
        </w:rPr>
        <w:t> </w:t>
      </w:r>
      <w:bookmarkStart w:name="七、合并财务报表项目注释" w:id="212"/>
      <w:bookmarkEnd w:id="212"/>
      <w:r>
        <w:rPr>
          <w:rFonts w:ascii="宋体" w:hAnsi="宋体" w:cs="宋体" w:eastAsia="宋体" w:hint="default"/>
          <w:b w:val="0"/>
          <w:bCs w:val="0"/>
          <w:w w:val="99"/>
          <w:sz w:val="21"/>
          <w:szCs w:val="21"/>
        </w:rPr>
      </w:r>
      <w:r>
        <w:rPr/>
        <w:t>七、合并财务报表项目注释</w:t>
      </w:r>
      <w:r>
        <w:rPr>
          <w:w w:val="99"/>
        </w:rPr>
        <w:t> </w:t>
      </w:r>
      <w:bookmarkStart w:name="1、货币资金" w:id="213"/>
      <w:bookmarkEnd w:id="213"/>
      <w:r>
        <w:rPr>
          <w:w w:val="99"/>
        </w:rPr>
      </w:r>
      <w:r>
        <w:rPr>
          <w:rFonts w:ascii="Arial" w:hAnsi="Arial" w:cs="Arial" w:eastAsia="Arial" w:hint="default"/>
        </w:rPr>
        <w:t>1</w:t>
      </w:r>
      <w:r>
        <w:rPr/>
        <w:t>、货币资金</w:t>
      </w:r>
      <w:r>
        <w:rPr>
          <w:b w:val="0"/>
          <w:bCs w:val="0"/>
        </w:rPr>
      </w:r>
    </w:p>
    <w:p>
      <w:pPr>
        <w:spacing w:before="4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186,352.97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244,474.99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1,261,034,842.90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1,267,504,021.90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41,920,851.74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29,585,622.90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1,303,142,047.61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2"/>
                <w:sz w:val="18"/>
              </w:rPr>
              <w:t>1,297,334,119.79</w:t>
            </w:r>
          </w:p>
        </w:tc>
      </w:tr>
    </w:tbl>
    <w:p>
      <w:pPr>
        <w:spacing w:line="240" w:lineRule="auto" w:before="5"/>
        <w:rPr>
          <w:rFonts w:ascii="宋体" w:hAnsi="宋体" w:cs="宋体" w:eastAsia="宋体" w:hint="default"/>
          <w:sz w:val="5"/>
          <w:szCs w:val="5"/>
        </w:rPr>
      </w:pPr>
    </w:p>
    <w:p>
      <w:pPr>
        <w:pStyle w:val="BodyText"/>
        <w:spacing w:line="240" w:lineRule="auto"/>
        <w:ind w:right="996"/>
        <w:jc w:val="left"/>
      </w:pPr>
      <w:r>
        <w:rPr/>
        <w:t>其他说明：</w:t>
      </w:r>
    </w:p>
    <w:p>
      <w:pPr>
        <w:pStyle w:val="BodyText"/>
        <w:spacing w:line="259" w:lineRule="auto" w:before="157"/>
        <w:ind w:right="996" w:firstLine="427"/>
        <w:jc w:val="left"/>
      </w:pPr>
      <w:r>
        <w:rPr>
          <w:spacing w:val="-2"/>
        </w:rPr>
        <w:t>期末使用受限的款项包括其他货币资金中的信用证保证金</w:t>
      </w:r>
      <w:r>
        <w:rPr>
          <w:rFonts w:ascii="Arial" w:hAnsi="Arial" w:cs="Arial" w:eastAsia="Arial" w:hint="default"/>
          <w:spacing w:val="-2"/>
        </w:rPr>
        <w:t>6,596,040.83</w:t>
      </w:r>
      <w:r>
        <w:rPr>
          <w:spacing w:val="-2"/>
        </w:rPr>
        <w:t>元，履约保证金</w:t>
      </w:r>
      <w:r>
        <w:rPr>
          <w:rFonts w:ascii="Arial" w:hAnsi="Arial" w:cs="Arial" w:eastAsia="Arial" w:hint="default"/>
          <w:spacing w:val="-2"/>
        </w:rPr>
        <w:t>35,274,319.69</w:t>
      </w:r>
      <w:r>
        <w:rPr>
          <w:rFonts w:ascii="Arial" w:hAnsi="Arial" w:cs="Arial" w:eastAsia="Arial" w:hint="default"/>
          <w:w w:val="99"/>
        </w:rPr>
        <w:t> </w:t>
      </w:r>
      <w:r>
        <w:rPr/>
        <w:t>元。除上述保证金外，不存在抵押、质押或冻结、或存放在境外且资金汇回受到限制的款项。</w:t>
      </w:r>
    </w:p>
    <w:p>
      <w:pPr>
        <w:spacing w:line="240" w:lineRule="auto" w:before="6"/>
        <w:rPr>
          <w:rFonts w:ascii="宋体" w:hAnsi="宋体" w:cs="宋体" w:eastAsia="宋体" w:hint="default"/>
          <w:sz w:val="24"/>
          <w:szCs w:val="24"/>
        </w:rPr>
      </w:pPr>
    </w:p>
    <w:p>
      <w:pPr>
        <w:pStyle w:val="Heading4"/>
        <w:spacing w:line="240" w:lineRule="auto"/>
        <w:ind w:right="996"/>
        <w:jc w:val="left"/>
        <w:rPr>
          <w:b w:val="0"/>
          <w:bCs w:val="0"/>
        </w:rPr>
      </w:pPr>
      <w:bookmarkStart w:name="2、应收票据及应收账款" w:id="214"/>
      <w:bookmarkEnd w:id="214"/>
      <w:r>
        <w:rPr>
          <w:b w:val="0"/>
          <w:bCs w:val="0"/>
        </w:rPr>
      </w:r>
      <w:r>
        <w:rPr>
          <w:rFonts w:ascii="Arial" w:hAnsi="Arial" w:cs="Arial" w:eastAsia="Arial" w:hint="default"/>
        </w:rPr>
        <w:t>2</w:t>
      </w:r>
      <w:r>
        <w:rPr/>
        <w:t>、应收票据及应收账款</w:t>
      </w:r>
      <w:r>
        <w:rPr>
          <w:b w:val="0"/>
          <w:bCs w:val="0"/>
        </w:rPr>
      </w:r>
    </w:p>
    <w:p>
      <w:pPr>
        <w:spacing w:line="240" w:lineRule="auto" w:before="7"/>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1,581,100.00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1,621,000.00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923,975,361.74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642,207,932.98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925,556,461.74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643,828,932.98</w:t>
            </w:r>
          </w:p>
        </w:tc>
      </w:tr>
    </w:tbl>
    <w:p>
      <w:pPr>
        <w:spacing w:line="240" w:lineRule="auto" w:before="4"/>
        <w:rPr>
          <w:rFonts w:ascii="宋体" w:hAnsi="宋体" w:cs="宋体" w:eastAsia="宋体" w:hint="default"/>
          <w:sz w:val="19"/>
          <w:szCs w:val="19"/>
        </w:rPr>
      </w:pPr>
    </w:p>
    <w:p>
      <w:pPr>
        <w:pStyle w:val="Heading4"/>
        <w:spacing w:line="240" w:lineRule="auto" w:before="34"/>
        <w:ind w:right="996"/>
        <w:jc w:val="left"/>
        <w:rPr>
          <w:b w:val="0"/>
          <w:bCs w:val="0"/>
        </w:rPr>
      </w:pPr>
      <w:bookmarkStart w:name="（1）应收票据" w:id="215"/>
      <w:bookmarkEnd w:id="215"/>
      <w:r>
        <w:rPr>
          <w:b w:val="0"/>
          <w:bCs w:val="0"/>
        </w:rPr>
      </w:r>
      <w:r>
        <w:rPr/>
        <w:t>（</w:t>
      </w:r>
      <w:r>
        <w:rPr>
          <w:rFonts w:ascii="Arial" w:hAnsi="Arial" w:cs="Arial" w:eastAsia="Arial" w:hint="default"/>
        </w:rPr>
        <w:t>1</w:t>
      </w:r>
      <w:r>
        <w:rPr/>
        <w:t>）应收票据</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1,076,700.00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590,000.00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504,400.00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1,031,000.00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1,581,100.00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1,621,000.00</w:t>
            </w:r>
          </w:p>
        </w:tc>
      </w:tr>
    </w:tbl>
    <w:p>
      <w:pPr>
        <w:spacing w:line="240" w:lineRule="auto" w:before="7"/>
        <w:rPr>
          <w:rFonts w:ascii="宋体" w:hAnsi="宋体" w:cs="宋体" w:eastAsia="宋体" w:hint="default"/>
          <w:sz w:val="5"/>
          <w:szCs w:val="5"/>
        </w:rPr>
      </w:pPr>
    </w:p>
    <w:p>
      <w:pPr>
        <w:pStyle w:val="BodyText"/>
        <w:spacing w:line="240" w:lineRule="auto"/>
        <w:ind w:right="996"/>
        <w:jc w:val="left"/>
      </w:pPr>
      <w:r>
        <w:rPr/>
        <w:t>其他说明：</w:t>
      </w:r>
    </w:p>
    <w:p>
      <w:pPr>
        <w:pStyle w:val="BodyText"/>
        <w:spacing w:line="273" w:lineRule="auto" w:before="157"/>
        <w:ind w:right="996" w:firstLine="427"/>
        <w:jc w:val="left"/>
      </w:pPr>
      <w:r>
        <w:rPr>
          <w:w w:val="95"/>
        </w:rPr>
        <w:t>不存在客观证据表明本集团应收票据发生减值，未计提应收票据减值准备。期末不存在已质押和已背</w:t>
      </w:r>
      <w:r>
        <w:rPr>
          <w:w w:val="99"/>
        </w:rPr>
        <w:t> </w:t>
      </w:r>
      <w:r>
        <w:rPr/>
        <w:t>书或贴现但尚未到期的应收票据。</w:t>
      </w:r>
    </w:p>
    <w:p>
      <w:pPr>
        <w:spacing w:line="240" w:lineRule="auto" w:before="7"/>
        <w:rPr>
          <w:rFonts w:ascii="宋体" w:hAnsi="宋体" w:cs="宋体" w:eastAsia="宋体" w:hint="default"/>
          <w:sz w:val="23"/>
          <w:szCs w:val="23"/>
        </w:rPr>
      </w:pPr>
    </w:p>
    <w:p>
      <w:pPr>
        <w:pStyle w:val="Heading4"/>
        <w:spacing w:line="240" w:lineRule="auto"/>
        <w:ind w:right="996"/>
        <w:jc w:val="left"/>
        <w:rPr>
          <w:b w:val="0"/>
          <w:bCs w:val="0"/>
        </w:rPr>
      </w:pPr>
      <w:bookmarkStart w:name="（2）应收账款" w:id="216"/>
      <w:bookmarkEnd w:id="216"/>
      <w:r>
        <w:rPr>
          <w:b w:val="0"/>
          <w:bCs w:val="0"/>
        </w:rPr>
      </w:r>
      <w:r>
        <w:rPr/>
        <w:t>（</w:t>
      </w:r>
      <w:r>
        <w:rPr>
          <w:rFonts w:ascii="Arial" w:hAnsi="Arial" w:cs="Arial" w:eastAsia="Arial" w:hint="default"/>
        </w:rPr>
        <w:t>2</w:t>
      </w:r>
      <w:r>
        <w:rPr/>
        <w:t>）应收账款</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8" w:footer="978" w:top="1100" w:bottom="1160" w:left="1020" w:right="0"/>
        </w:sectPr>
      </w:pPr>
    </w:p>
    <w:p>
      <w:pPr>
        <w:pStyle w:val="Heading4"/>
        <w:spacing w:line="240" w:lineRule="auto" w:before="34"/>
        <w:ind w:right="-17"/>
        <w:jc w:val="left"/>
        <w:rPr>
          <w:b w:val="0"/>
          <w:bCs w:val="0"/>
        </w:rPr>
      </w:pPr>
      <w:r>
        <w:rPr>
          <w:rFonts w:ascii="Arial" w:hAnsi="Arial" w:cs="Arial" w:eastAsia="Arial" w:hint="default"/>
        </w:rPr>
        <w:t>1)</w:t>
      </w:r>
      <w:r>
        <w:rPr>
          <w:rFonts w:ascii="Arial" w:hAnsi="Arial" w:cs="Arial" w:eastAsia="Arial" w:hint="default"/>
          <w:spacing w:val="43"/>
        </w:rPr>
        <w:t> </w:t>
      </w:r>
      <w:r>
        <w:rPr/>
        <w:t>应收账款分类披露</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7"/>
        <w:rPr>
          <w:rFonts w:ascii="宋体" w:hAnsi="宋体" w:cs="宋体" w:eastAsia="宋体" w:hint="default"/>
          <w:b/>
          <w:bCs/>
          <w:sz w:val="13"/>
          <w:szCs w:val="13"/>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0"/>
          <w:cols w:num="2" w:equalWidth="0">
            <w:col w:w="2091" w:space="6739"/>
            <w:col w:w="2060"/>
          </w:cols>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 w:right="0"/>
              <w:jc w:val="left"/>
              <w:rPr>
                <w:rFonts w:ascii="Arial" w:hAnsi="Arial" w:cs="Arial" w:eastAsia="Arial" w:hint="default"/>
                <w:sz w:val="18"/>
                <w:szCs w:val="18"/>
              </w:rPr>
            </w:pPr>
            <w:r>
              <w:rPr>
                <w:rFonts w:ascii="Arial"/>
                <w:sz w:val="18"/>
              </w:rPr>
              <w:t>21,002,8</w:t>
            </w:r>
          </w:p>
          <w:p>
            <w:pPr>
              <w:pStyle w:val="TableParagraph"/>
              <w:spacing w:line="240" w:lineRule="auto" w:before="105"/>
              <w:ind w:left="279" w:right="0"/>
              <w:jc w:val="left"/>
              <w:rPr>
                <w:rFonts w:ascii="Arial" w:hAnsi="Arial" w:cs="Arial" w:eastAsia="Arial" w:hint="default"/>
                <w:sz w:val="18"/>
                <w:szCs w:val="18"/>
              </w:rPr>
            </w:pPr>
            <w:r>
              <w:rPr>
                <w:rFonts w:ascii="Arial"/>
                <w:sz w:val="18"/>
              </w:rPr>
              <w:t>48.68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3"/>
                <w:sz w:val="18"/>
              </w:rPr>
              <w:t>2.11%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525,071.</w:t>
            </w:r>
          </w:p>
          <w:p>
            <w:pPr>
              <w:pStyle w:val="TableParagraph"/>
              <w:spacing w:line="240" w:lineRule="auto" w:before="105"/>
              <w:ind w:right="20"/>
              <w:jc w:val="right"/>
              <w:rPr>
                <w:rFonts w:ascii="Arial" w:hAnsi="Arial" w:cs="Arial" w:eastAsia="Arial" w:hint="default"/>
                <w:sz w:val="18"/>
                <w:szCs w:val="18"/>
              </w:rPr>
            </w:pPr>
            <w:r>
              <w:rPr>
                <w:rFonts w:ascii="Arial"/>
                <w:w w:val="95"/>
                <w:sz w:val="18"/>
              </w:rPr>
              <w:t>22</w:t>
            </w:r>
            <w:r>
              <w:rPr>
                <w:rFonts w:ascii="Arial"/>
                <w:sz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sz w:val="18"/>
              </w:rPr>
              <w:t>2.50%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left"/>
              <w:rPr>
                <w:rFonts w:ascii="Arial" w:hAnsi="Arial" w:cs="Arial" w:eastAsia="Arial" w:hint="default"/>
                <w:sz w:val="18"/>
                <w:szCs w:val="18"/>
              </w:rPr>
            </w:pPr>
            <w:r>
              <w:rPr>
                <w:rFonts w:ascii="Arial"/>
                <w:sz w:val="18"/>
              </w:rPr>
              <w:t>20,477,7</w:t>
            </w:r>
          </w:p>
          <w:p>
            <w:pPr>
              <w:pStyle w:val="TableParagraph"/>
              <w:spacing w:line="240" w:lineRule="auto" w:before="105"/>
              <w:ind w:left="306" w:right="0"/>
              <w:jc w:val="left"/>
              <w:rPr>
                <w:rFonts w:ascii="Arial" w:hAnsi="Arial" w:cs="Arial" w:eastAsia="Arial" w:hint="default"/>
                <w:sz w:val="18"/>
                <w:szCs w:val="18"/>
              </w:rPr>
            </w:pPr>
            <w:r>
              <w:rPr>
                <w:rFonts w:ascii="Arial"/>
                <w:sz w:val="18"/>
              </w:rPr>
              <w:t>77.46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32,761</w:t>
            </w:r>
          </w:p>
          <w:p>
            <w:pPr>
              <w:pStyle w:val="TableParagraph"/>
              <w:spacing w:line="240" w:lineRule="auto" w:before="105"/>
              <w:ind w:right="21"/>
              <w:jc w:val="right"/>
              <w:rPr>
                <w:rFonts w:ascii="Arial" w:hAnsi="Arial" w:cs="Arial" w:eastAsia="Arial" w:hint="default"/>
                <w:sz w:val="18"/>
                <w:szCs w:val="18"/>
              </w:rPr>
            </w:pPr>
            <w:r>
              <w:rPr>
                <w:rFonts w:ascii="Arial"/>
                <w:spacing w:val="-1"/>
                <w:sz w:val="18"/>
              </w:rPr>
              <w:t>,103.7</w:t>
            </w:r>
          </w:p>
          <w:p>
            <w:pPr>
              <w:pStyle w:val="TableParagraph"/>
              <w:spacing w:line="240" w:lineRule="auto" w:before="105"/>
              <w:ind w:right="21"/>
              <w:jc w:val="right"/>
              <w:rPr>
                <w:rFonts w:ascii="Arial" w:hAnsi="Arial" w:cs="Arial" w:eastAsia="Arial" w:hint="default"/>
                <w:sz w:val="18"/>
                <w:szCs w:val="18"/>
              </w:rPr>
            </w:pPr>
            <w:r>
              <w:rPr>
                <w:rFonts w:ascii="Arial"/>
                <w:w w:val="99"/>
                <w:sz w:val="18"/>
              </w:rPr>
              <w:t>7</w:t>
            </w:r>
            <w:r>
              <w:rPr>
                <w:rFonts w:ascii="Arial"/>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sz w:val="18"/>
              </w:rPr>
              <w:t>4.69%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819,027.</w:t>
            </w:r>
          </w:p>
          <w:p>
            <w:pPr>
              <w:pStyle w:val="TableParagraph"/>
              <w:spacing w:line="240" w:lineRule="auto" w:before="105"/>
              <w:ind w:right="19"/>
              <w:jc w:val="right"/>
              <w:rPr>
                <w:rFonts w:ascii="Arial" w:hAnsi="Arial" w:cs="Arial" w:eastAsia="Arial" w:hint="default"/>
                <w:sz w:val="18"/>
                <w:szCs w:val="18"/>
              </w:rPr>
            </w:pPr>
            <w:r>
              <w:rPr>
                <w:rFonts w:ascii="Arial"/>
                <w:w w:val="95"/>
                <w:sz w:val="18"/>
              </w:rPr>
              <w:t>60</w:t>
            </w:r>
            <w:r>
              <w:rPr>
                <w:rFonts w:ascii="Arial"/>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sz w:val="18"/>
              </w:rPr>
              <w:t>2.50%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Arial" w:hAnsi="Arial" w:cs="Arial" w:eastAsia="Arial" w:hint="default"/>
                <w:sz w:val="18"/>
                <w:szCs w:val="18"/>
              </w:rPr>
            </w:pPr>
            <w:r>
              <w:rPr>
                <w:rFonts w:ascii="Arial"/>
                <w:sz w:val="18"/>
              </w:rPr>
              <w:t>31,942,07</w:t>
            </w:r>
          </w:p>
          <w:p>
            <w:pPr>
              <w:pStyle w:val="TableParagraph"/>
              <w:spacing w:line="240" w:lineRule="auto" w:before="105"/>
              <w:ind w:left="549" w:right="0"/>
              <w:jc w:val="left"/>
              <w:rPr>
                <w:rFonts w:ascii="Arial" w:hAnsi="Arial" w:cs="Arial" w:eastAsia="Arial" w:hint="default"/>
                <w:sz w:val="18"/>
                <w:szCs w:val="18"/>
              </w:rPr>
            </w:pPr>
            <w:r>
              <w:rPr>
                <w:rFonts w:ascii="Arial"/>
                <w:sz w:val="18"/>
              </w:rPr>
              <w:t>6.17</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 w:right="0"/>
              <w:jc w:val="center"/>
              <w:rPr>
                <w:rFonts w:ascii="Arial" w:hAnsi="Arial" w:cs="Arial" w:eastAsia="Arial" w:hint="default"/>
                <w:sz w:val="18"/>
                <w:szCs w:val="18"/>
              </w:rPr>
            </w:pPr>
            <w:r>
              <w:rPr>
                <w:rFonts w:ascii="Arial"/>
                <w:sz w:val="18"/>
              </w:rPr>
              <w:t>973,160,</w:t>
            </w:r>
          </w:p>
          <w:p>
            <w:pPr>
              <w:pStyle w:val="TableParagraph"/>
              <w:spacing w:line="240" w:lineRule="auto" w:before="105"/>
              <w:ind w:left="156" w:right="0"/>
              <w:jc w:val="center"/>
              <w:rPr>
                <w:rFonts w:ascii="Arial" w:hAnsi="Arial" w:cs="Arial" w:eastAsia="Arial" w:hint="default"/>
                <w:sz w:val="18"/>
                <w:szCs w:val="18"/>
              </w:rPr>
            </w:pPr>
            <w:r>
              <w:rPr>
                <w:rFonts w:ascii="Arial"/>
                <w:sz w:val="18"/>
              </w:rPr>
              <w:t>595.29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9"/>
              <w:jc w:val="right"/>
              <w:rPr>
                <w:rFonts w:ascii="Arial" w:hAnsi="Arial" w:cs="Arial" w:eastAsia="Arial" w:hint="default"/>
                <w:sz w:val="18"/>
                <w:szCs w:val="18"/>
              </w:rPr>
            </w:pPr>
            <w:r>
              <w:rPr>
                <w:rFonts w:ascii="Arial"/>
                <w:spacing w:val="-1"/>
                <w:sz w:val="18"/>
              </w:rPr>
              <w:t>97.89%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 w:right="0"/>
              <w:jc w:val="left"/>
              <w:rPr>
                <w:rFonts w:ascii="Arial" w:hAnsi="Arial" w:cs="Arial" w:eastAsia="Arial" w:hint="default"/>
                <w:sz w:val="18"/>
                <w:szCs w:val="18"/>
              </w:rPr>
            </w:pPr>
            <w:r>
              <w:rPr>
                <w:rFonts w:ascii="Arial"/>
                <w:sz w:val="18"/>
              </w:rPr>
              <w:t>69,663,0</w:t>
            </w:r>
          </w:p>
          <w:p>
            <w:pPr>
              <w:pStyle w:val="TableParagraph"/>
              <w:spacing w:line="240" w:lineRule="auto" w:before="105"/>
              <w:ind w:left="293" w:right="0"/>
              <w:jc w:val="left"/>
              <w:rPr>
                <w:rFonts w:ascii="Arial" w:hAnsi="Arial" w:cs="Arial" w:eastAsia="Arial" w:hint="default"/>
                <w:sz w:val="18"/>
                <w:szCs w:val="18"/>
              </w:rPr>
            </w:pPr>
            <w:r>
              <w:rPr>
                <w:rFonts w:ascii="Arial"/>
                <w:spacing w:val="-3"/>
                <w:sz w:val="18"/>
              </w:rPr>
              <w:t>11.01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sz w:val="18"/>
              </w:rPr>
              <w:t>7.16%</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center"/>
              <w:rPr>
                <w:rFonts w:ascii="Arial" w:hAnsi="Arial" w:cs="Arial" w:eastAsia="Arial" w:hint="default"/>
                <w:sz w:val="18"/>
                <w:szCs w:val="18"/>
              </w:rPr>
            </w:pPr>
            <w:r>
              <w:rPr>
                <w:rFonts w:ascii="Arial"/>
                <w:sz w:val="18"/>
              </w:rPr>
              <w:t>903,497,</w:t>
            </w:r>
          </w:p>
          <w:p>
            <w:pPr>
              <w:pStyle w:val="TableParagraph"/>
              <w:spacing w:line="240" w:lineRule="auto" w:before="105"/>
              <w:ind w:left="183" w:right="0"/>
              <w:jc w:val="center"/>
              <w:rPr>
                <w:rFonts w:ascii="Arial" w:hAnsi="Arial" w:cs="Arial" w:eastAsia="Arial" w:hint="default"/>
                <w:sz w:val="18"/>
                <w:szCs w:val="18"/>
              </w:rPr>
            </w:pPr>
            <w:r>
              <w:rPr>
                <w:rFonts w:ascii="Arial"/>
                <w:sz w:val="18"/>
              </w:rPr>
              <w:t>584.28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Arial" w:hAnsi="Arial" w:cs="Arial" w:eastAsia="Arial" w:hint="default"/>
                <w:sz w:val="18"/>
                <w:szCs w:val="18"/>
              </w:rPr>
            </w:pPr>
            <w:r>
              <w:rPr>
                <w:rFonts w:ascii="Arial"/>
                <w:sz w:val="18"/>
              </w:rPr>
              <w:t>665,96</w:t>
            </w:r>
          </w:p>
          <w:p>
            <w:pPr>
              <w:pStyle w:val="TableParagraph"/>
              <w:spacing w:line="240" w:lineRule="auto" w:before="105"/>
              <w:ind w:left="120" w:right="0"/>
              <w:jc w:val="left"/>
              <w:rPr>
                <w:rFonts w:ascii="Arial" w:hAnsi="Arial" w:cs="Arial" w:eastAsia="Arial" w:hint="default"/>
                <w:sz w:val="18"/>
                <w:szCs w:val="18"/>
              </w:rPr>
            </w:pPr>
            <w:r>
              <w:rPr>
                <w:rFonts w:ascii="Arial"/>
                <w:sz w:val="18"/>
              </w:rPr>
              <w:t>1,013.</w:t>
            </w:r>
          </w:p>
          <w:p>
            <w:pPr>
              <w:pStyle w:val="TableParagraph"/>
              <w:spacing w:line="240" w:lineRule="auto" w:before="105"/>
              <w:ind w:left="420" w:right="0"/>
              <w:jc w:val="left"/>
              <w:rPr>
                <w:rFonts w:ascii="Arial" w:hAnsi="Arial" w:cs="Arial" w:eastAsia="Arial" w:hint="default"/>
                <w:sz w:val="18"/>
                <w:szCs w:val="18"/>
              </w:rPr>
            </w:pPr>
            <w:r>
              <w:rPr>
                <w:rFonts w:ascii="Arial"/>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sz w:val="18"/>
              </w:rPr>
              <w:t>95.31%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left"/>
              <w:rPr>
                <w:rFonts w:ascii="Arial" w:hAnsi="Arial" w:cs="Arial" w:eastAsia="Arial" w:hint="default"/>
                <w:sz w:val="18"/>
                <w:szCs w:val="18"/>
              </w:rPr>
            </w:pPr>
            <w:r>
              <w:rPr>
                <w:rFonts w:ascii="Arial"/>
                <w:sz w:val="18"/>
              </w:rPr>
              <w:t>55,695,1</w:t>
            </w:r>
          </w:p>
          <w:p>
            <w:pPr>
              <w:pStyle w:val="TableParagraph"/>
              <w:spacing w:line="240" w:lineRule="auto" w:before="105"/>
              <w:ind w:left="328" w:right="0"/>
              <w:jc w:val="left"/>
              <w:rPr>
                <w:rFonts w:ascii="Arial" w:hAnsi="Arial" w:cs="Arial" w:eastAsia="Arial" w:hint="default"/>
                <w:sz w:val="18"/>
                <w:szCs w:val="18"/>
              </w:rPr>
            </w:pPr>
            <w:r>
              <w:rPr>
                <w:rFonts w:ascii="Arial"/>
                <w:sz w:val="18"/>
              </w:rPr>
              <w:t>56.19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sz w:val="18"/>
              </w:rPr>
              <w:t>8.36%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Arial" w:hAnsi="Arial" w:cs="Arial" w:eastAsia="Arial" w:hint="default"/>
                <w:sz w:val="18"/>
                <w:szCs w:val="18"/>
              </w:rPr>
            </w:pPr>
            <w:r>
              <w:rPr>
                <w:rFonts w:ascii="Arial"/>
                <w:sz w:val="18"/>
              </w:rPr>
              <w:t>610,265,8</w:t>
            </w:r>
          </w:p>
          <w:p>
            <w:pPr>
              <w:pStyle w:val="TableParagraph"/>
              <w:spacing w:line="240" w:lineRule="auto" w:before="105"/>
              <w:ind w:left="448" w:right="0"/>
              <w:jc w:val="left"/>
              <w:rPr>
                <w:rFonts w:ascii="Arial" w:hAnsi="Arial" w:cs="Arial" w:eastAsia="Arial" w:hint="default"/>
                <w:sz w:val="18"/>
                <w:szCs w:val="18"/>
              </w:rPr>
            </w:pPr>
            <w:r>
              <w:rPr>
                <w:rFonts w:ascii="Arial"/>
                <w:sz w:val="18"/>
              </w:rPr>
              <w:t>56.81</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 w:right="0"/>
              <w:jc w:val="center"/>
              <w:rPr>
                <w:rFonts w:ascii="Arial" w:hAnsi="Arial" w:cs="Arial" w:eastAsia="Arial" w:hint="default"/>
                <w:sz w:val="18"/>
                <w:szCs w:val="18"/>
              </w:rPr>
            </w:pPr>
            <w:r>
              <w:rPr>
                <w:rFonts w:ascii="Arial"/>
                <w:sz w:val="18"/>
              </w:rPr>
              <w:t>994,163,</w:t>
            </w:r>
          </w:p>
          <w:p>
            <w:pPr>
              <w:pStyle w:val="TableParagraph"/>
              <w:spacing w:line="240" w:lineRule="auto" w:before="105"/>
              <w:ind w:left="156" w:right="0"/>
              <w:jc w:val="center"/>
              <w:rPr>
                <w:rFonts w:ascii="Arial" w:hAnsi="Arial" w:cs="Arial" w:eastAsia="Arial" w:hint="default"/>
                <w:sz w:val="18"/>
                <w:szCs w:val="18"/>
              </w:rPr>
            </w:pPr>
            <w:r>
              <w:rPr>
                <w:rFonts w:ascii="Arial"/>
                <w:sz w:val="18"/>
              </w:rPr>
              <w:t>443.97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100.00</w:t>
            </w:r>
          </w:p>
          <w:p>
            <w:pPr>
              <w:pStyle w:val="TableParagraph"/>
              <w:spacing w:line="240" w:lineRule="auto" w:before="105"/>
              <w:ind w:right="22"/>
              <w:jc w:val="right"/>
              <w:rPr>
                <w:rFonts w:ascii="Arial" w:hAnsi="Arial" w:cs="Arial" w:eastAsia="Arial" w:hint="default"/>
                <w:sz w:val="18"/>
                <w:szCs w:val="18"/>
              </w:rPr>
            </w:pPr>
            <w:r>
              <w:rPr>
                <w:rFonts w:ascii="Arial"/>
                <w:w w:val="99"/>
                <w:sz w:val="18"/>
              </w:rPr>
              <w:t>%</w:t>
            </w:r>
            <w:r>
              <w:rPr>
                <w:rFonts w:ascii="Arial"/>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 w:right="0"/>
              <w:jc w:val="left"/>
              <w:rPr>
                <w:rFonts w:ascii="Arial" w:hAnsi="Arial" w:cs="Arial" w:eastAsia="Arial" w:hint="default"/>
                <w:sz w:val="18"/>
                <w:szCs w:val="18"/>
              </w:rPr>
            </w:pPr>
            <w:r>
              <w:rPr>
                <w:rFonts w:ascii="Arial"/>
                <w:sz w:val="18"/>
              </w:rPr>
              <w:t>70,188,0</w:t>
            </w:r>
          </w:p>
          <w:p>
            <w:pPr>
              <w:pStyle w:val="TableParagraph"/>
              <w:spacing w:line="240" w:lineRule="auto" w:before="105"/>
              <w:ind w:left="278" w:right="0"/>
              <w:jc w:val="left"/>
              <w:rPr>
                <w:rFonts w:ascii="Arial" w:hAnsi="Arial" w:cs="Arial" w:eastAsia="Arial" w:hint="default"/>
                <w:sz w:val="18"/>
                <w:szCs w:val="18"/>
              </w:rPr>
            </w:pPr>
            <w:r>
              <w:rPr>
                <w:rFonts w:ascii="Arial"/>
                <w:sz w:val="18"/>
              </w:rPr>
              <w:t>82.23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sz w:val="18"/>
              </w:rPr>
              <w:t>7.06%</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center"/>
              <w:rPr>
                <w:rFonts w:ascii="Arial" w:hAnsi="Arial" w:cs="Arial" w:eastAsia="Arial" w:hint="default"/>
                <w:sz w:val="18"/>
                <w:szCs w:val="18"/>
              </w:rPr>
            </w:pPr>
            <w:r>
              <w:rPr>
                <w:rFonts w:ascii="Arial"/>
                <w:sz w:val="18"/>
              </w:rPr>
              <w:t>923,975,</w:t>
            </w:r>
          </w:p>
          <w:p>
            <w:pPr>
              <w:pStyle w:val="TableParagraph"/>
              <w:spacing w:line="240" w:lineRule="auto" w:before="105"/>
              <w:ind w:left="183" w:right="0"/>
              <w:jc w:val="center"/>
              <w:rPr>
                <w:rFonts w:ascii="Arial" w:hAnsi="Arial" w:cs="Arial" w:eastAsia="Arial" w:hint="default"/>
                <w:sz w:val="18"/>
                <w:szCs w:val="18"/>
              </w:rPr>
            </w:pPr>
            <w:r>
              <w:rPr>
                <w:rFonts w:ascii="Arial"/>
                <w:sz w:val="18"/>
              </w:rPr>
              <w:t>361.74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698,72</w:t>
            </w:r>
          </w:p>
          <w:p>
            <w:pPr>
              <w:pStyle w:val="TableParagraph"/>
              <w:spacing w:line="240" w:lineRule="auto" w:before="105"/>
              <w:ind w:right="18"/>
              <w:jc w:val="right"/>
              <w:rPr>
                <w:rFonts w:ascii="Arial" w:hAnsi="Arial" w:cs="Arial" w:eastAsia="Arial" w:hint="default"/>
                <w:sz w:val="18"/>
                <w:szCs w:val="18"/>
              </w:rPr>
            </w:pPr>
            <w:r>
              <w:rPr>
                <w:rFonts w:ascii="Arial"/>
                <w:spacing w:val="-3"/>
                <w:sz w:val="18"/>
              </w:rPr>
              <w:t>2,116.7</w:t>
            </w:r>
          </w:p>
          <w:p>
            <w:pPr>
              <w:pStyle w:val="TableParagraph"/>
              <w:spacing w:line="240" w:lineRule="auto" w:before="105"/>
              <w:ind w:right="21"/>
              <w:jc w:val="right"/>
              <w:rPr>
                <w:rFonts w:ascii="Arial" w:hAnsi="Arial" w:cs="Arial" w:eastAsia="Arial" w:hint="default"/>
                <w:sz w:val="18"/>
                <w:szCs w:val="18"/>
              </w:rPr>
            </w:pPr>
            <w:r>
              <w:rPr>
                <w:rFonts w:ascii="Arial"/>
                <w:w w:val="99"/>
                <w:sz w:val="18"/>
              </w:rPr>
              <w:t>7</w:t>
            </w:r>
            <w:r>
              <w:rPr>
                <w:rFonts w:ascii="Arial"/>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100.00</w:t>
            </w:r>
          </w:p>
          <w:p>
            <w:pPr>
              <w:pStyle w:val="TableParagraph"/>
              <w:spacing w:line="240" w:lineRule="auto" w:before="105"/>
              <w:ind w:right="20"/>
              <w:jc w:val="right"/>
              <w:rPr>
                <w:rFonts w:ascii="Arial" w:hAnsi="Arial" w:cs="Arial" w:eastAsia="Arial" w:hint="default"/>
                <w:sz w:val="18"/>
                <w:szCs w:val="18"/>
              </w:rPr>
            </w:pPr>
            <w:r>
              <w:rPr>
                <w:rFonts w:ascii="Arial"/>
                <w:w w:val="99"/>
                <w:sz w:val="18"/>
              </w:rPr>
              <w:t>%</w:t>
            </w:r>
            <w:r>
              <w:rPr>
                <w:rFonts w:ascii="Arial"/>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Arial" w:hAnsi="Arial" w:cs="Arial" w:eastAsia="Arial" w:hint="default"/>
                <w:sz w:val="18"/>
                <w:szCs w:val="18"/>
              </w:rPr>
            </w:pPr>
            <w:r>
              <w:rPr>
                <w:rFonts w:ascii="Arial"/>
                <w:sz w:val="18"/>
              </w:rPr>
              <w:t>56,514,1</w:t>
            </w:r>
          </w:p>
          <w:p>
            <w:pPr>
              <w:pStyle w:val="TableParagraph"/>
              <w:spacing w:line="240" w:lineRule="auto" w:before="105"/>
              <w:ind w:left="328" w:right="0"/>
              <w:jc w:val="left"/>
              <w:rPr>
                <w:rFonts w:ascii="Arial" w:hAnsi="Arial" w:cs="Arial" w:eastAsia="Arial" w:hint="default"/>
                <w:sz w:val="18"/>
                <w:szCs w:val="18"/>
              </w:rPr>
            </w:pPr>
            <w:r>
              <w:rPr>
                <w:rFonts w:ascii="Arial"/>
                <w:sz w:val="18"/>
              </w:rPr>
              <w:t>83.79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sz w:val="18"/>
              </w:rPr>
              <w:t>8.09%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Arial" w:hAnsi="Arial" w:cs="Arial" w:eastAsia="Arial" w:hint="default"/>
                <w:sz w:val="18"/>
                <w:szCs w:val="18"/>
              </w:rPr>
            </w:pPr>
            <w:r>
              <w:rPr>
                <w:rFonts w:ascii="Arial"/>
                <w:sz w:val="18"/>
              </w:rPr>
              <w:t>642,207,9</w:t>
            </w:r>
          </w:p>
          <w:p>
            <w:pPr>
              <w:pStyle w:val="TableParagraph"/>
              <w:spacing w:line="240" w:lineRule="auto" w:before="105"/>
              <w:ind w:left="448" w:right="0"/>
              <w:jc w:val="left"/>
              <w:rPr>
                <w:rFonts w:ascii="Arial" w:hAnsi="Arial" w:cs="Arial" w:eastAsia="Arial" w:hint="default"/>
                <w:sz w:val="18"/>
                <w:szCs w:val="18"/>
              </w:rPr>
            </w:pPr>
            <w:r>
              <w:rPr>
                <w:rFonts w:ascii="Arial"/>
                <w:sz w:val="18"/>
              </w:rPr>
              <w:t>32.98</w:t>
            </w:r>
          </w:p>
        </w:tc>
      </w:tr>
    </w:tbl>
    <w:p>
      <w:pPr>
        <w:spacing w:after="0" w:line="240" w:lineRule="auto"/>
        <w:jc w:val="left"/>
        <w:rPr>
          <w:rFonts w:ascii="Arial" w:hAnsi="Arial" w:cs="Arial" w:eastAsia="Arial" w:hint="default"/>
          <w:sz w:val="18"/>
          <w:szCs w:val="18"/>
        </w:rPr>
        <w:sectPr>
          <w:pgSz w:w="11910" w:h="16840"/>
          <w:pgMar w:header="878" w:footer="978" w:top="1100" w:bottom="1160" w:left="1020" w:right="0"/>
        </w:sectPr>
      </w:pPr>
    </w:p>
    <w:p>
      <w:pPr>
        <w:pStyle w:val="BodyText"/>
        <w:spacing w:line="240" w:lineRule="auto" w:before="27"/>
        <w:ind w:right="0"/>
        <w:jc w:val="left"/>
      </w:pPr>
      <w:r>
        <w:rPr>
          <w:w w:val="95"/>
        </w:rPr>
        <w:t>期末单项金额重大并单项计提坏账准备的应收账款：</w:t>
      </w:r>
      <w:r>
        <w:rPr/>
      </w:r>
    </w:p>
    <w:p>
      <w:pPr>
        <w:pStyle w:val="BodyText"/>
        <w:spacing w:line="240" w:lineRule="auto" w:before="75"/>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0"/>
          <w:cols w:num="2" w:equalWidth="0">
            <w:col w:w="4942" w:space="3887"/>
            <w:col w:w="206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21,002,848.68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525,071.22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Arial" w:hAnsi="Arial" w:cs="Arial" w:eastAsia="Arial" w:hint="default"/>
                <w:sz w:val="18"/>
                <w:szCs w:val="18"/>
              </w:rPr>
            </w:pPr>
            <w:r>
              <w:rPr>
                <w:rFonts w:ascii="Arial"/>
                <w:spacing w:val="-1"/>
                <w:sz w:val="18"/>
              </w:rPr>
              <w:t>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信用期内</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21,002,848.68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525,071.22</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Arial" w:hAnsi="Arial" w:cs="Arial" w:eastAsia="Arial" w:hint="default"/>
                <w:sz w:val="18"/>
                <w:szCs w:val="18"/>
              </w:rPr>
            </w:pPr>
            <w:r>
              <w:rPr>
                <w:rFonts w:ascii="Arial"/>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Arial" w:hAnsi="Arial" w:cs="Arial" w:eastAsia="Arial" w:hint="default"/>
                <w:sz w:val="18"/>
                <w:szCs w:val="18"/>
              </w:rPr>
            </w:pPr>
            <w:r>
              <w:rPr>
                <w:rFonts w:ascii="Arial"/>
                <w:sz w:val="18"/>
              </w:rPr>
              <w:t>--</w:t>
            </w:r>
          </w:p>
        </w:tc>
      </w:tr>
    </w:tbl>
    <w:p>
      <w:pPr>
        <w:spacing w:line="240" w:lineRule="auto" w:before="7"/>
        <w:rPr>
          <w:rFonts w:ascii="宋体" w:hAnsi="宋体" w:cs="宋体" w:eastAsia="宋体" w:hint="default"/>
          <w:sz w:val="5"/>
          <w:szCs w:val="5"/>
        </w:rPr>
      </w:pPr>
    </w:p>
    <w:p>
      <w:pPr>
        <w:pStyle w:val="BodyText"/>
        <w:spacing w:line="240" w:lineRule="auto"/>
        <w:ind w:right="996"/>
        <w:jc w:val="left"/>
      </w:pPr>
      <w:r>
        <w:rPr/>
        <w:t>组合中，按账龄分析法计提坏账准备的应收账款：</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1020" w:right="0"/>
        </w:sectPr>
      </w:pPr>
    </w:p>
    <w:p>
      <w:pPr>
        <w:pStyle w:val="BodyText"/>
        <w:spacing w:line="240" w:lineRule="auto"/>
        <w:ind w:right="-16"/>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3"/>
          <w:szCs w:val="13"/>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0"/>
          <w:cols w:num="2" w:equalWidth="0">
            <w:col w:w="1721" w:space="7108"/>
            <w:col w:w="206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675,812,041.98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140,872,043.81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7,043,602.21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69,873,447.26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6,987,344.73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Arial" w:hAnsi="Arial" w:cs="Arial" w:eastAsia="Arial" w:hint="default"/>
                <w:sz w:val="18"/>
                <w:szCs w:val="18"/>
              </w:rPr>
            </w:pPr>
            <w:r>
              <w:rPr>
                <w:rFonts w:ascii="Arial"/>
                <w:spacing w:val="-1"/>
                <w:sz w:val="18"/>
              </w:rPr>
              <w:t>30,262,419.08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9,078,725.72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19,574,609.62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9,787,304.81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Arial" w:hAnsi="Arial" w:cs="Arial" w:eastAsia="Arial" w:hint="default"/>
                <w:sz w:val="18"/>
                <w:szCs w:val="18"/>
              </w:rPr>
            </w:pPr>
            <w:r>
              <w:rPr>
                <w:rFonts w:ascii="Arial"/>
                <w:spacing w:val="-1"/>
                <w:sz w:val="18"/>
              </w:rPr>
              <w:t>36,766,033.54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36,766,033.54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973,160,595.29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2"/>
                <w:sz w:val="18"/>
              </w:rPr>
              <w:t>69,663,011.01</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5"/>
          <w:szCs w:val="5"/>
        </w:rPr>
      </w:pPr>
    </w:p>
    <w:p>
      <w:pPr>
        <w:pStyle w:val="BodyText"/>
        <w:spacing w:line="240" w:lineRule="auto"/>
        <w:ind w:right="996"/>
        <w:jc w:val="left"/>
      </w:pPr>
      <w:r>
        <w:rPr/>
        <w:t>组合中，采用余额百分比法计提坏账准备的应收账款：</w:t>
      </w:r>
    </w:p>
    <w:p>
      <w:pPr>
        <w:pStyle w:val="BodyText"/>
        <w:spacing w:line="240" w:lineRule="auto" w:before="157"/>
        <w:ind w:right="996"/>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2"/>
        </w:rPr>
        <w:t> </w:t>
      </w:r>
      <w:r>
        <w:rPr/>
        <w:t>不适用</w:t>
      </w:r>
    </w:p>
    <w:p>
      <w:pPr>
        <w:spacing w:line="357" w:lineRule="auto" w:before="142"/>
        <w:ind w:left="540" w:right="996" w:hanging="428"/>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49"/>
          <w:sz w:val="21"/>
          <w:szCs w:val="21"/>
        </w:rPr>
        <w:t> </w:t>
      </w:r>
      <w:r>
        <w:rPr>
          <w:rFonts w:ascii="宋体" w:hAnsi="宋体" w:cs="宋体" w:eastAsia="宋体" w:hint="default"/>
          <w:b/>
          <w:bCs/>
          <w:sz w:val="21"/>
          <w:szCs w:val="21"/>
        </w:rPr>
        <w:t>本期计提、收回或转回的坏账准备情况</w:t>
      </w:r>
      <w:r>
        <w:rPr>
          <w:rFonts w:ascii="宋体" w:hAnsi="宋体" w:cs="宋体" w:eastAsia="宋体" w:hint="default"/>
          <w:b/>
          <w:bCs/>
          <w:w w:val="99"/>
          <w:sz w:val="21"/>
          <w:szCs w:val="21"/>
        </w:rPr>
        <w:t> </w:t>
      </w:r>
      <w:r>
        <w:rPr>
          <w:rFonts w:ascii="宋体" w:hAnsi="宋体" w:cs="宋体" w:eastAsia="宋体" w:hint="default"/>
          <w:w w:val="95"/>
          <w:sz w:val="21"/>
          <w:szCs w:val="21"/>
        </w:rPr>
        <w:t>本期计提坏账准备金额</w:t>
      </w:r>
      <w:r>
        <w:rPr>
          <w:rFonts w:ascii="Arial" w:hAnsi="Arial" w:cs="Arial" w:eastAsia="Arial" w:hint="default"/>
          <w:w w:val="95"/>
          <w:sz w:val="21"/>
          <w:szCs w:val="21"/>
        </w:rPr>
        <w:t>15,652,258.42</w:t>
      </w:r>
      <w:r>
        <w:rPr>
          <w:rFonts w:ascii="宋体" w:hAnsi="宋体" w:cs="宋体" w:eastAsia="宋体" w:hint="default"/>
          <w:w w:val="95"/>
          <w:sz w:val="21"/>
          <w:szCs w:val="21"/>
        </w:rPr>
        <w:t>元；本期收回或转回坏账准备金额</w:t>
      </w:r>
      <w:r>
        <w:rPr>
          <w:rFonts w:ascii="Arial" w:hAnsi="Arial" w:cs="Arial" w:eastAsia="Arial" w:hint="default"/>
          <w:w w:val="95"/>
          <w:sz w:val="21"/>
          <w:szCs w:val="21"/>
        </w:rPr>
        <w:t>294,687.93</w:t>
      </w:r>
      <w:r>
        <w:rPr>
          <w:rFonts w:ascii="宋体" w:hAnsi="宋体" w:cs="宋体" w:eastAsia="宋体" w:hint="default"/>
          <w:w w:val="95"/>
          <w:sz w:val="21"/>
          <w:szCs w:val="21"/>
        </w:rPr>
        <w:t>元。</w:t>
      </w:r>
      <w:r>
        <w:rPr>
          <w:rFonts w:ascii="宋体" w:hAnsi="宋体" w:cs="宋体" w:eastAsia="宋体" w:hint="default"/>
          <w:sz w:val="21"/>
          <w:szCs w:val="21"/>
        </w:rPr>
      </w:r>
    </w:p>
    <w:p>
      <w:pPr>
        <w:spacing w:after="0" w:line="357" w:lineRule="auto"/>
        <w:jc w:val="left"/>
        <w:rPr>
          <w:rFonts w:ascii="宋体" w:hAnsi="宋体" w:cs="宋体" w:eastAsia="宋体" w:hint="default"/>
          <w:sz w:val="21"/>
          <w:szCs w:val="21"/>
        </w:rPr>
        <w:sectPr>
          <w:type w:val="continuous"/>
          <w:pgSz w:w="11910" w:h="16840"/>
          <w:pgMar w:top="1060" w:bottom="1160" w:left="1020" w:right="0"/>
        </w:sectPr>
      </w:pPr>
    </w:p>
    <w:p>
      <w:pPr>
        <w:spacing w:line="240" w:lineRule="auto" w:before="12"/>
        <w:rPr>
          <w:rFonts w:ascii="宋体" w:hAnsi="宋体" w:cs="宋体" w:eastAsia="宋体" w:hint="default"/>
          <w:sz w:val="20"/>
          <w:szCs w:val="20"/>
        </w:rPr>
      </w:pPr>
    </w:p>
    <w:p>
      <w:pPr>
        <w:pStyle w:val="Heading4"/>
        <w:spacing w:line="240" w:lineRule="auto" w:before="34"/>
        <w:ind w:right="996"/>
        <w:jc w:val="left"/>
        <w:rPr>
          <w:b w:val="0"/>
          <w:bCs w:val="0"/>
        </w:rPr>
      </w:pPr>
      <w:r>
        <w:rPr>
          <w:rFonts w:ascii="Arial" w:hAnsi="Arial" w:cs="Arial" w:eastAsia="Arial" w:hint="default"/>
        </w:rPr>
        <w:t>3)</w:t>
      </w:r>
      <w:r>
        <w:rPr>
          <w:rFonts w:ascii="Arial" w:hAnsi="Arial" w:cs="Arial" w:eastAsia="Arial" w:hint="default"/>
          <w:spacing w:val="41"/>
        </w:rPr>
        <w:t> </w:t>
      </w:r>
      <w:r>
        <w:rPr/>
        <w:t>本期实际核销的应收账款情况</w:t>
      </w:r>
      <w:r>
        <w:rPr>
          <w:b w:val="0"/>
          <w:bCs w:val="0"/>
        </w:rPr>
      </w:r>
    </w:p>
    <w:p>
      <w:pPr>
        <w:spacing w:line="240" w:lineRule="auto" w:before="5"/>
        <w:rPr>
          <w:rFonts w:ascii="宋体" w:hAnsi="宋体" w:cs="宋体" w:eastAsia="宋体" w:hint="default"/>
          <w:b/>
          <w:bCs/>
          <w:sz w:val="9"/>
          <w:szCs w:val="9"/>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1,683,672.05</w:t>
            </w:r>
          </w:p>
        </w:tc>
      </w:tr>
    </w:tbl>
    <w:p>
      <w:pPr>
        <w:spacing w:line="240" w:lineRule="auto" w:before="7"/>
        <w:rPr>
          <w:rFonts w:ascii="宋体" w:hAnsi="宋体" w:cs="宋体" w:eastAsia="宋体" w:hint="default"/>
          <w:sz w:val="5"/>
          <w:szCs w:val="5"/>
        </w:rPr>
      </w:pPr>
    </w:p>
    <w:p>
      <w:pPr>
        <w:pStyle w:val="BodyText"/>
        <w:spacing w:line="240" w:lineRule="auto"/>
        <w:ind w:right="996"/>
        <w:jc w:val="left"/>
      </w:pPr>
      <w:r>
        <w:rPr/>
        <w:t>应收账款核销说明：</w:t>
      </w:r>
    </w:p>
    <w:p>
      <w:pPr>
        <w:pStyle w:val="BodyText"/>
        <w:spacing w:line="259" w:lineRule="auto" w:before="157"/>
        <w:ind w:right="996" w:firstLine="427"/>
        <w:jc w:val="left"/>
      </w:pPr>
      <w:r>
        <w:rPr>
          <w:rFonts w:ascii="Arial" w:hAnsi="Arial" w:cs="Arial" w:eastAsia="Arial" w:hint="default"/>
          <w:w w:val="95"/>
        </w:rPr>
        <w:t>2018</w:t>
      </w:r>
      <w:r>
        <w:rPr>
          <w:w w:val="95"/>
        </w:rPr>
        <w:t>年</w:t>
      </w:r>
      <w:r>
        <w:rPr>
          <w:rFonts w:ascii="Arial" w:hAnsi="Arial" w:cs="Arial" w:eastAsia="Arial" w:hint="default"/>
          <w:w w:val="95"/>
        </w:rPr>
        <w:t>12</w:t>
      </w:r>
      <w:r>
        <w:rPr>
          <w:w w:val="95"/>
        </w:rPr>
        <w:t>月</w:t>
      </w:r>
      <w:r>
        <w:rPr>
          <w:rFonts w:ascii="Arial" w:hAnsi="Arial" w:cs="Arial" w:eastAsia="Arial" w:hint="default"/>
          <w:w w:val="95"/>
        </w:rPr>
        <w:t>20</w:t>
      </w:r>
      <w:r>
        <w:rPr>
          <w:w w:val="95"/>
        </w:rPr>
        <w:t>日，公司召开的第六届董事会第三十八次会议审议通过了《关于坏账核销的议案》，</w:t>
      </w:r>
      <w:r>
        <w:rPr>
          <w:spacing w:val="-94"/>
          <w:w w:val="95"/>
        </w:rPr>
        <w:t> </w:t>
      </w:r>
      <w:r>
        <w:rPr>
          <w:spacing w:val="-94"/>
          <w:w w:val="95"/>
        </w:rPr>
      </w:r>
      <w:r>
        <w:rPr/>
        <w:t>核销了</w:t>
      </w:r>
      <w:r>
        <w:rPr>
          <w:rFonts w:ascii="Arial" w:hAnsi="Arial" w:cs="Arial" w:eastAsia="Arial" w:hint="default"/>
        </w:rPr>
        <w:t>19</w:t>
      </w:r>
      <w:r>
        <w:rPr/>
        <w:t>笔小额应收账款，合计</w:t>
      </w:r>
      <w:r>
        <w:rPr>
          <w:rFonts w:ascii="Arial" w:hAnsi="Arial" w:cs="Arial" w:eastAsia="Arial" w:hint="default"/>
        </w:rPr>
        <w:t>1,683,672.05</w:t>
      </w:r>
      <w:r>
        <w:rPr/>
        <w:t>元。</w:t>
      </w:r>
    </w:p>
    <w:p>
      <w:pPr>
        <w:spacing w:line="432" w:lineRule="exact" w:before="23"/>
        <w:ind w:left="540" w:right="996" w:hanging="428"/>
        <w:jc w:val="left"/>
        <w:rPr>
          <w:rFonts w:ascii="宋体" w:hAnsi="宋体" w:cs="宋体" w:eastAsia="宋体" w:hint="default"/>
          <w:sz w:val="21"/>
          <w:szCs w:val="21"/>
        </w:rPr>
      </w:pPr>
      <w:r>
        <w:rPr>
          <w:rFonts w:ascii="Arial" w:hAnsi="Arial" w:cs="Arial" w:eastAsia="Arial"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b/>
          <w:bCs/>
          <w:w w:val="99"/>
          <w:sz w:val="21"/>
          <w:szCs w:val="21"/>
        </w:rPr>
        <w:t> </w:t>
      </w:r>
      <w:r>
        <w:rPr>
          <w:rFonts w:ascii="宋体" w:hAnsi="宋体" w:cs="宋体" w:eastAsia="宋体" w:hint="default"/>
          <w:w w:val="95"/>
          <w:sz w:val="21"/>
          <w:szCs w:val="21"/>
        </w:rPr>
        <w:t>本期按欠款方归集的期末余额前五名应收账款汇总金额</w:t>
      </w:r>
      <w:r>
        <w:rPr>
          <w:rFonts w:ascii="Arial" w:hAnsi="Arial" w:cs="Arial" w:eastAsia="Arial" w:hint="default"/>
          <w:w w:val="95"/>
          <w:sz w:val="21"/>
          <w:szCs w:val="21"/>
        </w:rPr>
        <w:t>126,209,664.45</w:t>
      </w:r>
      <w:r>
        <w:rPr>
          <w:rFonts w:ascii="宋体" w:hAnsi="宋体" w:cs="宋体" w:eastAsia="宋体" w:hint="default"/>
          <w:w w:val="95"/>
          <w:sz w:val="21"/>
          <w:szCs w:val="21"/>
        </w:rPr>
        <w:t>元，占应收账款期末余额合计</w:t>
      </w:r>
      <w:r>
        <w:rPr>
          <w:rFonts w:ascii="宋体" w:hAnsi="宋体" w:cs="宋体" w:eastAsia="宋体" w:hint="default"/>
          <w:sz w:val="21"/>
          <w:szCs w:val="21"/>
        </w:rPr>
      </w:r>
    </w:p>
    <w:p>
      <w:pPr>
        <w:pStyle w:val="BodyText"/>
        <w:spacing w:line="270" w:lineRule="exact" w:before="0"/>
        <w:ind w:right="996"/>
        <w:jc w:val="left"/>
      </w:pPr>
      <w:r>
        <w:rPr/>
        <w:t>数的比例</w:t>
      </w:r>
      <w:r>
        <w:rPr>
          <w:rFonts w:ascii="Arial" w:hAnsi="Arial" w:cs="Arial" w:eastAsia="Arial" w:hint="default"/>
        </w:rPr>
        <w:t>12.70%</w:t>
      </w:r>
      <w:r>
        <w:rPr/>
        <w:t>，相应计提的坏账准备期末余额汇总金额</w:t>
      </w:r>
      <w:r>
        <w:rPr>
          <w:rFonts w:ascii="Arial" w:hAnsi="Arial" w:cs="Arial" w:eastAsia="Arial" w:hint="default"/>
        </w:rPr>
        <w:t>2,555,570.54</w:t>
      </w:r>
      <w:r>
        <w:rPr/>
        <w:t>元。</w:t>
      </w:r>
    </w:p>
    <w:p>
      <w:pPr>
        <w:spacing w:line="240" w:lineRule="auto" w:before="8"/>
        <w:rPr>
          <w:rFonts w:ascii="宋体" w:hAnsi="宋体" w:cs="宋体" w:eastAsia="宋体" w:hint="default"/>
          <w:sz w:val="24"/>
          <w:szCs w:val="24"/>
        </w:rPr>
      </w:pPr>
    </w:p>
    <w:p>
      <w:pPr>
        <w:pStyle w:val="Heading4"/>
        <w:spacing w:line="240" w:lineRule="auto"/>
        <w:ind w:right="996"/>
        <w:jc w:val="left"/>
        <w:rPr>
          <w:b w:val="0"/>
          <w:bCs w:val="0"/>
        </w:rPr>
      </w:pPr>
      <w:bookmarkStart w:name="3、预付款项" w:id="217"/>
      <w:bookmarkEnd w:id="217"/>
      <w:r>
        <w:rPr>
          <w:b w:val="0"/>
          <w:bCs w:val="0"/>
        </w:rPr>
      </w:r>
      <w:r>
        <w:rPr>
          <w:rFonts w:ascii="Arial" w:hAnsi="Arial" w:cs="Arial" w:eastAsia="Arial" w:hint="default"/>
        </w:rPr>
        <w:t>3</w:t>
      </w:r>
      <w:r>
        <w:rPr/>
        <w:t>、预付款项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6"/>
        <w:jc w:val="left"/>
        <w:rPr>
          <w:b w:val="0"/>
          <w:bCs w:val="0"/>
        </w:rPr>
      </w:pPr>
      <w:bookmarkStart w:name="（1）预付款项按账龄列示" w:id="218"/>
      <w:bookmarkEnd w:id="218"/>
      <w:r>
        <w:rPr>
          <w:b w:val="0"/>
          <w:bCs w:val="0"/>
        </w:rPr>
      </w:r>
      <w:r>
        <w:rPr/>
        <w:t>（</w:t>
      </w:r>
      <w:r>
        <w:rPr>
          <w:rFonts w:ascii="Arial" w:hAnsi="Arial" w:cs="Arial" w:eastAsia="Arial" w:hint="default"/>
        </w:rPr>
        <w:t>1</w:t>
      </w:r>
      <w:r>
        <w:rPr/>
        <w:t>）预付款项按账龄列示</w:t>
      </w:r>
      <w:r>
        <w:rPr>
          <w:b w:val="0"/>
          <w:bCs w:val="0"/>
        </w:rPr>
      </w:r>
    </w:p>
    <w:p>
      <w:pPr>
        <w:spacing w:line="240" w:lineRule="auto" w:before="7"/>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2"/>
                <w:sz w:val="18"/>
              </w:rPr>
              <w:t>38,142,117.15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96.07%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25,715,880.98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90.91%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1,313,128.79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3.31%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2,377,098.48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8.40%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129,314.91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0.32%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75,289.20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0.27%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2"/>
                <w:sz w:val="18"/>
              </w:rPr>
              <w:t>118,100.00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0.30%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120,200.00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0.42%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39,702,660.85</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Arial" w:hAnsi="Arial" w:cs="Arial" w:eastAsia="Arial" w:hint="default"/>
                <w:sz w:val="18"/>
                <w:szCs w:val="18"/>
              </w:rPr>
            </w:pPr>
            <w:r>
              <w:rPr>
                <w:rFonts w:ascii="Arial"/>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28,288,468.66</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Arial" w:hAnsi="Arial" w:cs="Arial" w:eastAsia="Arial" w:hint="default"/>
                <w:sz w:val="18"/>
                <w:szCs w:val="18"/>
              </w:rPr>
            </w:pPr>
            <w:r>
              <w:rPr>
                <w:rFonts w:ascii="Arial"/>
                <w:sz w:val="18"/>
              </w:rPr>
              <w:t>--</w:t>
            </w:r>
          </w:p>
        </w:tc>
      </w:tr>
    </w:tbl>
    <w:p>
      <w:pPr>
        <w:spacing w:line="240" w:lineRule="auto" w:before="3"/>
        <w:rPr>
          <w:rFonts w:ascii="宋体" w:hAnsi="宋体" w:cs="宋体" w:eastAsia="宋体" w:hint="default"/>
          <w:sz w:val="19"/>
          <w:szCs w:val="19"/>
        </w:rPr>
      </w:pPr>
    </w:p>
    <w:p>
      <w:pPr>
        <w:pStyle w:val="Heading4"/>
        <w:spacing w:line="240" w:lineRule="auto" w:before="34"/>
        <w:ind w:right="996"/>
        <w:jc w:val="left"/>
        <w:rPr>
          <w:b w:val="0"/>
          <w:bCs w:val="0"/>
        </w:rPr>
      </w:pPr>
      <w:bookmarkStart w:name="（2）按预付对象归集的期末余额前五名的预付款情况" w:id="219"/>
      <w:bookmarkEnd w:id="219"/>
      <w:r>
        <w:rPr>
          <w:b w:val="0"/>
          <w:bCs w:val="0"/>
        </w:rPr>
      </w:r>
      <w:r>
        <w:rPr/>
        <w:t>（</w:t>
      </w:r>
      <w:r>
        <w:rPr>
          <w:rFonts w:ascii="Arial" w:hAnsi="Arial" w:cs="Arial" w:eastAsia="Arial" w:hint="default"/>
        </w:rPr>
        <w:t>2</w:t>
      </w:r>
      <w:r>
        <w:rPr/>
        <w:t>）按预付对象归集的期末余额前五名的预付款情况</w:t>
      </w:r>
      <w:r>
        <w:rPr>
          <w:b w:val="0"/>
          <w:bCs w:val="0"/>
        </w:rPr>
      </w:r>
    </w:p>
    <w:p>
      <w:pPr>
        <w:spacing w:line="240" w:lineRule="auto" w:before="8"/>
        <w:rPr>
          <w:rFonts w:ascii="宋体" w:hAnsi="宋体" w:cs="宋体" w:eastAsia="宋体" w:hint="default"/>
          <w:b/>
          <w:bCs/>
          <w:sz w:val="24"/>
          <w:szCs w:val="24"/>
        </w:rPr>
      </w:pPr>
    </w:p>
    <w:p>
      <w:pPr>
        <w:pStyle w:val="BodyText"/>
        <w:spacing w:line="259" w:lineRule="auto" w:before="0"/>
        <w:ind w:right="996" w:firstLine="427"/>
        <w:jc w:val="left"/>
      </w:pPr>
      <w:r>
        <w:rPr>
          <w:w w:val="95"/>
        </w:rPr>
        <w:t>本期按预付对象归集的期末余额前五名预付款项汇总金额</w:t>
      </w:r>
      <w:r>
        <w:rPr>
          <w:rFonts w:ascii="Arial" w:hAnsi="Arial" w:cs="Arial" w:eastAsia="Arial" w:hint="default"/>
          <w:w w:val="95"/>
        </w:rPr>
        <w:t>19,127,967.53</w:t>
      </w:r>
      <w:r>
        <w:rPr>
          <w:w w:val="95"/>
        </w:rPr>
        <w:t>元，占预付款项期末余额合</w:t>
      </w:r>
      <w:r>
        <w:rPr>
          <w:w w:val="99"/>
        </w:rPr>
        <w:t> </w:t>
      </w:r>
      <w:r>
        <w:rPr/>
        <w:t>计数的比例</w:t>
      </w:r>
      <w:r>
        <w:rPr>
          <w:rFonts w:ascii="Arial" w:hAnsi="Arial" w:cs="Arial" w:eastAsia="Arial" w:hint="default"/>
        </w:rPr>
        <w:t>48.18%</w:t>
      </w:r>
      <w:r>
        <w:rPr/>
        <w:t>。</w:t>
      </w:r>
    </w:p>
    <w:p>
      <w:pPr>
        <w:spacing w:line="240" w:lineRule="auto" w:before="5"/>
        <w:rPr>
          <w:rFonts w:ascii="宋体" w:hAnsi="宋体" w:cs="宋体" w:eastAsia="宋体" w:hint="default"/>
          <w:sz w:val="23"/>
          <w:szCs w:val="23"/>
        </w:rPr>
      </w:pPr>
    </w:p>
    <w:p>
      <w:pPr>
        <w:pStyle w:val="Heading4"/>
        <w:spacing w:line="240" w:lineRule="auto"/>
        <w:ind w:right="996"/>
        <w:jc w:val="left"/>
        <w:rPr>
          <w:b w:val="0"/>
          <w:bCs w:val="0"/>
        </w:rPr>
      </w:pPr>
      <w:bookmarkStart w:name="4、其他应收款" w:id="220"/>
      <w:bookmarkEnd w:id="220"/>
      <w:r>
        <w:rPr>
          <w:b w:val="0"/>
          <w:bCs w:val="0"/>
        </w:rPr>
      </w:r>
      <w:r>
        <w:rPr>
          <w:rFonts w:ascii="Arial" w:hAnsi="Arial" w:cs="Arial" w:eastAsia="Arial" w:hint="default"/>
        </w:rPr>
        <w:t>4</w:t>
      </w:r>
      <w:r>
        <w:rPr/>
        <w:t>、其他应收款</w:t>
      </w:r>
      <w:r>
        <w:rPr>
          <w:b w:val="0"/>
          <w:bCs w:val="0"/>
        </w:rPr>
      </w:r>
    </w:p>
    <w:p>
      <w:pPr>
        <w:spacing w:line="240" w:lineRule="auto" w:before="7"/>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1,044,938.00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958,108.00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282,589,861.06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201,252,525.56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283,634,799.06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202,210,633.56</w:t>
            </w:r>
          </w:p>
        </w:tc>
      </w:tr>
    </w:tbl>
    <w:p>
      <w:pPr>
        <w:spacing w:after="0" w:line="240" w:lineRule="auto"/>
        <w:jc w:val="right"/>
        <w:rPr>
          <w:rFonts w:ascii="Arial" w:hAnsi="Arial" w:cs="Arial" w:eastAsia="Arial" w:hint="default"/>
          <w:sz w:val="18"/>
          <w:szCs w:val="18"/>
        </w:rPr>
        <w:sectPr>
          <w:pgSz w:w="11910" w:h="16840"/>
          <w:pgMar w:header="878" w:footer="978" w:top="1100" w:bottom="1160" w:left="1020" w:right="0"/>
        </w:sectPr>
      </w:pPr>
    </w:p>
    <w:p>
      <w:pPr>
        <w:spacing w:line="240" w:lineRule="auto" w:before="12"/>
        <w:rPr>
          <w:rFonts w:ascii="宋体" w:hAnsi="宋体" w:cs="宋体" w:eastAsia="宋体" w:hint="default"/>
          <w:sz w:val="20"/>
          <w:szCs w:val="20"/>
        </w:rPr>
      </w:pPr>
    </w:p>
    <w:p>
      <w:pPr>
        <w:pStyle w:val="Heading4"/>
        <w:spacing w:line="240" w:lineRule="auto" w:before="34"/>
        <w:ind w:right="996"/>
        <w:jc w:val="left"/>
        <w:rPr>
          <w:b w:val="0"/>
          <w:bCs w:val="0"/>
        </w:rPr>
      </w:pPr>
      <w:bookmarkStart w:name="（1）应收利息" w:id="221"/>
      <w:bookmarkEnd w:id="221"/>
      <w:r>
        <w:rPr>
          <w:b w:val="0"/>
          <w:bCs w:val="0"/>
        </w:rPr>
      </w:r>
      <w:r>
        <w:rPr/>
        <w:t>（</w:t>
      </w:r>
      <w:r>
        <w:rPr>
          <w:rFonts w:ascii="Arial" w:hAnsi="Arial" w:cs="Arial" w:eastAsia="Arial" w:hint="default"/>
        </w:rPr>
        <w:t>1</w:t>
      </w:r>
      <w:r>
        <w:rPr/>
        <w:t>）应收利息</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七天通知存款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1,044,938.00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958,108.00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1,044,938.00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958,108.00</w:t>
            </w:r>
          </w:p>
        </w:tc>
      </w:tr>
    </w:tbl>
    <w:p>
      <w:pPr>
        <w:spacing w:line="240" w:lineRule="auto" w:before="4"/>
        <w:rPr>
          <w:rFonts w:ascii="宋体" w:hAnsi="宋体" w:cs="宋体" w:eastAsia="宋体" w:hint="default"/>
          <w:sz w:val="19"/>
          <w:szCs w:val="19"/>
        </w:rPr>
      </w:pPr>
    </w:p>
    <w:p>
      <w:pPr>
        <w:pStyle w:val="Heading4"/>
        <w:spacing w:line="240" w:lineRule="auto" w:before="34"/>
        <w:ind w:right="996"/>
        <w:jc w:val="left"/>
        <w:rPr>
          <w:b w:val="0"/>
          <w:bCs w:val="0"/>
        </w:rPr>
      </w:pPr>
      <w:bookmarkStart w:name="（2）其他应收款" w:id="222"/>
      <w:bookmarkEnd w:id="222"/>
      <w:r>
        <w:rPr>
          <w:b w:val="0"/>
          <w:bCs w:val="0"/>
        </w:rPr>
      </w:r>
      <w:r>
        <w:rPr/>
        <w:t>（</w:t>
      </w:r>
      <w:r>
        <w:rPr>
          <w:rFonts w:ascii="Arial" w:hAnsi="Arial" w:cs="Arial" w:eastAsia="Arial" w:hint="default"/>
        </w:rPr>
        <w:t>2</w:t>
      </w:r>
      <w:r>
        <w:rPr/>
        <w:t>）其他应收款</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8" w:footer="978" w:top="1100" w:bottom="1160" w:left="1020" w:right="0"/>
        </w:sectPr>
      </w:pPr>
    </w:p>
    <w:p>
      <w:pPr>
        <w:pStyle w:val="Heading4"/>
        <w:spacing w:line="240" w:lineRule="auto" w:before="34"/>
        <w:ind w:right="-17"/>
        <w:jc w:val="left"/>
        <w:rPr>
          <w:b w:val="0"/>
          <w:bCs w:val="0"/>
        </w:rPr>
      </w:pPr>
      <w:r>
        <w:rPr>
          <w:rFonts w:ascii="Arial" w:hAnsi="Arial" w:cs="Arial" w:eastAsia="Arial" w:hint="default"/>
        </w:rPr>
        <w:t>1)</w:t>
      </w:r>
      <w:r>
        <w:rPr>
          <w:rFonts w:ascii="Arial" w:hAnsi="Arial" w:cs="Arial" w:eastAsia="Arial" w:hint="default"/>
          <w:spacing w:val="44"/>
        </w:rPr>
        <w:t> </w:t>
      </w:r>
      <w:r>
        <w:rPr/>
        <w:t>其他应收款分类披露</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5"/>
        <w:rPr>
          <w:rFonts w:ascii="宋体" w:hAnsi="宋体" w:cs="宋体" w:eastAsia="宋体" w:hint="default"/>
          <w:b/>
          <w:bCs/>
          <w:sz w:val="13"/>
          <w:szCs w:val="13"/>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0"/>
          <w:cols w:num="2" w:equalWidth="0">
            <w:col w:w="2302" w:space="6527"/>
            <w:col w:w="2061"/>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0" w:right="0"/>
              <w:jc w:val="center"/>
              <w:rPr>
                <w:rFonts w:ascii="Arial" w:hAnsi="Arial" w:cs="Arial" w:eastAsia="Arial" w:hint="default"/>
                <w:sz w:val="18"/>
                <w:szCs w:val="18"/>
              </w:rPr>
            </w:pPr>
            <w:r>
              <w:rPr>
                <w:rFonts w:ascii="Arial"/>
                <w:sz w:val="18"/>
              </w:rPr>
              <w:t>300,907,</w:t>
            </w:r>
          </w:p>
          <w:p>
            <w:pPr>
              <w:pStyle w:val="TableParagraph"/>
              <w:spacing w:line="240" w:lineRule="auto" w:before="105"/>
              <w:ind w:left="156" w:right="0"/>
              <w:jc w:val="center"/>
              <w:rPr>
                <w:rFonts w:ascii="Arial" w:hAnsi="Arial" w:cs="Arial" w:eastAsia="Arial" w:hint="default"/>
                <w:sz w:val="18"/>
                <w:szCs w:val="18"/>
              </w:rPr>
            </w:pPr>
            <w:r>
              <w:rPr>
                <w:rFonts w:ascii="Arial"/>
                <w:sz w:val="18"/>
              </w:rPr>
              <w:t>508.58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100.00</w:t>
            </w:r>
          </w:p>
          <w:p>
            <w:pPr>
              <w:pStyle w:val="TableParagraph"/>
              <w:spacing w:line="240" w:lineRule="auto" w:before="105"/>
              <w:ind w:right="22"/>
              <w:jc w:val="right"/>
              <w:rPr>
                <w:rFonts w:ascii="Arial" w:hAnsi="Arial" w:cs="Arial" w:eastAsia="Arial" w:hint="default"/>
                <w:sz w:val="18"/>
                <w:szCs w:val="18"/>
              </w:rPr>
            </w:pPr>
            <w:r>
              <w:rPr>
                <w:rFonts w:ascii="Arial"/>
                <w:w w:val="99"/>
                <w:sz w:val="18"/>
              </w:rPr>
              <w:t>%</w:t>
            </w:r>
            <w:r>
              <w:rPr>
                <w:rFonts w:ascii="Arial"/>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9" w:right="0"/>
              <w:jc w:val="left"/>
              <w:rPr>
                <w:rFonts w:ascii="Arial" w:hAnsi="Arial" w:cs="Arial" w:eastAsia="Arial" w:hint="default"/>
                <w:sz w:val="18"/>
                <w:szCs w:val="18"/>
              </w:rPr>
            </w:pPr>
            <w:r>
              <w:rPr>
                <w:rFonts w:ascii="Arial"/>
                <w:sz w:val="18"/>
              </w:rPr>
              <w:t>18,317,6</w:t>
            </w:r>
          </w:p>
          <w:p>
            <w:pPr>
              <w:pStyle w:val="TableParagraph"/>
              <w:spacing w:line="240" w:lineRule="auto" w:before="105"/>
              <w:ind w:left="278" w:right="0"/>
              <w:jc w:val="left"/>
              <w:rPr>
                <w:rFonts w:ascii="Arial" w:hAnsi="Arial" w:cs="Arial" w:eastAsia="Arial" w:hint="default"/>
                <w:sz w:val="18"/>
                <w:szCs w:val="18"/>
              </w:rPr>
            </w:pPr>
            <w:r>
              <w:rPr>
                <w:rFonts w:ascii="Arial"/>
                <w:sz w:val="18"/>
              </w:rPr>
              <w:t>47.52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sz w:val="18"/>
              </w:rPr>
              <w:t>6.09%</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5" w:right="0"/>
              <w:jc w:val="center"/>
              <w:rPr>
                <w:rFonts w:ascii="Arial" w:hAnsi="Arial" w:cs="Arial" w:eastAsia="Arial" w:hint="default"/>
                <w:sz w:val="18"/>
                <w:szCs w:val="18"/>
              </w:rPr>
            </w:pPr>
            <w:r>
              <w:rPr>
                <w:rFonts w:ascii="Arial"/>
                <w:sz w:val="18"/>
              </w:rPr>
              <w:t>282,589,</w:t>
            </w:r>
          </w:p>
          <w:p>
            <w:pPr>
              <w:pStyle w:val="TableParagraph"/>
              <w:spacing w:line="240" w:lineRule="auto" w:before="105"/>
              <w:ind w:left="183" w:right="0"/>
              <w:jc w:val="center"/>
              <w:rPr>
                <w:rFonts w:ascii="Arial" w:hAnsi="Arial" w:cs="Arial" w:eastAsia="Arial" w:hint="default"/>
                <w:sz w:val="18"/>
                <w:szCs w:val="18"/>
              </w:rPr>
            </w:pPr>
            <w:r>
              <w:rPr>
                <w:rFonts w:ascii="Arial"/>
                <w:sz w:val="18"/>
              </w:rPr>
              <w:t>861.06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left"/>
              <w:rPr>
                <w:rFonts w:ascii="Arial" w:hAnsi="Arial" w:cs="Arial" w:eastAsia="Arial" w:hint="default"/>
                <w:sz w:val="18"/>
                <w:szCs w:val="18"/>
              </w:rPr>
            </w:pPr>
            <w:r>
              <w:rPr>
                <w:rFonts w:ascii="Arial"/>
                <w:sz w:val="18"/>
              </w:rPr>
              <w:t>213,87</w:t>
            </w:r>
          </w:p>
          <w:p>
            <w:pPr>
              <w:pStyle w:val="TableParagraph"/>
              <w:spacing w:line="240" w:lineRule="auto" w:before="105"/>
              <w:ind w:left="120" w:right="0"/>
              <w:jc w:val="left"/>
              <w:rPr>
                <w:rFonts w:ascii="Arial" w:hAnsi="Arial" w:cs="Arial" w:eastAsia="Arial" w:hint="default"/>
                <w:sz w:val="18"/>
                <w:szCs w:val="18"/>
              </w:rPr>
            </w:pPr>
            <w:r>
              <w:rPr>
                <w:rFonts w:ascii="Arial"/>
                <w:sz w:val="18"/>
              </w:rPr>
              <w:t>8,323.</w:t>
            </w:r>
          </w:p>
          <w:p>
            <w:pPr>
              <w:pStyle w:val="TableParagraph"/>
              <w:spacing w:line="240" w:lineRule="auto" w:before="105"/>
              <w:ind w:left="420" w:right="0"/>
              <w:jc w:val="left"/>
              <w:rPr>
                <w:rFonts w:ascii="Arial" w:hAnsi="Arial" w:cs="Arial" w:eastAsia="Arial" w:hint="default"/>
                <w:sz w:val="18"/>
                <w:szCs w:val="18"/>
              </w:rPr>
            </w:pPr>
            <w:r>
              <w:rPr>
                <w:rFonts w:ascii="Arial"/>
                <w:sz w:val="18"/>
              </w:rPr>
              <w:t>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100.00</w:t>
            </w:r>
          </w:p>
          <w:p>
            <w:pPr>
              <w:pStyle w:val="TableParagraph"/>
              <w:spacing w:line="240" w:lineRule="auto" w:before="105"/>
              <w:ind w:right="20"/>
              <w:jc w:val="right"/>
              <w:rPr>
                <w:rFonts w:ascii="Arial" w:hAnsi="Arial" w:cs="Arial" w:eastAsia="Arial" w:hint="default"/>
                <w:sz w:val="18"/>
                <w:szCs w:val="18"/>
              </w:rPr>
            </w:pPr>
            <w:r>
              <w:rPr>
                <w:rFonts w:ascii="Arial"/>
                <w:w w:val="99"/>
                <w:sz w:val="18"/>
              </w:rPr>
              <w:t>%</w:t>
            </w:r>
            <w:r>
              <w:rPr>
                <w:rFonts w:ascii="Arial"/>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9" w:right="0"/>
              <w:jc w:val="left"/>
              <w:rPr>
                <w:rFonts w:ascii="Arial" w:hAnsi="Arial" w:cs="Arial" w:eastAsia="Arial" w:hint="default"/>
                <w:sz w:val="18"/>
                <w:szCs w:val="18"/>
              </w:rPr>
            </w:pPr>
            <w:r>
              <w:rPr>
                <w:rFonts w:ascii="Arial"/>
                <w:sz w:val="18"/>
              </w:rPr>
              <w:t>12,625,7</w:t>
            </w:r>
          </w:p>
          <w:p>
            <w:pPr>
              <w:pStyle w:val="TableParagraph"/>
              <w:spacing w:line="240" w:lineRule="auto" w:before="105"/>
              <w:ind w:left="328" w:right="0"/>
              <w:jc w:val="left"/>
              <w:rPr>
                <w:rFonts w:ascii="Arial" w:hAnsi="Arial" w:cs="Arial" w:eastAsia="Arial" w:hint="default"/>
                <w:sz w:val="18"/>
                <w:szCs w:val="18"/>
              </w:rPr>
            </w:pPr>
            <w:r>
              <w:rPr>
                <w:rFonts w:ascii="Arial"/>
                <w:sz w:val="18"/>
              </w:rPr>
              <w:t>98.24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sz w:val="18"/>
              </w:rPr>
              <w:t>5.90%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8" w:right="0"/>
              <w:jc w:val="left"/>
              <w:rPr>
                <w:rFonts w:ascii="Arial" w:hAnsi="Arial" w:cs="Arial" w:eastAsia="Arial" w:hint="default"/>
                <w:sz w:val="18"/>
                <w:szCs w:val="18"/>
              </w:rPr>
            </w:pPr>
            <w:r>
              <w:rPr>
                <w:rFonts w:ascii="Arial"/>
                <w:sz w:val="18"/>
              </w:rPr>
              <w:t>201,252,5</w:t>
            </w:r>
          </w:p>
          <w:p>
            <w:pPr>
              <w:pStyle w:val="TableParagraph"/>
              <w:spacing w:line="240" w:lineRule="auto" w:before="105"/>
              <w:ind w:left="448" w:right="0"/>
              <w:jc w:val="left"/>
              <w:rPr>
                <w:rFonts w:ascii="Arial" w:hAnsi="Arial" w:cs="Arial" w:eastAsia="Arial" w:hint="default"/>
                <w:sz w:val="18"/>
                <w:szCs w:val="18"/>
              </w:rPr>
            </w:pPr>
            <w:r>
              <w:rPr>
                <w:rFonts w:ascii="Arial"/>
                <w:sz w:val="18"/>
              </w:rPr>
              <w:t>25.56</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 w:right="0"/>
              <w:jc w:val="center"/>
              <w:rPr>
                <w:rFonts w:ascii="Arial" w:hAnsi="Arial" w:cs="Arial" w:eastAsia="Arial" w:hint="default"/>
                <w:sz w:val="18"/>
                <w:szCs w:val="18"/>
              </w:rPr>
            </w:pPr>
            <w:r>
              <w:rPr>
                <w:rFonts w:ascii="Arial"/>
                <w:sz w:val="18"/>
              </w:rPr>
              <w:t>300,907,</w:t>
            </w:r>
          </w:p>
          <w:p>
            <w:pPr>
              <w:pStyle w:val="TableParagraph"/>
              <w:spacing w:line="240" w:lineRule="auto" w:before="105"/>
              <w:ind w:left="156" w:right="0"/>
              <w:jc w:val="center"/>
              <w:rPr>
                <w:rFonts w:ascii="Arial" w:hAnsi="Arial" w:cs="Arial" w:eastAsia="Arial" w:hint="default"/>
                <w:sz w:val="18"/>
                <w:szCs w:val="18"/>
              </w:rPr>
            </w:pPr>
            <w:r>
              <w:rPr>
                <w:rFonts w:ascii="Arial"/>
                <w:sz w:val="18"/>
              </w:rPr>
              <w:t>508.58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100.00</w:t>
            </w:r>
          </w:p>
          <w:p>
            <w:pPr>
              <w:pStyle w:val="TableParagraph"/>
              <w:spacing w:line="240" w:lineRule="auto" w:before="105"/>
              <w:ind w:right="22"/>
              <w:jc w:val="right"/>
              <w:rPr>
                <w:rFonts w:ascii="Arial" w:hAnsi="Arial" w:cs="Arial" w:eastAsia="Arial" w:hint="default"/>
                <w:sz w:val="18"/>
                <w:szCs w:val="18"/>
              </w:rPr>
            </w:pPr>
            <w:r>
              <w:rPr>
                <w:rFonts w:ascii="Arial"/>
                <w:w w:val="99"/>
                <w:sz w:val="18"/>
              </w:rPr>
              <w:t>%</w:t>
            </w:r>
            <w:r>
              <w:rPr>
                <w:rFonts w:ascii="Arial"/>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 w:right="0"/>
              <w:jc w:val="left"/>
              <w:rPr>
                <w:rFonts w:ascii="Arial" w:hAnsi="Arial" w:cs="Arial" w:eastAsia="Arial" w:hint="default"/>
                <w:sz w:val="18"/>
                <w:szCs w:val="18"/>
              </w:rPr>
            </w:pPr>
            <w:r>
              <w:rPr>
                <w:rFonts w:ascii="Arial"/>
                <w:sz w:val="18"/>
              </w:rPr>
              <w:t>18,317,6</w:t>
            </w:r>
          </w:p>
          <w:p>
            <w:pPr>
              <w:pStyle w:val="TableParagraph"/>
              <w:spacing w:line="240" w:lineRule="auto" w:before="105"/>
              <w:ind w:left="278" w:right="0"/>
              <w:jc w:val="left"/>
              <w:rPr>
                <w:rFonts w:ascii="Arial" w:hAnsi="Arial" w:cs="Arial" w:eastAsia="Arial" w:hint="default"/>
                <w:sz w:val="18"/>
                <w:szCs w:val="18"/>
              </w:rPr>
            </w:pPr>
            <w:r>
              <w:rPr>
                <w:rFonts w:ascii="Arial"/>
                <w:sz w:val="18"/>
              </w:rPr>
              <w:t>47.52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sz w:val="18"/>
              </w:rPr>
              <w:t>6.09%</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center"/>
              <w:rPr>
                <w:rFonts w:ascii="Arial" w:hAnsi="Arial" w:cs="Arial" w:eastAsia="Arial" w:hint="default"/>
                <w:sz w:val="18"/>
                <w:szCs w:val="18"/>
              </w:rPr>
            </w:pPr>
            <w:r>
              <w:rPr>
                <w:rFonts w:ascii="Arial"/>
                <w:sz w:val="18"/>
              </w:rPr>
              <w:t>282,589,</w:t>
            </w:r>
          </w:p>
          <w:p>
            <w:pPr>
              <w:pStyle w:val="TableParagraph"/>
              <w:spacing w:line="240" w:lineRule="auto" w:before="105"/>
              <w:ind w:left="183" w:right="0"/>
              <w:jc w:val="center"/>
              <w:rPr>
                <w:rFonts w:ascii="Arial" w:hAnsi="Arial" w:cs="Arial" w:eastAsia="Arial" w:hint="default"/>
                <w:sz w:val="18"/>
                <w:szCs w:val="18"/>
              </w:rPr>
            </w:pPr>
            <w:r>
              <w:rPr>
                <w:rFonts w:ascii="Arial"/>
                <w:sz w:val="18"/>
              </w:rPr>
              <w:t>861.06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Arial" w:hAnsi="Arial" w:cs="Arial" w:eastAsia="Arial" w:hint="default"/>
                <w:sz w:val="18"/>
                <w:szCs w:val="18"/>
              </w:rPr>
            </w:pPr>
            <w:r>
              <w:rPr>
                <w:rFonts w:ascii="Arial"/>
                <w:sz w:val="18"/>
              </w:rPr>
              <w:t>213,87</w:t>
            </w:r>
          </w:p>
          <w:p>
            <w:pPr>
              <w:pStyle w:val="TableParagraph"/>
              <w:spacing w:line="240" w:lineRule="auto" w:before="105"/>
              <w:ind w:left="120" w:right="0"/>
              <w:jc w:val="left"/>
              <w:rPr>
                <w:rFonts w:ascii="Arial" w:hAnsi="Arial" w:cs="Arial" w:eastAsia="Arial" w:hint="default"/>
                <w:sz w:val="18"/>
                <w:szCs w:val="18"/>
              </w:rPr>
            </w:pPr>
            <w:r>
              <w:rPr>
                <w:rFonts w:ascii="Arial"/>
                <w:sz w:val="18"/>
              </w:rPr>
              <w:t>8,323.</w:t>
            </w:r>
          </w:p>
          <w:p>
            <w:pPr>
              <w:pStyle w:val="TableParagraph"/>
              <w:spacing w:line="240" w:lineRule="auto" w:before="105"/>
              <w:ind w:left="420" w:right="0"/>
              <w:jc w:val="left"/>
              <w:rPr>
                <w:rFonts w:ascii="Arial" w:hAnsi="Arial" w:cs="Arial" w:eastAsia="Arial" w:hint="default"/>
                <w:sz w:val="18"/>
                <w:szCs w:val="18"/>
              </w:rPr>
            </w:pPr>
            <w:r>
              <w:rPr>
                <w:rFonts w:ascii="Arial"/>
                <w:sz w:val="18"/>
              </w:rPr>
              <w:t>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100.00</w:t>
            </w:r>
          </w:p>
          <w:p>
            <w:pPr>
              <w:pStyle w:val="TableParagraph"/>
              <w:spacing w:line="240" w:lineRule="auto" w:before="105"/>
              <w:ind w:right="20"/>
              <w:jc w:val="right"/>
              <w:rPr>
                <w:rFonts w:ascii="Arial" w:hAnsi="Arial" w:cs="Arial" w:eastAsia="Arial" w:hint="default"/>
                <w:sz w:val="18"/>
                <w:szCs w:val="18"/>
              </w:rPr>
            </w:pPr>
            <w:r>
              <w:rPr>
                <w:rFonts w:ascii="Arial"/>
                <w:w w:val="99"/>
                <w:sz w:val="18"/>
              </w:rPr>
              <w:t>%</w:t>
            </w:r>
            <w:r>
              <w:rPr>
                <w:rFonts w:ascii="Arial"/>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Arial" w:hAnsi="Arial" w:cs="Arial" w:eastAsia="Arial" w:hint="default"/>
                <w:sz w:val="18"/>
                <w:szCs w:val="18"/>
              </w:rPr>
            </w:pPr>
            <w:r>
              <w:rPr>
                <w:rFonts w:ascii="Arial"/>
                <w:sz w:val="18"/>
              </w:rPr>
              <w:t>12,625,7</w:t>
            </w:r>
          </w:p>
          <w:p>
            <w:pPr>
              <w:pStyle w:val="TableParagraph"/>
              <w:spacing w:line="240" w:lineRule="auto" w:before="105"/>
              <w:ind w:left="328" w:right="0"/>
              <w:jc w:val="left"/>
              <w:rPr>
                <w:rFonts w:ascii="Arial" w:hAnsi="Arial" w:cs="Arial" w:eastAsia="Arial" w:hint="default"/>
                <w:sz w:val="18"/>
                <w:szCs w:val="18"/>
              </w:rPr>
            </w:pPr>
            <w:r>
              <w:rPr>
                <w:rFonts w:ascii="Arial"/>
                <w:sz w:val="18"/>
              </w:rPr>
              <w:t>98.24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sz w:val="18"/>
              </w:rPr>
              <w:t>5.90%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Arial" w:hAnsi="Arial" w:cs="Arial" w:eastAsia="Arial" w:hint="default"/>
                <w:sz w:val="18"/>
                <w:szCs w:val="18"/>
              </w:rPr>
            </w:pPr>
            <w:r>
              <w:rPr>
                <w:rFonts w:ascii="Arial"/>
                <w:sz w:val="18"/>
              </w:rPr>
              <w:t>201,252,5</w:t>
            </w:r>
          </w:p>
          <w:p>
            <w:pPr>
              <w:pStyle w:val="TableParagraph"/>
              <w:spacing w:line="240" w:lineRule="auto" w:before="105"/>
              <w:ind w:left="448" w:right="0"/>
              <w:jc w:val="left"/>
              <w:rPr>
                <w:rFonts w:ascii="Arial" w:hAnsi="Arial" w:cs="Arial" w:eastAsia="Arial" w:hint="default"/>
                <w:sz w:val="18"/>
                <w:szCs w:val="18"/>
              </w:rPr>
            </w:pPr>
            <w:r>
              <w:rPr>
                <w:rFonts w:ascii="Arial"/>
                <w:sz w:val="18"/>
              </w:rPr>
              <w:t>25.56</w:t>
            </w:r>
          </w:p>
        </w:tc>
      </w:tr>
    </w:tbl>
    <w:p>
      <w:pPr>
        <w:spacing w:line="240" w:lineRule="auto" w:before="5"/>
        <w:rPr>
          <w:rFonts w:ascii="宋体" w:hAnsi="宋体" w:cs="宋体" w:eastAsia="宋体" w:hint="default"/>
          <w:sz w:val="5"/>
          <w:szCs w:val="5"/>
        </w:rPr>
      </w:pPr>
    </w:p>
    <w:p>
      <w:pPr>
        <w:pStyle w:val="BodyText"/>
        <w:spacing w:line="240" w:lineRule="auto"/>
        <w:ind w:right="996"/>
        <w:jc w:val="left"/>
      </w:pPr>
      <w:r>
        <w:rPr/>
        <w:t>期末单项金额重大并单项计提坏账准备的其他应收款：</w:t>
      </w:r>
    </w:p>
    <w:p>
      <w:pPr>
        <w:pStyle w:val="BodyText"/>
        <w:spacing w:line="357" w:lineRule="auto" w:before="157"/>
        <w:ind w:right="547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7"/>
        </w:rPr>
        <w:t> </w:t>
      </w:r>
      <w:r>
        <w:rPr/>
        <w:t>不适用</w:t>
      </w:r>
      <w:r>
        <w:rPr>
          <w:w w:val="99"/>
        </w:rPr>
        <w:t> </w:t>
      </w:r>
      <w:r>
        <w:rPr>
          <w:w w:val="95"/>
        </w:rPr>
        <w:t>组合中，按账龄分析法计提坏账准备的其他应收款：</w:t>
      </w:r>
      <w:r>
        <w:rPr/>
      </w:r>
    </w:p>
    <w:p>
      <w:pPr>
        <w:pStyle w:val="BodyText"/>
        <w:spacing w:line="240" w:lineRule="auto" w:before="54"/>
        <w:ind w:right="996"/>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2"/>
        </w:rPr>
        <w:t> </w:t>
      </w:r>
      <w:r>
        <w:rPr/>
        <w:t>不适用</w:t>
      </w:r>
    </w:p>
    <w:p>
      <w:pPr>
        <w:spacing w:line="240" w:lineRule="auto" w:before="5"/>
        <w:rPr>
          <w:rFonts w:ascii="宋体" w:hAnsi="宋体" w:cs="宋体" w:eastAsia="宋体" w:hint="default"/>
          <w:sz w:val="9"/>
          <w:szCs w:val="9"/>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143,867,988.37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55,070,581.81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2,753,529.09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34,293,355.23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3,429,335.52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10.00%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13,430,268.45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4,029,080.53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30.00%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4,184,727.40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2,092,363.70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6,013,338.68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6,013,338.68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256,860,259.94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18,317,647.52</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5"/>
          <w:szCs w:val="5"/>
        </w:rPr>
      </w:pPr>
    </w:p>
    <w:p>
      <w:pPr>
        <w:pStyle w:val="BodyText"/>
        <w:spacing w:line="240" w:lineRule="auto"/>
        <w:ind w:right="996"/>
        <w:jc w:val="left"/>
      </w:pPr>
      <w:r>
        <w:rPr/>
        <w:t>组合中，采用余额百分比法计提坏账准备的其他应收款：</w:t>
      </w:r>
    </w:p>
    <w:p>
      <w:pPr>
        <w:spacing w:after="0" w:line="240" w:lineRule="auto"/>
        <w:jc w:val="left"/>
        <w:sectPr>
          <w:type w:val="continuous"/>
          <w:pgSz w:w="11910" w:h="16840"/>
          <w:pgMar w:top="1060" w:bottom="1160" w:left="1020" w:right="0"/>
        </w:sectPr>
      </w:pPr>
    </w:p>
    <w:p>
      <w:pPr>
        <w:spacing w:line="240" w:lineRule="auto" w:before="12"/>
        <w:rPr>
          <w:rFonts w:ascii="宋体" w:hAnsi="宋体" w:cs="宋体" w:eastAsia="宋体" w:hint="default"/>
          <w:sz w:val="20"/>
          <w:szCs w:val="20"/>
        </w:rPr>
      </w:pPr>
    </w:p>
    <w:p>
      <w:pPr>
        <w:pStyle w:val="BodyText"/>
        <w:spacing w:line="357" w:lineRule="auto"/>
        <w:ind w:right="547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7"/>
        </w:rPr>
        <w:t> </w:t>
      </w:r>
      <w:r>
        <w:rPr/>
        <w:t>不适用</w:t>
      </w:r>
      <w:r>
        <w:rPr>
          <w:w w:val="99"/>
        </w:rPr>
        <w:t> </w:t>
      </w:r>
      <w:r>
        <w:rPr>
          <w:w w:val="95"/>
        </w:rPr>
        <w:t>组合中，采用其他方法计提坏账准备的其他应收款：</w:t>
      </w:r>
      <w:r>
        <w:rPr/>
      </w:r>
    </w:p>
    <w:p>
      <w:pPr>
        <w:pStyle w:val="BodyText"/>
        <w:spacing w:line="240" w:lineRule="auto" w:before="54"/>
        <w:ind w:right="996"/>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2"/>
        </w:rPr>
        <w:t> </w:t>
      </w:r>
      <w:r>
        <w:rPr/>
        <w:t>不适用</w:t>
      </w:r>
    </w:p>
    <w:p>
      <w:pPr>
        <w:pStyle w:val="BodyText"/>
        <w:spacing w:line="259" w:lineRule="auto" w:before="142"/>
        <w:ind w:right="996" w:firstLine="427"/>
        <w:jc w:val="left"/>
      </w:pPr>
      <w:r>
        <w:rPr>
          <w:w w:val="95"/>
        </w:rPr>
        <w:t>根据公司信用风险特征组合计提坏账准备的方法，备用金及押金期末余额</w:t>
      </w:r>
      <w:r>
        <w:rPr>
          <w:rFonts w:ascii="Arial" w:hAnsi="Arial" w:cs="Arial" w:eastAsia="Arial" w:hint="default"/>
          <w:w w:val="95"/>
        </w:rPr>
        <w:t>44,047,248.64</w:t>
      </w:r>
      <w:r>
        <w:rPr>
          <w:w w:val="95"/>
        </w:rPr>
        <w:t>元，不计提</w:t>
      </w:r>
      <w:r>
        <w:rPr>
          <w:spacing w:val="-96"/>
          <w:w w:val="95"/>
        </w:rPr>
        <w:t> </w:t>
      </w:r>
      <w:r>
        <w:rPr>
          <w:spacing w:val="-96"/>
          <w:w w:val="95"/>
        </w:rPr>
      </w:r>
      <w:r>
        <w:rPr/>
        <w:t>坏账准备。</w:t>
      </w:r>
    </w:p>
    <w:p>
      <w:pPr>
        <w:spacing w:line="357" w:lineRule="auto" w:before="140"/>
        <w:ind w:left="540" w:right="996" w:hanging="428"/>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49"/>
          <w:sz w:val="21"/>
          <w:szCs w:val="21"/>
        </w:rPr>
        <w:t> </w:t>
      </w:r>
      <w:r>
        <w:rPr>
          <w:rFonts w:ascii="宋体" w:hAnsi="宋体" w:cs="宋体" w:eastAsia="宋体" w:hint="default"/>
          <w:b/>
          <w:bCs/>
          <w:sz w:val="21"/>
          <w:szCs w:val="21"/>
        </w:rPr>
        <w:t>本期计提、收回或转回的坏账准备情况</w:t>
      </w:r>
      <w:r>
        <w:rPr>
          <w:rFonts w:ascii="宋体" w:hAnsi="宋体" w:cs="宋体" w:eastAsia="宋体" w:hint="default"/>
          <w:b/>
          <w:bCs/>
          <w:w w:val="99"/>
          <w:sz w:val="21"/>
          <w:szCs w:val="21"/>
        </w:rPr>
        <w:t> </w:t>
      </w:r>
      <w:r>
        <w:rPr>
          <w:rFonts w:ascii="宋体" w:hAnsi="宋体" w:cs="宋体" w:eastAsia="宋体" w:hint="default"/>
          <w:w w:val="95"/>
          <w:sz w:val="21"/>
          <w:szCs w:val="21"/>
        </w:rPr>
        <w:t>本期计提坏账准备金额</w:t>
      </w:r>
      <w:r>
        <w:rPr>
          <w:rFonts w:ascii="Arial" w:hAnsi="Arial" w:cs="Arial" w:eastAsia="Arial" w:hint="default"/>
          <w:w w:val="95"/>
          <w:sz w:val="21"/>
          <w:szCs w:val="21"/>
        </w:rPr>
        <w:t>5,928,849.28</w:t>
      </w:r>
      <w:r>
        <w:rPr>
          <w:rFonts w:ascii="宋体" w:hAnsi="宋体" w:cs="宋体" w:eastAsia="宋体" w:hint="default"/>
          <w:w w:val="95"/>
          <w:sz w:val="21"/>
          <w:szCs w:val="21"/>
        </w:rPr>
        <w:t>元；本期收回或转回坏账准备金额</w:t>
      </w:r>
      <w:r>
        <w:rPr>
          <w:rFonts w:ascii="Arial" w:hAnsi="Arial" w:cs="Arial" w:eastAsia="Arial" w:hint="default"/>
          <w:w w:val="95"/>
          <w:sz w:val="21"/>
          <w:szCs w:val="21"/>
        </w:rPr>
        <w:t>0.00</w:t>
      </w:r>
      <w:r>
        <w:rPr>
          <w:rFonts w:ascii="宋体" w:hAnsi="宋体" w:cs="宋体" w:eastAsia="宋体" w:hint="default"/>
          <w:w w:val="95"/>
          <w:sz w:val="21"/>
          <w:szCs w:val="21"/>
        </w:rPr>
        <w:t>元。</w:t>
      </w:r>
      <w:r>
        <w:rPr>
          <w:rFonts w:ascii="宋体" w:hAnsi="宋体" w:cs="宋体" w:eastAsia="宋体" w:hint="default"/>
          <w:sz w:val="21"/>
          <w:szCs w:val="21"/>
        </w:rPr>
      </w:r>
    </w:p>
    <w:p>
      <w:pPr>
        <w:pStyle w:val="Heading4"/>
        <w:spacing w:line="240" w:lineRule="auto" w:before="27"/>
        <w:ind w:right="996"/>
        <w:jc w:val="left"/>
        <w:rPr>
          <w:b w:val="0"/>
          <w:bCs w:val="0"/>
        </w:rPr>
      </w:pPr>
      <w:r>
        <w:rPr>
          <w:rFonts w:ascii="Arial" w:hAnsi="Arial" w:cs="Arial" w:eastAsia="Arial" w:hint="default"/>
        </w:rPr>
        <w:t>3)</w:t>
      </w:r>
      <w:r>
        <w:rPr>
          <w:rFonts w:ascii="Arial" w:hAnsi="Arial" w:cs="Arial" w:eastAsia="Arial" w:hint="default"/>
          <w:spacing w:val="41"/>
        </w:rPr>
        <w:t> </w:t>
      </w:r>
      <w:r>
        <w:rPr/>
        <w:t>本期实际核销的其他应收款情况</w:t>
      </w:r>
      <w:r>
        <w:rPr>
          <w:b w:val="0"/>
          <w:bCs w:val="0"/>
        </w:rPr>
      </w:r>
    </w:p>
    <w:p>
      <w:pPr>
        <w:spacing w:before="16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237,000.00</w:t>
            </w:r>
          </w:p>
        </w:tc>
      </w:tr>
    </w:tbl>
    <w:p>
      <w:pPr>
        <w:spacing w:line="240" w:lineRule="auto" w:before="7"/>
        <w:rPr>
          <w:rFonts w:ascii="宋体" w:hAnsi="宋体" w:cs="宋体" w:eastAsia="宋体" w:hint="default"/>
          <w:sz w:val="5"/>
          <w:szCs w:val="5"/>
        </w:rPr>
      </w:pPr>
    </w:p>
    <w:p>
      <w:pPr>
        <w:pStyle w:val="BodyText"/>
        <w:spacing w:line="240" w:lineRule="auto"/>
        <w:ind w:right="996"/>
        <w:jc w:val="left"/>
      </w:pPr>
      <w:r>
        <w:rPr/>
        <w:t>其他应收款核销说明：</w:t>
      </w:r>
    </w:p>
    <w:p>
      <w:pPr>
        <w:pStyle w:val="BodyText"/>
        <w:spacing w:line="259" w:lineRule="auto" w:before="157"/>
        <w:ind w:right="996" w:firstLine="427"/>
        <w:jc w:val="left"/>
      </w:pPr>
      <w:r>
        <w:rPr>
          <w:rFonts w:ascii="Arial" w:hAnsi="Arial" w:cs="Arial" w:eastAsia="Arial" w:hint="default"/>
          <w:w w:val="95"/>
        </w:rPr>
        <w:t>2018</w:t>
      </w:r>
      <w:r>
        <w:rPr>
          <w:w w:val="95"/>
        </w:rPr>
        <w:t>年</w:t>
      </w:r>
      <w:r>
        <w:rPr>
          <w:rFonts w:ascii="Arial" w:hAnsi="Arial" w:cs="Arial" w:eastAsia="Arial" w:hint="default"/>
          <w:w w:val="95"/>
        </w:rPr>
        <w:t>12</w:t>
      </w:r>
      <w:r>
        <w:rPr>
          <w:w w:val="95"/>
        </w:rPr>
        <w:t>月</w:t>
      </w:r>
      <w:r>
        <w:rPr>
          <w:rFonts w:ascii="Arial" w:hAnsi="Arial" w:cs="Arial" w:eastAsia="Arial" w:hint="default"/>
          <w:w w:val="95"/>
        </w:rPr>
        <w:t>20</w:t>
      </w:r>
      <w:r>
        <w:rPr>
          <w:w w:val="95"/>
        </w:rPr>
        <w:t>日，公司召开的第六届董事会第三十八次会议审议通过了《关于坏账核销的议案》，</w:t>
      </w:r>
      <w:r>
        <w:rPr>
          <w:spacing w:val="-94"/>
          <w:w w:val="95"/>
        </w:rPr>
        <w:t> </w:t>
      </w:r>
      <w:r>
        <w:rPr>
          <w:spacing w:val="-94"/>
          <w:w w:val="95"/>
        </w:rPr>
      </w:r>
      <w:r>
        <w:rPr/>
        <w:t>核销了</w:t>
      </w:r>
      <w:r>
        <w:rPr>
          <w:rFonts w:ascii="Arial" w:hAnsi="Arial" w:cs="Arial" w:eastAsia="Arial" w:hint="default"/>
        </w:rPr>
        <w:t>10</w:t>
      </w:r>
      <w:r>
        <w:rPr/>
        <w:t>笔小额其他应收款，合计</w:t>
      </w:r>
      <w:r>
        <w:rPr>
          <w:rFonts w:ascii="Arial" w:hAnsi="Arial" w:cs="Arial" w:eastAsia="Arial" w:hint="default"/>
        </w:rPr>
        <w:t>237,000.00</w:t>
      </w:r>
      <w:r>
        <w:rPr/>
        <w:t>元。</w:t>
      </w:r>
    </w:p>
    <w:p>
      <w:pPr>
        <w:pStyle w:val="Heading4"/>
        <w:spacing w:line="240" w:lineRule="auto" w:before="123"/>
        <w:ind w:right="996"/>
        <w:jc w:val="left"/>
        <w:rPr>
          <w:b w:val="0"/>
          <w:bCs w:val="0"/>
        </w:rPr>
      </w:pPr>
      <w:r>
        <w:rPr>
          <w:rFonts w:ascii="Arial" w:hAnsi="Arial" w:cs="Arial" w:eastAsia="Arial" w:hint="default"/>
        </w:rPr>
        <w:t>4)</w:t>
      </w:r>
      <w:r>
        <w:rPr>
          <w:rFonts w:ascii="Arial" w:hAnsi="Arial" w:cs="Arial" w:eastAsia="Arial" w:hint="default"/>
          <w:spacing w:val="41"/>
        </w:rPr>
        <w:t> </w:t>
      </w:r>
      <w:r>
        <w:rPr/>
        <w:t>其他应收款按款项性质分类情况</w:t>
      </w:r>
      <w:r>
        <w:rPr>
          <w:b w:val="0"/>
          <w:bCs w:val="0"/>
        </w:rPr>
      </w:r>
    </w:p>
    <w:p>
      <w:pPr>
        <w:spacing w:before="165"/>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56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2"/>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197,760,178.65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136,218,321.89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39,459,556.00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2"/>
                <w:sz w:val="18"/>
              </w:rPr>
              <w:t>26,981,511.56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备用金及押金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44,047,248.64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28,830,359.07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9,445,221.13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4,060,338.51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股票期权行权款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38,891.30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股权收购补偿款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4,500,000.00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5,000,000.00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5,695,304.16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12,748,901.47</w:t>
            </w:r>
          </w:p>
        </w:tc>
      </w:tr>
      <w:tr>
        <w:trPr>
          <w:trHeight w:val="56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sz w:val="18"/>
              </w:rPr>
              <w:t>300,907,508.58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9"/>
              <w:jc w:val="right"/>
              <w:rPr>
                <w:rFonts w:ascii="Arial" w:hAnsi="Arial" w:cs="Arial" w:eastAsia="Arial" w:hint="default"/>
                <w:sz w:val="18"/>
                <w:szCs w:val="18"/>
              </w:rPr>
            </w:pPr>
            <w:r>
              <w:rPr>
                <w:rFonts w:ascii="Arial"/>
                <w:spacing w:val="-1"/>
                <w:sz w:val="18"/>
              </w:rPr>
              <w:t>213,878,323.80</w:t>
            </w:r>
          </w:p>
        </w:tc>
      </w:tr>
    </w:tbl>
    <w:p>
      <w:pPr>
        <w:spacing w:line="240" w:lineRule="auto" w:before="7"/>
        <w:rPr>
          <w:rFonts w:ascii="宋体" w:hAnsi="宋体" w:cs="宋体" w:eastAsia="宋体" w:hint="default"/>
          <w:sz w:val="5"/>
          <w:szCs w:val="5"/>
        </w:rPr>
      </w:pPr>
    </w:p>
    <w:p>
      <w:pPr>
        <w:pStyle w:val="Heading4"/>
        <w:spacing w:line="240" w:lineRule="auto" w:before="34"/>
        <w:ind w:right="996"/>
        <w:jc w:val="left"/>
        <w:rPr>
          <w:b w:val="0"/>
          <w:bCs w:val="0"/>
        </w:rPr>
      </w:pPr>
      <w:r>
        <w:rPr>
          <w:rFonts w:ascii="Arial" w:hAnsi="Arial" w:cs="Arial" w:eastAsia="Arial" w:hint="default"/>
        </w:rPr>
        <w:t>5)</w:t>
      </w:r>
      <w:r>
        <w:rPr>
          <w:rFonts w:ascii="Arial" w:hAnsi="Arial" w:cs="Arial" w:eastAsia="Arial" w:hint="default"/>
          <w:spacing w:val="40"/>
        </w:rPr>
        <w:t> </w:t>
      </w:r>
      <w:r>
        <w:rPr/>
        <w:t>按欠款方归集的期末余额前五名的其他应收款情况</w:t>
      </w:r>
      <w:r>
        <w:rPr>
          <w:b w:val="0"/>
          <w:bCs w:val="0"/>
        </w:rPr>
      </w:r>
    </w:p>
    <w:p>
      <w:pPr>
        <w:spacing w:line="240" w:lineRule="auto" w:before="3"/>
        <w:rPr>
          <w:rFonts w:ascii="宋体" w:hAnsi="宋体" w:cs="宋体" w:eastAsia="宋体" w:hint="default"/>
          <w:b/>
          <w:bCs/>
          <w:sz w:val="9"/>
          <w:szCs w:val="9"/>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10"/>
        <w:gridCol w:w="1276"/>
        <w:gridCol w:w="1417"/>
        <w:gridCol w:w="1273"/>
        <w:gridCol w:w="1846"/>
        <w:gridCol w:w="1344"/>
      </w:tblGrid>
      <w:tr>
        <w:trPr>
          <w:trHeight w:val="714"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7" w:right="106" w:hanging="180"/>
              <w:jc w:val="left"/>
              <w:rPr>
                <w:rFonts w:ascii="宋体" w:hAnsi="宋体" w:cs="宋体" w:eastAsia="宋体" w:hint="default"/>
                <w:sz w:val="18"/>
                <w:szCs w:val="18"/>
              </w:rPr>
            </w:pPr>
            <w:r>
              <w:rPr>
                <w:rFonts w:ascii="宋体" w:hAnsi="宋体" w:cs="宋体" w:eastAsia="宋体" w:hint="default"/>
                <w:sz w:val="18"/>
                <w:szCs w:val="18"/>
              </w:rPr>
              <w:t>占其他应收款期末余 额合计数的比例</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77" w:right="34"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402" w:hRule="exact"/>
        </w:trPr>
        <w:tc>
          <w:tcPr>
            <w:tcW w:w="241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内蒙古自治区高级人民法院</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15,744,000.00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5.23%</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2" w:hRule="exact"/>
        </w:trPr>
        <w:tc>
          <w:tcPr>
            <w:tcW w:w="2410"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5,327,700.00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1.77%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532,770.00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Arial" w:hAnsi="Arial" w:cs="Arial" w:eastAsia="Arial"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Arial" w:hAnsi="Arial" w:cs="Arial" w:eastAsia="Arial" w:hint="default"/>
                <w:sz w:val="18"/>
                <w:szCs w:val="18"/>
              </w:rPr>
              <w:t>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17,800,000.00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5.92%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w w:val="95"/>
                <w:sz w:val="18"/>
              </w:rPr>
              <w:t>0.00</w:t>
            </w:r>
            <w:r>
              <w:rPr>
                <w:rFonts w:ascii="Arial"/>
                <w:sz w:val="18"/>
              </w:rPr>
            </w:r>
          </w:p>
        </w:tc>
      </w:tr>
      <w:tr>
        <w:trPr>
          <w:trHeight w:val="40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青海省高级人民法院</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14,635,827.00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0-5</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4.86%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1,319,781.20</w:t>
            </w:r>
          </w:p>
        </w:tc>
      </w:tr>
    </w:tbl>
    <w:p>
      <w:pPr>
        <w:spacing w:after="0" w:line="240" w:lineRule="auto"/>
        <w:jc w:val="right"/>
        <w:rPr>
          <w:rFonts w:ascii="Arial" w:hAnsi="Arial" w:cs="Arial" w:eastAsia="Arial" w:hint="default"/>
          <w:sz w:val="18"/>
          <w:szCs w:val="18"/>
        </w:rPr>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410"/>
        <w:gridCol w:w="1276"/>
        <w:gridCol w:w="1417"/>
        <w:gridCol w:w="1273"/>
        <w:gridCol w:w="1846"/>
        <w:gridCol w:w="1344"/>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上海市第二中级人民法院</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6,450,871.00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0-2</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2.14%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255,546.55</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云南省司法厅</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5,855,500.00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0-2</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1.95%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292,775.00</w:t>
            </w:r>
          </w:p>
        </w:tc>
      </w:tr>
      <w:tr>
        <w:trPr>
          <w:trHeight w:val="56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 w:right="0"/>
              <w:jc w:val="center"/>
              <w:rPr>
                <w:rFonts w:ascii="Arial" w:hAnsi="Arial" w:cs="Arial" w:eastAsia="Arial" w:hint="default"/>
                <w:sz w:val="18"/>
                <w:szCs w:val="18"/>
              </w:rPr>
            </w:pPr>
            <w:r>
              <w:rPr>
                <w:rFonts w:ascii="Arial"/>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Arial" w:hAnsi="Arial" w:cs="Arial" w:eastAsia="Arial" w:hint="default"/>
                <w:sz w:val="18"/>
                <w:szCs w:val="18"/>
              </w:rPr>
            </w:pPr>
            <w:r>
              <w:rPr>
                <w:rFonts w:ascii="Arial"/>
                <w:spacing w:val="-1"/>
                <w:sz w:val="18"/>
              </w:rPr>
              <w:t>65,813,898.00</w:t>
            </w:r>
          </w:p>
        </w:tc>
        <w:tc>
          <w:tcPr>
            <w:tcW w:w="1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Arial" w:hAnsi="Arial" w:cs="Arial" w:eastAsia="Arial" w:hint="default"/>
                <w:sz w:val="18"/>
                <w:szCs w:val="18"/>
              </w:rPr>
            </w:pPr>
            <w:r>
              <w:rPr>
                <w:rFonts w:ascii="Arial"/>
                <w:sz w:val="18"/>
              </w:rPr>
              <w:t>--</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1"/>
              <w:jc w:val="right"/>
              <w:rPr>
                <w:rFonts w:ascii="Arial" w:hAnsi="Arial" w:cs="Arial" w:eastAsia="Arial" w:hint="default"/>
                <w:sz w:val="18"/>
                <w:szCs w:val="18"/>
              </w:rPr>
            </w:pPr>
            <w:r>
              <w:rPr>
                <w:rFonts w:ascii="Arial"/>
                <w:spacing w:val="-1"/>
                <w:sz w:val="18"/>
              </w:rPr>
              <w:t>21.87%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Arial" w:hAnsi="Arial" w:cs="Arial" w:eastAsia="Arial" w:hint="default"/>
                <w:sz w:val="18"/>
                <w:szCs w:val="18"/>
              </w:rPr>
            </w:pPr>
            <w:r>
              <w:rPr>
                <w:rFonts w:ascii="Arial"/>
                <w:spacing w:val="-1"/>
                <w:sz w:val="18"/>
              </w:rPr>
              <w:t>2,400,872.75</w:t>
            </w:r>
          </w:p>
        </w:tc>
      </w:tr>
    </w:tbl>
    <w:p>
      <w:pPr>
        <w:spacing w:line="240" w:lineRule="auto" w:before="6"/>
        <w:rPr>
          <w:rFonts w:ascii="宋体" w:hAnsi="宋体" w:cs="宋体" w:eastAsia="宋体" w:hint="default"/>
          <w:sz w:val="5"/>
          <w:szCs w:val="5"/>
        </w:rPr>
      </w:pPr>
    </w:p>
    <w:p>
      <w:pPr>
        <w:pStyle w:val="Heading4"/>
        <w:spacing w:line="240" w:lineRule="auto" w:before="34"/>
        <w:ind w:right="996"/>
        <w:jc w:val="left"/>
        <w:rPr>
          <w:b w:val="0"/>
          <w:bCs w:val="0"/>
        </w:rPr>
      </w:pPr>
      <w:r>
        <w:rPr>
          <w:rFonts w:ascii="Arial" w:hAnsi="Arial" w:cs="Arial" w:eastAsia="Arial" w:hint="default"/>
        </w:rPr>
        <w:t>6)</w:t>
      </w:r>
      <w:r>
        <w:rPr>
          <w:rFonts w:ascii="Arial" w:hAnsi="Arial" w:cs="Arial" w:eastAsia="Arial" w:hint="default"/>
          <w:spacing w:val="41"/>
        </w:rPr>
        <w:t> </w:t>
      </w:r>
      <w:r>
        <w:rPr/>
        <w:t>涉及政府补助的应收款项</w:t>
      </w:r>
      <w:r>
        <w:rPr>
          <w:b w:val="0"/>
          <w:bCs w:val="0"/>
        </w:rPr>
      </w:r>
    </w:p>
    <w:p>
      <w:pPr>
        <w:spacing w:line="240" w:lineRule="auto" w:before="5"/>
        <w:rPr>
          <w:rFonts w:ascii="宋体" w:hAnsi="宋体" w:cs="宋体" w:eastAsia="宋体" w:hint="default"/>
          <w:b/>
          <w:bCs/>
          <w:sz w:val="9"/>
          <w:szCs w:val="9"/>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68"/>
        <w:gridCol w:w="1843"/>
        <w:gridCol w:w="1629"/>
        <w:gridCol w:w="1631"/>
        <w:gridCol w:w="2199"/>
      </w:tblGrid>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0"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03" w:right="22" w:hanging="982"/>
              <w:jc w:val="left"/>
              <w:rPr>
                <w:rFonts w:ascii="宋体" w:hAnsi="宋体" w:cs="宋体" w:eastAsia="宋体" w:hint="default"/>
                <w:sz w:val="18"/>
                <w:szCs w:val="18"/>
              </w:rPr>
            </w:pPr>
            <w:r>
              <w:rPr>
                <w:rFonts w:ascii="宋体" w:hAnsi="宋体" w:cs="宋体" w:eastAsia="宋体" w:hint="default"/>
                <w:spacing w:val="-2"/>
                <w:sz w:val="18"/>
                <w:szCs w:val="18"/>
              </w:rPr>
              <w:t>预计收取的时间、金额及依</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据</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大连市甘井子区税务局</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3,291,968.70</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年以内</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年第一季度</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上海市浦东新区税务局</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542,987.92</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年以内</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年第二季度</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北京市海淀区税务局</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178,413.01</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年以内</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年第一季度</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广州天河区税务局</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5,386,912.65</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年以内</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年第二季度</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广州开发区税务局</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44,938.85</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年以内</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年第二季度</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4" w:space="0" w:color="000000"/>
              <w:left w:val="single" w:sz="4" w:space="0" w:color="000000"/>
              <w:bottom w:val="single" w:sz="4" w:space="0" w:color="000000"/>
              <w:right w:val="single" w:sz="4" w:space="0" w:color="000000"/>
            </w:tcBorders>
          </w:tcPr>
          <w:p>
            <w:pPr/>
          </w:p>
        </w:tc>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9,445,221.13</w:t>
            </w:r>
          </w:p>
        </w:tc>
        <w:tc>
          <w:tcPr>
            <w:tcW w:w="1631"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4"/>
        <w:spacing w:line="240" w:lineRule="auto" w:before="34"/>
        <w:ind w:right="996"/>
        <w:jc w:val="left"/>
        <w:rPr>
          <w:b w:val="0"/>
          <w:bCs w:val="0"/>
        </w:rPr>
      </w:pPr>
      <w:bookmarkStart w:name="5、存货" w:id="223"/>
      <w:bookmarkEnd w:id="223"/>
      <w:r>
        <w:rPr>
          <w:b w:val="0"/>
          <w:bCs w:val="0"/>
        </w:rPr>
      </w:r>
      <w:r>
        <w:rPr>
          <w:rFonts w:ascii="Arial" w:hAnsi="Arial" w:cs="Arial" w:eastAsia="Arial" w:hint="default"/>
        </w:rPr>
        <w:t>5</w:t>
      </w:r>
      <w:r>
        <w:rPr/>
        <w:t>、存货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6"/>
        <w:jc w:val="left"/>
        <w:rPr>
          <w:b w:val="0"/>
          <w:bCs w:val="0"/>
        </w:rPr>
      </w:pPr>
      <w:bookmarkStart w:name="（1）存货分类" w:id="224"/>
      <w:bookmarkEnd w:id="224"/>
      <w:r>
        <w:rPr>
          <w:b w:val="0"/>
          <w:bCs w:val="0"/>
        </w:rPr>
      </w:r>
      <w:r>
        <w:rPr/>
        <w:t>（</w:t>
      </w:r>
      <w:r>
        <w:rPr>
          <w:rFonts w:ascii="Arial" w:hAnsi="Arial" w:cs="Arial" w:eastAsia="Arial" w:hint="default"/>
        </w:rPr>
        <w:t>1</w:t>
      </w:r>
      <w:r>
        <w:rPr/>
        <w:t>）存货分类</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18"/>
        <w:gridCol w:w="1559"/>
        <w:gridCol w:w="992"/>
        <w:gridCol w:w="1501"/>
        <w:gridCol w:w="1618"/>
        <w:gridCol w:w="992"/>
        <w:gridCol w:w="1491"/>
      </w:tblGrid>
      <w:tr>
        <w:trPr>
          <w:trHeight w:val="402" w:hRule="exact"/>
        </w:trPr>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05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230,097.18</w:t>
            </w:r>
          </w:p>
        </w:tc>
        <w:tc>
          <w:tcPr>
            <w:tcW w:w="992"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230,097.18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Arial" w:hAnsi="Arial" w:cs="Arial" w:eastAsia="Arial" w:hint="default"/>
                <w:sz w:val="18"/>
                <w:szCs w:val="18"/>
              </w:rPr>
            </w:pPr>
            <w:r>
              <w:rPr>
                <w:rFonts w:ascii="Arial"/>
                <w:spacing w:val="-2"/>
                <w:sz w:val="18"/>
              </w:rPr>
              <w:t>192,116.83</w:t>
            </w:r>
          </w:p>
        </w:tc>
        <w:tc>
          <w:tcPr>
            <w:tcW w:w="99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2"/>
                <w:sz w:val="18"/>
              </w:rPr>
              <w:t>192,116.83</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151,451,476.32</w:t>
            </w:r>
          </w:p>
        </w:tc>
        <w:tc>
          <w:tcPr>
            <w:tcW w:w="992"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151,451,476.32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Arial" w:hAnsi="Arial" w:cs="Arial" w:eastAsia="Arial" w:hint="default"/>
                <w:sz w:val="18"/>
                <w:szCs w:val="18"/>
              </w:rPr>
            </w:pPr>
            <w:r>
              <w:rPr>
                <w:rFonts w:ascii="Arial"/>
                <w:spacing w:val="-2"/>
                <w:sz w:val="18"/>
              </w:rPr>
              <w:t>112,430,430.79</w:t>
            </w:r>
          </w:p>
        </w:tc>
        <w:tc>
          <w:tcPr>
            <w:tcW w:w="99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2"/>
                <w:sz w:val="18"/>
              </w:rPr>
              <w:t>112,430,430.79</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37,812,001.76</w:t>
            </w:r>
          </w:p>
        </w:tc>
        <w:tc>
          <w:tcPr>
            <w:tcW w:w="992"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37,812,001.76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22,650,061.66</w:t>
            </w:r>
          </w:p>
        </w:tc>
        <w:tc>
          <w:tcPr>
            <w:tcW w:w="99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22,650,061.66</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481,081,410.82</w:t>
            </w:r>
          </w:p>
        </w:tc>
        <w:tc>
          <w:tcPr>
            <w:tcW w:w="992"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481,081,410.82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373,531,347.44</w:t>
            </w:r>
          </w:p>
        </w:tc>
        <w:tc>
          <w:tcPr>
            <w:tcW w:w="99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373,531,347.44</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6,507,583.84</w:t>
            </w:r>
          </w:p>
        </w:tc>
        <w:tc>
          <w:tcPr>
            <w:tcW w:w="992"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6,507,583.84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7,207,325.63</w:t>
            </w:r>
          </w:p>
        </w:tc>
        <w:tc>
          <w:tcPr>
            <w:tcW w:w="99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7,207,325.63</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677,082,569.92</w:t>
            </w:r>
          </w:p>
        </w:tc>
        <w:tc>
          <w:tcPr>
            <w:tcW w:w="992"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677,082,569.92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Arial" w:hAnsi="Arial" w:cs="Arial" w:eastAsia="Arial" w:hint="default"/>
                <w:sz w:val="18"/>
                <w:szCs w:val="18"/>
              </w:rPr>
            </w:pPr>
            <w:r>
              <w:rPr>
                <w:rFonts w:ascii="Arial"/>
                <w:spacing w:val="-2"/>
                <w:sz w:val="18"/>
              </w:rPr>
              <w:t>516,011,282.35</w:t>
            </w:r>
          </w:p>
        </w:tc>
        <w:tc>
          <w:tcPr>
            <w:tcW w:w="992"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2"/>
                <w:sz w:val="18"/>
              </w:rPr>
              <w:t>516,011,282.35</w:t>
            </w:r>
          </w:p>
        </w:tc>
      </w:tr>
    </w:tbl>
    <w:p>
      <w:pPr>
        <w:spacing w:line="240" w:lineRule="auto" w:before="5"/>
        <w:rPr>
          <w:rFonts w:ascii="宋体" w:hAnsi="宋体" w:cs="宋体" w:eastAsia="宋体" w:hint="default"/>
          <w:sz w:val="5"/>
          <w:szCs w:val="5"/>
        </w:rPr>
      </w:pPr>
    </w:p>
    <w:p>
      <w:pPr>
        <w:pStyle w:val="BodyText"/>
        <w:spacing w:line="240" w:lineRule="auto"/>
        <w:ind w:right="996"/>
        <w:jc w:val="left"/>
      </w:pPr>
      <w:r>
        <w:rPr/>
        <w:t>其他说明：</w:t>
      </w:r>
    </w:p>
    <w:p>
      <w:pPr>
        <w:pStyle w:val="BodyText"/>
        <w:spacing w:line="240" w:lineRule="auto" w:before="157"/>
        <w:ind w:left="540" w:right="996"/>
        <w:jc w:val="left"/>
      </w:pPr>
      <w:r>
        <w:rPr/>
        <w:t>期末存货不存在减值迹象。</w:t>
      </w:r>
    </w:p>
    <w:p>
      <w:pPr>
        <w:spacing w:line="240" w:lineRule="auto" w:before="12"/>
        <w:rPr>
          <w:rFonts w:ascii="宋体" w:hAnsi="宋体" w:cs="宋体" w:eastAsia="宋体" w:hint="default"/>
          <w:sz w:val="25"/>
          <w:szCs w:val="25"/>
        </w:rPr>
      </w:pPr>
    </w:p>
    <w:p>
      <w:pPr>
        <w:pStyle w:val="Heading4"/>
        <w:spacing w:line="240" w:lineRule="auto"/>
        <w:ind w:right="996"/>
        <w:jc w:val="left"/>
        <w:rPr>
          <w:b w:val="0"/>
          <w:bCs w:val="0"/>
        </w:rPr>
      </w:pPr>
      <w:bookmarkStart w:name="6、其他流动资产" w:id="225"/>
      <w:bookmarkEnd w:id="225"/>
      <w:r>
        <w:rPr>
          <w:b w:val="0"/>
          <w:bCs w:val="0"/>
        </w:rPr>
      </w:r>
      <w:r>
        <w:rPr>
          <w:rFonts w:ascii="Arial" w:hAnsi="Arial" w:cs="Arial" w:eastAsia="Arial" w:hint="default"/>
        </w:rPr>
        <w:t>6</w:t>
      </w:r>
      <w:r>
        <w:rPr/>
        <w:t>、其他流动资产</w:t>
      </w:r>
      <w:r>
        <w:rPr>
          <w:b w:val="0"/>
          <w:bCs w:val="0"/>
        </w:rPr>
      </w:r>
    </w:p>
    <w:p>
      <w:pPr>
        <w:spacing w:line="240" w:lineRule="auto" w:before="13"/>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7,415,512.66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07" w:right="0"/>
              <w:jc w:val="left"/>
              <w:rPr>
                <w:rFonts w:ascii="Arial" w:hAnsi="Arial" w:cs="Arial" w:eastAsia="Arial" w:hint="default"/>
                <w:sz w:val="18"/>
                <w:szCs w:val="18"/>
              </w:rPr>
            </w:pPr>
            <w:r>
              <w:rPr>
                <w:rFonts w:ascii="Arial"/>
                <w:sz w:val="18"/>
              </w:rPr>
              <w:t>2,295,370.86</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3,160,707.45</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22" w:right="0"/>
              <w:jc w:val="left"/>
              <w:rPr>
                <w:rFonts w:ascii="Arial" w:hAnsi="Arial" w:cs="Arial" w:eastAsia="Arial" w:hint="default"/>
                <w:sz w:val="18"/>
                <w:szCs w:val="18"/>
              </w:rPr>
            </w:pPr>
            <w:r>
              <w:rPr>
                <w:rFonts w:ascii="Arial"/>
                <w:sz w:val="18"/>
              </w:rPr>
              <w:t>10,576,220.11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07" w:right="0"/>
              <w:jc w:val="left"/>
              <w:rPr>
                <w:rFonts w:ascii="Arial" w:hAnsi="Arial" w:cs="Arial" w:eastAsia="Arial" w:hint="default"/>
                <w:sz w:val="18"/>
                <w:szCs w:val="18"/>
              </w:rPr>
            </w:pPr>
            <w:r>
              <w:rPr>
                <w:rFonts w:ascii="Arial"/>
                <w:sz w:val="18"/>
              </w:rPr>
              <w:t>2,295,370.86</w:t>
            </w:r>
          </w:p>
        </w:tc>
      </w:tr>
    </w:tbl>
    <w:p>
      <w:pPr>
        <w:spacing w:line="240" w:lineRule="auto" w:before="4"/>
        <w:rPr>
          <w:rFonts w:ascii="宋体" w:hAnsi="宋体" w:cs="宋体" w:eastAsia="宋体" w:hint="default"/>
          <w:sz w:val="19"/>
          <w:szCs w:val="19"/>
        </w:rPr>
      </w:pPr>
    </w:p>
    <w:p>
      <w:pPr>
        <w:pStyle w:val="Heading4"/>
        <w:spacing w:line="240" w:lineRule="auto" w:before="34"/>
        <w:ind w:right="996"/>
        <w:jc w:val="left"/>
        <w:rPr>
          <w:b w:val="0"/>
          <w:bCs w:val="0"/>
        </w:rPr>
      </w:pPr>
      <w:bookmarkStart w:name="7、可供出售金融资产" w:id="226"/>
      <w:bookmarkEnd w:id="226"/>
      <w:r>
        <w:rPr>
          <w:b w:val="0"/>
          <w:bCs w:val="0"/>
        </w:rPr>
      </w:r>
      <w:r>
        <w:rPr>
          <w:rFonts w:ascii="Arial" w:hAnsi="Arial" w:cs="Arial" w:eastAsia="Arial" w:hint="default"/>
        </w:rPr>
        <w:t>7</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6"/>
        <w:jc w:val="left"/>
        <w:rPr>
          <w:b w:val="0"/>
          <w:bCs w:val="0"/>
        </w:rPr>
      </w:pPr>
      <w:bookmarkStart w:name="（1）可供出售金融资产情况" w:id="227"/>
      <w:bookmarkEnd w:id="227"/>
      <w:r>
        <w:rPr>
          <w:b w:val="0"/>
          <w:bCs w:val="0"/>
        </w:rPr>
      </w:r>
      <w:r>
        <w:rPr/>
        <w:t>（</w:t>
      </w:r>
      <w:r>
        <w:rPr>
          <w:rFonts w:ascii="Arial" w:hAnsi="Arial" w:cs="Arial" w:eastAsia="Arial" w:hint="default"/>
        </w:rPr>
        <w:t>1</w:t>
      </w:r>
      <w:r>
        <w:rPr/>
        <w:t>）可供出售金融资产情况</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43"/>
        <w:gridCol w:w="1418"/>
        <w:gridCol w:w="992"/>
        <w:gridCol w:w="1417"/>
        <w:gridCol w:w="1418"/>
        <w:gridCol w:w="1114"/>
        <w:gridCol w:w="1367"/>
      </w:tblGrid>
      <w:tr>
        <w:trPr>
          <w:trHeight w:val="402" w:hRule="exact"/>
        </w:trPr>
        <w:tc>
          <w:tcPr>
            <w:tcW w:w="18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9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43"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5" w:right="0"/>
              <w:jc w:val="center"/>
              <w:rPr>
                <w:rFonts w:ascii="Arial" w:hAnsi="Arial" w:cs="Arial" w:eastAsia="Arial" w:hint="default"/>
                <w:sz w:val="18"/>
                <w:szCs w:val="18"/>
              </w:rPr>
            </w:pPr>
            <w:r>
              <w:rPr>
                <w:rFonts w:ascii="Arial"/>
                <w:sz w:val="18"/>
              </w:rPr>
              <w:t>131,000,000.00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0" w:right="0"/>
              <w:jc w:val="center"/>
              <w:rPr>
                <w:rFonts w:ascii="Arial" w:hAnsi="Arial" w:cs="Arial" w:eastAsia="Arial" w:hint="default"/>
                <w:sz w:val="18"/>
                <w:szCs w:val="18"/>
              </w:rPr>
            </w:pPr>
            <w:r>
              <w:rPr>
                <w:rFonts w:ascii="Arial"/>
                <w:sz w:val="18"/>
              </w:rPr>
              <w:t>131,000,000.00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34,000,000.00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34,000,000.00</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5" w:right="0"/>
              <w:jc w:val="center"/>
              <w:rPr>
                <w:rFonts w:ascii="Arial" w:hAnsi="Arial" w:cs="Arial" w:eastAsia="Arial" w:hint="default"/>
                <w:sz w:val="18"/>
                <w:szCs w:val="18"/>
              </w:rPr>
            </w:pPr>
            <w:r>
              <w:rPr>
                <w:rFonts w:ascii="Arial"/>
                <w:sz w:val="18"/>
              </w:rPr>
              <w:t>131,000,000.00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center"/>
              <w:rPr>
                <w:rFonts w:ascii="Arial" w:hAnsi="Arial" w:cs="Arial" w:eastAsia="Arial" w:hint="default"/>
                <w:sz w:val="18"/>
                <w:szCs w:val="18"/>
              </w:rPr>
            </w:pPr>
            <w:r>
              <w:rPr>
                <w:rFonts w:ascii="Arial"/>
                <w:sz w:val="18"/>
              </w:rPr>
              <w:t>131,000,000.00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34,000,000.00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34,000,000.00</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5" w:right="0"/>
              <w:jc w:val="center"/>
              <w:rPr>
                <w:rFonts w:ascii="Arial" w:hAnsi="Arial" w:cs="Arial" w:eastAsia="Arial" w:hint="default"/>
                <w:sz w:val="18"/>
                <w:szCs w:val="18"/>
              </w:rPr>
            </w:pPr>
            <w:r>
              <w:rPr>
                <w:rFonts w:ascii="Arial"/>
                <w:sz w:val="18"/>
              </w:rPr>
              <w:t>131,000,000.00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0" w:right="0"/>
              <w:jc w:val="center"/>
              <w:rPr>
                <w:rFonts w:ascii="Arial" w:hAnsi="Arial" w:cs="Arial" w:eastAsia="Arial" w:hint="default"/>
                <w:sz w:val="18"/>
                <w:szCs w:val="18"/>
              </w:rPr>
            </w:pPr>
            <w:r>
              <w:rPr>
                <w:rFonts w:ascii="Arial"/>
                <w:sz w:val="18"/>
              </w:rPr>
              <w:t>131,000,000.00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34,000,000.00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34,000,000.00</w:t>
            </w:r>
          </w:p>
        </w:tc>
      </w:tr>
    </w:tbl>
    <w:p>
      <w:pPr>
        <w:spacing w:line="240" w:lineRule="auto" w:before="3"/>
        <w:rPr>
          <w:rFonts w:ascii="宋体" w:hAnsi="宋体" w:cs="宋体" w:eastAsia="宋体" w:hint="default"/>
          <w:sz w:val="19"/>
          <w:szCs w:val="19"/>
        </w:rPr>
      </w:pPr>
    </w:p>
    <w:p>
      <w:pPr>
        <w:pStyle w:val="Heading4"/>
        <w:spacing w:line="240" w:lineRule="auto" w:before="34"/>
        <w:ind w:right="996"/>
        <w:jc w:val="left"/>
        <w:rPr>
          <w:b w:val="0"/>
          <w:bCs w:val="0"/>
        </w:rPr>
      </w:pPr>
      <w:bookmarkStart w:name="（2）期末按成本计量的可供出售金融资产" w:id="228"/>
      <w:bookmarkEnd w:id="228"/>
      <w:r>
        <w:rPr>
          <w:b w:val="0"/>
          <w:bCs w:val="0"/>
        </w:rPr>
      </w:r>
      <w:r>
        <w:rPr/>
        <w:t>（</w:t>
      </w:r>
      <w:r>
        <w:rPr>
          <w:rFonts w:ascii="Arial" w:hAnsi="Arial" w:cs="Arial" w:eastAsia="Arial" w:hint="default"/>
        </w:rPr>
        <w:t>2</w:t>
      </w:r>
      <w:r>
        <w:rPr/>
        <w:t>）期末按成本计量的可供出售金融资产</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209"/>
        <w:gridCol w:w="1208"/>
        <w:gridCol w:w="485"/>
        <w:gridCol w:w="1308"/>
        <w:gridCol w:w="319"/>
        <w:gridCol w:w="485"/>
        <w:gridCol w:w="485"/>
        <w:gridCol w:w="319"/>
        <w:gridCol w:w="1216"/>
        <w:gridCol w:w="652"/>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421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60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41" w:right="62" w:hanging="180"/>
              <w:jc w:val="left"/>
              <w:rPr>
                <w:rFonts w:ascii="宋体" w:hAnsi="宋体" w:cs="宋体" w:eastAsia="宋体" w:hint="default"/>
                <w:sz w:val="18"/>
                <w:szCs w:val="18"/>
              </w:rPr>
            </w:pPr>
            <w:r>
              <w:rPr>
                <w:rFonts w:ascii="宋体" w:hAnsi="宋体" w:cs="宋体" w:eastAsia="宋体" w:hint="default"/>
                <w:sz w:val="18"/>
                <w:szCs w:val="18"/>
              </w:rPr>
              <w:t>在被投资单位 持股比例</w:t>
            </w: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50" w:right="49"/>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714"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7" w:right="56"/>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4" w:right="63"/>
              <w:jc w:val="left"/>
              <w:rPr>
                <w:rFonts w:ascii="宋体" w:hAnsi="宋体" w:cs="宋体" w:eastAsia="宋体" w:hint="default"/>
                <w:sz w:val="18"/>
                <w:szCs w:val="18"/>
              </w:rPr>
            </w:pPr>
            <w:r>
              <w:rPr>
                <w:rFonts w:ascii="宋体" w:hAnsi="宋体" w:cs="宋体" w:eastAsia="宋体" w:hint="default"/>
                <w:sz w:val="18"/>
                <w:szCs w:val="18"/>
              </w:rPr>
              <w:t>期 初</w:t>
            </w:r>
          </w:p>
        </w:tc>
        <w:tc>
          <w:tcPr>
            <w:tcW w:w="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7" w:right="56"/>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7" w:right="56"/>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4" w:right="63"/>
              <w:jc w:val="left"/>
              <w:rPr>
                <w:rFonts w:ascii="宋体" w:hAnsi="宋体" w:cs="宋体" w:eastAsia="宋体" w:hint="default"/>
                <w:sz w:val="18"/>
                <w:szCs w:val="18"/>
              </w:rPr>
            </w:pPr>
            <w:r>
              <w:rPr>
                <w:rFonts w:ascii="宋体" w:hAnsi="宋体" w:cs="宋体" w:eastAsia="宋体" w:hint="default"/>
                <w:sz w:val="18"/>
                <w:szCs w:val="18"/>
              </w:rPr>
              <w:t>期 末</w:t>
            </w:r>
          </w:p>
        </w:tc>
        <w:tc>
          <w:tcPr>
            <w:tcW w:w="1216"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9"/>
              <w:jc w:val="left"/>
              <w:rPr>
                <w:rFonts w:ascii="宋体" w:hAnsi="宋体" w:cs="宋体" w:eastAsia="宋体" w:hint="default"/>
                <w:sz w:val="18"/>
                <w:szCs w:val="18"/>
              </w:rPr>
            </w:pPr>
            <w:r>
              <w:rPr>
                <w:rFonts w:ascii="宋体" w:hAnsi="宋体" w:cs="宋体" w:eastAsia="宋体" w:hint="default"/>
                <w:sz w:val="18"/>
                <w:szCs w:val="18"/>
              </w:rPr>
              <w:t>中国司法大数据研究院 有限公司</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5" w:right="0"/>
              <w:jc w:val="center"/>
              <w:rPr>
                <w:rFonts w:ascii="Arial" w:hAnsi="Arial" w:cs="Arial" w:eastAsia="Arial" w:hint="default"/>
                <w:sz w:val="18"/>
                <w:szCs w:val="18"/>
              </w:rPr>
            </w:pPr>
            <w:r>
              <w:rPr>
                <w:rFonts w:ascii="Arial"/>
                <w:sz w:val="18"/>
              </w:rPr>
              <w:t>5,000,000.00</w:t>
            </w:r>
          </w:p>
        </w:tc>
        <w:tc>
          <w:tcPr>
            <w:tcW w:w="1208"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04" w:right="0"/>
              <w:jc w:val="center"/>
              <w:rPr>
                <w:rFonts w:ascii="Arial" w:hAnsi="Arial" w:cs="Arial" w:eastAsia="Arial" w:hint="default"/>
                <w:sz w:val="18"/>
                <w:szCs w:val="18"/>
              </w:rPr>
            </w:pPr>
            <w:r>
              <w:rPr>
                <w:rFonts w:ascii="Arial"/>
                <w:sz w:val="18"/>
              </w:rPr>
              <w:t>5,000,000.00</w:t>
            </w:r>
          </w:p>
        </w:tc>
        <w:tc>
          <w:tcPr>
            <w:tcW w:w="319"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5.00%</w:t>
            </w:r>
          </w:p>
        </w:tc>
        <w:tc>
          <w:tcPr>
            <w:tcW w:w="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9"/>
              <w:jc w:val="left"/>
              <w:rPr>
                <w:rFonts w:ascii="宋体" w:hAnsi="宋体" w:cs="宋体" w:eastAsia="宋体" w:hint="default"/>
                <w:sz w:val="18"/>
                <w:szCs w:val="18"/>
              </w:rPr>
            </w:pPr>
            <w:r>
              <w:rPr>
                <w:rFonts w:ascii="宋体" w:hAnsi="宋体" w:cs="宋体" w:eastAsia="宋体" w:hint="default"/>
                <w:sz w:val="18"/>
                <w:szCs w:val="18"/>
              </w:rPr>
              <w:t>北京华宇科创产业投资 中心（有限合伙）</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Arial" w:hAnsi="Arial" w:cs="Arial" w:eastAsia="Arial" w:hint="default"/>
                <w:sz w:val="18"/>
                <w:szCs w:val="18"/>
              </w:rPr>
            </w:pPr>
            <w:r>
              <w:rPr>
                <w:rFonts w:ascii="Arial"/>
                <w:sz w:val="18"/>
              </w:rPr>
              <w:t>29,000,000.00</w:t>
            </w:r>
          </w:p>
        </w:tc>
        <w:tc>
          <w:tcPr>
            <w:tcW w:w="1208"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1" w:right="0"/>
              <w:jc w:val="center"/>
              <w:rPr>
                <w:rFonts w:ascii="Arial" w:hAnsi="Arial" w:cs="Arial" w:eastAsia="Arial" w:hint="default"/>
                <w:sz w:val="18"/>
                <w:szCs w:val="18"/>
              </w:rPr>
            </w:pPr>
            <w:r>
              <w:rPr>
                <w:rFonts w:ascii="Arial"/>
                <w:sz w:val="18"/>
              </w:rPr>
              <w:t>29,000,000.00</w:t>
            </w:r>
          </w:p>
        </w:tc>
        <w:tc>
          <w:tcPr>
            <w:tcW w:w="319"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79"/>
              <w:jc w:val="left"/>
              <w:rPr>
                <w:rFonts w:ascii="宋体" w:hAnsi="宋体" w:cs="宋体" w:eastAsia="宋体" w:hint="default"/>
                <w:sz w:val="18"/>
                <w:szCs w:val="18"/>
              </w:rPr>
            </w:pPr>
            <w:r>
              <w:rPr>
                <w:rFonts w:ascii="宋体" w:hAnsi="宋体" w:cs="宋体" w:eastAsia="宋体" w:hint="default"/>
                <w:sz w:val="18"/>
                <w:szCs w:val="18"/>
              </w:rPr>
              <w:t>深圳市捷视飞通科技股 份有限公司</w:t>
            </w:r>
          </w:p>
        </w:tc>
        <w:tc>
          <w:tcPr>
            <w:tcW w:w="120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Arial" w:hAnsi="Arial" w:cs="Arial" w:eastAsia="Arial" w:hint="default"/>
                <w:sz w:val="18"/>
                <w:szCs w:val="18"/>
              </w:rPr>
            </w:pPr>
            <w:r>
              <w:rPr>
                <w:rFonts w:ascii="Arial"/>
                <w:sz w:val="18"/>
              </w:rPr>
              <w:t>72,000,000.00</w:t>
            </w:r>
          </w:p>
        </w:tc>
        <w:tc>
          <w:tcPr>
            <w:tcW w:w="48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1" w:right="0"/>
              <w:jc w:val="center"/>
              <w:rPr>
                <w:rFonts w:ascii="Arial" w:hAnsi="Arial" w:cs="Arial" w:eastAsia="Arial" w:hint="default"/>
                <w:sz w:val="18"/>
                <w:szCs w:val="18"/>
              </w:rPr>
            </w:pPr>
            <w:r>
              <w:rPr>
                <w:rFonts w:ascii="Arial"/>
                <w:sz w:val="18"/>
              </w:rPr>
              <w:t>72,000,000.00</w:t>
            </w:r>
          </w:p>
        </w:tc>
        <w:tc>
          <w:tcPr>
            <w:tcW w:w="319"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14.00%</w:t>
            </w:r>
          </w:p>
        </w:tc>
        <w:tc>
          <w:tcPr>
            <w:tcW w:w="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9"/>
              <w:jc w:val="left"/>
              <w:rPr>
                <w:rFonts w:ascii="宋体" w:hAnsi="宋体" w:cs="宋体" w:eastAsia="宋体" w:hint="default"/>
                <w:sz w:val="18"/>
                <w:szCs w:val="18"/>
              </w:rPr>
            </w:pPr>
            <w:r>
              <w:rPr>
                <w:rFonts w:ascii="宋体" w:hAnsi="宋体" w:cs="宋体" w:eastAsia="宋体" w:hint="default"/>
                <w:sz w:val="18"/>
                <w:szCs w:val="18"/>
              </w:rPr>
              <w:t>广州华宇科创股权投资 合伙企业（有限合伙）</w:t>
            </w:r>
          </w:p>
        </w:tc>
        <w:tc>
          <w:tcPr>
            <w:tcW w:w="1209"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Arial" w:hAnsi="Arial" w:cs="Arial" w:eastAsia="Arial" w:hint="default"/>
                <w:sz w:val="18"/>
                <w:szCs w:val="18"/>
              </w:rPr>
            </w:pPr>
            <w:r>
              <w:rPr>
                <w:rFonts w:ascii="Arial"/>
                <w:sz w:val="18"/>
              </w:rPr>
              <w:t>25,000,000.00</w:t>
            </w:r>
          </w:p>
        </w:tc>
        <w:tc>
          <w:tcPr>
            <w:tcW w:w="48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1" w:right="0"/>
              <w:jc w:val="center"/>
              <w:rPr>
                <w:rFonts w:ascii="Arial" w:hAnsi="Arial" w:cs="Arial" w:eastAsia="Arial" w:hint="default"/>
                <w:sz w:val="18"/>
                <w:szCs w:val="18"/>
              </w:rPr>
            </w:pPr>
            <w:r>
              <w:rPr>
                <w:rFonts w:ascii="Arial"/>
                <w:sz w:val="18"/>
              </w:rPr>
              <w:t>25,000,000.00</w:t>
            </w:r>
          </w:p>
        </w:tc>
        <w:tc>
          <w:tcPr>
            <w:tcW w:w="319"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Arial" w:hAnsi="Arial" w:cs="Arial" w:eastAsia="Arial" w:hint="default"/>
                <w:sz w:val="18"/>
                <w:szCs w:val="18"/>
              </w:rPr>
            </w:pPr>
            <w:r>
              <w:rPr>
                <w:rFonts w:ascii="Arial"/>
                <w:sz w:val="18"/>
              </w:rPr>
              <w:t>34,000,000.00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Arial" w:hAnsi="Arial" w:cs="Arial" w:eastAsia="Arial" w:hint="default"/>
                <w:sz w:val="18"/>
                <w:szCs w:val="18"/>
              </w:rPr>
            </w:pPr>
            <w:r>
              <w:rPr>
                <w:rFonts w:ascii="Arial"/>
                <w:sz w:val="18"/>
              </w:rPr>
              <w:t>97,000,000.00</w:t>
            </w:r>
          </w:p>
        </w:tc>
        <w:tc>
          <w:tcPr>
            <w:tcW w:w="48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Arial" w:hAnsi="Arial" w:cs="Arial" w:eastAsia="Arial" w:hint="default"/>
                <w:sz w:val="18"/>
                <w:szCs w:val="18"/>
              </w:rPr>
            </w:pPr>
            <w:r>
              <w:rPr>
                <w:rFonts w:ascii="Arial"/>
                <w:sz w:val="18"/>
              </w:rPr>
              <w:t>131,000,000.00</w:t>
            </w:r>
          </w:p>
        </w:tc>
        <w:tc>
          <w:tcPr>
            <w:tcW w:w="319"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Arial" w:hAnsi="Arial" w:cs="Arial" w:eastAsia="Arial" w:hint="default"/>
                <w:sz w:val="18"/>
                <w:szCs w:val="18"/>
              </w:rPr>
            </w:pPr>
            <w:r>
              <w:rPr>
                <w:rFonts w:ascii="Arial"/>
                <w:sz w:val="18"/>
              </w:rPr>
              <w:t>--</w:t>
            </w:r>
          </w:p>
        </w:tc>
        <w:tc>
          <w:tcPr>
            <w:tcW w:w="65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5"/>
          <w:szCs w:val="5"/>
        </w:rPr>
      </w:pPr>
    </w:p>
    <w:p>
      <w:pPr>
        <w:pStyle w:val="BodyText"/>
        <w:spacing w:line="240" w:lineRule="auto"/>
        <w:ind w:right="996"/>
        <w:jc w:val="left"/>
      </w:pPr>
      <w:r>
        <w:rPr/>
        <w:t>其他说明：</w:t>
      </w:r>
    </w:p>
    <w:p>
      <w:pPr>
        <w:pStyle w:val="BodyText"/>
        <w:spacing w:line="240" w:lineRule="auto" w:before="157"/>
        <w:ind w:left="540" w:right="0"/>
        <w:jc w:val="left"/>
      </w:pPr>
      <w:r>
        <w:rPr>
          <w:spacing w:val="-3"/>
        </w:rPr>
        <w:t>①中国司法大数据研究院有限公司属非公众公司，公允价值无法可靠计量；公司无处置其股权的意图。</w:t>
      </w:r>
    </w:p>
    <w:p>
      <w:pPr>
        <w:pStyle w:val="BodyText"/>
        <w:spacing w:line="273" w:lineRule="auto" w:before="157"/>
        <w:ind w:right="1028" w:firstLine="427"/>
        <w:jc w:val="both"/>
      </w:pPr>
      <w:r>
        <w:rPr>
          <w:spacing w:val="-3"/>
          <w:w w:val="95"/>
        </w:rPr>
        <w:t>②北京华宇科创产业投资中心（有限合伙）属于合伙企业，本公司属于有限合伙人，不参与公司经营，</w:t>
      </w:r>
      <w:r>
        <w:rPr>
          <w:spacing w:val="-75"/>
          <w:w w:val="95"/>
        </w:rPr>
        <w:t> </w:t>
      </w:r>
      <w:r>
        <w:rPr>
          <w:spacing w:val="-75"/>
          <w:w w:val="95"/>
        </w:rPr>
      </w:r>
      <w:r>
        <w:rPr>
          <w:spacing w:val="-3"/>
        </w:rPr>
        <w:t>故作为可供出售金融资产核算；同时其属非公众公司，公允价值无法可靠计量；公司无处置其股权的意图。</w:t>
      </w:r>
      <w:r>
        <w:rPr>
          <w:w w:val="99"/>
        </w:rPr>
        <w:t> </w:t>
      </w:r>
      <w:r>
        <w:rPr/>
        <w:t>实际利润分配比例按合伙协议确定。</w:t>
      </w:r>
    </w:p>
    <w:p>
      <w:pPr>
        <w:pStyle w:val="BodyText"/>
        <w:spacing w:line="264" w:lineRule="auto" w:before="127"/>
        <w:ind w:right="996" w:firstLine="427"/>
        <w:jc w:val="left"/>
      </w:pPr>
      <w:r>
        <w:rPr/>
        <w:t>③</w:t>
      </w:r>
      <w:r>
        <w:rPr>
          <w:rFonts w:ascii="Arial" w:hAnsi="Arial" w:cs="Arial" w:eastAsia="Arial" w:hint="default"/>
        </w:rPr>
        <w:t>2018</w:t>
      </w:r>
      <w:r>
        <w:rPr/>
        <w:t>年</w:t>
      </w:r>
      <w:r>
        <w:rPr>
          <w:rFonts w:ascii="Arial" w:hAnsi="Arial" w:cs="Arial" w:eastAsia="Arial" w:hint="default"/>
        </w:rPr>
        <w:t>5</w:t>
      </w:r>
      <w:r>
        <w:rPr/>
        <w:t>月，公司对深圳市捷视飞通科技股份有限公司失去重大影响，因而对其投资由长期股权投</w:t>
      </w:r>
      <w:r>
        <w:rPr>
          <w:w w:val="99"/>
        </w:rPr>
        <w:t> </w:t>
      </w:r>
      <w:r>
        <w:rPr>
          <w:w w:val="95"/>
        </w:rPr>
        <w:t>资转为可供出售金融资产，公司持有该公司</w:t>
      </w:r>
      <w:r>
        <w:rPr>
          <w:rFonts w:ascii="Arial" w:hAnsi="Arial" w:cs="Arial" w:eastAsia="Arial" w:hint="default"/>
          <w:w w:val="95"/>
        </w:rPr>
        <w:t>14.00%</w:t>
      </w:r>
      <w:r>
        <w:rPr>
          <w:w w:val="95"/>
        </w:rPr>
        <w:t>股权，对其财务和经营政策不再拥有参与决策的权利，</w:t>
      </w:r>
      <w:r>
        <w:rPr>
          <w:spacing w:val="64"/>
          <w:w w:val="95"/>
        </w:rPr>
        <w:t> </w:t>
      </w:r>
      <w:r>
        <w:rPr>
          <w:spacing w:val="64"/>
          <w:w w:val="95"/>
        </w:rPr>
      </w:r>
      <w:r>
        <w:rPr/>
        <w:t>不能施加重大影响，因此，根据企业会计准则的规定，该投资不再符合长期股权投资的认定，转为可供出</w:t>
      </w:r>
      <w:r>
        <w:rPr>
          <w:w w:val="99"/>
        </w:rPr>
        <w:t> </w:t>
      </w:r>
      <w:r>
        <w:rPr/>
        <w:t>售金融资产核算。</w:t>
      </w:r>
    </w:p>
    <w:p>
      <w:pPr>
        <w:pStyle w:val="BodyText"/>
        <w:spacing w:line="240" w:lineRule="auto" w:before="136"/>
        <w:ind w:left="540" w:right="996"/>
        <w:jc w:val="left"/>
      </w:pPr>
      <w:r>
        <w:rPr/>
        <w:t>④广州华宇科创股权投资合伙企业（有限合伙）属于合伙企业，本公司属于有限合伙人，不参与公司</w:t>
      </w:r>
    </w:p>
    <w:p>
      <w:pPr>
        <w:spacing w:after="0" w:line="240" w:lineRule="auto"/>
        <w:jc w:val="left"/>
        <w:sectPr>
          <w:pgSz w:w="11910" w:h="16840"/>
          <w:pgMar w:header="878" w:footer="978" w:top="1100" w:bottom="1160" w:left="1020" w:right="0"/>
        </w:sectPr>
      </w:pPr>
    </w:p>
    <w:p>
      <w:pPr>
        <w:spacing w:line="240" w:lineRule="auto" w:before="12"/>
        <w:rPr>
          <w:rFonts w:ascii="宋体" w:hAnsi="宋体" w:cs="宋体" w:eastAsia="宋体" w:hint="default"/>
          <w:sz w:val="20"/>
          <w:szCs w:val="20"/>
        </w:rPr>
      </w:pPr>
    </w:p>
    <w:p>
      <w:pPr>
        <w:pStyle w:val="BodyText"/>
        <w:spacing w:line="273" w:lineRule="auto"/>
        <w:ind w:right="996"/>
        <w:jc w:val="left"/>
      </w:pPr>
      <w:r>
        <w:rPr>
          <w:w w:val="95"/>
        </w:rPr>
        <w:t>经营，故作为可供出售金融资产核算；同时其属非公众公司，公允价值无法可靠计量；公司无处置其股权</w:t>
      </w:r>
      <w:r>
        <w:rPr>
          <w:spacing w:val="39"/>
          <w:w w:val="95"/>
        </w:rPr>
        <w:t> </w:t>
      </w:r>
      <w:r>
        <w:rPr>
          <w:spacing w:val="39"/>
          <w:w w:val="95"/>
        </w:rPr>
      </w:r>
      <w:r>
        <w:rPr/>
        <w:t>的意图。实际利润分配比例按合伙协议确定。</w:t>
      </w:r>
    </w:p>
    <w:p>
      <w:pPr>
        <w:spacing w:line="240" w:lineRule="auto" w:before="7"/>
        <w:rPr>
          <w:rFonts w:ascii="宋体" w:hAnsi="宋体" w:cs="宋体" w:eastAsia="宋体" w:hint="default"/>
          <w:sz w:val="23"/>
          <w:szCs w:val="23"/>
        </w:rPr>
      </w:pPr>
    </w:p>
    <w:p>
      <w:pPr>
        <w:pStyle w:val="Heading4"/>
        <w:spacing w:line="240" w:lineRule="auto"/>
        <w:ind w:right="996"/>
        <w:jc w:val="left"/>
        <w:rPr>
          <w:b w:val="0"/>
          <w:bCs w:val="0"/>
        </w:rPr>
      </w:pPr>
      <w:bookmarkStart w:name="8、长期股权投资" w:id="229"/>
      <w:bookmarkEnd w:id="229"/>
      <w:r>
        <w:rPr>
          <w:b w:val="0"/>
          <w:bCs w:val="0"/>
        </w:rPr>
      </w:r>
      <w:r>
        <w:rPr>
          <w:rFonts w:ascii="Arial" w:hAnsi="Arial" w:cs="Arial" w:eastAsia="Arial" w:hint="default"/>
        </w:rPr>
        <w:t>8</w:t>
      </w:r>
      <w:r>
        <w:rPr/>
        <w:t>、长期股权投资</w:t>
      </w:r>
      <w:r>
        <w:rPr>
          <w:b w:val="0"/>
          <w:bCs w:val="0"/>
        </w:rPr>
      </w:r>
    </w:p>
    <w:p>
      <w:pPr>
        <w:spacing w:line="240" w:lineRule="auto" w:before="7"/>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85"/>
        <w:gridCol w:w="1208"/>
        <w:gridCol w:w="396"/>
        <w:gridCol w:w="396"/>
        <w:gridCol w:w="1383"/>
        <w:gridCol w:w="610"/>
        <w:gridCol w:w="1116"/>
        <w:gridCol w:w="771"/>
        <w:gridCol w:w="503"/>
        <w:gridCol w:w="1226"/>
        <w:gridCol w:w="396"/>
        <w:gridCol w:w="610"/>
      </w:tblGrid>
      <w:tr>
        <w:trPr>
          <w:trHeight w:val="402" w:hRule="exact"/>
        </w:trPr>
        <w:tc>
          <w:tcPr>
            <w:tcW w:w="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2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40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02" w:right="102"/>
              <w:jc w:val="both"/>
              <w:rPr>
                <w:rFonts w:ascii="宋体" w:hAnsi="宋体" w:cs="宋体" w:eastAsia="宋体" w:hint="default"/>
                <w:sz w:val="18"/>
                <w:szCs w:val="18"/>
              </w:rPr>
            </w:pPr>
            <w:r>
              <w:rPr>
                <w:rFonts w:ascii="宋体" w:hAnsi="宋体" w:cs="宋体" w:eastAsia="宋体" w:hint="default"/>
                <w:sz w:val="18"/>
                <w:szCs w:val="18"/>
              </w:rPr>
              <w:t>期 末 余 额</w:t>
            </w:r>
          </w:p>
        </w:tc>
        <w:tc>
          <w:tcPr>
            <w:tcW w:w="6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30" w:right="28"/>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985" w:type="dxa"/>
            <w:vMerge/>
            <w:tcBorders>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01"/>
              <w:jc w:val="both"/>
              <w:rPr>
                <w:rFonts w:ascii="宋体" w:hAnsi="宋体" w:cs="宋体" w:eastAsia="宋体" w:hint="default"/>
                <w:sz w:val="18"/>
                <w:szCs w:val="18"/>
              </w:rPr>
            </w:pPr>
            <w:r>
              <w:rPr>
                <w:rFonts w:ascii="宋体" w:hAnsi="宋体" w:cs="宋体" w:eastAsia="宋体" w:hint="default"/>
                <w:sz w:val="18"/>
                <w:szCs w:val="18"/>
              </w:rPr>
              <w:t>追 加 投 资</w:t>
            </w:r>
          </w:p>
        </w:tc>
        <w:tc>
          <w:tcPr>
            <w:tcW w:w="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01"/>
              <w:jc w:val="both"/>
              <w:rPr>
                <w:rFonts w:ascii="宋体" w:hAnsi="宋体" w:cs="宋体" w:eastAsia="宋体" w:hint="default"/>
                <w:sz w:val="18"/>
                <w:szCs w:val="18"/>
              </w:rPr>
            </w:pPr>
            <w:r>
              <w:rPr>
                <w:rFonts w:ascii="宋体" w:hAnsi="宋体" w:cs="宋体" w:eastAsia="宋体" w:hint="default"/>
                <w:sz w:val="18"/>
                <w:szCs w:val="18"/>
              </w:rPr>
              <w:t>减 少 投 资</w:t>
            </w:r>
          </w:p>
        </w:tc>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325" w:right="54" w:hanging="269"/>
              <w:jc w:val="left"/>
              <w:rPr>
                <w:rFonts w:ascii="宋体" w:hAnsi="宋体" w:cs="宋体" w:eastAsia="宋体" w:hint="default"/>
                <w:sz w:val="18"/>
                <w:szCs w:val="18"/>
              </w:rPr>
            </w:pPr>
            <w:r>
              <w:rPr>
                <w:rFonts w:ascii="宋体" w:hAnsi="宋体" w:cs="宋体" w:eastAsia="宋体" w:hint="default"/>
                <w:sz w:val="18"/>
                <w:szCs w:val="18"/>
              </w:rPr>
              <w:t>权益法下确认的 投资损益</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9" w:right="28"/>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1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463" w:right="100" w:hanging="360"/>
              <w:jc w:val="left"/>
              <w:rPr>
                <w:rFonts w:ascii="宋体" w:hAnsi="宋体" w:cs="宋体" w:eastAsia="宋体" w:hint="default"/>
                <w:sz w:val="18"/>
                <w:szCs w:val="18"/>
              </w:rPr>
            </w:pPr>
            <w:r>
              <w:rPr>
                <w:rFonts w:ascii="宋体" w:hAnsi="宋体" w:cs="宋体" w:eastAsia="宋体" w:hint="default"/>
                <w:sz w:val="18"/>
                <w:szCs w:val="18"/>
              </w:rPr>
              <w:t>其他权益变 动</w:t>
            </w:r>
          </w:p>
        </w:tc>
        <w:tc>
          <w:tcPr>
            <w:tcW w:w="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1" w:right="108"/>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5" w:right="66"/>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1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396" w:type="dxa"/>
            <w:vMerge/>
            <w:tcBorders>
              <w:left w:val="single" w:sz="4" w:space="0" w:color="000000"/>
              <w:bottom w:val="single" w:sz="4" w:space="0" w:color="000000"/>
              <w:right w:val="single" w:sz="4" w:space="0" w:color="000000"/>
            </w:tcBorders>
            <w:shd w:val="clear" w:color="auto" w:fill="D2D2D2"/>
          </w:tcPr>
          <w:p>
            <w:pPr/>
          </w:p>
        </w:tc>
        <w:tc>
          <w:tcPr>
            <w:tcW w:w="61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60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60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0"/>
              <w:jc w:val="both"/>
              <w:rPr>
                <w:rFonts w:ascii="宋体" w:hAnsi="宋体" w:cs="宋体" w:eastAsia="宋体" w:hint="default"/>
                <w:sz w:val="18"/>
                <w:szCs w:val="18"/>
              </w:rPr>
            </w:pPr>
            <w:r>
              <w:rPr>
                <w:rFonts w:ascii="宋体" w:hAnsi="宋体" w:cs="宋体" w:eastAsia="宋体" w:hint="default"/>
                <w:sz w:val="18"/>
                <w:szCs w:val="18"/>
              </w:rPr>
              <w:t>深圳市捷视 飞通科技股 份有限公司</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 w:right="0"/>
              <w:jc w:val="center"/>
              <w:rPr>
                <w:rFonts w:ascii="Arial" w:hAnsi="Arial" w:cs="Arial" w:eastAsia="Arial" w:hint="default"/>
                <w:sz w:val="18"/>
                <w:szCs w:val="18"/>
              </w:rPr>
            </w:pPr>
            <w:r>
              <w:rPr>
                <w:rFonts w:ascii="Arial"/>
                <w:sz w:val="18"/>
              </w:rPr>
              <w:t>44,153,586.61</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-2,392,479.08</w:t>
            </w:r>
          </w:p>
        </w:tc>
        <w:tc>
          <w:tcPr>
            <w:tcW w:w="61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1,302,387.77</w:t>
            </w:r>
          </w:p>
        </w:tc>
        <w:tc>
          <w:tcPr>
            <w:tcW w:w="771" w:type="dxa"/>
            <w:tcBorders>
              <w:top w:val="single" w:sz="4" w:space="0" w:color="000000"/>
              <w:left w:val="single" w:sz="4" w:space="0" w:color="000000"/>
              <w:bottom w:val="single" w:sz="4" w:space="0" w:color="000000"/>
              <w:right w:val="single" w:sz="4" w:space="0" w:color="000000"/>
            </w:tcBorders>
          </w:tcPr>
          <w:p>
            <w:pPr/>
          </w:p>
        </w:tc>
        <w:tc>
          <w:tcPr>
            <w:tcW w:w="503"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1"/>
                <w:sz w:val="18"/>
              </w:rPr>
              <w:t>-43,063,495.3</w:t>
            </w:r>
          </w:p>
          <w:p>
            <w:pPr>
              <w:pStyle w:val="TableParagraph"/>
              <w:spacing w:line="240" w:lineRule="auto" w:before="105"/>
              <w:ind w:right="21"/>
              <w:jc w:val="right"/>
              <w:rPr>
                <w:rFonts w:ascii="Arial" w:hAnsi="Arial" w:cs="Arial" w:eastAsia="Arial" w:hint="default"/>
                <w:sz w:val="18"/>
                <w:szCs w:val="18"/>
              </w:rPr>
            </w:pPr>
            <w:r>
              <w:rPr>
                <w:rFonts w:ascii="Arial"/>
                <w:w w:val="99"/>
                <w:sz w:val="18"/>
              </w:rPr>
              <w:t>0</w:t>
            </w:r>
            <w:r>
              <w:rPr>
                <w:rFonts w:ascii="Arial"/>
                <w:sz w:val="18"/>
              </w:rPr>
            </w:r>
          </w:p>
        </w:tc>
        <w:tc>
          <w:tcPr>
            <w:tcW w:w="396"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Arial" w:hAnsi="Arial" w:cs="Arial" w:eastAsia="Arial" w:hint="default"/>
                <w:sz w:val="18"/>
                <w:szCs w:val="18"/>
              </w:rPr>
            </w:pPr>
            <w:r>
              <w:rPr>
                <w:rFonts w:ascii="Arial"/>
                <w:sz w:val="18"/>
              </w:rPr>
              <w:t>44,153,586.61</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-2,392,479.08</w:t>
            </w:r>
          </w:p>
        </w:tc>
        <w:tc>
          <w:tcPr>
            <w:tcW w:w="61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1,302,387.77</w:t>
            </w:r>
          </w:p>
        </w:tc>
        <w:tc>
          <w:tcPr>
            <w:tcW w:w="771" w:type="dxa"/>
            <w:tcBorders>
              <w:top w:val="single" w:sz="4" w:space="0" w:color="000000"/>
              <w:left w:val="single" w:sz="4" w:space="0" w:color="000000"/>
              <w:bottom w:val="single" w:sz="4" w:space="0" w:color="000000"/>
              <w:right w:val="single" w:sz="4" w:space="0" w:color="000000"/>
            </w:tcBorders>
          </w:tcPr>
          <w:p>
            <w:pPr/>
          </w:p>
        </w:tc>
        <w:tc>
          <w:tcPr>
            <w:tcW w:w="503"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-43,063,495.3</w:t>
            </w:r>
          </w:p>
          <w:p>
            <w:pPr>
              <w:pStyle w:val="TableParagraph"/>
              <w:spacing w:line="240" w:lineRule="auto" w:before="105"/>
              <w:ind w:right="21"/>
              <w:jc w:val="right"/>
              <w:rPr>
                <w:rFonts w:ascii="Arial" w:hAnsi="Arial" w:cs="Arial" w:eastAsia="Arial" w:hint="default"/>
                <w:sz w:val="18"/>
                <w:szCs w:val="18"/>
              </w:rPr>
            </w:pPr>
            <w:r>
              <w:rPr>
                <w:rFonts w:ascii="Arial"/>
                <w:w w:val="99"/>
                <w:sz w:val="18"/>
              </w:rPr>
              <w:t>0</w:t>
            </w:r>
            <w:r>
              <w:rPr>
                <w:rFonts w:ascii="Arial"/>
                <w:sz w:val="18"/>
              </w:rPr>
            </w:r>
          </w:p>
        </w:tc>
        <w:tc>
          <w:tcPr>
            <w:tcW w:w="396"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Arial" w:hAnsi="Arial" w:cs="Arial" w:eastAsia="Arial" w:hint="default"/>
                <w:sz w:val="18"/>
                <w:szCs w:val="18"/>
              </w:rPr>
            </w:pPr>
            <w:r>
              <w:rPr>
                <w:rFonts w:ascii="Arial"/>
                <w:sz w:val="18"/>
              </w:rPr>
              <w:t>44,153,586.61</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-2,392,479.08</w:t>
            </w:r>
          </w:p>
        </w:tc>
        <w:tc>
          <w:tcPr>
            <w:tcW w:w="61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1,302,387.77</w:t>
            </w:r>
          </w:p>
        </w:tc>
        <w:tc>
          <w:tcPr>
            <w:tcW w:w="771" w:type="dxa"/>
            <w:tcBorders>
              <w:top w:val="single" w:sz="4" w:space="0" w:color="000000"/>
              <w:left w:val="single" w:sz="4" w:space="0" w:color="000000"/>
              <w:bottom w:val="single" w:sz="4" w:space="0" w:color="000000"/>
              <w:right w:val="single" w:sz="4" w:space="0" w:color="000000"/>
            </w:tcBorders>
          </w:tcPr>
          <w:p>
            <w:pPr/>
          </w:p>
        </w:tc>
        <w:tc>
          <w:tcPr>
            <w:tcW w:w="503"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-43,063,495.3</w:t>
            </w:r>
          </w:p>
          <w:p>
            <w:pPr>
              <w:pStyle w:val="TableParagraph"/>
              <w:spacing w:line="240" w:lineRule="auto" w:before="105"/>
              <w:ind w:right="21"/>
              <w:jc w:val="right"/>
              <w:rPr>
                <w:rFonts w:ascii="Arial" w:hAnsi="Arial" w:cs="Arial" w:eastAsia="Arial" w:hint="default"/>
                <w:sz w:val="18"/>
                <w:szCs w:val="18"/>
              </w:rPr>
            </w:pPr>
            <w:r>
              <w:rPr>
                <w:rFonts w:ascii="Arial"/>
                <w:w w:val="99"/>
                <w:sz w:val="18"/>
              </w:rPr>
              <w:t>0</w:t>
            </w:r>
            <w:r>
              <w:rPr>
                <w:rFonts w:ascii="Arial"/>
                <w:sz w:val="18"/>
              </w:rPr>
            </w:r>
          </w:p>
        </w:tc>
        <w:tc>
          <w:tcPr>
            <w:tcW w:w="396"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5"/>
          <w:szCs w:val="5"/>
        </w:rPr>
      </w:pPr>
    </w:p>
    <w:p>
      <w:pPr>
        <w:pStyle w:val="BodyText"/>
        <w:spacing w:line="240" w:lineRule="auto"/>
        <w:ind w:right="0"/>
        <w:jc w:val="both"/>
      </w:pPr>
      <w:r>
        <w:rPr/>
        <w:t>其他说明：</w:t>
      </w:r>
    </w:p>
    <w:p>
      <w:pPr>
        <w:pStyle w:val="BodyText"/>
        <w:spacing w:line="240" w:lineRule="auto" w:before="157"/>
        <w:ind w:left="540" w:right="996"/>
        <w:jc w:val="left"/>
      </w:pPr>
      <w:r>
        <w:rPr>
          <w:rFonts w:ascii="Arial" w:hAnsi="Arial" w:cs="Arial" w:eastAsia="Arial" w:hint="default"/>
        </w:rPr>
        <w:t>2018</w:t>
      </w:r>
      <w:r>
        <w:rPr/>
        <w:t>年</w:t>
      </w:r>
      <w:r>
        <w:rPr>
          <w:rFonts w:ascii="Arial" w:hAnsi="Arial" w:cs="Arial" w:eastAsia="Arial" w:hint="default"/>
        </w:rPr>
        <w:t>2</w:t>
      </w:r>
      <w:r>
        <w:rPr/>
        <w:t>月，由于第三方对深圳市捷视飞通科技股份有限公司增资，公司持有该公司股权比例由</w:t>
      </w:r>
    </w:p>
    <w:p>
      <w:pPr>
        <w:pStyle w:val="BodyText"/>
        <w:spacing w:line="266" w:lineRule="auto" w:before="22"/>
        <w:ind w:right="1132"/>
        <w:jc w:val="both"/>
      </w:pPr>
      <w:r>
        <w:rPr>
          <w:rFonts w:ascii="Arial" w:hAnsi="Arial" w:cs="Arial" w:eastAsia="Arial" w:hint="default"/>
        </w:rPr>
        <w:t>14.3535%</w:t>
      </w:r>
      <w:r>
        <w:rPr/>
        <w:t>变更为</w:t>
      </w:r>
      <w:r>
        <w:rPr>
          <w:rFonts w:ascii="Arial" w:hAnsi="Arial" w:cs="Arial" w:eastAsia="Arial" w:hint="default"/>
        </w:rPr>
        <w:t>14.00%</w:t>
      </w:r>
      <w:r>
        <w:rPr/>
        <w:t>，仍为其第二大股东，并在该公司的董事会派驻董事；</w:t>
      </w:r>
      <w:r>
        <w:rPr>
          <w:spacing w:val="-65"/>
        </w:rPr>
        <w:t> </w:t>
      </w:r>
      <w:r>
        <w:rPr>
          <w:rFonts w:ascii="Arial" w:hAnsi="Arial" w:cs="Arial" w:eastAsia="Arial" w:hint="default"/>
        </w:rPr>
        <w:t>2018</w:t>
      </w:r>
      <w:r>
        <w:rPr/>
        <w:t>年</w:t>
      </w:r>
      <w:r>
        <w:rPr>
          <w:rFonts w:ascii="Arial" w:hAnsi="Arial" w:cs="Arial" w:eastAsia="Arial" w:hint="default"/>
        </w:rPr>
        <w:t>5</w:t>
      </w:r>
      <w:r>
        <w:rPr/>
        <w:t>月，公司董事长</w:t>
      </w:r>
      <w:r>
        <w:rPr>
          <w:w w:val="99"/>
        </w:rPr>
        <w:t> </w:t>
      </w:r>
      <w:r>
        <w:rPr>
          <w:w w:val="95"/>
        </w:rPr>
        <w:t>邵学辞去该公司董事的职务，不再参与公司的决策，对其失去重大影响，因而对其投资由长期股权投资转</w:t>
      </w:r>
      <w:r>
        <w:rPr>
          <w:spacing w:val="37"/>
          <w:w w:val="95"/>
        </w:rPr>
        <w:t> </w:t>
      </w:r>
      <w:r>
        <w:rPr>
          <w:spacing w:val="37"/>
          <w:w w:val="95"/>
        </w:rPr>
      </w:r>
      <w:r>
        <w:rPr/>
        <w:t>为可供出售金融资产。</w:t>
      </w:r>
    </w:p>
    <w:p>
      <w:pPr>
        <w:spacing w:line="240" w:lineRule="auto" w:before="0"/>
        <w:rPr>
          <w:rFonts w:ascii="宋体" w:hAnsi="宋体" w:cs="宋体" w:eastAsia="宋体" w:hint="default"/>
          <w:sz w:val="24"/>
          <w:szCs w:val="24"/>
        </w:rPr>
      </w:pPr>
    </w:p>
    <w:p>
      <w:pPr>
        <w:pStyle w:val="Heading4"/>
        <w:spacing w:line="240" w:lineRule="auto"/>
        <w:ind w:right="0"/>
        <w:jc w:val="both"/>
        <w:rPr>
          <w:b w:val="0"/>
          <w:bCs w:val="0"/>
        </w:rPr>
      </w:pPr>
      <w:bookmarkStart w:name="9、固定资产" w:id="230"/>
      <w:bookmarkEnd w:id="230"/>
      <w:r>
        <w:rPr>
          <w:b w:val="0"/>
          <w:bCs w:val="0"/>
        </w:rPr>
      </w:r>
      <w:r>
        <w:rPr>
          <w:rFonts w:ascii="Arial" w:hAnsi="Arial" w:cs="Arial" w:eastAsia="Arial" w:hint="default"/>
        </w:rPr>
        <w:t>9</w:t>
      </w:r>
      <w:r>
        <w:rPr/>
        <w:t>、固定资产</w:t>
      </w:r>
      <w:r>
        <w:rPr>
          <w:b w:val="0"/>
          <w:bCs w:val="0"/>
        </w:rPr>
      </w:r>
    </w:p>
    <w:p>
      <w:pPr>
        <w:spacing w:line="240" w:lineRule="auto" w:before="7"/>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4"/>
        <w:gridCol w:w="3187"/>
        <w:gridCol w:w="318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252,901,655.59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259,383,902.21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252,901,655.59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259,383,902.21</w:t>
            </w:r>
          </w:p>
        </w:tc>
      </w:tr>
    </w:tbl>
    <w:p>
      <w:pPr>
        <w:spacing w:line="240" w:lineRule="auto" w:before="4"/>
        <w:rPr>
          <w:rFonts w:ascii="宋体" w:hAnsi="宋体" w:cs="宋体" w:eastAsia="宋体" w:hint="default"/>
          <w:sz w:val="19"/>
          <w:szCs w:val="19"/>
        </w:rPr>
      </w:pPr>
    </w:p>
    <w:p>
      <w:pPr>
        <w:pStyle w:val="Heading4"/>
        <w:spacing w:line="240" w:lineRule="auto" w:before="34"/>
        <w:ind w:right="996"/>
        <w:jc w:val="left"/>
        <w:rPr>
          <w:b w:val="0"/>
          <w:bCs w:val="0"/>
        </w:rPr>
      </w:pPr>
      <w:bookmarkStart w:name="（1）固定资产情况" w:id="231"/>
      <w:bookmarkEnd w:id="231"/>
      <w:r>
        <w:rPr>
          <w:b w:val="0"/>
          <w:bCs w:val="0"/>
        </w:rPr>
      </w:r>
      <w:r>
        <w:rPr/>
        <w:t>（</w:t>
      </w:r>
      <w:r>
        <w:rPr>
          <w:rFonts w:ascii="Arial" w:hAnsi="Arial" w:cs="Arial" w:eastAsia="Arial" w:hint="default"/>
        </w:rPr>
        <w:t>1</w:t>
      </w:r>
      <w:r>
        <w:rPr/>
        <w:t>）固定资产情况</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85"/>
        <w:gridCol w:w="1515"/>
        <w:gridCol w:w="1516"/>
        <w:gridCol w:w="1516"/>
        <w:gridCol w:w="1516"/>
        <w:gridCol w:w="1516"/>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39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39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期初余额</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1" w:right="0"/>
              <w:jc w:val="left"/>
              <w:rPr>
                <w:rFonts w:ascii="Arial" w:hAnsi="Arial" w:cs="Arial" w:eastAsia="Arial" w:hint="default"/>
                <w:sz w:val="18"/>
                <w:szCs w:val="18"/>
              </w:rPr>
            </w:pPr>
            <w:r>
              <w:rPr>
                <w:rFonts w:ascii="Arial"/>
                <w:sz w:val="18"/>
              </w:rPr>
              <w:t>212,532,029.34</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3" w:right="0"/>
              <w:jc w:val="left"/>
              <w:rPr>
                <w:rFonts w:ascii="Arial" w:hAnsi="Arial" w:cs="Arial" w:eastAsia="Arial" w:hint="default"/>
                <w:sz w:val="18"/>
                <w:szCs w:val="18"/>
              </w:rPr>
            </w:pPr>
            <w:r>
              <w:rPr>
                <w:rFonts w:ascii="Arial"/>
                <w:sz w:val="18"/>
              </w:rPr>
              <w:t>73,289,776.01</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2" w:right="0"/>
              <w:jc w:val="left"/>
              <w:rPr>
                <w:rFonts w:ascii="Arial" w:hAnsi="Arial" w:cs="Arial" w:eastAsia="Arial" w:hint="default"/>
                <w:sz w:val="18"/>
                <w:szCs w:val="18"/>
              </w:rPr>
            </w:pPr>
            <w:r>
              <w:rPr>
                <w:rFonts w:ascii="Arial"/>
                <w:sz w:val="18"/>
              </w:rPr>
              <w:t>17,788,504.15</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3" w:right="0"/>
              <w:jc w:val="left"/>
              <w:rPr>
                <w:rFonts w:ascii="Arial" w:hAnsi="Arial" w:cs="Arial" w:eastAsia="Arial" w:hint="default"/>
                <w:sz w:val="18"/>
                <w:szCs w:val="18"/>
              </w:rPr>
            </w:pPr>
            <w:r>
              <w:rPr>
                <w:rFonts w:ascii="Arial"/>
                <w:sz w:val="18"/>
              </w:rPr>
              <w:t>29,446,778.63</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3" w:right="0"/>
              <w:jc w:val="left"/>
              <w:rPr>
                <w:rFonts w:ascii="Arial" w:hAnsi="Arial" w:cs="Arial" w:eastAsia="Arial" w:hint="default"/>
                <w:sz w:val="18"/>
                <w:szCs w:val="18"/>
              </w:rPr>
            </w:pPr>
            <w:r>
              <w:rPr>
                <w:rFonts w:ascii="Arial"/>
                <w:sz w:val="18"/>
              </w:rPr>
              <w:t>333,057,088.13</w:t>
            </w:r>
          </w:p>
        </w:tc>
      </w:tr>
    </w:tbl>
    <w:p>
      <w:pPr>
        <w:spacing w:after="0" w:line="240" w:lineRule="auto"/>
        <w:jc w:val="left"/>
        <w:rPr>
          <w:rFonts w:ascii="Arial" w:hAnsi="Arial" w:cs="Arial" w:eastAsia="Arial" w:hint="default"/>
          <w:sz w:val="18"/>
          <w:szCs w:val="18"/>
        </w:rPr>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985"/>
        <w:gridCol w:w="1515"/>
        <w:gridCol w:w="1516"/>
        <w:gridCol w:w="1516"/>
        <w:gridCol w:w="1516"/>
        <w:gridCol w:w="1516"/>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本期增加金额</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1,722,327.47</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16,273,495.81</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1,729,125.86</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605,595.66</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20,330,544.80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）购置</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1,722,327.47</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16,273,495.81</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1,729,125.86</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605,595.66</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20,330,544.80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本期减少金额</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6,603,158.26</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843,349.96</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3,867,513.41</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2"/>
                <w:sz w:val="18"/>
              </w:rPr>
              <w:t>11,314,021.63</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9"/>
              <w:jc w:val="right"/>
              <w:rPr>
                <w:rFonts w:ascii="宋体" w:hAnsi="宋体" w:cs="宋体" w:eastAsia="宋体" w:hint="default"/>
                <w:sz w:val="18"/>
                <w:szCs w:val="18"/>
              </w:rPr>
            </w:pPr>
            <w:r>
              <w:rPr>
                <w:rFonts w:ascii="宋体" w:hAnsi="宋体" w:cs="宋体" w:eastAsia="宋体" w:hint="default"/>
                <w:w w:val="95"/>
                <w:sz w:val="18"/>
                <w:szCs w:val="18"/>
              </w:rPr>
              <w:t>（</w:t>
            </w:r>
            <w:r>
              <w:rPr>
                <w:rFonts w:ascii="Arial" w:hAnsi="Arial" w:cs="Arial" w:eastAsia="Arial" w:hint="default"/>
                <w:w w:val="95"/>
                <w:sz w:val="18"/>
                <w:szCs w:val="18"/>
              </w:rPr>
              <w:t>1</w:t>
            </w:r>
            <w:r>
              <w:rPr>
                <w:rFonts w:ascii="宋体" w:hAnsi="宋体" w:cs="宋体" w:eastAsia="宋体" w:hint="default"/>
                <w:w w:val="95"/>
                <w:sz w:val="18"/>
                <w:szCs w:val="18"/>
              </w:rPr>
              <w:t>）处置或报废</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6,603,158.26</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843,349.96</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3,867,513.41</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2"/>
                <w:sz w:val="18"/>
              </w:rPr>
              <w:t>11,314,021.63</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期末余额</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214,254,356.81</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2"/>
                <w:sz w:val="18"/>
              </w:rPr>
              <w:t>82,960,113.56</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18,674,280.05</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26,184,860.88</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2"/>
                <w:sz w:val="18"/>
              </w:rPr>
              <w:t>342,073,611.30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期初余额</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17,803,266.28</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29,947,685.18</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9,779,445.95</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16,142,788.51</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73,673,185.92</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本期增加金额</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4,691,997.83</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14,290,782.21</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2,252,378.72</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4,686,365.17</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25,921,523.93</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）计提</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4,691,997.83</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14,290,782.21</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2,252,378.72</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4,686,365.17</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25,921,523.93</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本期减少金额</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6,241,509.94</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507,106.51</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3,674,137.69</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10,422,754.14</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29"/>
              <w:jc w:val="right"/>
              <w:rPr>
                <w:rFonts w:ascii="宋体" w:hAnsi="宋体" w:cs="宋体" w:eastAsia="宋体" w:hint="default"/>
                <w:sz w:val="18"/>
                <w:szCs w:val="18"/>
              </w:rPr>
            </w:pPr>
            <w:r>
              <w:rPr>
                <w:rFonts w:ascii="宋体" w:hAnsi="宋体" w:cs="宋体" w:eastAsia="宋体" w:hint="default"/>
                <w:w w:val="95"/>
                <w:sz w:val="18"/>
                <w:szCs w:val="18"/>
              </w:rPr>
              <w:t>（</w:t>
            </w:r>
            <w:r>
              <w:rPr>
                <w:rFonts w:ascii="Arial" w:hAnsi="Arial" w:cs="Arial" w:eastAsia="Arial" w:hint="default"/>
                <w:w w:val="95"/>
                <w:sz w:val="18"/>
                <w:szCs w:val="18"/>
              </w:rPr>
              <w:t>1</w:t>
            </w:r>
            <w:r>
              <w:rPr>
                <w:rFonts w:ascii="宋体" w:hAnsi="宋体" w:cs="宋体" w:eastAsia="宋体" w:hint="default"/>
                <w:w w:val="95"/>
                <w:sz w:val="18"/>
                <w:szCs w:val="18"/>
              </w:rPr>
              <w:t>）处置或报废</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6,241,509.94</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507,106.51</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3,674,137.69</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10,422,754.14</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期末余额</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5"/>
              <w:jc w:val="right"/>
              <w:rPr>
                <w:rFonts w:ascii="Arial" w:hAnsi="Arial" w:cs="Arial" w:eastAsia="Arial" w:hint="default"/>
                <w:sz w:val="18"/>
                <w:szCs w:val="18"/>
              </w:rPr>
            </w:pPr>
            <w:r>
              <w:rPr>
                <w:rFonts w:ascii="Arial"/>
                <w:spacing w:val="-2"/>
                <w:sz w:val="18"/>
              </w:rPr>
              <w:t>22,495,264.11</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37,996,957.45</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2"/>
                <w:sz w:val="18"/>
              </w:rPr>
              <w:t>11,524,718.16</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17,155,015.99</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89,171,955.71</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15"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期末账面价值</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191,759,092.70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Arial" w:hAnsi="Arial" w:cs="Arial" w:eastAsia="Arial" w:hint="default"/>
                <w:sz w:val="18"/>
                <w:szCs w:val="18"/>
              </w:rPr>
            </w:pPr>
            <w:r>
              <w:rPr>
                <w:rFonts w:ascii="Arial"/>
                <w:spacing w:val="-2"/>
                <w:sz w:val="18"/>
              </w:rPr>
              <w:t>44,963,156.11</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7,149,561.89</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9,029,844.89</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252,901,655.59</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期初账面价值</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194,728,763.06</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43,342,090.83</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8,009,058.20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13,303,990.12</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259,383,902.21</w:t>
            </w:r>
          </w:p>
        </w:tc>
      </w:tr>
    </w:tbl>
    <w:p>
      <w:pPr>
        <w:spacing w:line="240" w:lineRule="auto" w:before="3"/>
        <w:rPr>
          <w:rFonts w:ascii="宋体" w:hAnsi="宋体" w:cs="宋体" w:eastAsia="宋体" w:hint="default"/>
          <w:sz w:val="19"/>
          <w:szCs w:val="19"/>
        </w:rPr>
      </w:pPr>
    </w:p>
    <w:p>
      <w:pPr>
        <w:pStyle w:val="Heading4"/>
        <w:spacing w:line="240" w:lineRule="auto" w:before="34"/>
        <w:ind w:right="996"/>
        <w:jc w:val="left"/>
        <w:rPr>
          <w:b w:val="0"/>
          <w:bCs w:val="0"/>
        </w:rPr>
      </w:pPr>
      <w:bookmarkStart w:name="（2）未办妥产权证书的固定资产情况" w:id="232"/>
      <w:bookmarkEnd w:id="232"/>
      <w:r>
        <w:rPr>
          <w:b w:val="0"/>
          <w:bCs w:val="0"/>
        </w:rPr>
      </w:r>
      <w:r>
        <w:rPr/>
        <w:t>（</w:t>
      </w:r>
      <w:r>
        <w:rPr>
          <w:rFonts w:ascii="Arial" w:hAnsi="Arial" w:cs="Arial" w:eastAsia="Arial" w:hint="default"/>
        </w:rPr>
        <w:t>2</w:t>
      </w:r>
      <w:r>
        <w:rPr/>
        <w:t>）未办妥产权证书的固定资产情况</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923" w:right="0"/>
              <w:jc w:val="left"/>
              <w:rPr>
                <w:rFonts w:ascii="Arial" w:hAnsi="Arial" w:cs="Arial" w:eastAsia="Arial" w:hint="default"/>
                <w:sz w:val="18"/>
                <w:szCs w:val="18"/>
              </w:rPr>
            </w:pPr>
            <w:r>
              <w:rPr>
                <w:rFonts w:ascii="Arial"/>
                <w:sz w:val="18"/>
              </w:rPr>
              <w:t>113,899,598.51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正在办理</w:t>
            </w:r>
          </w:p>
        </w:tc>
      </w:tr>
    </w:tbl>
    <w:p>
      <w:pPr>
        <w:spacing w:line="240" w:lineRule="auto" w:before="6"/>
        <w:rPr>
          <w:rFonts w:ascii="宋体" w:hAnsi="宋体" w:cs="宋体" w:eastAsia="宋体" w:hint="default"/>
          <w:sz w:val="5"/>
          <w:szCs w:val="5"/>
        </w:rPr>
      </w:pPr>
    </w:p>
    <w:p>
      <w:pPr>
        <w:pStyle w:val="BodyText"/>
        <w:spacing w:line="240" w:lineRule="auto"/>
        <w:ind w:right="996"/>
        <w:jc w:val="left"/>
      </w:pPr>
      <w:r>
        <w:rPr/>
        <w:t>其他说明：</w:t>
      </w:r>
    </w:p>
    <w:p>
      <w:pPr>
        <w:pStyle w:val="BodyText"/>
        <w:spacing w:line="273" w:lineRule="auto" w:before="157"/>
        <w:ind w:right="996" w:firstLine="427"/>
        <w:jc w:val="left"/>
      </w:pPr>
      <w:r>
        <w:rPr>
          <w:w w:val="95"/>
        </w:rPr>
        <w:t>期末不存在借款抵押的房屋及建筑物；无暂时闲置的固定资产情况；无通过融资租赁租入的固定资产</w:t>
      </w:r>
      <w:r>
        <w:rPr>
          <w:w w:val="99"/>
        </w:rPr>
        <w:t> </w:t>
      </w:r>
      <w:r>
        <w:rPr/>
        <w:t>情况和通过经营租赁租出的固定资产，不存在减值迹象。</w:t>
      </w:r>
    </w:p>
    <w:p>
      <w:pPr>
        <w:spacing w:line="240" w:lineRule="auto" w:before="9"/>
        <w:rPr>
          <w:rFonts w:ascii="宋体" w:hAnsi="宋体" w:cs="宋体" w:eastAsia="宋体" w:hint="default"/>
          <w:sz w:val="23"/>
          <w:szCs w:val="23"/>
        </w:rPr>
      </w:pPr>
    </w:p>
    <w:p>
      <w:pPr>
        <w:pStyle w:val="Heading4"/>
        <w:spacing w:line="240" w:lineRule="auto"/>
        <w:ind w:right="996"/>
        <w:jc w:val="left"/>
        <w:rPr>
          <w:b w:val="0"/>
          <w:bCs w:val="0"/>
        </w:rPr>
      </w:pPr>
      <w:bookmarkStart w:name="10、在建工程" w:id="233"/>
      <w:bookmarkEnd w:id="233"/>
      <w:r>
        <w:rPr>
          <w:b w:val="0"/>
          <w:bCs w:val="0"/>
        </w:rPr>
      </w:r>
      <w:r>
        <w:rPr>
          <w:rFonts w:ascii="Arial" w:hAnsi="Arial" w:cs="Arial" w:eastAsia="Arial" w:hint="default"/>
        </w:rPr>
        <w:t>10</w:t>
      </w:r>
      <w:r>
        <w:rPr/>
        <w:t>、在建工程</w:t>
      </w:r>
      <w:r>
        <w:rPr>
          <w:b w:val="0"/>
          <w:bCs w:val="0"/>
        </w:rPr>
      </w:r>
    </w:p>
    <w:p>
      <w:pPr>
        <w:spacing w:line="240" w:lineRule="auto" w:before="5"/>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89"/>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3,155,416.39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932,397.50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3,155,416.39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932,397.50</w:t>
            </w:r>
          </w:p>
        </w:tc>
      </w:tr>
    </w:tbl>
    <w:p>
      <w:pPr>
        <w:spacing w:line="240" w:lineRule="auto" w:before="2"/>
        <w:rPr>
          <w:rFonts w:ascii="宋体" w:hAnsi="宋体" w:cs="宋体" w:eastAsia="宋体" w:hint="default"/>
          <w:sz w:val="19"/>
          <w:szCs w:val="19"/>
        </w:rPr>
      </w:pPr>
    </w:p>
    <w:p>
      <w:pPr>
        <w:pStyle w:val="Heading4"/>
        <w:spacing w:line="240" w:lineRule="auto" w:before="34"/>
        <w:ind w:right="996"/>
        <w:jc w:val="left"/>
        <w:rPr>
          <w:b w:val="0"/>
          <w:bCs w:val="0"/>
        </w:rPr>
      </w:pPr>
      <w:bookmarkStart w:name="（1）在建工程情况" w:id="234"/>
      <w:bookmarkEnd w:id="234"/>
      <w:r>
        <w:rPr>
          <w:b w:val="0"/>
          <w:bCs w:val="0"/>
        </w:rPr>
      </w:r>
      <w:r>
        <w:rPr/>
        <w:t>（</w:t>
      </w:r>
      <w:r>
        <w:rPr>
          <w:rFonts w:ascii="Arial" w:hAnsi="Arial" w:cs="Arial" w:eastAsia="Arial" w:hint="default"/>
        </w:rPr>
        <w:t>1</w:t>
      </w:r>
      <w:r>
        <w:rPr/>
        <w:t>）在建工程情况</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4102"/>
        <w:gridCol w:w="4101"/>
      </w:tblGrid>
      <w:tr>
        <w:trPr>
          <w:trHeight w:val="400"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装修工程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932,397.50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932,397.50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私有云项目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4" w:right="0"/>
              <w:jc w:val="left"/>
              <w:rPr>
                <w:rFonts w:ascii="Arial" w:hAnsi="Arial" w:cs="Arial" w:eastAsia="Arial" w:hint="default"/>
                <w:sz w:val="18"/>
                <w:szCs w:val="18"/>
              </w:rPr>
            </w:pPr>
            <w:r>
              <w:rPr>
                <w:rFonts w:ascii="Arial"/>
                <w:sz w:val="18"/>
              </w:rPr>
              <w:t>3,155,416.39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2" w:right="0"/>
              <w:jc w:val="left"/>
              <w:rPr>
                <w:rFonts w:ascii="Arial" w:hAnsi="Arial" w:cs="Arial" w:eastAsia="Arial" w:hint="default"/>
                <w:sz w:val="18"/>
                <w:szCs w:val="18"/>
              </w:rPr>
            </w:pPr>
            <w:r>
              <w:rPr>
                <w:rFonts w:ascii="Arial"/>
                <w:sz w:val="18"/>
              </w:rPr>
              <w:t>3,155,416.39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4" w:right="0"/>
              <w:jc w:val="left"/>
              <w:rPr>
                <w:rFonts w:ascii="Arial" w:hAnsi="Arial" w:cs="Arial" w:eastAsia="Arial" w:hint="default"/>
                <w:sz w:val="18"/>
                <w:szCs w:val="18"/>
              </w:rPr>
            </w:pPr>
            <w:r>
              <w:rPr>
                <w:rFonts w:ascii="Arial"/>
                <w:sz w:val="18"/>
              </w:rPr>
              <w:t>3,155,416.39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2" w:right="0"/>
              <w:jc w:val="left"/>
              <w:rPr>
                <w:rFonts w:ascii="Arial" w:hAnsi="Arial" w:cs="Arial" w:eastAsia="Arial" w:hint="default"/>
                <w:sz w:val="18"/>
                <w:szCs w:val="18"/>
              </w:rPr>
            </w:pPr>
            <w:r>
              <w:rPr>
                <w:rFonts w:ascii="Arial"/>
                <w:sz w:val="18"/>
              </w:rPr>
              <w:t>3,155,416.39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932,397.50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932,397.50</w:t>
            </w:r>
          </w:p>
        </w:tc>
      </w:tr>
    </w:tbl>
    <w:p>
      <w:pPr>
        <w:spacing w:line="240" w:lineRule="auto" w:before="3"/>
        <w:rPr>
          <w:rFonts w:ascii="宋体" w:hAnsi="宋体" w:cs="宋体" w:eastAsia="宋体" w:hint="default"/>
          <w:sz w:val="19"/>
          <w:szCs w:val="19"/>
        </w:rPr>
      </w:pPr>
    </w:p>
    <w:p>
      <w:pPr>
        <w:pStyle w:val="Heading4"/>
        <w:spacing w:line="240" w:lineRule="auto" w:before="34"/>
        <w:ind w:right="996"/>
        <w:jc w:val="left"/>
        <w:rPr>
          <w:b w:val="0"/>
          <w:bCs w:val="0"/>
        </w:rPr>
      </w:pPr>
      <w:bookmarkStart w:name="（2）重要在建工程项目本期变动情况" w:id="235"/>
      <w:bookmarkEnd w:id="235"/>
      <w:r>
        <w:rPr>
          <w:b w:val="0"/>
          <w:bCs w:val="0"/>
        </w:rPr>
      </w:r>
      <w:r>
        <w:rPr/>
        <w:t>（</w:t>
      </w:r>
      <w:r>
        <w:rPr>
          <w:rFonts w:ascii="Arial" w:hAnsi="Arial" w:cs="Arial" w:eastAsia="Arial" w:hint="default"/>
        </w:rPr>
        <w:t>2</w:t>
      </w:r>
      <w:r>
        <w:rPr/>
        <w:t>）重要在建工程项目本期变动情况</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12"/>
        <w:gridCol w:w="1194"/>
        <w:gridCol w:w="497"/>
        <w:gridCol w:w="1114"/>
        <w:gridCol w:w="633"/>
        <w:gridCol w:w="545"/>
        <w:gridCol w:w="1107"/>
        <w:gridCol w:w="811"/>
        <w:gridCol w:w="567"/>
        <w:gridCol w:w="709"/>
        <w:gridCol w:w="709"/>
        <w:gridCol w:w="567"/>
        <w:gridCol w:w="735"/>
      </w:tblGrid>
      <w:tr>
        <w:trPr>
          <w:trHeight w:val="1338" w:hRule="exact"/>
        </w:trPr>
        <w:tc>
          <w:tcPr>
            <w:tcW w:w="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1" w:right="108"/>
              <w:jc w:val="both"/>
              <w:rPr>
                <w:rFonts w:ascii="宋体" w:hAnsi="宋体" w:cs="宋体" w:eastAsia="宋体" w:hint="default"/>
                <w:sz w:val="18"/>
                <w:szCs w:val="18"/>
              </w:rPr>
            </w:pPr>
            <w:r>
              <w:rPr>
                <w:rFonts w:ascii="宋体" w:hAnsi="宋体" w:cs="宋体" w:eastAsia="宋体" w:hint="default"/>
                <w:sz w:val="18"/>
                <w:szCs w:val="18"/>
              </w:rPr>
              <w:t>项 目 名 称</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预算数</w:t>
            </w:r>
          </w:p>
        </w:tc>
        <w:tc>
          <w:tcPr>
            <w:tcW w:w="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3" w:right="62"/>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1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61" w:right="101" w:hanging="360"/>
              <w:jc w:val="left"/>
              <w:rPr>
                <w:rFonts w:ascii="宋体" w:hAnsi="宋体" w:cs="宋体" w:eastAsia="宋体" w:hint="default"/>
                <w:sz w:val="18"/>
                <w:szCs w:val="18"/>
              </w:rPr>
            </w:pPr>
            <w:r>
              <w:rPr>
                <w:rFonts w:ascii="宋体" w:hAnsi="宋体" w:cs="宋体" w:eastAsia="宋体" w:hint="default"/>
                <w:sz w:val="18"/>
                <w:szCs w:val="18"/>
              </w:rPr>
              <w:t>本期增加金 额</w:t>
            </w:r>
          </w:p>
        </w:tc>
        <w:tc>
          <w:tcPr>
            <w:tcW w:w="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 w:right="40"/>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7" w:right="86"/>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0" w:right="38"/>
              <w:jc w:val="both"/>
              <w:rPr>
                <w:rFonts w:ascii="宋体" w:hAnsi="宋体" w:cs="宋体" w:eastAsia="宋体" w:hint="default"/>
                <w:sz w:val="18"/>
                <w:szCs w:val="18"/>
              </w:rPr>
            </w:pPr>
            <w:r>
              <w:rPr>
                <w:rFonts w:ascii="宋体" w:hAnsi="宋体" w:cs="宋体" w:eastAsia="宋体" w:hint="default"/>
                <w:sz w:val="18"/>
                <w:szCs w:val="18"/>
              </w:rPr>
              <w:t>工程累计 投入占预 算比例</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8" w:right="96"/>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8" w:right="78"/>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0" w:right="22" w:hanging="58"/>
              <w:jc w:val="both"/>
              <w:rPr>
                <w:rFonts w:ascii="宋体" w:hAnsi="宋体" w:cs="宋体" w:eastAsia="宋体" w:hint="default"/>
                <w:sz w:val="18"/>
                <w:szCs w:val="18"/>
              </w:rPr>
            </w:pPr>
            <w:r>
              <w:rPr>
                <w:rFonts w:ascii="宋体" w:hAnsi="宋体" w:cs="宋体" w:eastAsia="宋体" w:hint="default"/>
                <w:spacing w:val="-17"/>
                <w:sz w:val="18"/>
                <w:szCs w:val="18"/>
              </w:rPr>
              <w:t>其中：本</w:t>
            </w:r>
            <w:r>
              <w:rPr>
                <w:rFonts w:ascii="宋体" w:hAnsi="宋体" w:cs="宋体" w:eastAsia="宋体" w:hint="default"/>
                <w:sz w:val="18"/>
                <w:szCs w:val="18"/>
              </w:rPr>
              <w:t> 期利息 资本化 金额</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8" w:right="97"/>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0"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650" w:hRule="exact"/>
        </w:trPr>
        <w:tc>
          <w:tcPr>
            <w:tcW w:w="4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97"/>
              <w:jc w:val="both"/>
              <w:rPr>
                <w:rFonts w:ascii="宋体" w:hAnsi="宋体" w:cs="宋体" w:eastAsia="宋体" w:hint="default"/>
                <w:sz w:val="18"/>
                <w:szCs w:val="18"/>
              </w:rPr>
            </w:pPr>
            <w:r>
              <w:rPr>
                <w:rFonts w:ascii="宋体" w:hAnsi="宋体" w:cs="宋体" w:eastAsia="宋体" w:hint="default"/>
                <w:sz w:val="18"/>
                <w:szCs w:val="18"/>
              </w:rPr>
              <w:t>私 有 云 项 目</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Arial" w:hAnsi="Arial" w:cs="Arial" w:eastAsia="Arial" w:hint="default"/>
                <w:sz w:val="18"/>
                <w:szCs w:val="18"/>
              </w:rPr>
            </w:pPr>
            <w:r>
              <w:rPr>
                <w:rFonts w:ascii="Arial"/>
                <w:w w:val="95"/>
                <w:sz w:val="18"/>
              </w:rPr>
              <w:t>11,606,121.00</w:t>
            </w:r>
            <w:r>
              <w:rPr>
                <w:rFonts w:ascii="Arial"/>
                <w:sz w:val="18"/>
              </w:rPr>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w w:val="95"/>
                <w:sz w:val="18"/>
              </w:rPr>
              <w:t>0.00</w:t>
            </w:r>
            <w:r>
              <w:rPr>
                <w:rFonts w:ascii="Arial"/>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3,155,416.39</w:t>
            </w:r>
          </w:p>
        </w:tc>
        <w:tc>
          <w:tcPr>
            <w:tcW w:w="63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Arial" w:hAnsi="Arial" w:cs="Arial" w:eastAsia="Arial" w:hint="default"/>
                <w:sz w:val="18"/>
                <w:szCs w:val="18"/>
              </w:rPr>
            </w:pPr>
            <w:r>
              <w:rPr>
                <w:rFonts w:ascii="Arial"/>
                <w:sz w:val="18"/>
              </w:rPr>
              <w:t>3,155,416.39</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center"/>
              <w:rPr>
                <w:rFonts w:ascii="Arial" w:hAnsi="Arial" w:cs="Arial" w:eastAsia="Arial" w:hint="default"/>
                <w:sz w:val="18"/>
                <w:szCs w:val="18"/>
              </w:rPr>
            </w:pPr>
            <w:r>
              <w:rPr>
                <w:rFonts w:ascii="Arial"/>
                <w:sz w:val="18"/>
              </w:rPr>
              <w:t>27.19%</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9"/>
              <w:jc w:val="right"/>
              <w:rPr>
                <w:rFonts w:ascii="Arial" w:hAnsi="Arial" w:cs="Arial" w:eastAsia="Arial" w:hint="default"/>
                <w:sz w:val="18"/>
                <w:szCs w:val="18"/>
              </w:rPr>
            </w:pPr>
            <w:r>
              <w:rPr>
                <w:rFonts w:ascii="Arial"/>
                <w:w w:val="95"/>
                <w:sz w:val="18"/>
              </w:rPr>
              <w:t>40%</w:t>
            </w:r>
            <w:r>
              <w:rPr>
                <w:rFonts w:ascii="Arial"/>
                <w:sz w:val="18"/>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02" w:lineRule="auto"/>
              <w:ind w:left="23" w:right="54"/>
              <w:jc w:val="left"/>
              <w:rPr>
                <w:rFonts w:ascii="宋体" w:hAnsi="宋体" w:cs="宋体" w:eastAsia="宋体" w:hint="default"/>
                <w:sz w:val="18"/>
                <w:szCs w:val="18"/>
              </w:rPr>
            </w:pPr>
            <w:r>
              <w:rPr>
                <w:rFonts w:ascii="宋体" w:hAnsi="宋体" w:cs="宋体" w:eastAsia="宋体" w:hint="default"/>
                <w:sz w:val="18"/>
                <w:szCs w:val="18"/>
              </w:rPr>
              <w:t>自筹</w:t>
            </w:r>
            <w:r>
              <w:rPr>
                <w:rFonts w:ascii="Arial" w:hAnsi="Arial" w:cs="Arial" w:eastAsia="Arial" w:hint="default"/>
                <w:sz w:val="18"/>
                <w:szCs w:val="18"/>
              </w:rPr>
              <w:t>+</w:t>
            </w:r>
            <w:r>
              <w:rPr>
                <w:rFonts w:ascii="宋体" w:hAnsi="宋体" w:cs="宋体" w:eastAsia="宋体" w:hint="default"/>
                <w:sz w:val="18"/>
                <w:szCs w:val="18"/>
              </w:rPr>
              <w:t>课 题拨款</w:t>
            </w:r>
          </w:p>
        </w:tc>
      </w:tr>
      <w:tr>
        <w:trPr>
          <w:trHeight w:val="714" w:hRule="exact"/>
        </w:trPr>
        <w:tc>
          <w:tcPr>
            <w:tcW w:w="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合 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 w:right="0"/>
              <w:jc w:val="center"/>
              <w:rPr>
                <w:rFonts w:ascii="Arial" w:hAnsi="Arial" w:cs="Arial" w:eastAsia="Arial" w:hint="default"/>
                <w:sz w:val="18"/>
                <w:szCs w:val="18"/>
              </w:rPr>
            </w:pPr>
            <w:r>
              <w:rPr>
                <w:rFonts w:ascii="Arial"/>
                <w:w w:val="95"/>
                <w:sz w:val="18"/>
              </w:rPr>
              <w:t>11,606,121.00</w:t>
            </w:r>
            <w:r>
              <w:rPr>
                <w:rFonts w:ascii="Arial"/>
                <w:sz w:val="18"/>
              </w:rPr>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w w:val="95"/>
                <w:sz w:val="18"/>
              </w:rPr>
              <w:t>0.00</w:t>
            </w:r>
            <w:r>
              <w:rPr>
                <w:rFonts w:ascii="Arial"/>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3,155,416.39</w:t>
            </w:r>
          </w:p>
        </w:tc>
        <w:tc>
          <w:tcPr>
            <w:tcW w:w="633"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Arial" w:hAnsi="Arial" w:cs="Arial" w:eastAsia="Arial" w:hint="default"/>
                <w:sz w:val="18"/>
                <w:szCs w:val="18"/>
              </w:rPr>
            </w:pPr>
            <w:r>
              <w:rPr>
                <w:rFonts w:ascii="Arial"/>
                <w:sz w:val="18"/>
              </w:rPr>
              <w:t>3,155,416.39</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18"/>
                <w:szCs w:val="18"/>
              </w:rPr>
            </w:pPr>
            <w:r>
              <w:rPr>
                <w:rFonts w:ascii="Arial"/>
                <w:sz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6"/>
              <w:jc w:val="right"/>
              <w:rPr>
                <w:rFonts w:ascii="Arial" w:hAnsi="Arial" w:cs="Arial" w:eastAsia="Arial" w:hint="default"/>
                <w:sz w:val="18"/>
                <w:szCs w:val="18"/>
              </w:rPr>
            </w:pPr>
            <w:r>
              <w:rPr>
                <w:rFonts w:ascii="Arial"/>
                <w:sz w:val="18"/>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Arial" w:hAnsi="Arial" w:cs="Arial" w:eastAsia="Arial" w:hint="default"/>
                <w:sz w:val="18"/>
                <w:szCs w:val="18"/>
              </w:rPr>
            </w:pPr>
            <w:r>
              <w:rPr>
                <w:rFonts w:ascii="Arial"/>
                <w:sz w:val="18"/>
              </w:rPr>
              <w:t>--</w:t>
            </w:r>
          </w:p>
        </w:tc>
      </w:tr>
    </w:tbl>
    <w:p>
      <w:pPr>
        <w:spacing w:line="240" w:lineRule="auto" w:before="4"/>
        <w:rPr>
          <w:rFonts w:ascii="宋体" w:hAnsi="宋体" w:cs="宋体" w:eastAsia="宋体" w:hint="default"/>
          <w:sz w:val="19"/>
          <w:szCs w:val="19"/>
        </w:rPr>
      </w:pPr>
    </w:p>
    <w:p>
      <w:pPr>
        <w:pStyle w:val="Heading4"/>
        <w:spacing w:line="240" w:lineRule="auto" w:before="34"/>
        <w:ind w:right="996"/>
        <w:jc w:val="left"/>
        <w:rPr>
          <w:b w:val="0"/>
          <w:bCs w:val="0"/>
        </w:rPr>
      </w:pPr>
      <w:bookmarkStart w:name="11、无形资产" w:id="236"/>
      <w:bookmarkEnd w:id="236"/>
      <w:r>
        <w:rPr>
          <w:b w:val="0"/>
          <w:bCs w:val="0"/>
        </w:rPr>
      </w:r>
      <w:r>
        <w:rPr>
          <w:rFonts w:ascii="Arial" w:hAnsi="Arial" w:cs="Arial" w:eastAsia="Arial" w:hint="default"/>
        </w:rPr>
        <w:t>11</w:t>
      </w:r>
      <w:r>
        <w:rPr/>
        <w:t>、无形资产</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996"/>
        <w:jc w:val="left"/>
        <w:rPr>
          <w:b w:val="0"/>
          <w:bCs w:val="0"/>
        </w:rPr>
      </w:pPr>
      <w:bookmarkStart w:name="（1）无形资产情况" w:id="237"/>
      <w:bookmarkEnd w:id="237"/>
      <w:r>
        <w:rPr>
          <w:b w:val="0"/>
          <w:bCs w:val="0"/>
        </w:rPr>
      </w:r>
      <w:r>
        <w:rPr/>
        <w:t>（</w:t>
      </w:r>
      <w:r>
        <w:rPr>
          <w:rFonts w:ascii="Arial" w:hAnsi="Arial" w:cs="Arial" w:eastAsia="Arial" w:hint="default"/>
        </w:rPr>
        <w:t>1</w:t>
      </w:r>
      <w:r>
        <w:rPr/>
        <w:t>）无形资产情况</w:t>
      </w:r>
      <w:r>
        <w:rPr>
          <w:b w:val="0"/>
          <w:bCs w:val="0"/>
        </w:rPr>
      </w:r>
    </w:p>
    <w:p>
      <w:pPr>
        <w:spacing w:line="240" w:lineRule="auto" w:before="13"/>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85"/>
        <w:gridCol w:w="1559"/>
        <w:gridCol w:w="1418"/>
        <w:gridCol w:w="1414"/>
        <w:gridCol w:w="1594"/>
        <w:gridCol w:w="1594"/>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期初余额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14,880,800.00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6,800,000.00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6,000,000.00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430,308,093.70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457,988,893.70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本期增加金额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158,945,295.64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158,945,295.64</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）购置</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5,194,044.67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5,194,044.67</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2</w:t>
            </w:r>
            <w:r>
              <w:rPr>
                <w:rFonts w:ascii="宋体" w:hAnsi="宋体" w:cs="宋体" w:eastAsia="宋体" w:hint="default"/>
                <w:sz w:val="18"/>
                <w:szCs w:val="18"/>
              </w:rPr>
              <w:t>）内部研发</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153,751,250.97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153,751,250.97</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本期减少金额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219,940.01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219,940.01</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）处置</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219,940.01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219,940.01</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期末余额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14,880,800.00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6,800,000.00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6,000,000.00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589,033,449.33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616,714,249.33</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期初余额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1,438,477.14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1,236,363.52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250,691,097.96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253,665,938.62</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本期增加金额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297,615.96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529,870.08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73,381,948.20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74,809,434.24</w:t>
            </w:r>
          </w:p>
        </w:tc>
      </w:tr>
      <w:tr>
        <w:trPr>
          <w:trHeight w:val="400"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）计提</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297,615.96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529,870.08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73,381,948.20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74,809,434.24</w:t>
            </w:r>
          </w:p>
        </w:tc>
      </w:tr>
    </w:tbl>
    <w:p>
      <w:pPr>
        <w:spacing w:after="0" w:line="240" w:lineRule="auto"/>
        <w:jc w:val="right"/>
        <w:rPr>
          <w:rFonts w:ascii="Arial" w:hAnsi="Arial" w:cs="Arial" w:eastAsia="Arial" w:hint="default"/>
          <w:sz w:val="18"/>
          <w:szCs w:val="18"/>
        </w:rPr>
        <w:sectPr>
          <w:footerReference w:type="default" r:id="rId44"/>
          <w:pgSz w:w="11910" w:h="16840"/>
          <w:pgMar w:footer="978" w:header="878" w:top="1100" w:bottom="1160" w:left="1020" w:right="0"/>
          <w:pgNumType w:start="140"/>
        </w:sectPr>
      </w:pPr>
    </w:p>
    <w:p>
      <w:pPr>
        <w:spacing w:line="240" w:lineRule="auto" w:before="8"/>
        <w:rPr>
          <w:rFonts w:ascii="宋体" w:hAnsi="宋体" w:cs="宋体" w:eastAsia="宋体" w:hint="default"/>
          <w:sz w:val="24"/>
          <w:szCs w:val="24"/>
        </w:rPr>
      </w:pPr>
    </w:p>
    <w:tbl>
      <w:tblPr>
        <w:tblW w:w="0" w:type="auto"/>
        <w:jc w:val="left"/>
        <w:tblInd w:w="129" w:type="dxa"/>
        <w:tblLayout w:type="fixed"/>
        <w:tblCellMar>
          <w:top w:w="0" w:type="dxa"/>
          <w:left w:w="0" w:type="dxa"/>
          <w:bottom w:w="0" w:type="dxa"/>
          <w:right w:w="0" w:type="dxa"/>
        </w:tblCellMar>
        <w:tblLook w:val="01E0"/>
      </w:tblPr>
      <w:tblGrid>
        <w:gridCol w:w="1985"/>
        <w:gridCol w:w="1559"/>
        <w:gridCol w:w="1418"/>
        <w:gridCol w:w="1414"/>
        <w:gridCol w:w="1594"/>
        <w:gridCol w:w="1594"/>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59"/>
              <w:jc w:val="right"/>
              <w:rPr>
                <w:rFonts w:ascii="宋体" w:hAnsi="宋体" w:cs="宋体" w:eastAsia="宋体" w:hint="default"/>
                <w:sz w:val="18"/>
                <w:szCs w:val="18"/>
              </w:rPr>
            </w:pPr>
            <w:r>
              <w:rPr>
                <w:rFonts w:ascii="Arial" w:hAnsi="Arial" w:cs="Arial" w:eastAsia="Arial" w:hint="default"/>
                <w:w w:val="95"/>
                <w:sz w:val="18"/>
                <w:szCs w:val="18"/>
              </w:rPr>
              <w:t>3.</w:t>
            </w:r>
            <w:r>
              <w:rPr>
                <w:rFonts w:ascii="宋体" w:hAnsi="宋体" w:cs="宋体" w:eastAsia="宋体" w:hint="default"/>
                <w:w w:val="95"/>
                <w:sz w:val="18"/>
                <w:szCs w:val="18"/>
              </w:rPr>
              <w:t>本期减少金额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219,940.01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219,940.01</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）处置</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219,940.01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219,940.01</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期末余额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1,736,093.10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1,766,233.60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900,000.00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323,853,106.15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328,255,432.85</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Arial" w:hAnsi="Arial" w:cs="Arial" w:eastAsia="Arial" w:hint="default"/>
                <w:w w:val="95"/>
                <w:sz w:val="18"/>
                <w:szCs w:val="18"/>
              </w:rPr>
              <w:t>1.</w:t>
            </w:r>
            <w:r>
              <w:rPr>
                <w:rFonts w:ascii="宋体" w:hAnsi="宋体" w:cs="宋体" w:eastAsia="宋体" w:hint="default"/>
                <w:w w:val="95"/>
                <w:sz w:val="18"/>
                <w:szCs w:val="18"/>
              </w:rPr>
              <w:t>期末账面价值</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13,144,706.90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5,033,766.40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5,100,000.00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265,180,343.18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288,458,816.48</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59"/>
              <w:jc w:val="right"/>
              <w:rPr>
                <w:rFonts w:ascii="宋体" w:hAnsi="宋体" w:cs="宋体" w:eastAsia="宋体" w:hint="default"/>
                <w:sz w:val="18"/>
                <w:szCs w:val="18"/>
              </w:rPr>
            </w:pPr>
            <w:r>
              <w:rPr>
                <w:rFonts w:ascii="Arial" w:hAnsi="Arial" w:cs="Arial" w:eastAsia="Arial" w:hint="default"/>
                <w:w w:val="95"/>
                <w:sz w:val="18"/>
                <w:szCs w:val="18"/>
              </w:rPr>
              <w:t>2.</w:t>
            </w:r>
            <w:r>
              <w:rPr>
                <w:rFonts w:ascii="宋体" w:hAnsi="宋体" w:cs="宋体" w:eastAsia="宋体" w:hint="default"/>
                <w:w w:val="95"/>
                <w:sz w:val="18"/>
                <w:szCs w:val="18"/>
              </w:rPr>
              <w:t>期初账面价值</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13,442,322.86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5,563,636.48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5,700,000.00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179,616,995.74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204,322,955.08</w:t>
            </w:r>
          </w:p>
        </w:tc>
      </w:tr>
    </w:tbl>
    <w:p>
      <w:pPr>
        <w:spacing w:line="240" w:lineRule="auto" w:before="5"/>
        <w:rPr>
          <w:rFonts w:ascii="宋体" w:hAnsi="宋体" w:cs="宋体" w:eastAsia="宋体" w:hint="default"/>
          <w:sz w:val="5"/>
          <w:szCs w:val="5"/>
        </w:rPr>
      </w:pPr>
    </w:p>
    <w:p>
      <w:pPr>
        <w:pStyle w:val="BodyText"/>
        <w:spacing w:line="240" w:lineRule="auto"/>
        <w:ind w:left="132" w:right="1183"/>
        <w:jc w:val="left"/>
      </w:pPr>
      <w:r>
        <w:rPr/>
        <w:t>其他说明：</w:t>
      </w:r>
    </w:p>
    <w:p>
      <w:pPr>
        <w:pStyle w:val="BodyText"/>
        <w:spacing w:line="259" w:lineRule="auto" w:before="157"/>
        <w:ind w:left="132" w:right="1183" w:firstLine="420"/>
        <w:jc w:val="left"/>
      </w:pPr>
      <w:r>
        <w:rPr/>
        <w:t>期末余额中通过公司内部研发形成的无形资产占无形资产余额的比例</w:t>
      </w:r>
      <w:r>
        <w:rPr>
          <w:spacing w:val="-67"/>
        </w:rPr>
        <w:t> </w:t>
      </w:r>
      <w:r>
        <w:rPr>
          <w:rFonts w:ascii="Arial" w:hAnsi="Arial" w:cs="Arial" w:eastAsia="Arial" w:hint="default"/>
        </w:rPr>
        <w:t>82.20%</w:t>
      </w:r>
      <w:r>
        <w:rPr/>
        <w:t>，不存在抵押、担保和</w:t>
      </w:r>
      <w:r>
        <w:rPr>
          <w:w w:val="99"/>
        </w:rPr>
        <w:t> </w:t>
      </w:r>
      <w:r>
        <w:rPr/>
        <w:t>未办妥产权证书的土地使用权。</w:t>
      </w:r>
    </w:p>
    <w:p>
      <w:pPr>
        <w:spacing w:line="240" w:lineRule="auto" w:before="9"/>
        <w:rPr>
          <w:rFonts w:ascii="宋体" w:hAnsi="宋体" w:cs="宋体" w:eastAsia="宋体" w:hint="default"/>
          <w:sz w:val="24"/>
          <w:szCs w:val="24"/>
        </w:rPr>
      </w:pPr>
    </w:p>
    <w:p>
      <w:pPr>
        <w:pStyle w:val="Heading4"/>
        <w:spacing w:line="240" w:lineRule="auto"/>
        <w:ind w:left="132" w:right="1183"/>
        <w:jc w:val="left"/>
        <w:rPr>
          <w:b w:val="0"/>
          <w:bCs w:val="0"/>
        </w:rPr>
      </w:pPr>
      <w:bookmarkStart w:name="12、开发支出" w:id="238"/>
      <w:bookmarkEnd w:id="238"/>
      <w:r>
        <w:rPr>
          <w:b w:val="0"/>
          <w:bCs w:val="0"/>
        </w:rPr>
      </w:r>
      <w:r>
        <w:rPr>
          <w:rFonts w:ascii="Arial" w:hAnsi="Arial" w:cs="Arial" w:eastAsia="Arial" w:hint="default"/>
        </w:rPr>
        <w:t>12</w:t>
      </w:r>
      <w:r>
        <w:rPr/>
        <w:t>、开发支出</w:t>
      </w:r>
      <w:r>
        <w:rPr>
          <w:b w:val="0"/>
          <w:bCs w:val="0"/>
        </w:rPr>
      </w:r>
    </w:p>
    <w:p>
      <w:pPr>
        <w:spacing w:line="240" w:lineRule="auto" w:before="7"/>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878"/>
        <w:gridCol w:w="1435"/>
        <w:gridCol w:w="1435"/>
        <w:gridCol w:w="1435"/>
        <w:gridCol w:w="1308"/>
      </w:tblGrid>
      <w:tr>
        <w:trPr>
          <w:trHeight w:val="402" w:hRule="exact"/>
        </w:trPr>
        <w:tc>
          <w:tcPr>
            <w:tcW w:w="38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878" w:type="dxa"/>
            <w:vMerge/>
            <w:tcBorders>
              <w:left w:val="single" w:sz="4" w:space="0" w:color="000000"/>
              <w:bottom w:val="single" w:sz="4" w:space="0" w:color="000000"/>
              <w:right w:val="single" w:sz="4" w:space="0" w:color="000000"/>
            </w:tcBorders>
            <w:shd w:val="clear" w:color="auto" w:fill="D2D2D2"/>
          </w:tcPr>
          <w:p>
            <w:pPr/>
          </w:p>
        </w:tc>
        <w:tc>
          <w:tcPr>
            <w:tcW w:w="1435" w:type="dxa"/>
            <w:vMerge/>
            <w:tcBorders>
              <w:left w:val="single" w:sz="4" w:space="0" w:color="000000"/>
              <w:bottom w:val="single" w:sz="4" w:space="0" w:color="000000"/>
              <w:right w:val="single" w:sz="4" w:space="0" w:color="000000"/>
            </w:tcBorders>
            <w:shd w:val="clear" w:color="auto" w:fill="D2D2D2"/>
          </w:tcPr>
          <w:p>
            <w:pPr/>
          </w:p>
        </w:tc>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0"/>
              <w:jc w:val="right"/>
              <w:rPr>
                <w:rFonts w:ascii="宋体" w:hAnsi="宋体" w:cs="宋体" w:eastAsia="宋体" w:hint="default"/>
                <w:sz w:val="18"/>
                <w:szCs w:val="18"/>
              </w:rPr>
            </w:pPr>
            <w:r>
              <w:rPr>
                <w:rFonts w:ascii="宋体" w:hAnsi="宋体" w:cs="宋体" w:eastAsia="宋体" w:hint="default"/>
                <w:sz w:val="18"/>
                <w:szCs w:val="18"/>
              </w:rPr>
              <w:t>确认为无形资产</w:t>
            </w:r>
          </w:p>
        </w:tc>
        <w:tc>
          <w:tcPr>
            <w:tcW w:w="130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87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新一代法律</w:t>
            </w:r>
            <w:r>
              <w:rPr>
                <w:rFonts w:ascii="宋体" w:hAnsi="宋体" w:cs="宋体" w:eastAsia="宋体" w:hint="default"/>
                <w:spacing w:val="-46"/>
                <w:sz w:val="18"/>
                <w:szCs w:val="18"/>
              </w:rPr>
              <w:t> </w:t>
            </w:r>
            <w:r>
              <w:rPr>
                <w:rFonts w:ascii="Arial" w:hAnsi="Arial" w:cs="Arial" w:eastAsia="Arial" w:hint="default"/>
                <w:sz w:val="18"/>
                <w:szCs w:val="18"/>
              </w:rPr>
              <w:t>AI</w:t>
            </w:r>
            <w:r>
              <w:rPr>
                <w:rFonts w:ascii="Arial" w:hAnsi="Arial" w:cs="Arial" w:eastAsia="Arial" w:hint="default"/>
                <w:spacing w:val="-8"/>
                <w:sz w:val="18"/>
                <w:szCs w:val="18"/>
              </w:rPr>
              <w:t> </w:t>
            </w:r>
            <w:r>
              <w:rPr>
                <w:rFonts w:ascii="宋体" w:hAnsi="宋体" w:cs="宋体" w:eastAsia="宋体" w:hint="default"/>
                <w:sz w:val="18"/>
                <w:szCs w:val="18"/>
              </w:rPr>
              <w:t>平台建设</w:t>
            </w:r>
          </w:p>
        </w:tc>
        <w:tc>
          <w:tcPr>
            <w:tcW w:w="1435"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30,900,387.47</w:t>
            </w:r>
          </w:p>
        </w:tc>
        <w:tc>
          <w:tcPr>
            <w:tcW w:w="143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30,900,387.47</w:t>
            </w:r>
          </w:p>
        </w:tc>
      </w:tr>
      <w:tr>
        <w:trPr>
          <w:trHeight w:val="402" w:hRule="exact"/>
        </w:trPr>
        <w:tc>
          <w:tcPr>
            <w:tcW w:w="387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安全可靠软件适配研发及集成测试中心建设</w:t>
            </w:r>
          </w:p>
        </w:tc>
        <w:tc>
          <w:tcPr>
            <w:tcW w:w="1435"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2"/>
                <w:sz w:val="18"/>
              </w:rPr>
              <w:t>11,525,691.29</w:t>
            </w:r>
          </w:p>
        </w:tc>
        <w:tc>
          <w:tcPr>
            <w:tcW w:w="143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2"/>
                <w:sz w:val="18"/>
              </w:rPr>
              <w:t>11,525,691.29</w:t>
            </w:r>
          </w:p>
        </w:tc>
      </w:tr>
      <w:tr>
        <w:trPr>
          <w:trHeight w:val="402" w:hRule="exact"/>
        </w:trPr>
        <w:tc>
          <w:tcPr>
            <w:tcW w:w="387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第三代智能审判系统</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22,216,601.04</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39,898,059.68</w:t>
            </w:r>
          </w:p>
        </w:tc>
        <w:tc>
          <w:tcPr>
            <w:tcW w:w="143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2"/>
                <w:sz w:val="18"/>
              </w:rPr>
              <w:t>62,114,660.72</w:t>
            </w:r>
          </w:p>
        </w:tc>
      </w:tr>
      <w:tr>
        <w:trPr>
          <w:trHeight w:val="402" w:hRule="exact"/>
        </w:trPr>
        <w:tc>
          <w:tcPr>
            <w:tcW w:w="387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法律智能平台</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5,202,525.91</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10,610,816.71</w:t>
            </w:r>
          </w:p>
        </w:tc>
        <w:tc>
          <w:tcPr>
            <w:tcW w:w="143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15,813,342.62</w:t>
            </w:r>
          </w:p>
        </w:tc>
      </w:tr>
      <w:tr>
        <w:trPr>
          <w:trHeight w:val="402" w:hRule="exact"/>
        </w:trPr>
        <w:tc>
          <w:tcPr>
            <w:tcW w:w="387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基于数据驱动的智慧市场监管平台</w:t>
            </w:r>
          </w:p>
        </w:tc>
        <w:tc>
          <w:tcPr>
            <w:tcW w:w="1435"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1,595,739.27</w:t>
            </w:r>
          </w:p>
        </w:tc>
        <w:tc>
          <w:tcPr>
            <w:tcW w:w="143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1,595,739.27</w:t>
            </w:r>
          </w:p>
        </w:tc>
      </w:tr>
      <w:tr>
        <w:trPr>
          <w:trHeight w:val="402" w:hRule="exact"/>
        </w:trPr>
        <w:tc>
          <w:tcPr>
            <w:tcW w:w="387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市场监管相关行业大数据分析平台</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5,066,427.85</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4,818,703.53</w:t>
            </w:r>
          </w:p>
        </w:tc>
        <w:tc>
          <w:tcPr>
            <w:tcW w:w="143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9,885,131.38</w:t>
            </w:r>
          </w:p>
        </w:tc>
      </w:tr>
      <w:tr>
        <w:trPr>
          <w:trHeight w:val="402" w:hRule="exact"/>
        </w:trPr>
        <w:tc>
          <w:tcPr>
            <w:tcW w:w="387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7.</w:t>
            </w:r>
            <w:r>
              <w:rPr>
                <w:rFonts w:ascii="宋体" w:hAnsi="宋体" w:cs="宋体" w:eastAsia="宋体" w:hint="default"/>
                <w:sz w:val="18"/>
                <w:szCs w:val="18"/>
              </w:rPr>
              <w:t>市场综合监管一体化平台</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16,284,572.35</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5,419,251.17</w:t>
            </w:r>
          </w:p>
        </w:tc>
        <w:tc>
          <w:tcPr>
            <w:tcW w:w="143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21,703,823.52</w:t>
            </w:r>
          </w:p>
        </w:tc>
      </w:tr>
      <w:tr>
        <w:trPr>
          <w:trHeight w:val="402" w:hRule="exact"/>
        </w:trPr>
        <w:tc>
          <w:tcPr>
            <w:tcW w:w="387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8.EsenFace</w:t>
            </w:r>
            <w:r>
              <w:rPr>
                <w:rFonts w:ascii="Arial" w:hAnsi="Arial" w:cs="Arial" w:eastAsia="Arial" w:hint="default"/>
                <w:spacing w:val="-11"/>
                <w:sz w:val="18"/>
                <w:szCs w:val="18"/>
              </w:rPr>
              <w:t> </w:t>
            </w:r>
            <w:r>
              <w:rPr>
                <w:rFonts w:ascii="宋体" w:hAnsi="宋体" w:cs="宋体" w:eastAsia="宋体" w:hint="default"/>
                <w:sz w:val="18"/>
                <w:szCs w:val="18"/>
              </w:rPr>
              <w:t>公共研发平台</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3,018,125.64</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1,985,828.54</w:t>
            </w:r>
          </w:p>
        </w:tc>
        <w:tc>
          <w:tcPr>
            <w:tcW w:w="143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5,003,954.18</w:t>
            </w:r>
          </w:p>
        </w:tc>
      </w:tr>
      <w:tr>
        <w:trPr>
          <w:trHeight w:val="402" w:hRule="exact"/>
        </w:trPr>
        <w:tc>
          <w:tcPr>
            <w:tcW w:w="387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9.BI@Report</w:t>
            </w:r>
            <w:r>
              <w:rPr>
                <w:rFonts w:ascii="Arial" w:hAnsi="Arial" w:cs="Arial" w:eastAsia="Arial" w:hint="default"/>
                <w:spacing w:val="-9"/>
                <w:sz w:val="18"/>
                <w:szCs w:val="18"/>
              </w:rPr>
              <w:t> </w:t>
            </w:r>
            <w:r>
              <w:rPr>
                <w:rFonts w:ascii="宋体" w:hAnsi="宋体" w:cs="宋体" w:eastAsia="宋体" w:hint="default"/>
                <w:sz w:val="18"/>
                <w:szCs w:val="18"/>
              </w:rPr>
              <w:t>数据分析展示平台软件</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6,238,099.00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1,988,457.94</w:t>
            </w:r>
          </w:p>
        </w:tc>
        <w:tc>
          <w:tcPr>
            <w:tcW w:w="143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8,226,556.94</w:t>
            </w:r>
          </w:p>
        </w:tc>
      </w:tr>
      <w:tr>
        <w:trPr>
          <w:trHeight w:val="402" w:hRule="exact"/>
        </w:trPr>
        <w:tc>
          <w:tcPr>
            <w:tcW w:w="387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10.ABI</w:t>
            </w:r>
            <w:r>
              <w:rPr>
                <w:rFonts w:ascii="Arial" w:hAnsi="Arial" w:cs="Arial" w:eastAsia="Arial" w:hint="default"/>
                <w:spacing w:val="-8"/>
                <w:sz w:val="18"/>
                <w:szCs w:val="18"/>
              </w:rPr>
              <w:t> </w:t>
            </w:r>
            <w:r>
              <w:rPr>
                <w:rFonts w:ascii="宋体" w:hAnsi="宋体" w:cs="宋体" w:eastAsia="宋体" w:hint="default"/>
                <w:sz w:val="18"/>
                <w:szCs w:val="18"/>
              </w:rPr>
              <w:t>一站式数据分析平台</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632,880.76</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4,450,215.74</w:t>
            </w:r>
          </w:p>
        </w:tc>
        <w:tc>
          <w:tcPr>
            <w:tcW w:w="143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5,083,096.50</w:t>
            </w:r>
          </w:p>
        </w:tc>
      </w:tr>
      <w:tr>
        <w:trPr>
          <w:trHeight w:val="402" w:hRule="exact"/>
        </w:trPr>
        <w:tc>
          <w:tcPr>
            <w:tcW w:w="387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11.</w:t>
            </w:r>
            <w:r>
              <w:rPr>
                <w:rFonts w:ascii="宋体" w:hAnsi="宋体" w:cs="宋体" w:eastAsia="宋体" w:hint="default"/>
                <w:sz w:val="18"/>
                <w:szCs w:val="18"/>
              </w:rPr>
              <w:t>智能数据管理及治理平台</w:t>
            </w:r>
          </w:p>
        </w:tc>
        <w:tc>
          <w:tcPr>
            <w:tcW w:w="1435"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4,712,605.08</w:t>
            </w:r>
          </w:p>
        </w:tc>
        <w:tc>
          <w:tcPr>
            <w:tcW w:w="143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4,712,605.08</w:t>
            </w:r>
          </w:p>
        </w:tc>
      </w:tr>
      <w:tr>
        <w:trPr>
          <w:trHeight w:val="402" w:hRule="exact"/>
        </w:trPr>
        <w:tc>
          <w:tcPr>
            <w:tcW w:w="387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12.</w:t>
            </w:r>
            <w:r>
              <w:rPr>
                <w:rFonts w:ascii="宋体" w:hAnsi="宋体" w:cs="宋体" w:eastAsia="宋体" w:hint="default"/>
                <w:sz w:val="18"/>
                <w:szCs w:val="18"/>
              </w:rPr>
              <w:t>流程引擎平台</w:t>
            </w:r>
          </w:p>
        </w:tc>
        <w:tc>
          <w:tcPr>
            <w:tcW w:w="1435"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3,303,189.76</w:t>
            </w:r>
          </w:p>
        </w:tc>
        <w:tc>
          <w:tcPr>
            <w:tcW w:w="143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3,303,189.76</w:t>
            </w:r>
          </w:p>
        </w:tc>
      </w:tr>
      <w:tr>
        <w:trPr>
          <w:trHeight w:val="402" w:hRule="exact"/>
        </w:trPr>
        <w:tc>
          <w:tcPr>
            <w:tcW w:w="387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13.</w:t>
            </w:r>
            <w:r>
              <w:rPr>
                <w:rFonts w:ascii="宋体" w:hAnsi="宋体" w:cs="宋体" w:eastAsia="宋体" w:hint="default"/>
                <w:sz w:val="18"/>
                <w:szCs w:val="18"/>
              </w:rPr>
              <w:t>万户政务协同管理平台</w:t>
            </w:r>
          </w:p>
        </w:tc>
        <w:tc>
          <w:tcPr>
            <w:tcW w:w="1435"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8,993,736.53</w:t>
            </w:r>
          </w:p>
        </w:tc>
        <w:tc>
          <w:tcPr>
            <w:tcW w:w="143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8,993,736.53</w:t>
            </w:r>
          </w:p>
        </w:tc>
      </w:tr>
      <w:tr>
        <w:trPr>
          <w:trHeight w:val="402" w:hRule="exact"/>
        </w:trPr>
        <w:tc>
          <w:tcPr>
            <w:tcW w:w="387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14.</w:t>
            </w:r>
            <w:r>
              <w:rPr>
                <w:rFonts w:ascii="宋体" w:hAnsi="宋体" w:cs="宋体" w:eastAsia="宋体" w:hint="default"/>
                <w:sz w:val="18"/>
                <w:szCs w:val="18"/>
              </w:rPr>
              <w:t>联奕智慧校园应用支撑与安全保障平台</w:t>
            </w:r>
          </w:p>
        </w:tc>
        <w:tc>
          <w:tcPr>
            <w:tcW w:w="1435"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4,978,220.20</w:t>
            </w:r>
          </w:p>
        </w:tc>
        <w:tc>
          <w:tcPr>
            <w:tcW w:w="143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4,978,220.20</w:t>
            </w:r>
          </w:p>
        </w:tc>
      </w:tr>
      <w:tr>
        <w:trPr>
          <w:trHeight w:val="402" w:hRule="exact"/>
        </w:trPr>
        <w:tc>
          <w:tcPr>
            <w:tcW w:w="387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15.</w:t>
            </w:r>
            <w:r>
              <w:rPr>
                <w:rFonts w:ascii="宋体" w:hAnsi="宋体" w:cs="宋体" w:eastAsia="宋体" w:hint="default"/>
                <w:sz w:val="18"/>
                <w:szCs w:val="18"/>
              </w:rPr>
              <w:t>联奕高校智慧应用与事务审计管理平台</w:t>
            </w:r>
          </w:p>
        </w:tc>
        <w:tc>
          <w:tcPr>
            <w:tcW w:w="1435"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6,960,434.38</w:t>
            </w:r>
          </w:p>
        </w:tc>
        <w:tc>
          <w:tcPr>
            <w:tcW w:w="1435"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6,960,434.38</w:t>
            </w:r>
          </w:p>
        </w:tc>
      </w:tr>
      <w:tr>
        <w:trPr>
          <w:trHeight w:val="402" w:hRule="exact"/>
        </w:trPr>
        <w:tc>
          <w:tcPr>
            <w:tcW w:w="387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16.</w:t>
            </w:r>
            <w:r>
              <w:rPr>
                <w:rFonts w:ascii="宋体" w:hAnsi="宋体" w:cs="宋体" w:eastAsia="宋体" w:hint="default"/>
                <w:sz w:val="18"/>
                <w:szCs w:val="18"/>
              </w:rPr>
              <w:t>司法政务平台</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58,058,612.94</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607,263.40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58,665,876.34</w:t>
            </w: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7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17.</w:t>
            </w:r>
            <w:r>
              <w:rPr>
                <w:rFonts w:ascii="宋体" w:hAnsi="宋体" w:cs="宋体" w:eastAsia="宋体" w:hint="default"/>
                <w:sz w:val="18"/>
                <w:szCs w:val="18"/>
              </w:rPr>
              <w:t>智云研发及产业化项目</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43,648,354.51</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14,137,689.49</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57,786,044.00</w:t>
            </w: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7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18.</w:t>
            </w:r>
            <w:r>
              <w:rPr>
                <w:rFonts w:ascii="宋体" w:hAnsi="宋体" w:cs="宋体" w:eastAsia="宋体" w:hint="default"/>
                <w:sz w:val="18"/>
                <w:szCs w:val="18"/>
              </w:rPr>
              <w:t>法律智能工具与办案系统</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5,143,988.45</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2"/>
                <w:sz w:val="18"/>
              </w:rPr>
              <w:t>11,902,505.89</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17,046,494.34</w:t>
            </w: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87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19.scrumBI</w:t>
            </w:r>
            <w:r>
              <w:rPr>
                <w:rFonts w:ascii="Arial" w:hAnsi="Arial" w:cs="Arial" w:eastAsia="Arial" w:hint="default"/>
                <w:spacing w:val="-10"/>
                <w:sz w:val="18"/>
                <w:szCs w:val="18"/>
              </w:rPr>
              <w:t> </w:t>
            </w:r>
            <w:r>
              <w:rPr>
                <w:rFonts w:ascii="宋体" w:hAnsi="宋体" w:cs="宋体" w:eastAsia="宋体" w:hint="default"/>
                <w:sz w:val="18"/>
                <w:szCs w:val="18"/>
              </w:rPr>
              <w:t>敏捷商务智能平台</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10,939,670.13</w:t>
            </w:r>
          </w:p>
        </w:tc>
        <w:tc>
          <w:tcPr>
            <w:tcW w:w="1435"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10,939,670.13</w:t>
            </w:r>
          </w:p>
        </w:tc>
        <w:tc>
          <w:tcPr>
            <w:tcW w:w="13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00" w:right="0"/>
        </w:sectPr>
      </w:pPr>
    </w:p>
    <w:p>
      <w:pPr>
        <w:spacing w:line="240" w:lineRule="auto" w:before="8"/>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3878"/>
        <w:gridCol w:w="1435"/>
        <w:gridCol w:w="1435"/>
        <w:gridCol w:w="1435"/>
        <w:gridCol w:w="1308"/>
      </w:tblGrid>
      <w:tr>
        <w:trPr>
          <w:trHeight w:val="402" w:hRule="exact"/>
        </w:trPr>
        <w:tc>
          <w:tcPr>
            <w:tcW w:w="387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right="1792"/>
              <w:jc w:val="right"/>
              <w:rPr>
                <w:rFonts w:ascii="宋体" w:hAnsi="宋体" w:cs="宋体" w:eastAsia="宋体" w:hint="default"/>
                <w:sz w:val="18"/>
                <w:szCs w:val="18"/>
              </w:rPr>
            </w:pPr>
            <w:r>
              <w:rPr>
                <w:rFonts w:ascii="Arial" w:hAnsi="Arial" w:cs="Arial" w:eastAsia="Arial" w:hint="default"/>
                <w:w w:val="95"/>
                <w:sz w:val="18"/>
                <w:szCs w:val="18"/>
              </w:rPr>
              <w:t>20.</w:t>
            </w:r>
            <w:r>
              <w:rPr>
                <w:rFonts w:ascii="宋体" w:hAnsi="宋体" w:cs="宋体" w:eastAsia="宋体" w:hint="default"/>
                <w:w w:val="95"/>
                <w:sz w:val="18"/>
                <w:szCs w:val="18"/>
              </w:rPr>
              <w:t>万户协同办公平台项目</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6,698,918.32</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2,614,247.84</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9,313,166.16</w:t>
            </w:r>
          </w:p>
        </w:tc>
        <w:tc>
          <w:tcPr>
            <w:tcW w:w="13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51"/>
              <w:jc w:val="right"/>
              <w:rPr>
                <w:rFonts w:ascii="宋体" w:hAnsi="宋体" w:cs="宋体" w:eastAsia="宋体" w:hint="default"/>
                <w:sz w:val="18"/>
                <w:szCs w:val="18"/>
              </w:rPr>
            </w:pPr>
            <w:r>
              <w:rPr>
                <w:rFonts w:ascii="宋体" w:hAnsi="宋体" w:cs="宋体" w:eastAsia="宋体" w:hint="default"/>
                <w:sz w:val="18"/>
                <w:szCs w:val="18"/>
              </w:rPr>
              <w:t>合计</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183,148,776.90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171,403,043.91</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153,751,250.97</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left"/>
              <w:rPr>
                <w:rFonts w:ascii="Arial" w:hAnsi="Arial" w:cs="Arial" w:eastAsia="Arial" w:hint="default"/>
                <w:sz w:val="18"/>
                <w:szCs w:val="18"/>
              </w:rPr>
            </w:pPr>
            <w:r>
              <w:rPr>
                <w:rFonts w:ascii="Arial"/>
                <w:sz w:val="18"/>
              </w:rPr>
              <w:t>200,800,569.84</w:t>
            </w:r>
          </w:p>
        </w:tc>
      </w:tr>
    </w:tbl>
    <w:p>
      <w:pPr>
        <w:spacing w:line="240" w:lineRule="auto" w:before="3"/>
        <w:rPr>
          <w:rFonts w:ascii="宋体" w:hAnsi="宋体" w:cs="宋体" w:eastAsia="宋体" w:hint="default"/>
          <w:sz w:val="19"/>
          <w:szCs w:val="19"/>
        </w:rPr>
      </w:pPr>
    </w:p>
    <w:p>
      <w:pPr>
        <w:pStyle w:val="Heading4"/>
        <w:spacing w:line="240" w:lineRule="auto" w:before="34"/>
        <w:ind w:left="132" w:right="1183"/>
        <w:jc w:val="left"/>
        <w:rPr>
          <w:b w:val="0"/>
          <w:bCs w:val="0"/>
        </w:rPr>
      </w:pPr>
      <w:bookmarkStart w:name="13、商誉" w:id="239"/>
      <w:bookmarkEnd w:id="239"/>
      <w:r>
        <w:rPr>
          <w:b w:val="0"/>
          <w:bCs w:val="0"/>
        </w:rPr>
      </w:r>
      <w:r>
        <w:rPr>
          <w:rFonts w:ascii="Arial" w:hAnsi="Arial" w:cs="Arial" w:eastAsia="Arial" w:hint="default"/>
        </w:rPr>
        <w:t>13</w:t>
      </w:r>
      <w:r>
        <w:rPr/>
        <w:t>、商誉</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left="132" w:right="1183"/>
        <w:jc w:val="left"/>
        <w:rPr>
          <w:b w:val="0"/>
          <w:bCs w:val="0"/>
        </w:rPr>
      </w:pPr>
      <w:bookmarkStart w:name="（1）商誉账面原值" w:id="240"/>
      <w:bookmarkEnd w:id="240"/>
      <w:r>
        <w:rPr>
          <w:b w:val="0"/>
          <w:bCs w:val="0"/>
        </w:rPr>
      </w:r>
      <w:r>
        <w:rPr/>
        <w:t>（</w:t>
      </w:r>
      <w:r>
        <w:rPr>
          <w:rFonts w:ascii="Arial" w:hAnsi="Arial" w:cs="Arial" w:eastAsia="Arial" w:hint="default"/>
        </w:rPr>
        <w:t>1</w:t>
      </w:r>
      <w:r>
        <w:rPr/>
        <w:t>）商誉账面原值</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3119"/>
        <w:gridCol w:w="1701"/>
        <w:gridCol w:w="1701"/>
        <w:gridCol w:w="1417"/>
        <w:gridCol w:w="1668"/>
      </w:tblGrid>
      <w:tr>
        <w:trPr>
          <w:trHeight w:val="402" w:hRule="exact"/>
        </w:trPr>
        <w:tc>
          <w:tcPr>
            <w:tcW w:w="31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05"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119" w:type="dxa"/>
            <w:vMerge/>
            <w:tcBorders>
              <w:left w:val="single" w:sz="4" w:space="0" w:color="000000"/>
              <w:bottom w:val="single" w:sz="4" w:space="0" w:color="000000"/>
              <w:right w:val="single" w:sz="4" w:space="0" w:color="000000"/>
            </w:tcBorders>
            <w:shd w:val="clear" w:color="auto" w:fill="D2D2D2"/>
          </w:tcPr>
          <w:p>
            <w:pPr/>
          </w:p>
        </w:tc>
        <w:tc>
          <w:tcPr>
            <w:tcW w:w="1701" w:type="dxa"/>
            <w:vMerge/>
            <w:tcBorders>
              <w:left w:val="single" w:sz="4" w:space="0" w:color="000000"/>
              <w:bottom w:val="single" w:sz="4" w:space="0" w:color="000000"/>
              <w:right w:val="single" w:sz="4" w:space="0" w:color="000000"/>
            </w:tcBorders>
            <w:shd w:val="clear" w:color="auto" w:fill="D2D2D2"/>
          </w:tcPr>
          <w:p>
            <w:pP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企业合并形成的</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66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上海浦东华宇信息技术有限公司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85,361,143.21</w:t>
            </w:r>
          </w:p>
        </w:tc>
        <w:tc>
          <w:tcPr>
            <w:tcW w:w="170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85,361,143.21</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北京万户网络技术有限公司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276,527,261.46</w:t>
            </w:r>
          </w:p>
        </w:tc>
        <w:tc>
          <w:tcPr>
            <w:tcW w:w="170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276,527,261.46</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联奕科技有限公司</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Arial" w:hAnsi="Arial" w:cs="Arial" w:eastAsia="Arial" w:hint="default"/>
                <w:sz w:val="18"/>
                <w:szCs w:val="18"/>
              </w:rPr>
            </w:pPr>
            <w:r>
              <w:rPr>
                <w:rFonts w:ascii="Arial"/>
                <w:spacing w:val="-1"/>
                <w:sz w:val="18"/>
              </w:rPr>
              <w:t>1,299,177,651.14</w:t>
            </w:r>
          </w:p>
        </w:tc>
        <w:tc>
          <w:tcPr>
            <w:tcW w:w="170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1,299,177,651.14</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Arial" w:hAnsi="Arial" w:cs="Arial" w:eastAsia="Arial" w:hint="default"/>
                <w:sz w:val="18"/>
                <w:szCs w:val="18"/>
              </w:rPr>
            </w:pPr>
            <w:r>
              <w:rPr>
                <w:rFonts w:ascii="Arial"/>
                <w:spacing w:val="-1"/>
                <w:sz w:val="18"/>
              </w:rPr>
              <w:t>1,661,066,055.81</w:t>
            </w:r>
          </w:p>
        </w:tc>
        <w:tc>
          <w:tcPr>
            <w:tcW w:w="170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1,661,066,055.81</w:t>
            </w:r>
          </w:p>
        </w:tc>
      </w:tr>
    </w:tbl>
    <w:p>
      <w:pPr>
        <w:pStyle w:val="BodyText"/>
        <w:spacing w:line="240" w:lineRule="auto" w:before="84"/>
        <w:ind w:left="132" w:right="1183"/>
        <w:jc w:val="left"/>
      </w:pPr>
      <w:r>
        <w:rPr/>
        <w:t>其他说明：</w:t>
      </w:r>
    </w:p>
    <w:p>
      <w:pPr>
        <w:pStyle w:val="BodyText"/>
        <w:spacing w:line="264" w:lineRule="auto" w:before="138"/>
        <w:ind w:left="132" w:right="1132" w:firstLine="420"/>
        <w:jc w:val="both"/>
      </w:pPr>
      <w:r>
        <w:rPr>
          <w:w w:val="95"/>
        </w:rPr>
        <w:t>本公司采用预计未来现金流现值的方法计算资产组的可收回金额。本集团根据管理层批准的财务预算</w:t>
      </w:r>
      <w:r>
        <w:rPr>
          <w:w w:val="99"/>
        </w:rPr>
        <w:t> </w:t>
      </w:r>
      <w:r>
        <w:rPr/>
        <w:t>预计未来</w:t>
      </w:r>
      <w:r>
        <w:rPr>
          <w:spacing w:val="-61"/>
        </w:rPr>
        <w:t> </w:t>
      </w:r>
      <w:r>
        <w:rPr>
          <w:rFonts w:ascii="Arial" w:hAnsi="Arial" w:cs="Arial" w:eastAsia="Arial" w:hint="default"/>
        </w:rPr>
        <w:t>5</w:t>
      </w:r>
      <w:r>
        <w:rPr>
          <w:rFonts w:ascii="Arial" w:hAnsi="Arial" w:cs="Arial" w:eastAsia="Arial" w:hint="default"/>
          <w:spacing w:val="-16"/>
        </w:rPr>
        <w:t> </w:t>
      </w:r>
      <w:r>
        <w:rPr/>
        <w:t>年内现金流量，其后年度采用的现金流量增长率预计为</w:t>
      </w:r>
      <w:r>
        <w:rPr>
          <w:spacing w:val="-64"/>
        </w:rPr>
        <w:t> </w:t>
      </w:r>
      <w:r>
        <w:rPr>
          <w:rFonts w:ascii="Arial" w:hAnsi="Arial" w:cs="Arial" w:eastAsia="Arial" w:hint="default"/>
          <w:spacing w:val="-3"/>
        </w:rPr>
        <w:t>0%</w:t>
      </w:r>
      <w:r>
        <w:rPr>
          <w:spacing w:val="-3"/>
        </w:rPr>
        <w:t>（上期：</w:t>
      </w:r>
      <w:r>
        <w:rPr>
          <w:rFonts w:ascii="Arial" w:hAnsi="Arial" w:cs="Arial" w:eastAsia="Arial" w:hint="default"/>
          <w:spacing w:val="-3"/>
        </w:rPr>
        <w:t>0%</w:t>
      </w:r>
      <w:r>
        <w:rPr>
          <w:spacing w:val="-3"/>
        </w:rPr>
        <w:t>），不会超过资产组经</w:t>
      </w:r>
      <w:r>
        <w:rPr>
          <w:w w:val="99"/>
        </w:rPr>
        <w:t> </w:t>
      </w:r>
      <w:r>
        <w:rPr>
          <w:w w:val="95"/>
        </w:rPr>
        <w:t>营业务的长期平均增长率。管理层根据过往表现及其对市场发展的预期编制上述财务预算。联奕科技有限</w:t>
      </w:r>
      <w:r>
        <w:rPr>
          <w:spacing w:val="38"/>
          <w:w w:val="95"/>
        </w:rPr>
        <w:t> </w:t>
      </w:r>
      <w:r>
        <w:rPr>
          <w:spacing w:val="38"/>
          <w:w w:val="95"/>
        </w:rPr>
      </w:r>
      <w:r>
        <w:rPr/>
        <w:t>公司计算未来现金流现值所采用的税前折现率为</w:t>
      </w:r>
      <w:r>
        <w:rPr>
          <w:spacing w:val="-57"/>
        </w:rPr>
        <w:t> </w:t>
      </w:r>
      <w:r>
        <w:rPr>
          <w:rFonts w:ascii="Arial" w:hAnsi="Arial" w:cs="Arial" w:eastAsia="Arial" w:hint="default"/>
          <w:spacing w:val="-3"/>
        </w:rPr>
        <w:t>13.49%</w:t>
      </w:r>
      <w:r>
        <w:rPr>
          <w:spacing w:val="-3"/>
        </w:rPr>
        <w:t>（上期</w:t>
      </w:r>
      <w:r>
        <w:rPr>
          <w:spacing w:val="-57"/>
        </w:rPr>
        <w:t> </w:t>
      </w:r>
      <w:r>
        <w:rPr>
          <w:rFonts w:ascii="Arial" w:hAnsi="Arial" w:cs="Arial" w:eastAsia="Arial" w:hint="default"/>
          <w:spacing w:val="-3"/>
        </w:rPr>
        <w:t>11.93%</w:t>
      </w:r>
      <w:r>
        <w:rPr>
          <w:spacing w:val="-3"/>
        </w:rPr>
        <w:t>），北京万户网络技术有限公司计</w:t>
      </w:r>
      <w:r>
        <w:rPr>
          <w:w w:val="99"/>
        </w:rPr>
        <w:t> </w:t>
      </w:r>
      <w:r>
        <w:rPr/>
        <w:t>算未来现金流现值所采用的税前折现率为</w:t>
      </w:r>
      <w:r>
        <w:rPr>
          <w:spacing w:val="-83"/>
        </w:rPr>
        <w:t> </w:t>
      </w:r>
      <w:r>
        <w:rPr>
          <w:rFonts w:ascii="Arial" w:hAnsi="Arial" w:cs="Arial" w:eastAsia="Arial" w:hint="default"/>
          <w:spacing w:val="-3"/>
        </w:rPr>
        <w:t>12.97%</w:t>
      </w:r>
      <w:r>
        <w:rPr>
          <w:spacing w:val="-3"/>
        </w:rPr>
        <w:t>（上期</w:t>
      </w:r>
      <w:r>
        <w:rPr>
          <w:spacing w:val="-83"/>
        </w:rPr>
        <w:t> </w:t>
      </w:r>
      <w:r>
        <w:rPr>
          <w:rFonts w:ascii="Arial" w:hAnsi="Arial" w:cs="Arial" w:eastAsia="Arial" w:hint="default"/>
        </w:rPr>
        <w:t>11.93%</w:t>
      </w:r>
      <w:r>
        <w:rPr/>
        <w:t>），上海浦东华宇信息技术有限公司计算</w:t>
      </w:r>
      <w:r>
        <w:rPr>
          <w:w w:val="99"/>
        </w:rPr>
        <w:t> </w:t>
      </w:r>
      <w:r>
        <w:rPr/>
        <w:t>未来现金流现值所采用的税前折现率为</w:t>
      </w:r>
      <w:r>
        <w:rPr>
          <w:spacing w:val="-54"/>
        </w:rPr>
        <w:t> </w:t>
      </w:r>
      <w:r>
        <w:rPr>
          <w:rFonts w:ascii="Arial" w:hAnsi="Arial" w:cs="Arial" w:eastAsia="Arial" w:hint="default"/>
          <w:spacing w:val="-3"/>
        </w:rPr>
        <w:t>13.42%</w:t>
      </w:r>
      <w:r>
        <w:rPr>
          <w:spacing w:val="-3"/>
        </w:rPr>
        <w:t>（上期</w:t>
      </w:r>
      <w:r>
        <w:rPr>
          <w:spacing w:val="-54"/>
        </w:rPr>
        <w:t> </w:t>
      </w:r>
      <w:r>
        <w:rPr>
          <w:rFonts w:ascii="Arial" w:hAnsi="Arial" w:cs="Arial" w:eastAsia="Arial" w:hint="default"/>
          <w:spacing w:val="-3"/>
        </w:rPr>
        <w:t>11.93%</w:t>
      </w:r>
      <w:r>
        <w:rPr>
          <w:spacing w:val="-3"/>
        </w:rPr>
        <w:t>），已反映了相对于有关分部的风险。根据</w:t>
      </w:r>
      <w:r>
        <w:rPr>
          <w:w w:val="99"/>
        </w:rPr>
        <w:t> </w:t>
      </w:r>
      <w:r>
        <w:rPr/>
        <w:t>减值测试的结果，本期期末商誉未发生减值（上期期末：无）。</w:t>
      </w:r>
    </w:p>
    <w:p>
      <w:pPr>
        <w:spacing w:line="240" w:lineRule="auto" w:before="2"/>
        <w:rPr>
          <w:rFonts w:ascii="宋体" w:hAnsi="宋体" w:cs="宋体" w:eastAsia="宋体" w:hint="default"/>
          <w:sz w:val="24"/>
          <w:szCs w:val="24"/>
        </w:rPr>
      </w:pPr>
    </w:p>
    <w:p>
      <w:pPr>
        <w:pStyle w:val="Heading4"/>
        <w:spacing w:line="240" w:lineRule="auto"/>
        <w:ind w:left="132" w:right="1183"/>
        <w:jc w:val="left"/>
        <w:rPr>
          <w:b w:val="0"/>
          <w:bCs w:val="0"/>
        </w:rPr>
      </w:pPr>
      <w:bookmarkStart w:name="14、长期待摊费用" w:id="241"/>
      <w:bookmarkEnd w:id="241"/>
      <w:r>
        <w:rPr>
          <w:b w:val="0"/>
          <w:bCs w:val="0"/>
        </w:rPr>
      </w:r>
      <w:r>
        <w:rPr>
          <w:rFonts w:ascii="Arial" w:hAnsi="Arial" w:cs="Arial" w:eastAsia="Arial" w:hint="default"/>
        </w:rPr>
        <w:t>14</w:t>
      </w:r>
      <w:r>
        <w:rPr/>
        <w:t>、长期待摊费用</w:t>
      </w:r>
      <w:r>
        <w:rPr>
          <w:b w:val="0"/>
          <w:bCs w:val="0"/>
        </w:rPr>
      </w:r>
    </w:p>
    <w:p>
      <w:pPr>
        <w:spacing w:line="240" w:lineRule="auto" w:before="10"/>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2835"/>
        <w:gridCol w:w="1418"/>
        <w:gridCol w:w="1276"/>
        <w:gridCol w:w="1417"/>
        <w:gridCol w:w="1276"/>
        <w:gridCol w:w="1344"/>
      </w:tblGrid>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92"/>
              <w:jc w:val="right"/>
              <w:rPr>
                <w:rFonts w:ascii="宋体" w:hAnsi="宋体" w:cs="宋体" w:eastAsia="宋体" w:hint="default"/>
                <w:sz w:val="18"/>
                <w:szCs w:val="18"/>
              </w:rPr>
            </w:pPr>
            <w:r>
              <w:rPr>
                <w:rFonts w:ascii="宋体" w:hAnsi="宋体" w:cs="宋体" w:eastAsia="宋体" w:hint="default"/>
                <w:sz w:val="18"/>
                <w:szCs w:val="18"/>
              </w:rPr>
              <w:t>本期增加金额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公司及子公司装修费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9,824,394.08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3,121,725.99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4,377,243.64</w:t>
            </w:r>
          </w:p>
        </w:tc>
        <w:tc>
          <w:tcPr>
            <w:tcW w:w="127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8,568,876.43</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华宇（大连）研发基地绿地工程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2,185,166.89</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2"/>
                <w:sz w:val="18"/>
              </w:rPr>
              <w:t>611,919.75</w:t>
            </w:r>
          </w:p>
        </w:tc>
        <w:tc>
          <w:tcPr>
            <w:tcW w:w="127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1,573,247.14</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12,009,560.97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3,121,725.99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4,989,163.39</w:t>
            </w:r>
          </w:p>
        </w:tc>
        <w:tc>
          <w:tcPr>
            <w:tcW w:w="127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10,142,123.57</w:t>
            </w:r>
          </w:p>
        </w:tc>
      </w:tr>
    </w:tbl>
    <w:p>
      <w:pPr>
        <w:spacing w:line="240" w:lineRule="auto" w:before="4"/>
        <w:rPr>
          <w:rFonts w:ascii="宋体" w:hAnsi="宋体" w:cs="宋体" w:eastAsia="宋体" w:hint="default"/>
          <w:sz w:val="19"/>
          <w:szCs w:val="19"/>
        </w:rPr>
      </w:pPr>
    </w:p>
    <w:p>
      <w:pPr>
        <w:pStyle w:val="Heading4"/>
        <w:spacing w:line="240" w:lineRule="auto" w:before="34"/>
        <w:ind w:left="132" w:right="1183"/>
        <w:jc w:val="left"/>
        <w:rPr>
          <w:b w:val="0"/>
          <w:bCs w:val="0"/>
        </w:rPr>
      </w:pPr>
      <w:bookmarkStart w:name="15、递延所得税资产/递延所得税负债" w:id="242"/>
      <w:bookmarkEnd w:id="242"/>
      <w:r>
        <w:rPr>
          <w:b w:val="0"/>
          <w:bCs w:val="0"/>
        </w:rPr>
      </w:r>
      <w:r>
        <w:rPr>
          <w:rFonts w:ascii="Arial" w:hAnsi="Arial" w:cs="Arial" w:eastAsia="Arial" w:hint="default"/>
        </w:rPr>
        <w:t>15</w:t>
      </w:r>
      <w:r>
        <w:rPr/>
        <w:t>、递延所得税资产</w:t>
      </w:r>
      <w:r>
        <w:rPr>
          <w:rFonts w:ascii="Arial" w:hAnsi="Arial" w:cs="Arial" w:eastAsia="Arial"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32" w:right="1183"/>
        <w:jc w:val="left"/>
        <w:rPr>
          <w:b w:val="0"/>
          <w:bCs w:val="0"/>
        </w:rPr>
      </w:pPr>
      <w:bookmarkStart w:name="（1）未经抵销的递延所得税资产" w:id="243"/>
      <w:bookmarkEnd w:id="243"/>
      <w:r>
        <w:rPr>
          <w:b w:val="0"/>
          <w:bCs w:val="0"/>
        </w:rPr>
      </w:r>
      <w:r>
        <w:rPr/>
        <w:t>（</w:t>
      </w:r>
      <w:r>
        <w:rPr>
          <w:rFonts w:ascii="Arial" w:hAnsi="Arial" w:cs="Arial" w:eastAsia="Arial" w:hint="default"/>
        </w:rPr>
        <w:t>1</w:t>
      </w:r>
      <w:r>
        <w:rPr/>
        <w:t>）未经抵销的递延所得税资产</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2127"/>
        <w:gridCol w:w="1860"/>
        <w:gridCol w:w="1861"/>
        <w:gridCol w:w="1861"/>
        <w:gridCol w:w="1861"/>
      </w:tblGrid>
      <w:tr>
        <w:trPr>
          <w:trHeight w:val="402" w:hRule="exact"/>
        </w:trPr>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6"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0"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7" w:right="0"/>
              <w:jc w:val="left"/>
              <w:rPr>
                <w:rFonts w:ascii="Arial" w:hAnsi="Arial" w:cs="Arial" w:eastAsia="Arial" w:hint="default"/>
                <w:sz w:val="18"/>
                <w:szCs w:val="18"/>
              </w:rPr>
            </w:pPr>
            <w:r>
              <w:rPr>
                <w:rFonts w:ascii="Arial"/>
                <w:sz w:val="18"/>
              </w:rPr>
              <w:t>88,304,051.69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91" w:right="0"/>
              <w:jc w:val="left"/>
              <w:rPr>
                <w:rFonts w:ascii="Arial" w:hAnsi="Arial" w:cs="Arial" w:eastAsia="Arial" w:hint="default"/>
                <w:sz w:val="18"/>
                <w:szCs w:val="18"/>
              </w:rPr>
            </w:pPr>
            <w:r>
              <w:rPr>
                <w:rFonts w:ascii="Arial"/>
                <w:sz w:val="18"/>
              </w:rPr>
              <w:t>11,129,947.29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8" w:right="0"/>
              <w:jc w:val="left"/>
              <w:rPr>
                <w:rFonts w:ascii="Arial" w:hAnsi="Arial" w:cs="Arial" w:eastAsia="Arial" w:hint="default"/>
                <w:sz w:val="18"/>
                <w:szCs w:val="18"/>
              </w:rPr>
            </w:pPr>
            <w:r>
              <w:rPr>
                <w:rFonts w:ascii="Arial"/>
                <w:sz w:val="18"/>
              </w:rPr>
              <w:t>69,072,517.14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8" w:right="0"/>
              <w:jc w:val="left"/>
              <w:rPr>
                <w:rFonts w:ascii="Arial" w:hAnsi="Arial" w:cs="Arial" w:eastAsia="Arial" w:hint="default"/>
                <w:sz w:val="18"/>
                <w:szCs w:val="18"/>
              </w:rPr>
            </w:pPr>
            <w:r>
              <w:rPr>
                <w:rFonts w:ascii="Arial"/>
                <w:sz w:val="18"/>
              </w:rPr>
              <w:t>9,169,598.98</w:t>
            </w:r>
          </w:p>
        </w:tc>
      </w:tr>
    </w:tbl>
    <w:p>
      <w:pPr>
        <w:spacing w:after="0" w:line="240" w:lineRule="auto"/>
        <w:jc w:val="left"/>
        <w:rPr>
          <w:rFonts w:ascii="Arial" w:hAnsi="Arial" w:cs="Arial" w:eastAsia="Arial" w:hint="default"/>
          <w:sz w:val="18"/>
          <w:szCs w:val="18"/>
        </w:rPr>
        <w:sectPr>
          <w:pgSz w:w="11910" w:h="16840"/>
          <w:pgMar w:header="878" w:footer="978" w:top="1100" w:bottom="1160" w:left="100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127"/>
        <w:gridCol w:w="1860"/>
        <w:gridCol w:w="1861"/>
        <w:gridCol w:w="1861"/>
        <w:gridCol w:w="1861"/>
      </w:tblGrid>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42,799,973.93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4,400,075.09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50,535,061.63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5,105,433.46</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50,779,696.12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8,565,404.15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35,854,612.69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7,828,497.49</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未行权股权激励</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10,541,486.93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1,581,223.04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26,701,604.22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4,005,240.63</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134,092,486.15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16,417,958.40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2"/>
                <w:sz w:val="18"/>
              </w:rPr>
              <w:t>113,812,769.65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14,006,508.43</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9,985,494.22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1,467,974.42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13,388,250.00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1,943,537.50</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336,503,189.04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43,562,582.39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309,364,815.33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42,058,816.49</w:t>
            </w:r>
          </w:p>
        </w:tc>
      </w:tr>
    </w:tbl>
    <w:p>
      <w:pPr>
        <w:spacing w:line="240" w:lineRule="auto" w:before="3"/>
        <w:rPr>
          <w:rFonts w:ascii="宋体" w:hAnsi="宋体" w:cs="宋体" w:eastAsia="宋体" w:hint="default"/>
          <w:sz w:val="19"/>
          <w:szCs w:val="19"/>
        </w:rPr>
      </w:pPr>
    </w:p>
    <w:p>
      <w:pPr>
        <w:pStyle w:val="Heading4"/>
        <w:spacing w:line="240" w:lineRule="auto" w:before="34"/>
        <w:ind w:right="996"/>
        <w:jc w:val="left"/>
        <w:rPr>
          <w:b w:val="0"/>
          <w:bCs w:val="0"/>
        </w:rPr>
      </w:pPr>
      <w:bookmarkStart w:name="（2）未经抵销的递延所得税负债" w:id="244"/>
      <w:bookmarkEnd w:id="244"/>
      <w:r>
        <w:rPr>
          <w:b w:val="0"/>
          <w:bCs w:val="0"/>
        </w:rPr>
      </w:r>
      <w:r>
        <w:rPr/>
        <w:t>（</w:t>
      </w:r>
      <w:r>
        <w:rPr>
          <w:rFonts w:ascii="Arial" w:hAnsi="Arial" w:cs="Arial" w:eastAsia="Arial" w:hint="default"/>
        </w:rPr>
        <w:t>2</w:t>
      </w:r>
      <w:r>
        <w:rPr/>
        <w:t>）未经抵销的递延所得税负债</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77"/>
        <w:gridCol w:w="1701"/>
        <w:gridCol w:w="1595"/>
        <w:gridCol w:w="1665"/>
        <w:gridCol w:w="1632"/>
      </w:tblGrid>
      <w:tr>
        <w:trPr>
          <w:trHeight w:val="402" w:hRule="exact"/>
        </w:trPr>
        <w:tc>
          <w:tcPr>
            <w:tcW w:w="29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77" w:type="dxa"/>
            <w:vMerge/>
            <w:tcBorders>
              <w:left w:val="single" w:sz="4" w:space="0" w:color="000000"/>
              <w:bottom w:val="single" w:sz="4" w:space="0" w:color="000000"/>
              <w:right w:val="single" w:sz="4" w:space="0" w:color="000000"/>
            </w:tcBorders>
            <w:shd w:val="clear" w:color="auto" w:fill="D2D2D2"/>
          </w:tcPr>
          <w:p>
            <w:pP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9"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非同一控制企业合并资产评估增值</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33,677,257.26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3,489,194.98</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43,965,966.04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4,603,808.86</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33,677,257.26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3,489,194.98</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43,965,966.04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4,603,808.86</w:t>
            </w:r>
          </w:p>
        </w:tc>
      </w:tr>
    </w:tbl>
    <w:p>
      <w:pPr>
        <w:spacing w:line="240" w:lineRule="auto" w:before="5"/>
        <w:rPr>
          <w:rFonts w:ascii="宋体" w:hAnsi="宋体" w:cs="宋体" w:eastAsia="宋体" w:hint="default"/>
          <w:sz w:val="19"/>
          <w:szCs w:val="19"/>
        </w:rPr>
      </w:pPr>
    </w:p>
    <w:p>
      <w:pPr>
        <w:pStyle w:val="Heading4"/>
        <w:spacing w:line="240" w:lineRule="auto" w:before="34"/>
        <w:ind w:right="996"/>
        <w:jc w:val="left"/>
        <w:rPr>
          <w:b w:val="0"/>
          <w:bCs w:val="0"/>
        </w:rPr>
      </w:pPr>
      <w:bookmarkStart w:name="（3）以抵销后净额列示的递延所得税资产或负债" w:id="245"/>
      <w:bookmarkEnd w:id="245"/>
      <w:r>
        <w:rPr>
          <w:b w:val="0"/>
          <w:bCs w:val="0"/>
        </w:rPr>
      </w:r>
      <w:r>
        <w:rPr/>
        <w:t>（</w:t>
      </w:r>
      <w:r>
        <w:rPr>
          <w:rFonts w:ascii="Arial" w:hAnsi="Arial" w:cs="Arial" w:eastAsia="Arial" w:hint="default"/>
        </w:rPr>
        <w:t>3</w:t>
      </w:r>
      <w:r>
        <w:rPr/>
        <w:t>）以抵销后净额列示的递延所得税资产或负债</w:t>
      </w:r>
      <w:r>
        <w:rPr>
          <w:b w:val="0"/>
          <w:bCs w:val="0"/>
        </w:rPr>
      </w:r>
    </w:p>
    <w:p>
      <w:pPr>
        <w:spacing w:line="240" w:lineRule="auto" w:before="13"/>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12"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22" w:right="50" w:hanging="272"/>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12"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22" w:right="50" w:hanging="272"/>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43,562,582.39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42,058,816.49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3,489,194.98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4,603,808.86</w:t>
            </w:r>
          </w:p>
        </w:tc>
      </w:tr>
    </w:tbl>
    <w:p>
      <w:pPr>
        <w:spacing w:line="240" w:lineRule="auto" w:before="2"/>
        <w:rPr>
          <w:rFonts w:ascii="宋体" w:hAnsi="宋体" w:cs="宋体" w:eastAsia="宋体" w:hint="default"/>
          <w:sz w:val="19"/>
          <w:szCs w:val="19"/>
        </w:rPr>
      </w:pPr>
    </w:p>
    <w:p>
      <w:pPr>
        <w:pStyle w:val="Heading4"/>
        <w:spacing w:line="240" w:lineRule="auto" w:before="34"/>
        <w:ind w:right="996"/>
        <w:jc w:val="left"/>
        <w:rPr>
          <w:b w:val="0"/>
          <w:bCs w:val="0"/>
        </w:rPr>
      </w:pPr>
      <w:bookmarkStart w:name="（4）未确认递延所得税资产明细" w:id="246"/>
      <w:bookmarkEnd w:id="246"/>
      <w:r>
        <w:rPr>
          <w:b w:val="0"/>
          <w:bCs w:val="0"/>
        </w:rPr>
      </w:r>
      <w:r>
        <w:rPr/>
        <w:t>（</w:t>
      </w:r>
      <w:r>
        <w:rPr>
          <w:rFonts w:ascii="Arial" w:hAnsi="Arial" w:cs="Arial" w:eastAsia="Arial" w:hint="default"/>
        </w:rPr>
        <w:t>4</w:t>
      </w:r>
      <w:r>
        <w:rPr/>
        <w:t>）未确认递延所得税资产明细</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201,678.06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67,464.89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36,320,259.94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22,036,378.85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36,521,938.00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22,103,843.74</w:t>
            </w:r>
          </w:p>
        </w:tc>
      </w:tr>
    </w:tbl>
    <w:p>
      <w:pPr>
        <w:spacing w:line="240" w:lineRule="auto" w:before="4"/>
        <w:rPr>
          <w:rFonts w:ascii="宋体" w:hAnsi="宋体" w:cs="宋体" w:eastAsia="宋体" w:hint="default"/>
          <w:sz w:val="19"/>
          <w:szCs w:val="19"/>
        </w:rPr>
      </w:pPr>
    </w:p>
    <w:p>
      <w:pPr>
        <w:pStyle w:val="Heading4"/>
        <w:spacing w:line="240" w:lineRule="auto" w:before="34"/>
        <w:ind w:right="996"/>
        <w:jc w:val="left"/>
        <w:rPr>
          <w:b w:val="0"/>
          <w:bCs w:val="0"/>
        </w:rPr>
      </w:pPr>
      <w:bookmarkStart w:name="（5）未确认递延所得税资产的可抵扣亏损将于以下年度到期" w:id="247"/>
      <w:bookmarkEnd w:id="247"/>
      <w:r>
        <w:rPr>
          <w:b w:val="0"/>
          <w:bCs w:val="0"/>
        </w:rPr>
      </w:r>
      <w:r>
        <w:rPr/>
        <w:t>（</w:t>
      </w:r>
      <w:r>
        <w:rPr>
          <w:rFonts w:ascii="Arial" w:hAnsi="Arial" w:cs="Arial" w:eastAsia="Arial" w:hint="default"/>
        </w:rPr>
        <w:t>5</w:t>
      </w:r>
      <w:r>
        <w:rPr/>
        <w:t>）未确认递延所得税资产的可抵扣亏损将于以下年度到期</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4,746,998.98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4,746,998.98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Arial" w:hAnsi="Arial" w:cs="Arial" w:eastAsia="Arial" w:hint="default"/>
                <w:sz w:val="18"/>
                <w:szCs w:val="18"/>
              </w:rPr>
            </w:pPr>
            <w:r>
              <w:rPr>
                <w:rFonts w:ascii="Arial"/>
                <w:spacing w:val="-1"/>
                <w:sz w:val="18"/>
              </w:rPr>
              <w:t>9,389,466.03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9,389,466.03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2021</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6,675,008.06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6,675,008.06</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2022</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7,576,215.12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1,224,905.78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2023</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7,932,571.75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36,320,259.94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22,036,378.85</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Arial" w:hAnsi="Arial" w:cs="Arial" w:eastAsia="Arial" w:hint="default"/>
                <w:sz w:val="18"/>
                <w:szCs w:val="18"/>
              </w:rPr>
            </w:pPr>
            <w:r>
              <w:rPr>
                <w:rFonts w:ascii="Arial"/>
                <w:sz w:val="18"/>
              </w:rPr>
              <w:t>--</w:t>
            </w:r>
          </w:p>
        </w:tc>
      </w:tr>
    </w:tbl>
    <w:p>
      <w:pPr>
        <w:spacing w:line="240" w:lineRule="auto" w:before="4"/>
        <w:rPr>
          <w:rFonts w:ascii="宋体" w:hAnsi="宋体" w:cs="宋体" w:eastAsia="宋体" w:hint="default"/>
          <w:sz w:val="19"/>
          <w:szCs w:val="19"/>
        </w:rPr>
      </w:pPr>
    </w:p>
    <w:p>
      <w:pPr>
        <w:pStyle w:val="Heading4"/>
        <w:spacing w:line="240" w:lineRule="auto" w:before="34"/>
        <w:ind w:right="996"/>
        <w:jc w:val="left"/>
        <w:rPr>
          <w:b w:val="0"/>
          <w:bCs w:val="0"/>
        </w:rPr>
      </w:pPr>
      <w:bookmarkStart w:name="16、短期借款" w:id="248"/>
      <w:bookmarkEnd w:id="248"/>
      <w:r>
        <w:rPr>
          <w:b w:val="0"/>
          <w:bCs w:val="0"/>
        </w:rPr>
      </w:r>
      <w:r>
        <w:rPr>
          <w:rFonts w:ascii="Arial" w:hAnsi="Arial" w:cs="Arial" w:eastAsia="Arial" w:hint="default"/>
        </w:rPr>
        <w:t>16</w:t>
      </w:r>
      <w:r>
        <w:rPr/>
        <w:t>、短期借款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6"/>
        <w:jc w:val="left"/>
        <w:rPr>
          <w:b w:val="0"/>
          <w:bCs w:val="0"/>
        </w:rPr>
      </w:pPr>
      <w:bookmarkStart w:name="（1）短期借款分类" w:id="249"/>
      <w:bookmarkEnd w:id="249"/>
      <w:r>
        <w:rPr>
          <w:b w:val="0"/>
          <w:bCs w:val="0"/>
        </w:rPr>
      </w:r>
      <w:r>
        <w:rPr/>
        <w:t>（</w:t>
      </w:r>
      <w:r>
        <w:rPr>
          <w:rFonts w:ascii="Arial" w:hAnsi="Arial" w:cs="Arial" w:eastAsia="Arial" w:hint="default"/>
        </w:rPr>
        <w:t>1</w:t>
      </w:r>
      <w:r>
        <w:rPr/>
        <w:t>）短期借款分类</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22,200,000.00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9,000,000.00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18,150,000.00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39,000,000.00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60,350,000.00</w:t>
            </w:r>
          </w:p>
        </w:tc>
      </w:tr>
    </w:tbl>
    <w:p>
      <w:pPr>
        <w:spacing w:line="240" w:lineRule="auto" w:before="6"/>
        <w:rPr>
          <w:rFonts w:ascii="宋体" w:hAnsi="宋体" w:cs="宋体" w:eastAsia="宋体" w:hint="default"/>
          <w:sz w:val="5"/>
          <w:szCs w:val="5"/>
        </w:rPr>
      </w:pPr>
    </w:p>
    <w:p>
      <w:pPr>
        <w:pStyle w:val="BodyText"/>
        <w:spacing w:line="240" w:lineRule="auto"/>
        <w:ind w:right="996"/>
        <w:jc w:val="left"/>
      </w:pPr>
      <w:r>
        <w:rPr/>
        <w:t>短期借款分类的说明：</w:t>
      </w:r>
    </w:p>
    <w:p>
      <w:pPr>
        <w:pStyle w:val="BodyText"/>
        <w:spacing w:line="240" w:lineRule="auto" w:before="157"/>
        <w:ind w:left="532" w:right="996"/>
        <w:jc w:val="left"/>
      </w:pPr>
      <w:r>
        <w:rPr/>
        <w:t>信用借款中由北京华宇软件股份有限公司提供金额为</w:t>
      </w:r>
      <w:r>
        <w:rPr>
          <w:spacing w:val="-64"/>
        </w:rPr>
        <w:t> </w:t>
      </w:r>
      <w:r>
        <w:rPr>
          <w:rFonts w:ascii="Arial" w:hAnsi="Arial" w:cs="Arial" w:eastAsia="Arial" w:hint="default"/>
        </w:rPr>
        <w:t>20,000,000.00</w:t>
      </w:r>
      <w:r>
        <w:rPr>
          <w:rFonts w:ascii="Arial" w:hAnsi="Arial" w:cs="Arial" w:eastAsia="Arial" w:hint="default"/>
          <w:spacing w:val="-18"/>
        </w:rPr>
        <w:t> </w:t>
      </w:r>
      <w:r>
        <w:rPr/>
        <w:t>元的最高额保证借款金额为</w:t>
      </w:r>
    </w:p>
    <w:p>
      <w:pPr>
        <w:pStyle w:val="BodyText"/>
        <w:spacing w:line="240" w:lineRule="auto" w:before="22"/>
        <w:ind w:right="996"/>
        <w:jc w:val="left"/>
      </w:pPr>
      <w:r>
        <w:rPr>
          <w:rFonts w:ascii="Arial" w:hAnsi="Arial" w:cs="Arial" w:eastAsia="Arial" w:hint="default"/>
        </w:rPr>
        <w:t>9,000,000.00</w:t>
      </w:r>
      <w:r>
        <w:rPr>
          <w:rFonts w:ascii="Arial" w:hAnsi="Arial" w:cs="Arial" w:eastAsia="Arial" w:hint="default"/>
          <w:spacing w:val="-14"/>
        </w:rPr>
        <w:t> </w:t>
      </w:r>
      <w:r>
        <w:rPr/>
        <w:t>元；保证借款由任刚、赵国艳提供金额为</w:t>
      </w:r>
      <w:r>
        <w:rPr>
          <w:spacing w:val="-60"/>
        </w:rPr>
        <w:t> </w:t>
      </w:r>
      <w:r>
        <w:rPr>
          <w:rFonts w:ascii="Arial" w:hAnsi="Arial" w:cs="Arial" w:eastAsia="Arial" w:hint="default"/>
        </w:rPr>
        <w:t>30,000,000.00</w:t>
      </w:r>
      <w:r>
        <w:rPr>
          <w:rFonts w:ascii="Arial" w:hAnsi="Arial" w:cs="Arial" w:eastAsia="Arial" w:hint="default"/>
          <w:spacing w:val="-14"/>
        </w:rPr>
        <w:t> </w:t>
      </w:r>
      <w:r>
        <w:rPr/>
        <w:t>元的最高额保证借款金额为</w:t>
      </w:r>
    </w:p>
    <w:p>
      <w:pPr>
        <w:pStyle w:val="BodyText"/>
        <w:spacing w:line="240" w:lineRule="auto" w:before="22"/>
        <w:ind w:right="996"/>
        <w:jc w:val="left"/>
      </w:pPr>
      <w:r>
        <w:rPr>
          <w:rFonts w:ascii="Arial" w:hAnsi="Arial" w:cs="Arial" w:eastAsia="Arial" w:hint="default"/>
        </w:rPr>
        <w:t>30,000,000.00</w:t>
      </w:r>
      <w:r>
        <w:rPr>
          <w:rFonts w:ascii="Arial" w:hAnsi="Arial" w:cs="Arial" w:eastAsia="Arial" w:hint="default"/>
          <w:spacing w:val="-12"/>
        </w:rPr>
        <w:t> </w:t>
      </w:r>
      <w:r>
        <w:rPr/>
        <w:t>元。</w:t>
      </w:r>
    </w:p>
    <w:p>
      <w:pPr>
        <w:spacing w:line="240" w:lineRule="auto" w:before="8"/>
        <w:rPr>
          <w:rFonts w:ascii="宋体" w:hAnsi="宋体" w:cs="宋体" w:eastAsia="宋体" w:hint="default"/>
          <w:sz w:val="24"/>
          <w:szCs w:val="24"/>
        </w:rPr>
      </w:pPr>
    </w:p>
    <w:p>
      <w:pPr>
        <w:pStyle w:val="Heading4"/>
        <w:spacing w:line="240" w:lineRule="auto"/>
        <w:ind w:right="996"/>
        <w:jc w:val="left"/>
        <w:rPr>
          <w:b w:val="0"/>
          <w:bCs w:val="0"/>
        </w:rPr>
      </w:pPr>
      <w:bookmarkStart w:name="17、应付票据及应付账款" w:id="250"/>
      <w:bookmarkEnd w:id="250"/>
      <w:r>
        <w:rPr>
          <w:b w:val="0"/>
          <w:bCs w:val="0"/>
        </w:rPr>
      </w:r>
      <w:r>
        <w:rPr>
          <w:rFonts w:ascii="Arial" w:hAnsi="Arial" w:cs="Arial" w:eastAsia="Arial" w:hint="default"/>
        </w:rPr>
        <w:t>17</w:t>
      </w:r>
      <w:r>
        <w:rPr/>
        <w:t>、应付票据及应付账款</w:t>
      </w:r>
      <w:r>
        <w:rPr>
          <w:b w:val="0"/>
          <w:bCs w:val="0"/>
        </w:rPr>
      </w:r>
    </w:p>
    <w:p>
      <w:pPr>
        <w:spacing w:line="240" w:lineRule="auto" w:before="7"/>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431,436,428.16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295,742,890.68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431,436,428.16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295,742,890.68</w:t>
            </w:r>
          </w:p>
        </w:tc>
      </w:tr>
    </w:tbl>
    <w:p>
      <w:pPr>
        <w:spacing w:line="240" w:lineRule="auto" w:before="4"/>
        <w:rPr>
          <w:rFonts w:ascii="宋体" w:hAnsi="宋体" w:cs="宋体" w:eastAsia="宋体" w:hint="default"/>
          <w:sz w:val="19"/>
          <w:szCs w:val="19"/>
        </w:rPr>
      </w:pPr>
    </w:p>
    <w:p>
      <w:pPr>
        <w:pStyle w:val="Heading4"/>
        <w:spacing w:line="240" w:lineRule="auto" w:before="34"/>
        <w:ind w:right="996"/>
        <w:jc w:val="left"/>
        <w:rPr>
          <w:b w:val="0"/>
          <w:bCs w:val="0"/>
        </w:rPr>
      </w:pPr>
      <w:bookmarkStart w:name="（1）应付账款列示" w:id="251"/>
      <w:bookmarkEnd w:id="251"/>
      <w:r>
        <w:rPr>
          <w:b w:val="0"/>
          <w:bCs w:val="0"/>
        </w:rPr>
      </w:r>
      <w:r>
        <w:rPr/>
        <w:t>（</w:t>
      </w:r>
      <w:r>
        <w:rPr>
          <w:rFonts w:ascii="Arial" w:hAnsi="Arial" w:cs="Arial" w:eastAsia="Arial" w:hint="default"/>
        </w:rPr>
        <w:t>1</w:t>
      </w:r>
      <w:r>
        <w:rPr/>
        <w:t>）应付账款列示</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Arial" w:hAnsi="Arial" w:cs="Arial" w:eastAsia="Arial" w:hint="default"/>
                <w:sz w:val="18"/>
                <w:szCs w:val="18"/>
              </w:rPr>
            </w:pPr>
            <w:r>
              <w:rPr>
                <w:rFonts w:ascii="Arial"/>
                <w:spacing w:val="-2"/>
                <w:sz w:val="18"/>
              </w:rPr>
              <w:t>416,112,151.00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290,109,858.29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设备款等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15,324,277.16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5,633,032.39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431,436,428.16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295,742,890.68</w:t>
            </w:r>
          </w:p>
        </w:tc>
      </w:tr>
    </w:tbl>
    <w:p>
      <w:pPr>
        <w:spacing w:line="240" w:lineRule="auto" w:before="3"/>
        <w:rPr>
          <w:rFonts w:ascii="宋体" w:hAnsi="宋体" w:cs="宋体" w:eastAsia="宋体" w:hint="default"/>
          <w:sz w:val="19"/>
          <w:szCs w:val="19"/>
        </w:rPr>
      </w:pPr>
    </w:p>
    <w:p>
      <w:pPr>
        <w:pStyle w:val="Heading4"/>
        <w:spacing w:line="240" w:lineRule="auto" w:before="34"/>
        <w:ind w:right="996"/>
        <w:jc w:val="left"/>
        <w:rPr>
          <w:b w:val="0"/>
          <w:bCs w:val="0"/>
        </w:rPr>
      </w:pPr>
      <w:bookmarkStart w:name="（2）账龄超过1年的重要应付账款" w:id="252"/>
      <w:bookmarkEnd w:id="252"/>
      <w:r>
        <w:rPr>
          <w:b w:val="0"/>
          <w:bCs w:val="0"/>
        </w:rPr>
      </w:r>
      <w:r>
        <w:rPr/>
        <w:t>（</w:t>
      </w:r>
      <w:r>
        <w:rPr>
          <w:rFonts w:ascii="Arial" w:hAnsi="Arial" w:cs="Arial" w:eastAsia="Arial" w:hint="default"/>
        </w:rPr>
        <w:t>2</w:t>
      </w:r>
      <w:r>
        <w:rPr/>
        <w:t>）账龄超过</w:t>
      </w:r>
      <w:r>
        <w:rPr>
          <w:spacing w:val="-55"/>
        </w:rPr>
        <w:t> </w:t>
      </w:r>
      <w:r>
        <w:rPr>
          <w:rFonts w:ascii="Arial" w:hAnsi="Arial" w:cs="Arial" w:eastAsia="Arial" w:hint="default"/>
        </w:rPr>
        <w:t>1</w:t>
      </w:r>
      <w:r>
        <w:rPr>
          <w:rFonts w:ascii="Arial" w:hAnsi="Arial" w:cs="Arial" w:eastAsia="Arial" w:hint="default"/>
          <w:spacing w:val="-11"/>
        </w:rPr>
        <w:t> </w:t>
      </w:r>
      <w:r>
        <w:rPr/>
        <w:t>年的重要应付账款</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上海信息安全工程技术研究中心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4,496,940.00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4,496,940.00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Arial" w:hAnsi="Arial" w:cs="Arial" w:eastAsia="Arial" w:hint="default"/>
                <w:sz w:val="18"/>
                <w:szCs w:val="18"/>
              </w:rPr>
            </w:pPr>
            <w:r>
              <w:rPr>
                <w:rFonts w:ascii="Arial"/>
                <w:sz w:val="18"/>
              </w:rPr>
              <w:t>--</w:t>
            </w:r>
          </w:p>
        </w:tc>
      </w:tr>
    </w:tbl>
    <w:p>
      <w:pPr>
        <w:spacing w:line="240" w:lineRule="auto" w:before="3"/>
        <w:rPr>
          <w:rFonts w:ascii="宋体" w:hAnsi="宋体" w:cs="宋体" w:eastAsia="宋体" w:hint="default"/>
          <w:sz w:val="19"/>
          <w:szCs w:val="19"/>
        </w:rPr>
      </w:pPr>
    </w:p>
    <w:p>
      <w:pPr>
        <w:pStyle w:val="Heading4"/>
        <w:spacing w:line="240" w:lineRule="auto" w:before="34"/>
        <w:ind w:right="996"/>
        <w:jc w:val="left"/>
        <w:rPr>
          <w:b w:val="0"/>
          <w:bCs w:val="0"/>
        </w:rPr>
      </w:pPr>
      <w:bookmarkStart w:name="18、预收款项" w:id="253"/>
      <w:bookmarkEnd w:id="253"/>
      <w:r>
        <w:rPr>
          <w:b w:val="0"/>
          <w:bCs w:val="0"/>
        </w:rPr>
      </w:r>
      <w:r>
        <w:rPr>
          <w:rFonts w:ascii="Arial" w:hAnsi="Arial" w:cs="Arial" w:eastAsia="Arial" w:hint="default"/>
        </w:rPr>
        <w:t>18</w:t>
      </w:r>
      <w:r>
        <w:rPr/>
        <w:t>、预收款项</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996"/>
        <w:jc w:val="left"/>
        <w:rPr>
          <w:b w:val="0"/>
          <w:bCs w:val="0"/>
        </w:rPr>
      </w:pPr>
      <w:bookmarkStart w:name="（1）预收款项列示" w:id="254"/>
      <w:bookmarkEnd w:id="254"/>
      <w:r>
        <w:rPr>
          <w:b w:val="0"/>
          <w:bCs w:val="0"/>
        </w:rPr>
      </w:r>
      <w:r>
        <w:rPr/>
        <w:t>（</w:t>
      </w:r>
      <w:r>
        <w:rPr>
          <w:rFonts w:ascii="Arial" w:hAnsi="Arial" w:cs="Arial" w:eastAsia="Arial" w:hint="default"/>
        </w:rPr>
        <w:t>1</w:t>
      </w:r>
      <w:r>
        <w:rPr/>
        <w:t>）预收款项列示</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695,363,183.24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519,829,345.82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695,363,183.24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519,829,345.82</w:t>
            </w:r>
          </w:p>
        </w:tc>
      </w:tr>
    </w:tbl>
    <w:p>
      <w:pPr>
        <w:spacing w:line="240" w:lineRule="auto" w:before="4"/>
        <w:rPr>
          <w:rFonts w:ascii="宋体" w:hAnsi="宋体" w:cs="宋体" w:eastAsia="宋体" w:hint="default"/>
          <w:sz w:val="19"/>
          <w:szCs w:val="19"/>
        </w:rPr>
      </w:pPr>
    </w:p>
    <w:p>
      <w:pPr>
        <w:pStyle w:val="Heading4"/>
        <w:spacing w:line="240" w:lineRule="auto" w:before="34"/>
        <w:ind w:right="996"/>
        <w:jc w:val="left"/>
        <w:rPr>
          <w:b w:val="0"/>
          <w:bCs w:val="0"/>
        </w:rPr>
      </w:pPr>
      <w:bookmarkStart w:name="（2）账龄超过1年的重要预收款项" w:id="255"/>
      <w:bookmarkEnd w:id="255"/>
      <w:r>
        <w:rPr>
          <w:b w:val="0"/>
          <w:bCs w:val="0"/>
        </w:rPr>
      </w:r>
      <w:r>
        <w:rPr/>
        <w:t>（</w:t>
      </w:r>
      <w:r>
        <w:rPr>
          <w:rFonts w:ascii="Arial" w:hAnsi="Arial" w:cs="Arial" w:eastAsia="Arial" w:hint="default"/>
        </w:rPr>
        <w:t>2</w:t>
      </w:r>
      <w:r>
        <w:rPr/>
        <w:t>）账龄超过</w:t>
      </w:r>
      <w:r>
        <w:rPr>
          <w:spacing w:val="-55"/>
        </w:rPr>
        <w:t> </w:t>
      </w:r>
      <w:r>
        <w:rPr>
          <w:rFonts w:ascii="Arial" w:hAnsi="Arial" w:cs="Arial" w:eastAsia="Arial" w:hint="default"/>
        </w:rPr>
        <w:t>1</w:t>
      </w:r>
      <w:r>
        <w:rPr>
          <w:rFonts w:ascii="Arial" w:hAnsi="Arial" w:cs="Arial" w:eastAsia="Arial" w:hint="default"/>
          <w:spacing w:val="-11"/>
        </w:rPr>
        <w:t> </w:t>
      </w:r>
      <w:r>
        <w:rPr/>
        <w:t>年的重要预收款项</w:t>
      </w:r>
      <w:r>
        <w:rPr>
          <w:b w:val="0"/>
          <w:bCs w:val="0"/>
        </w:rPr>
      </w:r>
    </w:p>
    <w:p>
      <w:pPr>
        <w:spacing w:line="240" w:lineRule="auto" w:before="13"/>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广州市社会保险基金管理中心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10,034,107.80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项目未完工</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10,034,107.80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Arial" w:hAnsi="Arial" w:cs="Arial" w:eastAsia="Arial" w:hint="default"/>
                <w:sz w:val="18"/>
                <w:szCs w:val="18"/>
              </w:rPr>
            </w:pPr>
            <w:r>
              <w:rPr>
                <w:rFonts w:ascii="Arial"/>
                <w:sz w:val="18"/>
              </w:rPr>
              <w:t>--</w:t>
            </w:r>
          </w:p>
        </w:tc>
      </w:tr>
    </w:tbl>
    <w:p>
      <w:pPr>
        <w:spacing w:line="240" w:lineRule="auto" w:before="2"/>
        <w:rPr>
          <w:rFonts w:ascii="宋体" w:hAnsi="宋体" w:cs="宋体" w:eastAsia="宋体" w:hint="default"/>
          <w:sz w:val="19"/>
          <w:szCs w:val="19"/>
        </w:rPr>
      </w:pPr>
    </w:p>
    <w:p>
      <w:pPr>
        <w:pStyle w:val="Heading4"/>
        <w:spacing w:line="240" w:lineRule="auto" w:before="34"/>
        <w:ind w:right="996"/>
        <w:jc w:val="left"/>
        <w:rPr>
          <w:b w:val="0"/>
          <w:bCs w:val="0"/>
        </w:rPr>
      </w:pPr>
      <w:bookmarkStart w:name="19、应付职工薪酬" w:id="256"/>
      <w:bookmarkEnd w:id="256"/>
      <w:r>
        <w:rPr>
          <w:b w:val="0"/>
          <w:bCs w:val="0"/>
        </w:rPr>
      </w:r>
      <w:r>
        <w:rPr>
          <w:rFonts w:ascii="Arial" w:hAnsi="Arial" w:cs="Arial" w:eastAsia="Arial" w:hint="default"/>
        </w:rPr>
        <w:t>19</w:t>
      </w:r>
      <w:r>
        <w:rPr/>
        <w:t>、应付职工薪酬</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996"/>
        <w:jc w:val="left"/>
        <w:rPr>
          <w:b w:val="0"/>
          <w:bCs w:val="0"/>
        </w:rPr>
      </w:pPr>
      <w:bookmarkStart w:name="（1）应付职工薪酬列示" w:id="257"/>
      <w:bookmarkEnd w:id="257"/>
      <w:r>
        <w:rPr>
          <w:b w:val="0"/>
          <w:bCs w:val="0"/>
        </w:rPr>
      </w:r>
      <w:r>
        <w:rPr/>
        <w:t>（</w:t>
      </w:r>
      <w:r>
        <w:rPr>
          <w:rFonts w:ascii="Arial" w:hAnsi="Arial" w:cs="Arial" w:eastAsia="Arial" w:hint="default"/>
        </w:rPr>
        <w:t>1</w:t>
      </w:r>
      <w:r>
        <w:rPr/>
        <w:t>）应付职工薪酬列示</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35"/>
        <w:gridCol w:w="1683"/>
        <w:gridCol w:w="1684"/>
        <w:gridCol w:w="1684"/>
        <w:gridCol w:w="1684"/>
      </w:tblGrid>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9,204,900.03</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823,655,940.02</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816,591,404.71</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16,269,435.34</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Arial" w:hAnsi="Arial" w:cs="Arial" w:eastAsia="Arial" w:hint="default"/>
                <w:sz w:val="18"/>
                <w:szCs w:val="18"/>
              </w:rPr>
              <w:t>-</w:t>
            </w:r>
            <w:r>
              <w:rPr>
                <w:rFonts w:ascii="宋体" w:hAnsi="宋体" w:cs="宋体" w:eastAsia="宋体" w:hint="default"/>
                <w:sz w:val="18"/>
                <w:szCs w:val="18"/>
              </w:rPr>
              <w:t>设定提存计划</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3,054,823.86</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68,171,774.18</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67,491,965.59</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3,734,632.45</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683"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4,620,893.79</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4,620,893.79</w:t>
            </w: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12,259,723.89</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896,448,607.99</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888,704,264.09</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20,004,067.79</w:t>
            </w:r>
          </w:p>
        </w:tc>
      </w:tr>
    </w:tbl>
    <w:p>
      <w:pPr>
        <w:spacing w:line="240" w:lineRule="auto" w:before="3"/>
        <w:rPr>
          <w:rFonts w:ascii="宋体" w:hAnsi="宋体" w:cs="宋体" w:eastAsia="宋体" w:hint="default"/>
          <w:sz w:val="19"/>
          <w:szCs w:val="19"/>
        </w:rPr>
      </w:pPr>
    </w:p>
    <w:p>
      <w:pPr>
        <w:pStyle w:val="Heading4"/>
        <w:spacing w:line="240" w:lineRule="auto" w:before="34"/>
        <w:ind w:right="996"/>
        <w:jc w:val="left"/>
        <w:rPr>
          <w:b w:val="0"/>
          <w:bCs w:val="0"/>
        </w:rPr>
      </w:pPr>
      <w:bookmarkStart w:name="（2）短期薪酬列示" w:id="258"/>
      <w:bookmarkEnd w:id="258"/>
      <w:r>
        <w:rPr>
          <w:b w:val="0"/>
          <w:bCs w:val="0"/>
        </w:rPr>
      </w:r>
      <w:r>
        <w:rPr/>
        <w:t>（</w:t>
      </w:r>
      <w:r>
        <w:rPr>
          <w:rFonts w:ascii="Arial" w:hAnsi="Arial" w:cs="Arial" w:eastAsia="Arial" w:hint="default"/>
        </w:rPr>
        <w:t>2</w:t>
      </w:r>
      <w:r>
        <w:rPr/>
        <w:t>）短期薪酬列示</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35"/>
        <w:gridCol w:w="1683"/>
        <w:gridCol w:w="1684"/>
        <w:gridCol w:w="1684"/>
        <w:gridCol w:w="1684"/>
      </w:tblGrid>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、工资、奖金、津贴和补贴</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2"/>
                <w:sz w:val="18"/>
              </w:rPr>
              <w:t>7,492,711.10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702,673,921.91</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695,896,224.45</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14,270,408.56</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、职工福利费</w:t>
            </w:r>
          </w:p>
        </w:tc>
        <w:tc>
          <w:tcPr>
            <w:tcW w:w="1683"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31,863,105.27</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31,863,105.27</w:t>
            </w: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、社会保险费</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1,637,588.46</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38,127,616.54</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37,869,660.21</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1,895,544.79</w:t>
            </w:r>
          </w:p>
        </w:tc>
      </w:tr>
      <w:tr>
        <w:trPr>
          <w:trHeight w:val="400"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1,637,588.46</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33,745,661.74</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33,488,304.32</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1,894,945.88</w:t>
            </w:r>
          </w:p>
        </w:tc>
      </w:tr>
    </w:tbl>
    <w:p>
      <w:pPr>
        <w:spacing w:after="0" w:line="240" w:lineRule="auto"/>
        <w:jc w:val="right"/>
        <w:rPr>
          <w:rFonts w:ascii="Arial" w:hAnsi="Arial" w:cs="Arial" w:eastAsia="Arial" w:hint="default"/>
          <w:sz w:val="18"/>
          <w:szCs w:val="18"/>
        </w:rPr>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835"/>
        <w:gridCol w:w="1683"/>
        <w:gridCol w:w="1684"/>
        <w:gridCol w:w="1684"/>
        <w:gridCol w:w="1684"/>
      </w:tblGrid>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683"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1,401,328.75</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1,401,216.09</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Arial" w:hAnsi="Arial" w:cs="Arial" w:eastAsia="Arial" w:hint="default"/>
                <w:sz w:val="18"/>
                <w:szCs w:val="18"/>
              </w:rPr>
            </w:pPr>
            <w:r>
              <w:rPr>
                <w:rFonts w:ascii="Arial"/>
                <w:spacing w:val="-3"/>
                <w:sz w:val="18"/>
              </w:rPr>
              <w:t>112.66</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683"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2,980,626.05</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2,980,139.80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486.25</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、住房公积金</w:t>
            </w:r>
          </w:p>
        </w:tc>
        <w:tc>
          <w:tcPr>
            <w:tcW w:w="1683"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44,325,928.17</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44,325,928.17</w:t>
            </w: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、工会经费和职工教育经费</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74,600.47</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6,665,368.13</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6,636,486.61</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103,481.99</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9,204,900.03</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823,655,940.02</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816,591,404.71</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16,269,435.34</w:t>
            </w:r>
          </w:p>
        </w:tc>
      </w:tr>
    </w:tbl>
    <w:p>
      <w:pPr>
        <w:spacing w:line="240" w:lineRule="auto" w:before="4"/>
        <w:rPr>
          <w:rFonts w:ascii="宋体" w:hAnsi="宋体" w:cs="宋体" w:eastAsia="宋体" w:hint="default"/>
          <w:sz w:val="19"/>
          <w:szCs w:val="19"/>
        </w:rPr>
      </w:pPr>
    </w:p>
    <w:p>
      <w:pPr>
        <w:pStyle w:val="Heading4"/>
        <w:spacing w:line="240" w:lineRule="auto" w:before="34"/>
        <w:ind w:right="996"/>
        <w:jc w:val="left"/>
        <w:rPr>
          <w:b w:val="0"/>
          <w:bCs w:val="0"/>
        </w:rPr>
      </w:pPr>
      <w:bookmarkStart w:name="（3）设定提存计划列示" w:id="259"/>
      <w:bookmarkEnd w:id="259"/>
      <w:r>
        <w:rPr>
          <w:b w:val="0"/>
          <w:bCs w:val="0"/>
        </w:rPr>
      </w:r>
      <w:r>
        <w:rPr/>
        <w:t>（</w:t>
      </w:r>
      <w:r>
        <w:rPr>
          <w:rFonts w:ascii="Arial" w:hAnsi="Arial" w:cs="Arial" w:eastAsia="Arial" w:hint="default"/>
        </w:rPr>
        <w:t>3</w:t>
      </w:r>
      <w:r>
        <w:rPr/>
        <w:t>）设定提存计划列示</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35"/>
        <w:gridCol w:w="1683"/>
        <w:gridCol w:w="1684"/>
        <w:gridCol w:w="1684"/>
        <w:gridCol w:w="1684"/>
      </w:tblGrid>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、基本养老保险</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2,896,017.88</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65,599,357.23</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64,966,018.60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3,529,356.51</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、失业保险费</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158,805.98</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2,425,866.51</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2,379,396.55</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205,275.94</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w:t>
            </w:r>
          </w:p>
        </w:tc>
        <w:tc>
          <w:tcPr>
            <w:tcW w:w="1683"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146,550.44</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146,550.44</w:t>
            </w: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3,054,823.86</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68,171,774.18</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Arial" w:hAnsi="Arial" w:cs="Arial" w:eastAsia="Arial" w:hint="default"/>
                <w:sz w:val="18"/>
                <w:szCs w:val="18"/>
              </w:rPr>
            </w:pPr>
            <w:r>
              <w:rPr>
                <w:rFonts w:ascii="Arial"/>
                <w:spacing w:val="-1"/>
                <w:sz w:val="18"/>
              </w:rPr>
              <w:t>67,491,965.59</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3,734,632.45</w:t>
            </w:r>
          </w:p>
        </w:tc>
      </w:tr>
    </w:tbl>
    <w:p>
      <w:pPr>
        <w:spacing w:line="240" w:lineRule="auto" w:before="5"/>
        <w:rPr>
          <w:rFonts w:ascii="宋体" w:hAnsi="宋体" w:cs="宋体" w:eastAsia="宋体" w:hint="default"/>
          <w:sz w:val="19"/>
          <w:szCs w:val="19"/>
        </w:rPr>
      </w:pPr>
    </w:p>
    <w:p>
      <w:pPr>
        <w:pStyle w:val="Heading4"/>
        <w:spacing w:line="240" w:lineRule="auto" w:before="34"/>
        <w:ind w:right="996"/>
        <w:jc w:val="left"/>
        <w:rPr>
          <w:b w:val="0"/>
          <w:bCs w:val="0"/>
        </w:rPr>
      </w:pPr>
      <w:bookmarkStart w:name="20、应交税费" w:id="260"/>
      <w:bookmarkEnd w:id="260"/>
      <w:r>
        <w:rPr>
          <w:b w:val="0"/>
          <w:bCs w:val="0"/>
        </w:rPr>
      </w:r>
      <w:r>
        <w:rPr>
          <w:rFonts w:ascii="Arial" w:hAnsi="Arial" w:cs="Arial" w:eastAsia="Arial" w:hint="default"/>
        </w:rPr>
        <w:t>20</w:t>
      </w:r>
      <w:r>
        <w:rPr/>
        <w:t>、应交税费</w:t>
      </w:r>
      <w:r>
        <w:rPr>
          <w:b w:val="0"/>
          <w:bCs w:val="0"/>
        </w:rPr>
      </w:r>
    </w:p>
    <w:p>
      <w:pPr>
        <w:spacing w:line="240" w:lineRule="auto" w:before="13"/>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50,810,966.79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68,801,380.32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19,438,284.34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22,033,336.87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1,670,272.74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1,866,204.58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3,966,824.10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4,700,277.06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3,049,614.97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3,634,862.40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78,935,962.94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101,036,061.23</w:t>
            </w:r>
          </w:p>
        </w:tc>
      </w:tr>
    </w:tbl>
    <w:p>
      <w:pPr>
        <w:spacing w:line="240" w:lineRule="auto" w:before="2"/>
        <w:rPr>
          <w:rFonts w:ascii="宋体" w:hAnsi="宋体" w:cs="宋体" w:eastAsia="宋体" w:hint="default"/>
          <w:sz w:val="19"/>
          <w:szCs w:val="19"/>
        </w:rPr>
      </w:pPr>
    </w:p>
    <w:p>
      <w:pPr>
        <w:pStyle w:val="Heading4"/>
        <w:spacing w:line="240" w:lineRule="auto" w:before="34"/>
        <w:ind w:right="996"/>
        <w:jc w:val="left"/>
        <w:rPr>
          <w:b w:val="0"/>
          <w:bCs w:val="0"/>
        </w:rPr>
      </w:pPr>
      <w:bookmarkStart w:name="21、其他应付款" w:id="261"/>
      <w:bookmarkEnd w:id="261"/>
      <w:r>
        <w:rPr>
          <w:b w:val="0"/>
          <w:bCs w:val="0"/>
        </w:rPr>
      </w:r>
      <w:r>
        <w:rPr>
          <w:rFonts w:ascii="Arial" w:hAnsi="Arial" w:cs="Arial" w:eastAsia="Arial" w:hint="default"/>
        </w:rPr>
        <w:t>21</w:t>
      </w:r>
      <w:r>
        <w:rPr/>
        <w:t>、其他应付款</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231,125.00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251,461.25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196,802,202.33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329,661,688.03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197,033,327.33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329,913,149.28</w:t>
            </w:r>
          </w:p>
        </w:tc>
      </w:tr>
    </w:tbl>
    <w:p>
      <w:pPr>
        <w:spacing w:line="240" w:lineRule="auto" w:before="4"/>
        <w:rPr>
          <w:rFonts w:ascii="宋体" w:hAnsi="宋体" w:cs="宋体" w:eastAsia="宋体" w:hint="default"/>
          <w:sz w:val="19"/>
          <w:szCs w:val="19"/>
        </w:rPr>
      </w:pPr>
    </w:p>
    <w:p>
      <w:pPr>
        <w:pStyle w:val="Heading4"/>
        <w:spacing w:line="240" w:lineRule="auto" w:before="34"/>
        <w:ind w:right="996"/>
        <w:jc w:val="left"/>
        <w:rPr>
          <w:b w:val="0"/>
          <w:bCs w:val="0"/>
        </w:rPr>
      </w:pPr>
      <w:bookmarkStart w:name="（1）应付利息" w:id="262"/>
      <w:bookmarkEnd w:id="262"/>
      <w:r>
        <w:rPr>
          <w:b w:val="0"/>
          <w:bCs w:val="0"/>
        </w:rPr>
      </w:r>
      <w:r>
        <w:rPr/>
        <w:t>（</w:t>
      </w:r>
      <w:r>
        <w:rPr>
          <w:rFonts w:ascii="Arial" w:hAnsi="Arial" w:cs="Arial" w:eastAsia="Arial" w:hint="default"/>
        </w:rPr>
        <w:t>1</w:t>
      </w:r>
      <w:r>
        <w:rPr/>
        <w:t>）应付利息</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191,250.00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191,250.00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39,875.00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2"/>
                <w:sz w:val="18"/>
              </w:rPr>
              <w:t>60,211.25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231,125.00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251,461.25</w:t>
            </w:r>
          </w:p>
        </w:tc>
      </w:tr>
    </w:tbl>
    <w:p>
      <w:pPr>
        <w:spacing w:line="240" w:lineRule="auto" w:before="4"/>
        <w:rPr>
          <w:rFonts w:ascii="宋体" w:hAnsi="宋体" w:cs="宋体" w:eastAsia="宋体" w:hint="default"/>
          <w:sz w:val="19"/>
          <w:szCs w:val="19"/>
        </w:rPr>
      </w:pPr>
    </w:p>
    <w:p>
      <w:pPr>
        <w:pStyle w:val="Heading4"/>
        <w:spacing w:line="240" w:lineRule="auto" w:before="34"/>
        <w:ind w:right="996"/>
        <w:jc w:val="left"/>
        <w:rPr>
          <w:b w:val="0"/>
          <w:bCs w:val="0"/>
        </w:rPr>
      </w:pPr>
      <w:bookmarkStart w:name="（2）其他应付款" w:id="263"/>
      <w:bookmarkEnd w:id="263"/>
      <w:r>
        <w:rPr>
          <w:b w:val="0"/>
          <w:bCs w:val="0"/>
        </w:rPr>
      </w:r>
      <w:r>
        <w:rPr/>
        <w:t>（</w:t>
      </w:r>
      <w:r>
        <w:rPr>
          <w:rFonts w:ascii="Arial" w:hAnsi="Arial" w:cs="Arial" w:eastAsia="Arial" w:hint="default"/>
        </w:rPr>
        <w:t>2</w:t>
      </w:r>
      <w:r>
        <w:rPr/>
        <w:t>）其他应付款</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8" w:footer="978" w:top="1100" w:bottom="1160" w:left="1020" w:right="0"/>
        </w:sectPr>
      </w:pPr>
    </w:p>
    <w:p>
      <w:pPr>
        <w:pStyle w:val="Heading4"/>
        <w:spacing w:line="240" w:lineRule="auto" w:before="34"/>
        <w:ind w:right="-16"/>
        <w:jc w:val="left"/>
        <w:rPr>
          <w:b w:val="0"/>
          <w:bCs w:val="0"/>
        </w:rPr>
      </w:pPr>
      <w:r>
        <w:rPr>
          <w:rFonts w:ascii="Arial" w:hAnsi="Arial" w:cs="Arial" w:eastAsia="Arial" w:hint="default"/>
        </w:rPr>
        <w:t>1)</w:t>
      </w:r>
      <w:r>
        <w:rPr>
          <w:rFonts w:ascii="Arial" w:hAnsi="Arial" w:cs="Arial" w:eastAsia="Arial" w:hint="default"/>
          <w:spacing w:val="41"/>
        </w:rPr>
        <w:t> </w:t>
      </w:r>
      <w:r>
        <w:rPr/>
        <w:t>按款项性质列示其他应付款</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5"/>
        <w:rPr>
          <w:rFonts w:ascii="宋体" w:hAnsi="宋体" w:cs="宋体" w:eastAsia="宋体" w:hint="default"/>
          <w:b/>
          <w:bCs/>
          <w:sz w:val="13"/>
          <w:szCs w:val="13"/>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0"/>
          <w:cols w:num="2" w:equalWidth="0">
            <w:col w:w="2933" w:space="5896"/>
            <w:col w:w="206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收购万户网络股权款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Arial" w:hAnsi="Arial" w:cs="Arial" w:eastAsia="Arial" w:hint="default"/>
                <w:sz w:val="18"/>
                <w:szCs w:val="18"/>
              </w:rPr>
            </w:pPr>
            <w:r>
              <w:rPr>
                <w:rFonts w:ascii="Arial"/>
                <w:spacing w:val="-1"/>
                <w:sz w:val="18"/>
              </w:rPr>
              <w:t>24,532,918.83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63,940,000.00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未解锁的限制性股票款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144,378,708.91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245,916,542.20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保证金等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Arial" w:hAnsi="Arial" w:cs="Arial" w:eastAsia="Arial" w:hint="default"/>
                <w:sz w:val="18"/>
                <w:szCs w:val="18"/>
              </w:rPr>
            </w:pPr>
            <w:r>
              <w:rPr>
                <w:rFonts w:ascii="Arial"/>
                <w:spacing w:val="-1"/>
                <w:sz w:val="18"/>
              </w:rPr>
              <w:t>27,890,574.59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19,805,145.83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196,802,202.33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329,661,688.03</w:t>
            </w:r>
          </w:p>
        </w:tc>
      </w:tr>
    </w:tbl>
    <w:p>
      <w:pPr>
        <w:spacing w:line="240" w:lineRule="auto" w:before="7"/>
        <w:rPr>
          <w:rFonts w:ascii="宋体" w:hAnsi="宋体" w:cs="宋体" w:eastAsia="宋体" w:hint="default"/>
          <w:sz w:val="5"/>
          <w:szCs w:val="5"/>
        </w:rPr>
      </w:pPr>
    </w:p>
    <w:p>
      <w:pPr>
        <w:pStyle w:val="Heading4"/>
        <w:spacing w:line="240" w:lineRule="auto" w:before="34"/>
        <w:ind w:right="996"/>
        <w:jc w:val="left"/>
        <w:rPr>
          <w:b w:val="0"/>
          <w:bCs w:val="0"/>
        </w:rPr>
      </w:pPr>
      <w:r>
        <w:rPr>
          <w:rFonts w:ascii="Arial" w:hAnsi="Arial" w:cs="Arial" w:eastAsia="Arial" w:hint="default"/>
        </w:rPr>
        <w:t>2) </w:t>
      </w:r>
      <w:r>
        <w:rPr/>
        <w:t>账龄超过 </w:t>
      </w:r>
      <w:r>
        <w:rPr>
          <w:rFonts w:ascii="Arial" w:hAnsi="Arial" w:cs="Arial" w:eastAsia="Arial" w:hint="default"/>
        </w:rPr>
        <w:t>1</w:t>
      </w:r>
      <w:r>
        <w:rPr>
          <w:rFonts w:ascii="Arial" w:hAnsi="Arial" w:cs="Arial" w:eastAsia="Arial" w:hint="default"/>
          <w:spacing w:val="-19"/>
        </w:rPr>
        <w:t> </w:t>
      </w:r>
      <w:r>
        <w:rPr/>
        <w:t>年的重要其他应付款</w:t>
      </w:r>
      <w:r>
        <w:rPr>
          <w:b w:val="0"/>
          <w:bCs w:val="0"/>
        </w:rPr>
      </w:r>
    </w:p>
    <w:p>
      <w:pPr>
        <w:spacing w:line="240" w:lineRule="auto" w:before="5"/>
        <w:rPr>
          <w:rFonts w:ascii="宋体" w:hAnsi="宋体" w:cs="宋体" w:eastAsia="宋体" w:hint="default"/>
          <w:b/>
          <w:bCs/>
          <w:sz w:val="9"/>
          <w:szCs w:val="9"/>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收购万户网络股权款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24,532,918.83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未解锁的限制性股票款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144,378,708.91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未达到解锁条件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Arial" w:hAnsi="Arial" w:cs="Arial" w:eastAsia="Arial" w:hint="default"/>
                <w:sz w:val="18"/>
                <w:szCs w:val="18"/>
              </w:rPr>
            </w:pPr>
            <w:r>
              <w:rPr>
                <w:rFonts w:ascii="Arial"/>
                <w:spacing w:val="-2"/>
                <w:sz w:val="18"/>
              </w:rPr>
              <w:t>168,911,627.74</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Arial" w:hAnsi="Arial" w:cs="Arial" w:eastAsia="Arial" w:hint="default"/>
                <w:sz w:val="18"/>
                <w:szCs w:val="18"/>
              </w:rPr>
            </w:pPr>
            <w:r>
              <w:rPr>
                <w:rFonts w:ascii="Arial"/>
                <w:sz w:val="18"/>
              </w:rPr>
              <w:t>--</w:t>
            </w:r>
          </w:p>
        </w:tc>
      </w:tr>
    </w:tbl>
    <w:p>
      <w:pPr>
        <w:spacing w:line="240" w:lineRule="auto" w:before="4"/>
        <w:rPr>
          <w:rFonts w:ascii="宋体" w:hAnsi="宋体" w:cs="宋体" w:eastAsia="宋体" w:hint="default"/>
          <w:sz w:val="19"/>
          <w:szCs w:val="19"/>
        </w:rPr>
      </w:pPr>
    </w:p>
    <w:p>
      <w:pPr>
        <w:pStyle w:val="Heading4"/>
        <w:spacing w:line="240" w:lineRule="auto" w:before="34"/>
        <w:ind w:right="996"/>
        <w:jc w:val="left"/>
        <w:rPr>
          <w:b w:val="0"/>
          <w:bCs w:val="0"/>
        </w:rPr>
      </w:pPr>
      <w:bookmarkStart w:name="22、一年内到期的非流动负债" w:id="264"/>
      <w:bookmarkEnd w:id="264"/>
      <w:r>
        <w:rPr>
          <w:b w:val="0"/>
          <w:bCs w:val="0"/>
        </w:rPr>
      </w:r>
      <w:r>
        <w:rPr>
          <w:rFonts w:ascii="Arial" w:hAnsi="Arial" w:cs="Arial" w:eastAsia="Arial" w:hint="default"/>
        </w:rPr>
        <w:t>22</w:t>
      </w:r>
      <w:r>
        <w:rPr/>
        <w:t>、一年内到期的非流动负债</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27,000,000.00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27,000,000.00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4"/>
        <w:ind w:right="996"/>
        <w:jc w:val="left"/>
        <w:rPr>
          <w:b w:val="0"/>
          <w:bCs w:val="0"/>
        </w:rPr>
      </w:pPr>
      <w:bookmarkStart w:name="23、长期应付款" w:id="265"/>
      <w:bookmarkEnd w:id="265"/>
      <w:r>
        <w:rPr>
          <w:b w:val="0"/>
          <w:bCs w:val="0"/>
        </w:rPr>
      </w:r>
      <w:r>
        <w:rPr>
          <w:rFonts w:ascii="Arial" w:hAnsi="Arial" w:cs="Arial" w:eastAsia="Arial" w:hint="default"/>
        </w:rPr>
        <w:t>23</w:t>
      </w:r>
      <w:r>
        <w:rPr/>
        <w:t>、长期应付款</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27,000,000.00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27,000,000.00</w:t>
            </w:r>
          </w:p>
        </w:tc>
      </w:tr>
    </w:tbl>
    <w:p>
      <w:pPr>
        <w:spacing w:line="240" w:lineRule="auto" w:before="4"/>
        <w:rPr>
          <w:rFonts w:ascii="宋体" w:hAnsi="宋体" w:cs="宋体" w:eastAsia="宋体" w:hint="default"/>
          <w:sz w:val="19"/>
          <w:szCs w:val="19"/>
        </w:rPr>
      </w:pPr>
    </w:p>
    <w:p>
      <w:pPr>
        <w:pStyle w:val="Heading4"/>
        <w:spacing w:line="240" w:lineRule="auto" w:before="34"/>
        <w:ind w:right="996"/>
        <w:jc w:val="left"/>
        <w:rPr>
          <w:b w:val="0"/>
          <w:bCs w:val="0"/>
        </w:rPr>
      </w:pPr>
      <w:bookmarkStart w:name="（1）按款项性质列示长期应付款" w:id="266"/>
      <w:bookmarkEnd w:id="266"/>
      <w:r>
        <w:rPr>
          <w:b w:val="0"/>
          <w:bCs w:val="0"/>
        </w:rPr>
      </w:r>
      <w:r>
        <w:rPr/>
        <w:t>（</w:t>
      </w:r>
      <w:r>
        <w:rPr>
          <w:rFonts w:ascii="Arial" w:hAnsi="Arial" w:cs="Arial" w:eastAsia="Arial" w:hint="default"/>
        </w:rPr>
        <w:t>1</w:t>
      </w:r>
      <w:r>
        <w:rPr/>
        <w:t>）按款项性质列示长期应付款</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应付融资款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06" w:right="0"/>
              <w:jc w:val="left"/>
              <w:rPr>
                <w:rFonts w:ascii="Arial" w:hAnsi="Arial" w:cs="Arial" w:eastAsia="Arial" w:hint="default"/>
                <w:sz w:val="18"/>
                <w:szCs w:val="18"/>
              </w:rPr>
            </w:pPr>
            <w:r>
              <w:rPr>
                <w:rFonts w:ascii="Arial"/>
                <w:sz w:val="18"/>
              </w:rPr>
              <w:t>27,000,000.00</w:t>
            </w:r>
          </w:p>
        </w:tc>
      </w:tr>
    </w:tbl>
    <w:p>
      <w:pPr>
        <w:spacing w:line="240" w:lineRule="auto" w:before="6"/>
        <w:rPr>
          <w:rFonts w:ascii="宋体" w:hAnsi="宋体" w:cs="宋体" w:eastAsia="宋体" w:hint="default"/>
          <w:sz w:val="5"/>
          <w:szCs w:val="5"/>
        </w:rPr>
      </w:pPr>
    </w:p>
    <w:p>
      <w:pPr>
        <w:pStyle w:val="BodyText"/>
        <w:spacing w:line="240" w:lineRule="auto"/>
        <w:ind w:right="996"/>
        <w:jc w:val="left"/>
      </w:pPr>
      <w:r>
        <w:rPr/>
        <w:t>其他说明：</w:t>
      </w:r>
    </w:p>
    <w:p>
      <w:pPr>
        <w:pStyle w:val="BodyText"/>
        <w:spacing w:line="261" w:lineRule="auto" w:before="157"/>
        <w:ind w:right="1027" w:firstLine="420"/>
        <w:jc w:val="left"/>
      </w:pPr>
      <w:r>
        <w:rPr>
          <w:rFonts w:ascii="Arial" w:hAnsi="Arial" w:cs="Arial" w:eastAsia="Arial" w:hint="default"/>
        </w:rPr>
        <w:t>2016</w:t>
      </w:r>
      <w:r>
        <w:rPr>
          <w:rFonts w:ascii="Arial" w:hAnsi="Arial" w:cs="Arial" w:eastAsia="Arial" w:hint="default"/>
          <w:spacing w:val="-10"/>
        </w:rPr>
        <w:t> </w:t>
      </w:r>
      <w:r>
        <w:rPr/>
        <w:t>年，公司子公司联奕科技与广东粤财投资控股有限公司（以下简称粤财公司）签订《股权转让</w:t>
      </w:r>
      <w:r>
        <w:rPr>
          <w:w w:val="99"/>
        </w:rPr>
        <w:t> </w:t>
      </w:r>
      <w:r>
        <w:rPr/>
        <w:t>合同》，粤财公司以</w:t>
      </w:r>
      <w:r>
        <w:rPr>
          <w:spacing w:val="-63"/>
        </w:rPr>
        <w:t> </w:t>
      </w:r>
      <w:r>
        <w:rPr>
          <w:rFonts w:ascii="Arial" w:hAnsi="Arial" w:cs="Arial" w:eastAsia="Arial" w:hint="default"/>
        </w:rPr>
        <w:t>2,700.00</w:t>
      </w:r>
      <w:r>
        <w:rPr>
          <w:rFonts w:ascii="Arial" w:hAnsi="Arial" w:cs="Arial" w:eastAsia="Arial" w:hint="default"/>
          <w:spacing w:val="-17"/>
        </w:rPr>
        <w:t> </w:t>
      </w:r>
      <w:r>
        <w:rPr/>
        <w:t>万元对广州优奕科信息科技有限公司进行增资，投资年化收益率为</w:t>
      </w:r>
      <w:r>
        <w:rPr>
          <w:spacing w:val="-65"/>
        </w:rPr>
        <w:t> </w:t>
      </w:r>
      <w:r>
        <w:rPr>
          <w:rFonts w:ascii="Arial" w:hAnsi="Arial" w:cs="Arial" w:eastAsia="Arial" w:hint="default"/>
        </w:rPr>
        <w:t>2.50%</w:t>
      </w:r>
      <w:r>
        <w:rPr/>
        <w:t>，</w:t>
      </w:r>
      <w:r>
        <w:rPr>
          <w:w w:val="99"/>
        </w:rPr>
        <w:t> </w:t>
      </w:r>
      <w:r>
        <w:rPr/>
        <w:t>公司子公司联奕科技有限公司以此确认利息费用。投资完成后，公司持有广州优奕科信息科技有限公司</w:t>
      </w:r>
      <w:r>
        <w:rPr>
          <w:w w:val="99"/>
        </w:rPr>
        <w:t> </w:t>
      </w:r>
      <w:r>
        <w:rPr>
          <w:rFonts w:ascii="Arial" w:hAnsi="Arial" w:cs="Arial" w:eastAsia="Arial" w:hint="default"/>
        </w:rPr>
        <w:t>70.00%</w:t>
      </w:r>
      <w:r>
        <w:rPr/>
        <w:t>股权，粤财公司持有</w:t>
      </w:r>
      <w:r>
        <w:rPr>
          <w:spacing w:val="-65"/>
        </w:rPr>
        <w:t> </w:t>
      </w:r>
      <w:r>
        <w:rPr>
          <w:rFonts w:ascii="Arial" w:hAnsi="Arial" w:cs="Arial" w:eastAsia="Arial" w:hint="default"/>
        </w:rPr>
        <w:t>30.00%</w:t>
      </w:r>
      <w:r>
        <w:rPr/>
        <w:t>股权。项目建设期届满后，联奕科技根据投资意向书规定收购粤财公</w:t>
      </w:r>
      <w:r>
        <w:rPr>
          <w:w w:val="99"/>
        </w:rPr>
        <w:t> </w:t>
      </w:r>
      <w:r>
        <w:rPr/>
        <w:t>司持有的广州优奕科信息科技有限公司股权。</w:t>
      </w:r>
    </w:p>
    <w:p>
      <w:pPr>
        <w:spacing w:line="240" w:lineRule="auto" w:before="4"/>
        <w:rPr>
          <w:rFonts w:ascii="宋体" w:hAnsi="宋体" w:cs="宋体" w:eastAsia="宋体" w:hint="default"/>
          <w:sz w:val="24"/>
          <w:szCs w:val="24"/>
        </w:rPr>
      </w:pPr>
    </w:p>
    <w:p>
      <w:pPr>
        <w:pStyle w:val="Heading4"/>
        <w:spacing w:line="240" w:lineRule="auto"/>
        <w:ind w:right="996"/>
        <w:jc w:val="left"/>
        <w:rPr>
          <w:b w:val="0"/>
          <w:bCs w:val="0"/>
        </w:rPr>
      </w:pPr>
      <w:bookmarkStart w:name="24、递延收益" w:id="267"/>
      <w:bookmarkEnd w:id="267"/>
      <w:r>
        <w:rPr>
          <w:b w:val="0"/>
          <w:bCs w:val="0"/>
        </w:rPr>
      </w:r>
      <w:r>
        <w:rPr>
          <w:rFonts w:ascii="Arial" w:hAnsi="Arial" w:cs="Arial" w:eastAsia="Arial" w:hint="default"/>
        </w:rPr>
        <w:t>24</w:t>
      </w:r>
      <w:r>
        <w:rPr/>
        <w:t>、递延收益</w:t>
      </w:r>
      <w:r>
        <w:rPr>
          <w:b w:val="0"/>
          <w:bCs w:val="0"/>
        </w:rPr>
      </w:r>
    </w:p>
    <w:p>
      <w:pPr>
        <w:spacing w:line="240" w:lineRule="auto" w:before="7"/>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13" w:right="0"/>
              <w:jc w:val="left"/>
              <w:rPr>
                <w:rFonts w:ascii="Arial" w:hAnsi="Arial" w:cs="Arial" w:eastAsia="Arial" w:hint="default"/>
                <w:sz w:val="18"/>
                <w:szCs w:val="18"/>
              </w:rPr>
            </w:pPr>
            <w:r>
              <w:rPr>
                <w:rFonts w:ascii="Arial"/>
                <w:sz w:val="18"/>
              </w:rPr>
              <w:t>10,067,350.33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11" w:right="0"/>
              <w:jc w:val="left"/>
              <w:rPr>
                <w:rFonts w:ascii="Arial" w:hAnsi="Arial" w:cs="Arial" w:eastAsia="Arial" w:hint="default"/>
                <w:sz w:val="18"/>
                <w:szCs w:val="18"/>
              </w:rPr>
            </w:pPr>
            <w:r>
              <w:rPr>
                <w:rFonts w:ascii="Arial"/>
                <w:sz w:val="18"/>
              </w:rPr>
              <w:t>12,610,500.00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1,269,170.33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10" w:right="0"/>
              <w:jc w:val="left"/>
              <w:rPr>
                <w:rFonts w:ascii="Arial" w:hAnsi="Arial" w:cs="Arial" w:eastAsia="Arial" w:hint="default"/>
                <w:sz w:val="18"/>
                <w:szCs w:val="18"/>
              </w:rPr>
            </w:pPr>
            <w:r>
              <w:rPr>
                <w:rFonts w:ascii="Arial"/>
                <w:sz w:val="18"/>
              </w:rPr>
              <w:t>21,408,680.00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3" w:right="0"/>
              <w:jc w:val="left"/>
              <w:rPr>
                <w:rFonts w:ascii="Arial" w:hAnsi="Arial" w:cs="Arial" w:eastAsia="Arial" w:hint="default"/>
                <w:sz w:val="18"/>
                <w:szCs w:val="18"/>
              </w:rPr>
            </w:pPr>
            <w:r>
              <w:rPr>
                <w:rFonts w:ascii="Arial"/>
                <w:sz w:val="18"/>
              </w:rPr>
              <w:t>10,067,350.33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1" w:right="0"/>
              <w:jc w:val="left"/>
              <w:rPr>
                <w:rFonts w:ascii="Arial" w:hAnsi="Arial" w:cs="Arial" w:eastAsia="Arial" w:hint="default"/>
                <w:sz w:val="18"/>
                <w:szCs w:val="18"/>
              </w:rPr>
            </w:pPr>
            <w:r>
              <w:rPr>
                <w:rFonts w:ascii="Arial"/>
                <w:sz w:val="18"/>
              </w:rPr>
              <w:t>12,610,500.00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1,269,170.33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0" w:right="0"/>
              <w:jc w:val="left"/>
              <w:rPr>
                <w:rFonts w:ascii="Arial" w:hAnsi="Arial" w:cs="Arial" w:eastAsia="Arial" w:hint="default"/>
                <w:sz w:val="18"/>
                <w:szCs w:val="18"/>
              </w:rPr>
            </w:pPr>
            <w:r>
              <w:rPr>
                <w:rFonts w:ascii="Arial"/>
                <w:sz w:val="18"/>
              </w:rPr>
              <w:t>21,408,680.00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Arial" w:hAnsi="Arial" w:cs="Arial" w:eastAsia="Arial" w:hint="default"/>
                <w:sz w:val="18"/>
                <w:szCs w:val="18"/>
              </w:rPr>
            </w:pPr>
            <w:r>
              <w:rPr>
                <w:rFonts w:ascii="Arial"/>
                <w:sz w:val="18"/>
              </w:rPr>
              <w:t>--</w:t>
            </w:r>
          </w:p>
        </w:tc>
      </w:tr>
    </w:tbl>
    <w:p>
      <w:pPr>
        <w:spacing w:line="240" w:lineRule="auto" w:before="7"/>
        <w:rPr>
          <w:rFonts w:ascii="宋体" w:hAnsi="宋体" w:cs="宋体" w:eastAsia="宋体" w:hint="default"/>
          <w:sz w:val="5"/>
          <w:szCs w:val="5"/>
        </w:rPr>
      </w:pPr>
    </w:p>
    <w:p>
      <w:pPr>
        <w:pStyle w:val="BodyText"/>
        <w:spacing w:line="240" w:lineRule="auto"/>
        <w:ind w:right="996"/>
        <w:jc w:val="left"/>
      </w:pPr>
      <w:r>
        <w:rPr/>
        <w:t>涉及政府补助的项目：</w:t>
      </w:r>
    </w:p>
    <w:p>
      <w:pPr>
        <w:spacing w:line="240" w:lineRule="auto" w:before="7"/>
        <w:rPr>
          <w:rFonts w:ascii="宋体" w:hAnsi="宋体" w:cs="宋体" w:eastAsia="宋体" w:hint="default"/>
          <w:sz w:val="10"/>
          <w:szCs w:val="10"/>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68"/>
        <w:gridCol w:w="1276"/>
        <w:gridCol w:w="1276"/>
        <w:gridCol w:w="1134"/>
        <w:gridCol w:w="709"/>
        <w:gridCol w:w="708"/>
        <w:gridCol w:w="284"/>
        <w:gridCol w:w="1276"/>
        <w:gridCol w:w="735"/>
      </w:tblGrid>
      <w:tr>
        <w:trPr>
          <w:trHeight w:val="1338"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453" w:right="91" w:hanging="360"/>
              <w:jc w:val="left"/>
              <w:rPr>
                <w:rFonts w:ascii="宋体" w:hAnsi="宋体" w:cs="宋体" w:eastAsia="宋体" w:hint="default"/>
                <w:sz w:val="18"/>
                <w:szCs w:val="18"/>
              </w:rPr>
            </w:pPr>
            <w:r>
              <w:rPr>
                <w:rFonts w:ascii="宋体" w:hAnsi="宋体" w:cs="宋体" w:eastAsia="宋体" w:hint="default"/>
                <w:sz w:val="18"/>
                <w:szCs w:val="18"/>
              </w:rPr>
              <w:t>本期新增补助 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3" w:right="109"/>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8" w:right="79"/>
              <w:jc w:val="center"/>
              <w:rPr>
                <w:rFonts w:ascii="宋体" w:hAnsi="宋体" w:cs="宋体" w:eastAsia="宋体" w:hint="default"/>
                <w:sz w:val="18"/>
                <w:szCs w:val="18"/>
              </w:rPr>
            </w:pPr>
            <w:r>
              <w:rPr>
                <w:rFonts w:ascii="宋体" w:hAnsi="宋体" w:cs="宋体" w:eastAsia="宋体" w:hint="default"/>
                <w:sz w:val="18"/>
                <w:szCs w:val="18"/>
              </w:rPr>
              <w:t>本期计 入其他 收益金 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6"/>
              <w:jc w:val="center"/>
              <w:rPr>
                <w:rFonts w:ascii="宋体" w:hAnsi="宋体" w:cs="宋体" w:eastAsia="宋体" w:hint="default"/>
                <w:sz w:val="18"/>
                <w:szCs w:val="18"/>
              </w:rPr>
            </w:pPr>
            <w:r>
              <w:rPr>
                <w:rFonts w:ascii="宋体" w:hAnsi="宋体" w:cs="宋体" w:eastAsia="宋体" w:hint="default"/>
                <w:sz w:val="18"/>
                <w:szCs w:val="18"/>
              </w:rPr>
              <w:t>本期冲 减成本 费用金 额</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 w:right="46"/>
              <w:jc w:val="both"/>
              <w:rPr>
                <w:rFonts w:ascii="宋体" w:hAnsi="宋体" w:cs="宋体" w:eastAsia="宋体" w:hint="default"/>
                <w:sz w:val="18"/>
                <w:szCs w:val="18"/>
              </w:rPr>
            </w:pPr>
            <w:r>
              <w:rPr>
                <w:rFonts w:ascii="宋体" w:hAnsi="宋体" w:cs="宋体" w:eastAsia="宋体" w:hint="default"/>
                <w:sz w:val="18"/>
                <w:szCs w:val="18"/>
              </w:rPr>
              <w:t>其 他 变 动</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67" w:right="65" w:hanging="3"/>
              <w:jc w:val="center"/>
              <w:rPr>
                <w:rFonts w:ascii="宋体" w:hAnsi="宋体" w:cs="宋体" w:eastAsia="宋体" w:hint="default"/>
                <w:sz w:val="18"/>
                <w:szCs w:val="18"/>
              </w:rPr>
            </w:pPr>
            <w:r>
              <w:rPr>
                <w:rFonts w:ascii="宋体" w:hAnsi="宋体" w:cs="宋体" w:eastAsia="宋体" w:hint="default"/>
                <w:sz w:val="18"/>
                <w:szCs w:val="18"/>
              </w:rPr>
              <w:t>与资产 相关</w:t>
            </w:r>
            <w:r>
              <w:rPr>
                <w:rFonts w:ascii="Arial" w:hAnsi="Arial" w:cs="Arial" w:eastAsia="Arial" w:hint="default"/>
                <w:sz w:val="18"/>
                <w:szCs w:val="18"/>
              </w:rPr>
              <w:t>/</w:t>
            </w:r>
            <w:r>
              <w:rPr>
                <w:rFonts w:ascii="宋体" w:hAnsi="宋体" w:cs="宋体" w:eastAsia="宋体" w:hint="default"/>
                <w:sz w:val="18"/>
                <w:szCs w:val="18"/>
              </w:rPr>
              <w:t>与 收益相 关</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促进产学研合作专项</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700,000.00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700,000.00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与资产 相关</w:t>
            </w:r>
          </w:p>
        </w:tc>
      </w:tr>
      <w:tr>
        <w:trPr>
          <w:trHeight w:val="102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3"/>
              <w:jc w:val="both"/>
              <w:rPr>
                <w:rFonts w:ascii="宋体" w:hAnsi="宋体" w:cs="宋体" w:eastAsia="宋体" w:hint="default"/>
                <w:sz w:val="18"/>
                <w:szCs w:val="18"/>
              </w:rPr>
            </w:pPr>
            <w:r>
              <w:rPr>
                <w:rFonts w:ascii="宋体" w:hAnsi="宋体" w:cs="宋体" w:eastAsia="宋体" w:hint="default"/>
                <w:sz w:val="18"/>
                <w:szCs w:val="18"/>
              </w:rPr>
              <w:t>基于私有云的政法应用支撑 与研发平台建设项目中央补 助资金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sz w:val="18"/>
              </w:rPr>
              <w:t>78,200.00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78,200.00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与资产 相关</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3"/>
              <w:jc w:val="left"/>
              <w:rPr>
                <w:rFonts w:ascii="宋体" w:hAnsi="宋体" w:cs="宋体" w:eastAsia="宋体" w:hint="default"/>
                <w:sz w:val="18"/>
                <w:szCs w:val="18"/>
              </w:rPr>
            </w:pPr>
            <w:r>
              <w:rPr>
                <w:rFonts w:ascii="宋体" w:hAnsi="宋体" w:cs="宋体" w:eastAsia="宋体" w:hint="default"/>
                <w:sz w:val="18"/>
                <w:szCs w:val="18"/>
              </w:rPr>
              <w:t>中关村科技园区海淀园管委 会研发中心研发投入补贴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140,307.10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63,027.10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77,280.00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与资产 相关</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京津翼主要食品的区域一体 化信息互认体系建设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1,913,743.23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300,343.23</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1,613,400.00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与资产 相关</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3"/>
              <w:jc w:val="left"/>
              <w:rPr>
                <w:rFonts w:ascii="宋体" w:hAnsi="宋体" w:cs="宋体" w:eastAsia="宋体" w:hint="default"/>
                <w:sz w:val="18"/>
                <w:szCs w:val="18"/>
              </w:rPr>
            </w:pPr>
            <w:r>
              <w:rPr>
                <w:rFonts w:ascii="宋体" w:hAnsi="宋体" w:cs="宋体" w:eastAsia="宋体" w:hint="default"/>
                <w:sz w:val="18"/>
                <w:szCs w:val="18"/>
              </w:rPr>
              <w:t>互联网食品安全风险监控预 警体系研究</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1"/>
                <w:sz w:val="18"/>
              </w:rPr>
              <w:t>4,000,000.00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1"/>
                <w:sz w:val="18"/>
              </w:rPr>
              <w:t>827,600.00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3,172,400.00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与资产 相关</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多元智能化诉讼服务技术研 究</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3,235,100.00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1,026,000.00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4,261,100.00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3"/>
              <w:jc w:val="left"/>
              <w:rPr>
                <w:rFonts w:ascii="宋体" w:hAnsi="宋体" w:cs="宋体" w:eastAsia="宋体" w:hint="default"/>
                <w:sz w:val="18"/>
                <w:szCs w:val="18"/>
              </w:rPr>
            </w:pPr>
            <w:r>
              <w:rPr>
                <w:rFonts w:ascii="宋体" w:hAnsi="宋体" w:cs="宋体" w:eastAsia="宋体" w:hint="default"/>
                <w:sz w:val="18"/>
                <w:szCs w:val="18"/>
              </w:rPr>
              <w:t>智能化交互式的诉讼材料自 动化生成和有效性审查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1,722,300.00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1,722,300.00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71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2" w:right="73"/>
              <w:jc w:val="left"/>
              <w:rPr>
                <w:rFonts w:ascii="宋体" w:hAnsi="宋体" w:cs="宋体" w:eastAsia="宋体" w:hint="default"/>
                <w:sz w:val="18"/>
                <w:szCs w:val="18"/>
              </w:rPr>
            </w:pPr>
            <w:r>
              <w:rPr>
                <w:rFonts w:ascii="宋体" w:hAnsi="宋体" w:cs="宋体" w:eastAsia="宋体" w:hint="default"/>
                <w:sz w:val="18"/>
                <w:szCs w:val="18"/>
              </w:rPr>
              <w:t>面向司法业务的多部门跨层 级跨网系数据安全交互处理</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1,757,400.00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1,757,400.00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与收益 相关</w:t>
            </w:r>
          </w:p>
        </w:tc>
      </w:tr>
    </w:tbl>
    <w:p>
      <w:pPr>
        <w:spacing w:after="0" w:line="316" w:lineRule="auto"/>
        <w:jc w:val="left"/>
        <w:rPr>
          <w:rFonts w:ascii="宋体" w:hAnsi="宋体" w:cs="宋体" w:eastAsia="宋体" w:hint="default"/>
          <w:sz w:val="18"/>
          <w:szCs w:val="18"/>
        </w:rPr>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268"/>
        <w:gridCol w:w="1276"/>
        <w:gridCol w:w="1276"/>
        <w:gridCol w:w="1134"/>
        <w:gridCol w:w="709"/>
        <w:gridCol w:w="708"/>
        <w:gridCol w:w="284"/>
        <w:gridCol w:w="1276"/>
        <w:gridCol w:w="735"/>
      </w:tblGrid>
      <w:tr>
        <w:trPr>
          <w:trHeight w:val="36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技术研究</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3"/>
              <w:jc w:val="both"/>
              <w:rPr>
                <w:rFonts w:ascii="宋体" w:hAnsi="宋体" w:cs="宋体" w:eastAsia="宋体" w:hint="default"/>
                <w:sz w:val="18"/>
                <w:szCs w:val="18"/>
              </w:rPr>
            </w:pPr>
            <w:r>
              <w:rPr>
                <w:rFonts w:ascii="宋体" w:hAnsi="宋体" w:cs="宋体" w:eastAsia="宋体" w:hint="default"/>
                <w:sz w:val="18"/>
                <w:szCs w:val="18"/>
              </w:rPr>
              <w:t>跨层级法院案件管辖权识别 预警关键技术与协同综合服 务平台应用示范研究</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Arial" w:hAnsi="Arial" w:cs="Arial" w:eastAsia="Arial" w:hint="default"/>
                <w:sz w:val="18"/>
                <w:szCs w:val="18"/>
              </w:rPr>
            </w:pPr>
            <w:r>
              <w:rPr>
                <w:rFonts w:ascii="Arial"/>
                <w:spacing w:val="-1"/>
                <w:sz w:val="18"/>
              </w:rPr>
              <w:t>5,517,200.00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Arial" w:hAnsi="Arial" w:cs="Arial" w:eastAsia="Arial" w:hint="default"/>
                <w:sz w:val="18"/>
                <w:szCs w:val="18"/>
              </w:rPr>
            </w:pPr>
            <w:r>
              <w:rPr>
                <w:rFonts w:ascii="Arial"/>
                <w:spacing w:val="-1"/>
                <w:sz w:val="18"/>
              </w:rPr>
              <w:t>5,517,200.00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02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3"/>
              <w:jc w:val="both"/>
              <w:rPr>
                <w:rFonts w:ascii="宋体" w:hAnsi="宋体" w:cs="宋体" w:eastAsia="宋体" w:hint="default"/>
                <w:sz w:val="18"/>
                <w:szCs w:val="18"/>
              </w:rPr>
            </w:pPr>
            <w:r>
              <w:rPr>
                <w:rFonts w:ascii="宋体" w:hAnsi="宋体" w:cs="宋体" w:eastAsia="宋体" w:hint="default"/>
                <w:sz w:val="18"/>
                <w:szCs w:val="18"/>
              </w:rPr>
              <w:t>跨地域跨层级的委托执行案 件多方协作关键技术及装备 研究</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1,671,600.00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1,671,600.00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3"/>
              <w:jc w:val="left"/>
              <w:rPr>
                <w:rFonts w:ascii="宋体" w:hAnsi="宋体" w:cs="宋体" w:eastAsia="宋体" w:hint="default"/>
                <w:sz w:val="18"/>
                <w:szCs w:val="18"/>
              </w:rPr>
            </w:pPr>
            <w:r>
              <w:rPr>
                <w:rFonts w:ascii="宋体" w:hAnsi="宋体" w:cs="宋体" w:eastAsia="宋体" w:hint="default"/>
                <w:sz w:val="18"/>
                <w:szCs w:val="18"/>
              </w:rPr>
              <w:t>裁判文书公开敏感信息识别 与保护技术研究</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916,000.00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916,000.00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61"/>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2" w:right="0"/>
              <w:jc w:val="left"/>
              <w:rPr>
                <w:rFonts w:ascii="Arial" w:hAnsi="Arial" w:cs="Arial" w:eastAsia="Arial" w:hint="default"/>
                <w:sz w:val="18"/>
                <w:szCs w:val="18"/>
              </w:rPr>
            </w:pPr>
            <w:r>
              <w:rPr>
                <w:rFonts w:ascii="Arial"/>
                <w:sz w:val="18"/>
              </w:rPr>
              <w:t>10,067,350.33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12,610,500.00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Arial" w:hAnsi="Arial" w:cs="Arial" w:eastAsia="Arial" w:hint="default"/>
                <w:sz w:val="18"/>
                <w:szCs w:val="18"/>
              </w:rPr>
            </w:pPr>
            <w:r>
              <w:rPr>
                <w:rFonts w:ascii="Arial"/>
                <w:sz w:val="18"/>
              </w:rPr>
              <w:t>1,269,170.33</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21,408,680.00</w:t>
            </w:r>
          </w:p>
        </w:tc>
        <w:tc>
          <w:tcPr>
            <w:tcW w:w="73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4"/>
        <w:spacing w:line="240" w:lineRule="auto" w:before="34"/>
        <w:ind w:right="996"/>
        <w:jc w:val="left"/>
        <w:rPr>
          <w:b w:val="0"/>
          <w:bCs w:val="0"/>
        </w:rPr>
      </w:pPr>
      <w:bookmarkStart w:name="25、股本" w:id="268"/>
      <w:bookmarkEnd w:id="268"/>
      <w:r>
        <w:rPr>
          <w:b w:val="0"/>
          <w:bCs w:val="0"/>
        </w:rPr>
      </w:r>
      <w:r>
        <w:rPr>
          <w:rFonts w:ascii="Arial" w:hAnsi="Arial" w:cs="Arial" w:eastAsia="Arial" w:hint="default"/>
        </w:rPr>
        <w:t>25</w:t>
      </w:r>
      <w:r>
        <w:rPr/>
        <w:t>、股本</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36"/>
        <w:gridCol w:w="1425"/>
        <w:gridCol w:w="1275"/>
        <w:gridCol w:w="567"/>
        <w:gridCol w:w="1069"/>
        <w:gridCol w:w="1253"/>
        <w:gridCol w:w="1378"/>
        <w:gridCol w:w="1403"/>
      </w:tblGrid>
      <w:tr>
        <w:trPr>
          <w:trHeight w:val="402" w:hRule="exact"/>
        </w:trPr>
        <w:tc>
          <w:tcPr>
            <w:tcW w:w="1236" w:type="dxa"/>
            <w:vMerge w:val="restart"/>
            <w:tcBorders>
              <w:top w:val="single" w:sz="4" w:space="0" w:color="000000"/>
              <w:left w:val="single" w:sz="4" w:space="0" w:color="000000"/>
              <w:right w:val="single" w:sz="4" w:space="0" w:color="000000"/>
            </w:tcBorders>
            <w:shd w:val="clear" w:color="auto" w:fill="D2D2D2"/>
          </w:tcPr>
          <w:p>
            <w:pPr/>
          </w:p>
        </w:tc>
        <w:tc>
          <w:tcPr>
            <w:tcW w:w="14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54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13"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236" w:type="dxa"/>
            <w:vMerge/>
            <w:tcBorders>
              <w:left w:val="single" w:sz="4" w:space="0" w:color="000000"/>
              <w:bottom w:val="single" w:sz="4" w:space="0" w:color="000000"/>
              <w:right w:val="single" w:sz="4" w:space="0" w:color="000000"/>
            </w:tcBorders>
            <w:shd w:val="clear" w:color="auto" w:fill="D2D2D2"/>
          </w:tcPr>
          <w:p>
            <w:pPr/>
          </w:p>
        </w:tc>
        <w:tc>
          <w:tcPr>
            <w:tcW w:w="1425"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4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2" w:right="0"/>
              <w:jc w:val="left"/>
              <w:rPr>
                <w:rFonts w:ascii="Arial" w:hAnsi="Arial" w:cs="Arial" w:eastAsia="Arial" w:hint="default"/>
                <w:sz w:val="18"/>
                <w:szCs w:val="18"/>
              </w:rPr>
            </w:pPr>
            <w:r>
              <w:rPr>
                <w:rFonts w:ascii="Arial"/>
                <w:sz w:val="18"/>
              </w:rPr>
              <w:t>760,681,176.00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2" w:right="0"/>
              <w:jc w:val="left"/>
              <w:rPr>
                <w:rFonts w:ascii="Arial" w:hAnsi="Arial" w:cs="Arial" w:eastAsia="Arial" w:hint="default"/>
                <w:sz w:val="18"/>
                <w:szCs w:val="18"/>
              </w:rPr>
            </w:pPr>
            <w:r>
              <w:rPr>
                <w:rFonts w:ascii="Arial"/>
                <w:sz w:val="18"/>
              </w:rPr>
              <w:t>215,614.00</w:t>
            </w:r>
          </w:p>
        </w:tc>
        <w:tc>
          <w:tcPr>
            <w:tcW w:w="567"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9" w:right="0"/>
              <w:jc w:val="center"/>
              <w:rPr>
                <w:rFonts w:ascii="Arial" w:hAnsi="Arial" w:cs="Arial" w:eastAsia="Arial" w:hint="default"/>
                <w:sz w:val="18"/>
                <w:szCs w:val="18"/>
              </w:rPr>
            </w:pPr>
            <w:r>
              <w:rPr>
                <w:rFonts w:ascii="Arial"/>
                <w:sz w:val="18"/>
              </w:rPr>
              <w:t>-6,405,330.00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7" w:right="0"/>
              <w:jc w:val="left"/>
              <w:rPr>
                <w:rFonts w:ascii="Arial" w:hAnsi="Arial" w:cs="Arial" w:eastAsia="Arial" w:hint="default"/>
                <w:sz w:val="18"/>
                <w:szCs w:val="18"/>
              </w:rPr>
            </w:pPr>
            <w:r>
              <w:rPr>
                <w:rFonts w:ascii="Arial"/>
                <w:sz w:val="18"/>
              </w:rPr>
              <w:t>-6,189,716.00</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8" w:right="0"/>
              <w:jc w:val="left"/>
              <w:rPr>
                <w:rFonts w:ascii="Arial" w:hAnsi="Arial" w:cs="Arial" w:eastAsia="Arial" w:hint="default"/>
                <w:sz w:val="18"/>
                <w:szCs w:val="18"/>
              </w:rPr>
            </w:pPr>
            <w:r>
              <w:rPr>
                <w:rFonts w:ascii="Arial"/>
                <w:sz w:val="18"/>
              </w:rPr>
              <w:t>754,491,460.00</w:t>
            </w:r>
          </w:p>
        </w:tc>
      </w:tr>
    </w:tbl>
    <w:p>
      <w:pPr>
        <w:spacing w:line="240" w:lineRule="auto" w:before="7"/>
        <w:rPr>
          <w:rFonts w:ascii="宋体" w:hAnsi="宋体" w:cs="宋体" w:eastAsia="宋体" w:hint="default"/>
          <w:sz w:val="5"/>
          <w:szCs w:val="5"/>
        </w:rPr>
      </w:pPr>
    </w:p>
    <w:p>
      <w:pPr>
        <w:pStyle w:val="BodyText"/>
        <w:spacing w:line="240" w:lineRule="auto"/>
        <w:ind w:right="996"/>
        <w:jc w:val="left"/>
      </w:pPr>
      <w:r>
        <w:rPr/>
        <w:t>其他说明：</w:t>
      </w:r>
    </w:p>
    <w:p>
      <w:pPr>
        <w:pStyle w:val="BodyText"/>
        <w:spacing w:line="240" w:lineRule="auto" w:before="157"/>
        <w:ind w:left="532" w:right="996"/>
        <w:jc w:val="left"/>
      </w:pPr>
      <w:r>
        <w:rPr/>
        <w:t>股本变动情况详见附注七、</w:t>
      </w:r>
      <w:r>
        <w:rPr>
          <w:rFonts w:ascii="Arial" w:hAnsi="Arial" w:cs="Arial" w:eastAsia="Arial" w:hint="default"/>
        </w:rPr>
        <w:t>26</w:t>
      </w:r>
      <w:r>
        <w:rPr/>
        <w:t>、资本公积。</w:t>
      </w:r>
    </w:p>
    <w:p>
      <w:pPr>
        <w:spacing w:line="240" w:lineRule="auto" w:before="8"/>
        <w:rPr>
          <w:rFonts w:ascii="宋体" w:hAnsi="宋体" w:cs="宋体" w:eastAsia="宋体" w:hint="default"/>
          <w:sz w:val="24"/>
          <w:szCs w:val="24"/>
        </w:rPr>
      </w:pPr>
    </w:p>
    <w:p>
      <w:pPr>
        <w:pStyle w:val="Heading4"/>
        <w:spacing w:line="240" w:lineRule="auto"/>
        <w:ind w:right="996"/>
        <w:jc w:val="left"/>
        <w:rPr>
          <w:b w:val="0"/>
          <w:bCs w:val="0"/>
        </w:rPr>
      </w:pPr>
      <w:bookmarkStart w:name="26、资本公积" w:id="269"/>
      <w:bookmarkEnd w:id="269"/>
      <w:r>
        <w:rPr>
          <w:b w:val="0"/>
          <w:bCs w:val="0"/>
        </w:rPr>
      </w:r>
      <w:r>
        <w:rPr>
          <w:rFonts w:ascii="Arial" w:hAnsi="Arial" w:cs="Arial" w:eastAsia="Arial" w:hint="default"/>
        </w:rPr>
        <w:t>26</w:t>
      </w:r>
      <w:r>
        <w:rPr/>
        <w:t>、资本公积</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1,859,743,753.60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32,590,059.61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13,932,846.70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1,878,400,966.51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2"/>
                <w:sz w:val="18"/>
              </w:rPr>
              <w:t>49,811,866.64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9,727,926.05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38,595,205.38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20,944,587.31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专项拨款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1,000,000.00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1,910,555,620.24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42,317,985.66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52,528,052.08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1,900,345,553.82</w:t>
            </w:r>
          </w:p>
        </w:tc>
      </w:tr>
    </w:tbl>
    <w:p>
      <w:pPr>
        <w:spacing w:line="240" w:lineRule="auto" w:before="5"/>
        <w:rPr>
          <w:rFonts w:ascii="宋体" w:hAnsi="宋体" w:cs="宋体" w:eastAsia="宋体" w:hint="default"/>
          <w:sz w:val="5"/>
          <w:szCs w:val="5"/>
        </w:rPr>
      </w:pPr>
    </w:p>
    <w:p>
      <w:pPr>
        <w:pStyle w:val="BodyText"/>
        <w:spacing w:line="240" w:lineRule="auto"/>
        <w:ind w:right="996"/>
        <w:jc w:val="left"/>
      </w:pPr>
      <w:r>
        <w:rPr/>
        <w:t>其他说明，包括本期增减变动情况、变动原因说明：</w:t>
      </w:r>
    </w:p>
    <w:p>
      <w:pPr>
        <w:pStyle w:val="BodyText"/>
        <w:spacing w:line="240" w:lineRule="auto" w:before="157"/>
        <w:ind w:left="540" w:right="996"/>
        <w:jc w:val="left"/>
      </w:pPr>
      <w:r>
        <w:rPr/>
        <w:t>（</w:t>
      </w:r>
      <w:r>
        <w:rPr>
          <w:rFonts w:ascii="Arial" w:hAnsi="Arial" w:cs="Arial" w:eastAsia="Arial" w:hint="default"/>
        </w:rPr>
        <w:t>1</w:t>
      </w:r>
      <w:r>
        <w:rPr/>
        <w:t>）股本溢价的变动说明：</w:t>
      </w:r>
    </w:p>
    <w:p>
      <w:pPr>
        <w:pStyle w:val="BodyText"/>
        <w:spacing w:line="240" w:lineRule="auto" w:before="142"/>
        <w:ind w:left="540" w:right="996"/>
        <w:jc w:val="left"/>
      </w:pPr>
      <w:r>
        <w:rPr/>
        <w:t>①本公司及集团内公司股票期权激励对象本期行权相应增加股本</w:t>
      </w:r>
      <w:r>
        <w:rPr>
          <w:rFonts w:ascii="Arial" w:hAnsi="Arial" w:cs="Arial" w:eastAsia="Arial" w:hint="default"/>
        </w:rPr>
        <w:t>215,614.00</w:t>
      </w:r>
      <w:r>
        <w:rPr/>
        <w:t>元，增加股本溢价</w:t>
      </w:r>
    </w:p>
    <w:p>
      <w:pPr>
        <w:pStyle w:val="BodyText"/>
        <w:spacing w:line="240" w:lineRule="auto" w:before="22"/>
        <w:ind w:right="996"/>
        <w:jc w:val="left"/>
      </w:pPr>
      <w:r>
        <w:rPr>
          <w:rFonts w:ascii="Arial" w:hAnsi="Arial" w:cs="Arial" w:eastAsia="Arial" w:hint="default"/>
        </w:rPr>
        <w:t>840,894.60</w:t>
      </w:r>
      <w:r>
        <w:rPr/>
        <w:t>元。行权款产生利息</w:t>
      </w:r>
      <w:r>
        <w:rPr>
          <w:rFonts w:ascii="Arial" w:hAnsi="Arial" w:cs="Arial" w:eastAsia="Arial" w:hint="default"/>
        </w:rPr>
        <w:t>470.06</w:t>
      </w:r>
      <w:r>
        <w:rPr/>
        <w:t>元，增加股本溢价</w:t>
      </w:r>
      <w:r>
        <w:rPr>
          <w:rFonts w:ascii="Arial" w:hAnsi="Arial" w:cs="Arial" w:eastAsia="Arial" w:hint="default"/>
        </w:rPr>
        <w:t>470.06</w:t>
      </w:r>
      <w:r>
        <w:rPr/>
        <w:t>元；</w:t>
      </w:r>
    </w:p>
    <w:p>
      <w:pPr>
        <w:pStyle w:val="BodyText"/>
        <w:spacing w:line="273" w:lineRule="auto" w:before="142"/>
        <w:ind w:right="996" w:firstLine="427"/>
        <w:jc w:val="left"/>
      </w:pPr>
      <w:r>
        <w:rPr>
          <w:w w:val="95"/>
        </w:rPr>
        <w:t>②本公司及集团内公司股票期权激励对象本期行权和限制性股票激励对象本期解锁对应的费用，从其</w:t>
      </w:r>
      <w:r>
        <w:rPr>
          <w:w w:val="99"/>
        </w:rPr>
        <w:t> </w:t>
      </w:r>
      <w:r>
        <w:rPr/>
        <w:t>他资本公积转入股本溢价，增加股本溢价</w:t>
      </w:r>
      <w:r>
        <w:rPr>
          <w:rFonts w:ascii="Arial" w:hAnsi="Arial" w:cs="Arial" w:eastAsia="Arial" w:hint="default"/>
        </w:rPr>
        <w:t>26,808,464.76</w:t>
      </w:r>
      <w:r>
        <w:rPr/>
        <w:t>元；</w:t>
      </w:r>
    </w:p>
    <w:p>
      <w:pPr>
        <w:pStyle w:val="BodyText"/>
        <w:spacing w:line="240" w:lineRule="auto" w:before="109"/>
        <w:ind w:left="540" w:right="996"/>
        <w:jc w:val="left"/>
      </w:pPr>
      <w:r>
        <w:rPr/>
        <w:t>③本公司因子公司业绩承诺未达成，分别以</w:t>
      </w:r>
      <w:r>
        <w:rPr>
          <w:rFonts w:ascii="Arial" w:hAnsi="Arial" w:cs="Arial" w:eastAsia="Arial" w:hint="default"/>
        </w:rPr>
        <w:t>1</w:t>
      </w:r>
      <w:r>
        <w:rPr/>
        <w:t>元价格回购陈京念及沧州地铁股票，减少股本</w:t>
      </w:r>
    </w:p>
    <w:p>
      <w:pPr>
        <w:pStyle w:val="BodyText"/>
        <w:spacing w:line="240" w:lineRule="auto" w:before="22"/>
        <w:ind w:right="996"/>
        <w:jc w:val="left"/>
      </w:pPr>
      <w:r>
        <w:rPr>
          <w:rFonts w:ascii="Arial" w:hAnsi="Arial" w:cs="Arial" w:eastAsia="Arial" w:hint="default"/>
        </w:rPr>
        <w:t>4,487,402.00</w:t>
      </w:r>
      <w:r>
        <w:rPr/>
        <w:t>元，增加股本溢价</w:t>
      </w:r>
      <w:r>
        <w:rPr>
          <w:rFonts w:ascii="Arial" w:hAnsi="Arial" w:cs="Arial" w:eastAsia="Arial" w:hint="default"/>
        </w:rPr>
        <w:t>4,487,400.00</w:t>
      </w:r>
      <w:r>
        <w:rPr/>
        <w:t>元；</w:t>
      </w:r>
    </w:p>
    <w:p>
      <w:pPr>
        <w:pStyle w:val="BodyText"/>
        <w:spacing w:line="240" w:lineRule="auto" w:before="142"/>
        <w:ind w:left="540" w:right="996"/>
        <w:jc w:val="left"/>
      </w:pPr>
      <w:r>
        <w:rPr/>
        <w:t>④本公司及集团内公司限制性股票激励对象离职回购限制性股票相应减少股本</w:t>
      </w:r>
      <w:r>
        <w:rPr>
          <w:rFonts w:ascii="Arial" w:hAnsi="Arial" w:cs="Arial" w:eastAsia="Arial" w:hint="default"/>
        </w:rPr>
        <w:t>1,917,928</w:t>
      </w:r>
      <w:r>
        <w:rPr/>
        <w:t>元，减少股</w:t>
      </w:r>
    </w:p>
    <w:p>
      <w:pPr>
        <w:spacing w:after="0" w:line="240" w:lineRule="auto"/>
        <w:jc w:val="left"/>
        <w:sectPr>
          <w:pgSz w:w="11910" w:h="16840"/>
          <w:pgMar w:header="878" w:footer="978" w:top="1100" w:bottom="1160" w:left="1020" w:right="0"/>
        </w:sectPr>
      </w:pPr>
    </w:p>
    <w:p>
      <w:pPr>
        <w:spacing w:line="240" w:lineRule="auto" w:before="12"/>
        <w:rPr>
          <w:rFonts w:ascii="宋体" w:hAnsi="宋体" w:cs="宋体" w:eastAsia="宋体" w:hint="default"/>
          <w:sz w:val="20"/>
          <w:szCs w:val="20"/>
        </w:rPr>
      </w:pPr>
    </w:p>
    <w:p>
      <w:pPr>
        <w:pStyle w:val="BodyText"/>
        <w:spacing w:line="240" w:lineRule="auto"/>
        <w:ind w:right="996"/>
        <w:jc w:val="left"/>
      </w:pPr>
      <w:r>
        <w:rPr/>
        <w:t>票溢价</w:t>
      </w:r>
      <w:r>
        <w:rPr>
          <w:rFonts w:ascii="Arial" w:hAnsi="Arial" w:cs="Arial" w:eastAsia="Arial" w:hint="default"/>
        </w:rPr>
        <w:t>13,926,405.55</w:t>
      </w:r>
      <w:r>
        <w:rPr/>
        <w:t>元；</w:t>
      </w:r>
    </w:p>
    <w:p>
      <w:pPr>
        <w:pStyle w:val="BodyText"/>
        <w:spacing w:line="240" w:lineRule="auto" w:before="142"/>
        <w:ind w:left="540" w:right="996"/>
        <w:jc w:val="left"/>
      </w:pPr>
      <w:r>
        <w:rPr/>
        <w:t>⑤本公司因发行股份相关承销费的税金抵扣，增加股本溢价</w:t>
      </w:r>
      <w:r>
        <w:rPr>
          <w:rFonts w:ascii="Arial" w:hAnsi="Arial" w:cs="Arial" w:eastAsia="Arial" w:hint="default"/>
        </w:rPr>
        <w:t>452,830.19</w:t>
      </w:r>
      <w:r>
        <w:rPr/>
        <w:t>元；</w:t>
      </w:r>
    </w:p>
    <w:p>
      <w:pPr>
        <w:pStyle w:val="BodyText"/>
        <w:spacing w:line="240" w:lineRule="auto" w:before="142"/>
        <w:ind w:left="540" w:right="996"/>
        <w:jc w:val="left"/>
      </w:pPr>
      <w:r>
        <w:rPr/>
        <w:t>⑥上述股份变动事项中，发生验资及登记等费用，减少股本溢价</w:t>
      </w:r>
      <w:r>
        <w:rPr>
          <w:rFonts w:ascii="Arial" w:hAnsi="Arial" w:cs="Arial" w:eastAsia="Arial" w:hint="default"/>
        </w:rPr>
        <w:t>6,441.15</w:t>
      </w:r>
      <w:r>
        <w:rPr/>
        <w:t>元。</w:t>
      </w:r>
    </w:p>
    <w:p>
      <w:pPr>
        <w:pStyle w:val="BodyText"/>
        <w:spacing w:line="240" w:lineRule="auto" w:before="142"/>
        <w:ind w:left="540" w:right="996"/>
        <w:jc w:val="left"/>
      </w:pPr>
      <w:r>
        <w:rPr/>
        <w:t>（</w:t>
      </w:r>
      <w:r>
        <w:rPr>
          <w:rFonts w:ascii="Arial" w:hAnsi="Arial" w:cs="Arial" w:eastAsia="Arial" w:hint="default"/>
        </w:rPr>
        <w:t>2</w:t>
      </w:r>
      <w:r>
        <w:rPr/>
        <w:t>）其他资本公积的变动说明：</w:t>
      </w:r>
    </w:p>
    <w:p>
      <w:pPr>
        <w:pStyle w:val="BodyText"/>
        <w:spacing w:line="273" w:lineRule="auto" w:before="142"/>
        <w:ind w:right="996" w:firstLine="427"/>
        <w:jc w:val="left"/>
      </w:pPr>
      <w:r>
        <w:rPr>
          <w:w w:val="95"/>
        </w:rPr>
        <w:t>①本公司及集团内公司根据权益工具的公允价值和预计可行权数量（含限制性股票及期权），确认成</w:t>
      </w:r>
      <w:r>
        <w:rPr>
          <w:w w:val="99"/>
        </w:rPr>
        <w:t> </w:t>
      </w:r>
      <w:r>
        <w:rPr/>
        <w:t>本费用</w:t>
      </w:r>
      <w:r>
        <w:rPr>
          <w:rFonts w:ascii="Arial" w:hAnsi="Arial" w:cs="Arial" w:eastAsia="Arial" w:hint="default"/>
        </w:rPr>
        <w:t>3,400,654.41</w:t>
      </w:r>
      <w:r>
        <w:rPr/>
        <w:t>元，扣除少数股东权益影响，增加其他资本公积</w:t>
      </w:r>
      <w:r>
        <w:rPr>
          <w:rFonts w:ascii="Arial" w:hAnsi="Arial" w:cs="Arial" w:eastAsia="Arial" w:hint="default"/>
        </w:rPr>
        <w:t>3,495,822.73</w:t>
      </w:r>
      <w:r>
        <w:rPr/>
        <w:t>元；</w:t>
      </w:r>
    </w:p>
    <w:p>
      <w:pPr>
        <w:pStyle w:val="BodyText"/>
        <w:spacing w:line="273" w:lineRule="auto" w:before="109"/>
        <w:ind w:right="996" w:firstLine="427"/>
        <w:jc w:val="left"/>
      </w:pPr>
      <w:r>
        <w:rPr>
          <w:w w:val="95"/>
        </w:rPr>
        <w:t>②本公司按照期权行权和限制性股票解锁实际税前抵扣金额超出相应费用部分对应的所得税金额，增</w:t>
      </w:r>
      <w:r>
        <w:rPr>
          <w:w w:val="99"/>
        </w:rPr>
        <w:t> </w:t>
      </w:r>
      <w:r>
        <w:rPr/>
        <w:t>加其他资本公积</w:t>
      </w:r>
      <w:r>
        <w:rPr>
          <w:rFonts w:ascii="Arial" w:hAnsi="Arial" w:cs="Arial" w:eastAsia="Arial" w:hint="default"/>
        </w:rPr>
        <w:t>4,429,495.45</w:t>
      </w:r>
      <w:r>
        <w:rPr/>
        <w:t>元；</w:t>
      </w:r>
    </w:p>
    <w:p>
      <w:pPr>
        <w:pStyle w:val="BodyText"/>
        <w:spacing w:line="240" w:lineRule="auto" w:before="109"/>
        <w:ind w:left="540" w:right="996"/>
        <w:jc w:val="left"/>
      </w:pPr>
      <w:r>
        <w:rPr/>
        <w:t>③本公司联营企业深圳市捷视飞通科技股份有限公司发生其他权益变动，增加其他资本公积</w:t>
      </w:r>
    </w:p>
    <w:p>
      <w:pPr>
        <w:pStyle w:val="BodyText"/>
        <w:spacing w:line="240" w:lineRule="auto" w:before="37"/>
        <w:ind w:right="996"/>
        <w:jc w:val="left"/>
      </w:pPr>
      <w:r>
        <w:rPr>
          <w:rFonts w:ascii="Arial" w:hAnsi="Arial" w:cs="Arial" w:eastAsia="Arial" w:hint="default"/>
        </w:rPr>
        <w:t>1,302,387.77</w:t>
      </w:r>
      <w:r>
        <w:rPr/>
        <w:t>元；</w:t>
      </w:r>
    </w:p>
    <w:p>
      <w:pPr>
        <w:pStyle w:val="BodyText"/>
        <w:spacing w:line="273" w:lineRule="auto" w:before="142"/>
        <w:ind w:right="996" w:firstLine="427"/>
        <w:jc w:val="left"/>
      </w:pPr>
      <w:r>
        <w:rPr>
          <w:w w:val="95"/>
        </w:rPr>
        <w:t>④本公司按照预计未来期间税前可扣除的金额确认相关股票期权和限制性股票相关递延所得税，减少</w:t>
      </w:r>
      <w:r>
        <w:rPr>
          <w:w w:val="99"/>
        </w:rPr>
        <w:t> </w:t>
      </w:r>
      <w:r>
        <w:rPr/>
        <w:t>其他资本公积</w:t>
      </w:r>
      <w:r>
        <w:rPr>
          <w:rFonts w:ascii="Arial" w:hAnsi="Arial" w:cs="Arial" w:eastAsia="Arial" w:hint="default"/>
        </w:rPr>
        <w:t>1,888,738.23</w:t>
      </w:r>
      <w:r>
        <w:rPr/>
        <w:t>元；</w:t>
      </w:r>
    </w:p>
    <w:p>
      <w:pPr>
        <w:pStyle w:val="BodyText"/>
        <w:spacing w:line="273" w:lineRule="auto" w:before="109"/>
        <w:ind w:right="996" w:firstLine="427"/>
        <w:jc w:val="left"/>
      </w:pPr>
      <w:r>
        <w:rPr>
          <w:w w:val="95"/>
        </w:rPr>
        <w:t>⑤本公司及集团内公司股票期权激励对象本期行权和限制性股票激励对象本期解锁对应的费用，从其</w:t>
      </w:r>
      <w:r>
        <w:rPr>
          <w:w w:val="99"/>
        </w:rPr>
        <w:t> </w:t>
      </w:r>
      <w:r>
        <w:rPr/>
        <w:t>他资本公积转入股本溢价，减少其他资本公积</w:t>
      </w:r>
      <w:r>
        <w:rPr>
          <w:rFonts w:ascii="Arial" w:hAnsi="Arial" w:cs="Arial" w:eastAsia="Arial" w:hint="default"/>
        </w:rPr>
        <w:t>26,808,464.76</w:t>
      </w:r>
      <w:r>
        <w:rPr/>
        <w:t>元；</w:t>
      </w:r>
    </w:p>
    <w:p>
      <w:pPr>
        <w:pStyle w:val="BodyText"/>
        <w:spacing w:line="240" w:lineRule="auto" w:before="109"/>
        <w:ind w:left="540" w:right="996"/>
        <w:jc w:val="left"/>
      </w:pPr>
      <w:r>
        <w:rPr/>
        <w:t>⑥本公司回购陈京念、沧州地铁股票对应的分红款退回，增加其他资本公积</w:t>
      </w:r>
      <w:r>
        <w:rPr>
          <w:rFonts w:ascii="Arial" w:hAnsi="Arial" w:cs="Arial" w:eastAsia="Arial" w:hint="default"/>
        </w:rPr>
        <w:t>500,220.10</w:t>
      </w:r>
      <w:r>
        <w:rPr/>
        <w:t>元；</w:t>
      </w:r>
    </w:p>
    <w:p>
      <w:pPr>
        <w:pStyle w:val="BodyText"/>
        <w:spacing w:line="273" w:lineRule="auto" w:before="142"/>
        <w:ind w:right="996" w:firstLine="427"/>
        <w:jc w:val="left"/>
      </w:pPr>
      <w:r>
        <w:rPr>
          <w:w w:val="95"/>
        </w:rPr>
        <w:t>⑦对联营企业深圳市捷视飞通科技股份有限公司改为财务性投资转为可供出售金融资产核算，转出累</w:t>
      </w:r>
      <w:r>
        <w:rPr>
          <w:w w:val="99"/>
        </w:rPr>
        <w:t> </w:t>
      </w:r>
      <w:r>
        <w:rPr/>
        <w:t>计其他权益变动，减少其他资本公积</w:t>
      </w:r>
      <w:r>
        <w:rPr>
          <w:rFonts w:ascii="Arial" w:hAnsi="Arial" w:cs="Arial" w:eastAsia="Arial" w:hint="default"/>
        </w:rPr>
        <w:t>9,898,002.39</w:t>
      </w:r>
      <w:r>
        <w:rPr/>
        <w:t>元。</w:t>
      </w:r>
    </w:p>
    <w:p>
      <w:pPr>
        <w:spacing w:line="240" w:lineRule="auto" w:before="2"/>
        <w:rPr>
          <w:rFonts w:ascii="宋体" w:hAnsi="宋体" w:cs="宋体" w:eastAsia="宋体" w:hint="default"/>
          <w:sz w:val="22"/>
          <w:szCs w:val="22"/>
        </w:rPr>
      </w:pPr>
    </w:p>
    <w:p>
      <w:pPr>
        <w:pStyle w:val="Heading4"/>
        <w:spacing w:line="240" w:lineRule="auto"/>
        <w:ind w:right="996"/>
        <w:jc w:val="left"/>
        <w:rPr>
          <w:b w:val="0"/>
          <w:bCs w:val="0"/>
        </w:rPr>
      </w:pPr>
      <w:bookmarkStart w:name="27、库存股" w:id="270"/>
      <w:bookmarkEnd w:id="270"/>
      <w:r>
        <w:rPr>
          <w:b w:val="0"/>
          <w:bCs w:val="0"/>
        </w:rPr>
      </w:r>
      <w:r>
        <w:rPr>
          <w:rFonts w:ascii="Arial" w:hAnsi="Arial" w:cs="Arial" w:eastAsia="Arial" w:hint="default"/>
        </w:rPr>
        <w:t>27</w:t>
      </w:r>
      <w:r>
        <w:rPr/>
        <w:t>、库存股</w:t>
      </w:r>
      <w:r>
        <w:rPr>
          <w:b w:val="0"/>
          <w:bCs w:val="0"/>
        </w:rPr>
      </w:r>
    </w:p>
    <w:p>
      <w:pPr>
        <w:spacing w:line="240" w:lineRule="auto" w:before="7"/>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33" w:right="0"/>
              <w:jc w:val="left"/>
              <w:rPr>
                <w:rFonts w:ascii="Arial" w:hAnsi="Arial" w:cs="Arial" w:eastAsia="Arial" w:hint="default"/>
                <w:sz w:val="18"/>
                <w:szCs w:val="18"/>
              </w:rPr>
            </w:pPr>
            <w:r>
              <w:rPr>
                <w:rFonts w:ascii="Arial"/>
                <w:sz w:val="18"/>
              </w:rPr>
              <w:t>245,922,733.22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31" w:right="0"/>
              <w:jc w:val="left"/>
              <w:rPr>
                <w:rFonts w:ascii="Arial" w:hAnsi="Arial" w:cs="Arial" w:eastAsia="Arial" w:hint="default"/>
                <w:sz w:val="18"/>
                <w:szCs w:val="18"/>
              </w:rPr>
            </w:pPr>
            <w:r>
              <w:rPr>
                <w:rFonts w:ascii="Arial"/>
                <w:sz w:val="18"/>
              </w:rPr>
              <w:t>101,535,702.58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30" w:right="0"/>
              <w:jc w:val="left"/>
              <w:rPr>
                <w:rFonts w:ascii="Arial" w:hAnsi="Arial" w:cs="Arial" w:eastAsia="Arial" w:hint="default"/>
                <w:sz w:val="18"/>
                <w:szCs w:val="18"/>
              </w:rPr>
            </w:pPr>
            <w:r>
              <w:rPr>
                <w:rFonts w:ascii="Arial"/>
                <w:sz w:val="18"/>
              </w:rPr>
              <w:t>144,387,030.64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33" w:right="0"/>
              <w:jc w:val="left"/>
              <w:rPr>
                <w:rFonts w:ascii="Arial" w:hAnsi="Arial" w:cs="Arial" w:eastAsia="Arial" w:hint="default"/>
                <w:sz w:val="18"/>
                <w:szCs w:val="18"/>
              </w:rPr>
            </w:pPr>
            <w:r>
              <w:rPr>
                <w:rFonts w:ascii="Arial"/>
                <w:sz w:val="18"/>
              </w:rPr>
              <w:t>245,922,733.22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31" w:right="0"/>
              <w:jc w:val="left"/>
              <w:rPr>
                <w:rFonts w:ascii="Arial" w:hAnsi="Arial" w:cs="Arial" w:eastAsia="Arial" w:hint="default"/>
                <w:sz w:val="18"/>
                <w:szCs w:val="18"/>
              </w:rPr>
            </w:pPr>
            <w:r>
              <w:rPr>
                <w:rFonts w:ascii="Arial"/>
                <w:sz w:val="18"/>
              </w:rPr>
              <w:t>101,535,702.58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30" w:right="0"/>
              <w:jc w:val="left"/>
              <w:rPr>
                <w:rFonts w:ascii="Arial" w:hAnsi="Arial" w:cs="Arial" w:eastAsia="Arial" w:hint="default"/>
                <w:sz w:val="18"/>
                <w:szCs w:val="18"/>
              </w:rPr>
            </w:pPr>
            <w:r>
              <w:rPr>
                <w:rFonts w:ascii="Arial"/>
                <w:sz w:val="18"/>
              </w:rPr>
              <w:t>144,387,030.64</w:t>
            </w:r>
          </w:p>
        </w:tc>
      </w:tr>
    </w:tbl>
    <w:p>
      <w:pPr>
        <w:spacing w:line="240" w:lineRule="auto" w:before="7"/>
        <w:rPr>
          <w:rFonts w:ascii="宋体" w:hAnsi="宋体" w:cs="宋体" w:eastAsia="宋体" w:hint="default"/>
          <w:sz w:val="5"/>
          <w:szCs w:val="5"/>
        </w:rPr>
      </w:pPr>
    </w:p>
    <w:p>
      <w:pPr>
        <w:pStyle w:val="BodyText"/>
        <w:spacing w:line="240" w:lineRule="auto"/>
        <w:ind w:right="996"/>
        <w:jc w:val="left"/>
      </w:pPr>
      <w:r>
        <w:rPr/>
        <w:t>其他说明，包括本期增减变动情况、变动原因说明：</w:t>
      </w:r>
    </w:p>
    <w:p>
      <w:pPr>
        <w:pStyle w:val="BodyText"/>
        <w:spacing w:line="240" w:lineRule="auto" w:before="157"/>
        <w:ind w:left="540" w:right="996"/>
        <w:jc w:val="left"/>
      </w:pPr>
      <w:r>
        <w:rPr/>
        <w:t>①本公司发行的限售性股票解锁影响致库存股减少</w:t>
      </w:r>
      <w:r>
        <w:rPr>
          <w:rFonts w:ascii="Arial" w:hAnsi="Arial" w:cs="Arial" w:eastAsia="Arial" w:hint="default"/>
        </w:rPr>
        <w:t>84,966,680.66</w:t>
      </w:r>
      <w:r>
        <w:rPr/>
        <w:t>元；</w:t>
      </w:r>
    </w:p>
    <w:p>
      <w:pPr>
        <w:pStyle w:val="BodyText"/>
        <w:spacing w:line="240" w:lineRule="auto" w:before="142"/>
        <w:ind w:left="540" w:right="996"/>
        <w:jc w:val="left"/>
      </w:pPr>
      <w:r>
        <w:rPr/>
        <w:t>②本公司发行的限售性股票回购影响致库存股减少</w:t>
      </w:r>
      <w:r>
        <w:rPr>
          <w:rFonts w:ascii="Arial" w:hAnsi="Arial" w:cs="Arial" w:eastAsia="Arial" w:hint="default"/>
        </w:rPr>
        <w:t>15,844,333.55</w:t>
      </w:r>
      <w:r>
        <w:rPr/>
        <w:t>元；</w:t>
      </w:r>
    </w:p>
    <w:p>
      <w:pPr>
        <w:pStyle w:val="BodyText"/>
        <w:spacing w:line="240" w:lineRule="auto" w:before="142"/>
        <w:ind w:left="540" w:right="996"/>
        <w:jc w:val="left"/>
      </w:pPr>
      <w:r>
        <w:rPr/>
        <w:t>③本公司发行的限售性股票解锁股份对应的分红因素影响致库存股减少</w:t>
      </w:r>
      <w:r>
        <w:rPr>
          <w:rFonts w:ascii="Arial" w:hAnsi="Arial" w:cs="Arial" w:eastAsia="Arial" w:hint="default"/>
        </w:rPr>
        <w:t>724,688.37</w:t>
      </w:r>
      <w:r>
        <w:rPr/>
        <w:t>元。</w:t>
      </w:r>
    </w:p>
    <w:p>
      <w:pPr>
        <w:spacing w:line="240" w:lineRule="auto" w:before="8"/>
        <w:rPr>
          <w:rFonts w:ascii="宋体" w:hAnsi="宋体" w:cs="宋体" w:eastAsia="宋体" w:hint="default"/>
          <w:sz w:val="24"/>
          <w:szCs w:val="24"/>
        </w:rPr>
      </w:pPr>
    </w:p>
    <w:p>
      <w:pPr>
        <w:pStyle w:val="Heading4"/>
        <w:spacing w:line="240" w:lineRule="auto"/>
        <w:ind w:right="996"/>
        <w:jc w:val="left"/>
        <w:rPr>
          <w:b w:val="0"/>
          <w:bCs w:val="0"/>
        </w:rPr>
      </w:pPr>
      <w:bookmarkStart w:name="28、盈余公积" w:id="271"/>
      <w:bookmarkEnd w:id="271"/>
      <w:r>
        <w:rPr>
          <w:b w:val="0"/>
          <w:bCs w:val="0"/>
        </w:rPr>
      </w:r>
      <w:r>
        <w:rPr>
          <w:rFonts w:ascii="Arial" w:hAnsi="Arial" w:cs="Arial" w:eastAsia="Arial" w:hint="default"/>
        </w:rPr>
        <w:t>28</w:t>
      </w:r>
      <w:r>
        <w:rPr/>
        <w:t>、盈余公积</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47,257,827.66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16,744,444.73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64,002,272.39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47,257,827.66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16,744,444.73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64,002,272.39</w:t>
            </w:r>
          </w:p>
        </w:tc>
      </w:tr>
    </w:tbl>
    <w:p>
      <w:pPr>
        <w:spacing w:line="240" w:lineRule="auto" w:before="5"/>
        <w:rPr>
          <w:rFonts w:ascii="宋体" w:hAnsi="宋体" w:cs="宋体" w:eastAsia="宋体" w:hint="default"/>
          <w:sz w:val="5"/>
          <w:szCs w:val="5"/>
        </w:rPr>
      </w:pPr>
    </w:p>
    <w:p>
      <w:pPr>
        <w:pStyle w:val="BodyText"/>
        <w:spacing w:line="240" w:lineRule="auto"/>
        <w:ind w:right="996"/>
        <w:jc w:val="left"/>
      </w:pPr>
      <w:r>
        <w:rPr/>
        <w:t>盈余公积说明，包括本期增减变动情况、变动原因说明：</w:t>
      </w:r>
    </w:p>
    <w:p>
      <w:pPr>
        <w:spacing w:after="0" w:line="240" w:lineRule="auto"/>
        <w:jc w:val="left"/>
        <w:sectPr>
          <w:footerReference w:type="default" r:id="rId45"/>
          <w:pgSz w:w="11910" w:h="16840"/>
          <w:pgMar w:footer="978" w:header="878" w:top="1100" w:bottom="1160" w:left="1020" w:right="0"/>
          <w:pgNumType w:start="150"/>
        </w:sectPr>
      </w:pPr>
    </w:p>
    <w:p>
      <w:pPr>
        <w:spacing w:line="240" w:lineRule="auto" w:before="12"/>
        <w:rPr>
          <w:rFonts w:ascii="宋体" w:hAnsi="宋体" w:cs="宋体" w:eastAsia="宋体" w:hint="default"/>
          <w:sz w:val="20"/>
          <w:szCs w:val="20"/>
        </w:rPr>
      </w:pPr>
    </w:p>
    <w:p>
      <w:pPr>
        <w:pStyle w:val="BodyText"/>
        <w:spacing w:line="240" w:lineRule="auto"/>
        <w:ind w:left="540" w:right="996"/>
        <w:jc w:val="left"/>
      </w:pPr>
      <w:r>
        <w:rPr/>
        <w:t>根据公司章程，按税后利润</w:t>
      </w:r>
      <w:r>
        <w:rPr>
          <w:rFonts w:ascii="Arial" w:hAnsi="Arial" w:cs="Arial" w:eastAsia="Arial" w:hint="default"/>
        </w:rPr>
        <w:t>10%</w:t>
      </w:r>
      <w:r>
        <w:rPr/>
        <w:t>计提盈余公积。</w:t>
      </w:r>
    </w:p>
    <w:p>
      <w:pPr>
        <w:spacing w:line="240" w:lineRule="auto" w:before="8"/>
        <w:rPr>
          <w:rFonts w:ascii="宋体" w:hAnsi="宋体" w:cs="宋体" w:eastAsia="宋体" w:hint="default"/>
          <w:sz w:val="24"/>
          <w:szCs w:val="24"/>
        </w:rPr>
      </w:pPr>
    </w:p>
    <w:p>
      <w:pPr>
        <w:pStyle w:val="Heading4"/>
        <w:spacing w:line="240" w:lineRule="auto"/>
        <w:ind w:right="996"/>
        <w:jc w:val="left"/>
        <w:rPr>
          <w:b w:val="0"/>
          <w:bCs w:val="0"/>
        </w:rPr>
      </w:pPr>
      <w:bookmarkStart w:name="29、未分配利润" w:id="272"/>
      <w:bookmarkEnd w:id="272"/>
      <w:r>
        <w:rPr>
          <w:b w:val="0"/>
          <w:bCs w:val="0"/>
        </w:rPr>
      </w:r>
      <w:r>
        <w:rPr>
          <w:rFonts w:ascii="Arial" w:hAnsi="Arial" w:cs="Arial" w:eastAsia="Arial" w:hint="default"/>
        </w:rPr>
        <w:t>29</w:t>
      </w:r>
      <w:r>
        <w:rPr/>
        <w:t>、未分配利润</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Arial" w:hAnsi="Arial" w:cs="Arial" w:eastAsia="Arial" w:hint="default"/>
                <w:sz w:val="18"/>
                <w:szCs w:val="18"/>
              </w:rPr>
            </w:pPr>
            <w:r>
              <w:rPr>
                <w:rFonts w:ascii="Arial"/>
                <w:spacing w:val="-1"/>
                <w:sz w:val="18"/>
              </w:rPr>
              <w:t>1,230,662,871.24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886,077,370.45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Arial" w:hAnsi="Arial" w:cs="Arial" w:eastAsia="Arial" w:hint="default"/>
                <w:sz w:val="18"/>
                <w:szCs w:val="18"/>
              </w:rPr>
            </w:pPr>
            <w:r>
              <w:rPr>
                <w:rFonts w:ascii="Arial"/>
                <w:spacing w:val="-1"/>
                <w:sz w:val="18"/>
              </w:rPr>
              <w:t>1,230,662,871.24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886,077,370.45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497,708,243.20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381,166,148.13</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16,744,444.73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4,369,005.96</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37,929,309.89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Arial" w:hAnsi="Arial" w:cs="Arial" w:eastAsia="Arial" w:hint="default"/>
                <w:sz w:val="18"/>
                <w:szCs w:val="18"/>
              </w:rPr>
            </w:pPr>
            <w:r>
              <w:rPr>
                <w:rFonts w:ascii="Arial"/>
                <w:spacing w:val="-2"/>
                <w:sz w:val="18"/>
              </w:rPr>
              <w:t>32,211,641.38</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Arial" w:hAnsi="Arial" w:cs="Arial" w:eastAsia="Arial" w:hint="default"/>
                <w:sz w:val="18"/>
                <w:szCs w:val="18"/>
              </w:rPr>
            </w:pPr>
            <w:r>
              <w:rPr>
                <w:rFonts w:ascii="Arial"/>
                <w:spacing w:val="-1"/>
                <w:sz w:val="18"/>
              </w:rPr>
              <w:t>1,673,697,359.82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1,230,662,871.24</w:t>
            </w:r>
          </w:p>
        </w:tc>
      </w:tr>
    </w:tbl>
    <w:p>
      <w:pPr>
        <w:spacing w:line="240" w:lineRule="auto" w:before="4"/>
        <w:rPr>
          <w:rFonts w:ascii="宋体" w:hAnsi="宋体" w:cs="宋体" w:eastAsia="宋体" w:hint="default"/>
          <w:sz w:val="19"/>
          <w:szCs w:val="19"/>
        </w:rPr>
      </w:pPr>
    </w:p>
    <w:p>
      <w:pPr>
        <w:pStyle w:val="Heading4"/>
        <w:spacing w:line="240" w:lineRule="auto" w:before="34"/>
        <w:ind w:right="996"/>
        <w:jc w:val="left"/>
        <w:rPr>
          <w:b w:val="0"/>
          <w:bCs w:val="0"/>
        </w:rPr>
      </w:pPr>
      <w:bookmarkStart w:name="30、营业收入和营业成本" w:id="273"/>
      <w:bookmarkEnd w:id="273"/>
      <w:r>
        <w:rPr>
          <w:b w:val="0"/>
          <w:bCs w:val="0"/>
        </w:rPr>
      </w:r>
      <w:r>
        <w:rPr>
          <w:rFonts w:ascii="Arial" w:hAnsi="Arial" w:cs="Arial" w:eastAsia="Arial" w:hint="default"/>
        </w:rPr>
        <w:t>30</w:t>
      </w:r>
      <w:r>
        <w:rPr/>
        <w:t>、营业收入和营业成本</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2,708,496,168.56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1,532,347,397.66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2,338,145,133.75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1,389,187,715.80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2,708,496,168.56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1,532,347,397.66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2,338,145,133.75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1,389,187,715.80</w:t>
            </w:r>
          </w:p>
        </w:tc>
      </w:tr>
    </w:tbl>
    <w:p>
      <w:pPr>
        <w:spacing w:line="240" w:lineRule="auto" w:before="3"/>
        <w:rPr>
          <w:rFonts w:ascii="宋体" w:hAnsi="宋体" w:cs="宋体" w:eastAsia="宋体" w:hint="default"/>
          <w:sz w:val="19"/>
          <w:szCs w:val="19"/>
        </w:rPr>
      </w:pPr>
    </w:p>
    <w:p>
      <w:pPr>
        <w:pStyle w:val="Heading4"/>
        <w:spacing w:line="240" w:lineRule="auto" w:before="34"/>
        <w:ind w:right="996"/>
        <w:jc w:val="left"/>
        <w:rPr>
          <w:b w:val="0"/>
          <w:bCs w:val="0"/>
        </w:rPr>
      </w:pPr>
      <w:bookmarkStart w:name="31、税金及附加" w:id="274"/>
      <w:bookmarkEnd w:id="274"/>
      <w:r>
        <w:rPr>
          <w:b w:val="0"/>
          <w:bCs w:val="0"/>
        </w:rPr>
      </w:r>
      <w:r>
        <w:rPr>
          <w:rFonts w:ascii="Arial" w:hAnsi="Arial" w:cs="Arial" w:eastAsia="Arial" w:hint="default"/>
        </w:rPr>
        <w:t>31</w:t>
      </w:r>
      <w:r>
        <w:rPr/>
        <w:t>、税金及附加</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12,561,307.48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2"/>
                <w:sz w:val="18"/>
              </w:rPr>
              <w:t>11,861,065.20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9,206,949.44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8,790,589.85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1,808,481.67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1,770,808.40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74,349.84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71,897.52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38,210.00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53,300.00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2,058,046.55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2,428,974.04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29,557.35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31,909.26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25,776,902.33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25,008,544.27</w:t>
            </w:r>
          </w:p>
        </w:tc>
      </w:tr>
    </w:tbl>
    <w:p>
      <w:pPr>
        <w:spacing w:line="240" w:lineRule="auto" w:before="6"/>
        <w:rPr>
          <w:rFonts w:ascii="宋体" w:hAnsi="宋体" w:cs="宋体" w:eastAsia="宋体" w:hint="default"/>
          <w:sz w:val="5"/>
          <w:szCs w:val="5"/>
        </w:rPr>
      </w:pPr>
    </w:p>
    <w:p>
      <w:pPr>
        <w:pStyle w:val="BodyText"/>
        <w:spacing w:line="240" w:lineRule="auto"/>
        <w:ind w:right="996"/>
        <w:jc w:val="left"/>
      </w:pPr>
      <w:r>
        <w:rPr/>
        <w:t>其他说明：</w:t>
      </w:r>
    </w:p>
    <w:p>
      <w:pPr>
        <w:pStyle w:val="BodyText"/>
        <w:spacing w:line="240" w:lineRule="auto" w:before="157"/>
        <w:ind w:left="540" w:right="996"/>
        <w:jc w:val="left"/>
      </w:pPr>
      <w:r>
        <w:rPr/>
        <w:t>各项税金及附加的计缴标准见附注六、税项。</w:t>
      </w:r>
    </w:p>
    <w:p>
      <w:pPr>
        <w:spacing w:after="0" w:line="240" w:lineRule="auto"/>
        <w:jc w:val="left"/>
        <w:sectPr>
          <w:pgSz w:w="11910" w:h="16840"/>
          <w:pgMar w:header="878" w:footer="978" w:top="1100" w:bottom="1160" w:left="1020" w:right="0"/>
        </w:sectPr>
      </w:pPr>
    </w:p>
    <w:p>
      <w:pPr>
        <w:spacing w:line="240" w:lineRule="auto" w:before="12"/>
        <w:rPr>
          <w:rFonts w:ascii="宋体" w:hAnsi="宋体" w:cs="宋体" w:eastAsia="宋体" w:hint="default"/>
          <w:sz w:val="20"/>
          <w:szCs w:val="20"/>
        </w:rPr>
      </w:pPr>
    </w:p>
    <w:p>
      <w:pPr>
        <w:pStyle w:val="Heading4"/>
        <w:spacing w:line="240" w:lineRule="auto" w:before="34"/>
        <w:ind w:right="996"/>
        <w:jc w:val="left"/>
        <w:rPr>
          <w:b w:val="0"/>
          <w:bCs w:val="0"/>
        </w:rPr>
      </w:pPr>
      <w:bookmarkStart w:name="32、销售费用" w:id="275"/>
      <w:bookmarkEnd w:id="275"/>
      <w:r>
        <w:rPr>
          <w:b w:val="0"/>
          <w:bCs w:val="0"/>
        </w:rPr>
      </w:r>
      <w:r>
        <w:rPr>
          <w:rFonts w:ascii="Arial" w:hAnsi="Arial" w:cs="Arial" w:eastAsia="Arial" w:hint="default"/>
        </w:rPr>
        <w:t>32</w:t>
      </w:r>
      <w:r>
        <w:rPr/>
        <w:t>、销售费用</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92,400,854.02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47,277,388.86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办公场所费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7,901,339.36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3,277,028.99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1,359,089.54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760,920.04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差旅运杂劳务费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35,618,190.12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29,500,964.53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15,846,341.88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12,534,537.51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27,305,034.59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23,433,960.49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2"/>
                <w:sz w:val="18"/>
              </w:rPr>
              <w:t>6,812,116.44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3,338,505.29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投标费用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2"/>
                <w:sz w:val="18"/>
              </w:rPr>
              <w:t>11,692,547.61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10,397,050.86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198,935,513.56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130,520,356.57</w:t>
            </w:r>
          </w:p>
        </w:tc>
      </w:tr>
    </w:tbl>
    <w:p>
      <w:pPr>
        <w:spacing w:line="240" w:lineRule="auto" w:before="3"/>
        <w:rPr>
          <w:rFonts w:ascii="宋体" w:hAnsi="宋体" w:cs="宋体" w:eastAsia="宋体" w:hint="default"/>
          <w:sz w:val="19"/>
          <w:szCs w:val="19"/>
        </w:rPr>
      </w:pPr>
    </w:p>
    <w:p>
      <w:pPr>
        <w:pStyle w:val="Heading4"/>
        <w:spacing w:line="240" w:lineRule="auto" w:before="34"/>
        <w:ind w:right="996"/>
        <w:jc w:val="left"/>
        <w:rPr>
          <w:b w:val="0"/>
          <w:bCs w:val="0"/>
        </w:rPr>
      </w:pPr>
      <w:bookmarkStart w:name="33、管理费用" w:id="276"/>
      <w:bookmarkEnd w:id="276"/>
      <w:r>
        <w:rPr>
          <w:b w:val="0"/>
          <w:bCs w:val="0"/>
        </w:rPr>
      </w:r>
      <w:r>
        <w:rPr>
          <w:rFonts w:ascii="Arial" w:hAnsi="Arial" w:cs="Arial" w:eastAsia="Arial" w:hint="default"/>
        </w:rPr>
        <w:t>33</w:t>
      </w:r>
      <w:r>
        <w:rPr/>
        <w:t>、管理费用</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2"/>
                <w:sz w:val="18"/>
              </w:rPr>
              <w:t>95,648,112.51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64,123,175.64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办公场所费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15,645,621.64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2"/>
                <w:sz w:val="18"/>
              </w:rPr>
              <w:t>11,892,778.86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77,758,549.71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9,328,161.18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差旅运杂劳务费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20,146,026.68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19,326,412.38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20,279,156.62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23,862,870.31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18,617,429.95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23,278,777.23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会议咨询费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12,006,921.97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14,082,904.88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日常维护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41,888,039.80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60,567,858.44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3,400,654.41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19,610,570.57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305,390,513.29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246,073,509.49</w:t>
            </w:r>
          </w:p>
        </w:tc>
      </w:tr>
    </w:tbl>
    <w:p>
      <w:pPr>
        <w:spacing w:line="240" w:lineRule="auto" w:before="3"/>
        <w:rPr>
          <w:rFonts w:ascii="宋体" w:hAnsi="宋体" w:cs="宋体" w:eastAsia="宋体" w:hint="default"/>
          <w:sz w:val="19"/>
          <w:szCs w:val="19"/>
        </w:rPr>
      </w:pPr>
    </w:p>
    <w:p>
      <w:pPr>
        <w:pStyle w:val="Heading4"/>
        <w:spacing w:line="240" w:lineRule="auto" w:before="34"/>
        <w:ind w:right="996"/>
        <w:jc w:val="left"/>
        <w:rPr>
          <w:b w:val="0"/>
          <w:bCs w:val="0"/>
        </w:rPr>
      </w:pPr>
      <w:bookmarkStart w:name="34、研发费用" w:id="277"/>
      <w:bookmarkEnd w:id="277"/>
      <w:r>
        <w:rPr>
          <w:b w:val="0"/>
          <w:bCs w:val="0"/>
        </w:rPr>
      </w:r>
      <w:r>
        <w:rPr>
          <w:rFonts w:ascii="Arial" w:hAnsi="Arial" w:cs="Arial" w:eastAsia="Arial" w:hint="default"/>
        </w:rPr>
        <w:t>34</w:t>
      </w:r>
      <w:r>
        <w:rPr/>
        <w:t>、研发费用</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137,144,033.93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2"/>
                <w:sz w:val="18"/>
              </w:rPr>
              <w:t>114,088,125.50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办公场所费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10,504,437.26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2"/>
                <w:sz w:val="18"/>
              </w:rPr>
              <w:t>11,462,322.82</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8,661,268.59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5,972,643.91</w:t>
            </w:r>
          </w:p>
        </w:tc>
      </w:tr>
    </w:tbl>
    <w:p>
      <w:pPr>
        <w:spacing w:after="0" w:line="240" w:lineRule="auto"/>
        <w:jc w:val="right"/>
        <w:rPr>
          <w:rFonts w:ascii="Arial" w:hAnsi="Arial" w:cs="Arial" w:eastAsia="Arial" w:hint="default"/>
          <w:sz w:val="18"/>
          <w:szCs w:val="18"/>
        </w:rPr>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差旅运杂劳务费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2"/>
                <w:sz w:val="18"/>
              </w:rPr>
              <w:t>65,115,721.43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67,054,957.09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13,552,334.64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2"/>
                <w:sz w:val="18"/>
              </w:rPr>
              <w:t>11,563,875.43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会议咨询费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1,012,893.82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1,635,995.53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235,990,689.67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2"/>
                <w:sz w:val="18"/>
              </w:rPr>
              <w:t>211,777,920.28</w:t>
            </w:r>
          </w:p>
        </w:tc>
      </w:tr>
    </w:tbl>
    <w:p>
      <w:pPr>
        <w:spacing w:line="240" w:lineRule="auto" w:before="3"/>
        <w:rPr>
          <w:rFonts w:ascii="宋体" w:hAnsi="宋体" w:cs="宋体" w:eastAsia="宋体" w:hint="default"/>
          <w:sz w:val="19"/>
          <w:szCs w:val="19"/>
        </w:rPr>
      </w:pPr>
    </w:p>
    <w:p>
      <w:pPr>
        <w:pStyle w:val="Heading4"/>
        <w:spacing w:line="240" w:lineRule="auto" w:before="34"/>
        <w:ind w:right="996"/>
        <w:jc w:val="left"/>
        <w:rPr>
          <w:b w:val="0"/>
          <w:bCs w:val="0"/>
        </w:rPr>
      </w:pPr>
      <w:bookmarkStart w:name="35、财务费用" w:id="278"/>
      <w:bookmarkEnd w:id="278"/>
      <w:r>
        <w:rPr>
          <w:b w:val="0"/>
          <w:bCs w:val="0"/>
        </w:rPr>
      </w:r>
      <w:r>
        <w:rPr>
          <w:rFonts w:ascii="Arial" w:hAnsi="Arial" w:cs="Arial" w:eastAsia="Arial" w:hint="default"/>
        </w:rPr>
        <w:t>35</w:t>
      </w:r>
      <w:r>
        <w:rPr/>
        <w:t>、财务费用</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1,965,030.19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1,375,707.61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9,051,244.54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9,499,440.75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473,132.64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474,608.10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-6,613,081.71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Arial" w:hAnsi="Arial" w:cs="Arial" w:eastAsia="Arial" w:hint="default"/>
                <w:sz w:val="18"/>
                <w:szCs w:val="18"/>
              </w:rPr>
            </w:pPr>
            <w:r>
              <w:rPr>
                <w:rFonts w:ascii="Arial"/>
                <w:spacing w:val="-1"/>
                <w:sz w:val="18"/>
              </w:rPr>
              <w:t>-7,649,125.04</w:t>
            </w:r>
          </w:p>
        </w:tc>
      </w:tr>
    </w:tbl>
    <w:p>
      <w:pPr>
        <w:spacing w:line="240" w:lineRule="auto" w:before="4"/>
        <w:rPr>
          <w:rFonts w:ascii="宋体" w:hAnsi="宋体" w:cs="宋体" w:eastAsia="宋体" w:hint="default"/>
          <w:sz w:val="19"/>
          <w:szCs w:val="19"/>
        </w:rPr>
      </w:pPr>
    </w:p>
    <w:p>
      <w:pPr>
        <w:pStyle w:val="Heading4"/>
        <w:spacing w:line="240" w:lineRule="auto" w:before="34"/>
        <w:ind w:right="996"/>
        <w:jc w:val="left"/>
        <w:rPr>
          <w:b w:val="0"/>
          <w:bCs w:val="0"/>
        </w:rPr>
      </w:pPr>
      <w:bookmarkStart w:name="36、资产减值损失" w:id="279"/>
      <w:bookmarkEnd w:id="279"/>
      <w:r>
        <w:rPr>
          <w:b w:val="0"/>
          <w:bCs w:val="0"/>
        </w:rPr>
      </w:r>
      <w:r>
        <w:rPr>
          <w:rFonts w:ascii="Arial" w:hAnsi="Arial" w:cs="Arial" w:eastAsia="Arial" w:hint="default"/>
        </w:rPr>
        <w:t>36</w:t>
      </w:r>
      <w:r>
        <w:rPr/>
        <w:t>、资产减值损失</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21,286,419.77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17,780,429.06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21,286,419.77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17,780,429.06</w:t>
            </w:r>
          </w:p>
        </w:tc>
      </w:tr>
    </w:tbl>
    <w:p>
      <w:pPr>
        <w:spacing w:line="240" w:lineRule="auto" w:before="3"/>
        <w:rPr>
          <w:rFonts w:ascii="宋体" w:hAnsi="宋体" w:cs="宋体" w:eastAsia="宋体" w:hint="default"/>
          <w:sz w:val="19"/>
          <w:szCs w:val="19"/>
        </w:rPr>
      </w:pPr>
    </w:p>
    <w:p>
      <w:pPr>
        <w:pStyle w:val="Heading4"/>
        <w:spacing w:line="240" w:lineRule="auto" w:before="34"/>
        <w:ind w:right="996"/>
        <w:jc w:val="left"/>
        <w:rPr>
          <w:b w:val="0"/>
          <w:bCs w:val="0"/>
        </w:rPr>
      </w:pPr>
      <w:bookmarkStart w:name="37、其他收益" w:id="280"/>
      <w:bookmarkEnd w:id="280"/>
      <w:r>
        <w:rPr>
          <w:b w:val="0"/>
          <w:bCs w:val="0"/>
        </w:rPr>
      </w:r>
      <w:r>
        <w:rPr>
          <w:rFonts w:ascii="Arial" w:hAnsi="Arial" w:cs="Arial" w:eastAsia="Arial" w:hint="default"/>
        </w:rPr>
        <w:t>37</w:t>
      </w:r>
      <w:r>
        <w:rPr/>
        <w:t>、其他收益</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8"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95,290,037.54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78,499,256.03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14,201,747.37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15,815,965.30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787,304.33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1,270,454.70</w:t>
            </w:r>
          </w:p>
        </w:tc>
      </w:tr>
    </w:tbl>
    <w:p>
      <w:pPr>
        <w:spacing w:line="240" w:lineRule="auto" w:before="6"/>
        <w:rPr>
          <w:rFonts w:ascii="宋体" w:hAnsi="宋体" w:cs="宋体" w:eastAsia="宋体" w:hint="default"/>
          <w:sz w:val="5"/>
          <w:szCs w:val="5"/>
        </w:rPr>
      </w:pPr>
    </w:p>
    <w:p>
      <w:pPr>
        <w:pStyle w:val="BodyText"/>
        <w:spacing w:line="240" w:lineRule="auto"/>
        <w:ind w:right="996"/>
        <w:jc w:val="left"/>
      </w:pPr>
      <w:r>
        <w:rPr/>
        <w:t>其他说明：</w:t>
      </w:r>
    </w:p>
    <w:p>
      <w:pPr>
        <w:pStyle w:val="BodyText"/>
        <w:spacing w:line="240" w:lineRule="auto" w:before="157"/>
        <w:ind w:left="540" w:right="996"/>
        <w:jc w:val="left"/>
      </w:pPr>
      <w:r>
        <w:rPr/>
        <w:t>政府补助的具体信息，详见附注七、</w:t>
      </w:r>
      <w:r>
        <w:rPr>
          <w:rFonts w:ascii="Arial" w:hAnsi="Arial" w:cs="Arial" w:eastAsia="Arial" w:hint="default"/>
        </w:rPr>
        <w:t>46</w:t>
      </w:r>
      <w:r>
        <w:rPr/>
        <w:t>、政府补助。</w:t>
      </w:r>
    </w:p>
    <w:p>
      <w:pPr>
        <w:spacing w:line="240" w:lineRule="auto" w:before="8"/>
        <w:rPr>
          <w:rFonts w:ascii="宋体" w:hAnsi="宋体" w:cs="宋体" w:eastAsia="宋体" w:hint="default"/>
          <w:sz w:val="24"/>
          <w:szCs w:val="24"/>
        </w:rPr>
      </w:pPr>
    </w:p>
    <w:p>
      <w:pPr>
        <w:pStyle w:val="Heading4"/>
        <w:spacing w:line="240" w:lineRule="auto"/>
        <w:ind w:right="996"/>
        <w:jc w:val="left"/>
        <w:rPr>
          <w:b w:val="0"/>
          <w:bCs w:val="0"/>
        </w:rPr>
      </w:pPr>
      <w:bookmarkStart w:name="38、投资收益" w:id="281"/>
      <w:bookmarkEnd w:id="281"/>
      <w:r>
        <w:rPr>
          <w:b w:val="0"/>
          <w:bCs w:val="0"/>
        </w:rPr>
      </w:r>
      <w:r>
        <w:rPr>
          <w:rFonts w:ascii="Arial" w:hAnsi="Arial" w:cs="Arial" w:eastAsia="Arial" w:hint="default"/>
        </w:rPr>
        <w:t>38</w:t>
      </w:r>
      <w:r>
        <w:rPr/>
        <w:t>、投资收益</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820"/>
        <w:gridCol w:w="2374"/>
        <w:gridCol w:w="2374"/>
      </w:tblGrid>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31" w:right="0"/>
              <w:jc w:val="left"/>
              <w:rPr>
                <w:rFonts w:ascii="Arial" w:hAnsi="Arial" w:cs="Arial" w:eastAsia="Arial" w:hint="default"/>
                <w:sz w:val="18"/>
                <w:szCs w:val="18"/>
              </w:rPr>
            </w:pPr>
            <w:r>
              <w:rPr>
                <w:rFonts w:ascii="Arial"/>
                <w:sz w:val="18"/>
              </w:rPr>
              <w:t>-2,392,479.08</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877,182.63</w:t>
            </w:r>
          </w:p>
        </w:tc>
      </w:tr>
      <w:tr>
        <w:trPr>
          <w:trHeight w:val="400"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374" w:type="dxa"/>
            <w:tcBorders>
              <w:top w:val="single" w:sz="4" w:space="0" w:color="000000"/>
              <w:left w:val="single" w:sz="4" w:space="0" w:color="000000"/>
              <w:bottom w:val="single" w:sz="4" w:space="0" w:color="000000"/>
              <w:right w:val="single" w:sz="4" w:space="0" w:color="000000"/>
            </w:tcBorders>
          </w:tcPr>
          <w:p>
            <w:pP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468,837.53</w:t>
            </w:r>
          </w:p>
        </w:tc>
      </w:tr>
    </w:tbl>
    <w:p>
      <w:pPr>
        <w:spacing w:after="0" w:line="240" w:lineRule="auto"/>
        <w:jc w:val="right"/>
        <w:rPr>
          <w:rFonts w:ascii="Arial" w:hAnsi="Arial" w:cs="Arial" w:eastAsia="Arial" w:hint="default"/>
          <w:sz w:val="18"/>
          <w:szCs w:val="18"/>
        </w:rPr>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4820"/>
        <w:gridCol w:w="2374"/>
        <w:gridCol w:w="2374"/>
      </w:tblGrid>
      <w:tr>
        <w:trPr>
          <w:trHeight w:val="402"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长期股权投资转为可供出售金融资产产生的投资收益</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38,834,507.09</w:t>
            </w:r>
          </w:p>
        </w:tc>
        <w:tc>
          <w:tcPr>
            <w:tcW w:w="23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36,442,028.01</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91" w:right="0"/>
              <w:jc w:val="left"/>
              <w:rPr>
                <w:rFonts w:ascii="Arial" w:hAnsi="Arial" w:cs="Arial" w:eastAsia="Arial" w:hint="default"/>
                <w:sz w:val="18"/>
                <w:szCs w:val="18"/>
              </w:rPr>
            </w:pPr>
            <w:r>
              <w:rPr>
                <w:rFonts w:ascii="Arial"/>
                <w:sz w:val="18"/>
              </w:rPr>
              <w:t>1,346,020.16</w:t>
            </w:r>
          </w:p>
        </w:tc>
      </w:tr>
    </w:tbl>
    <w:p>
      <w:pPr>
        <w:spacing w:line="240" w:lineRule="auto" w:before="6"/>
        <w:rPr>
          <w:rFonts w:ascii="宋体" w:hAnsi="宋体" w:cs="宋体" w:eastAsia="宋体" w:hint="default"/>
          <w:sz w:val="5"/>
          <w:szCs w:val="5"/>
        </w:rPr>
      </w:pPr>
    </w:p>
    <w:p>
      <w:pPr>
        <w:pStyle w:val="BodyText"/>
        <w:spacing w:line="240" w:lineRule="auto"/>
        <w:ind w:right="996"/>
        <w:jc w:val="left"/>
      </w:pPr>
      <w:r>
        <w:rPr/>
        <w:t>其他说明：</w:t>
      </w:r>
    </w:p>
    <w:p>
      <w:pPr>
        <w:pStyle w:val="BodyText"/>
        <w:spacing w:line="261" w:lineRule="auto" w:before="157"/>
        <w:ind w:right="1134" w:firstLine="427"/>
        <w:jc w:val="left"/>
      </w:pPr>
      <w:r>
        <w:rPr>
          <w:w w:val="95"/>
        </w:rPr>
        <w:t>公司由于对深圳市捷视飞通科技股份有限公司的投资失去重大影响，因而对其按权益法核算的长期股</w:t>
      </w:r>
      <w:r>
        <w:rPr>
          <w:w w:val="99"/>
        </w:rPr>
        <w:t> </w:t>
      </w:r>
      <w:r>
        <w:rPr>
          <w:spacing w:val="-1"/>
          <w:w w:val="95"/>
        </w:rPr>
        <w:t>权投资转为可供出售金融资产核算。第一步：调整其他权益变动增加资本公积</w:t>
      </w:r>
      <w:r>
        <w:rPr>
          <w:rFonts w:ascii="Arial" w:hAnsi="Arial" w:cs="Arial" w:eastAsia="Arial" w:hint="default"/>
          <w:spacing w:val="-1"/>
          <w:w w:val="95"/>
        </w:rPr>
        <w:t>-</w:t>
      </w:r>
      <w:r>
        <w:rPr>
          <w:spacing w:val="-1"/>
          <w:w w:val="95"/>
        </w:rPr>
        <w:t>其他资本公积</w:t>
      </w:r>
      <w:r>
        <w:rPr>
          <w:rFonts w:ascii="Arial" w:hAnsi="Arial" w:cs="Arial" w:eastAsia="Arial" w:hint="default"/>
          <w:spacing w:val="-1"/>
          <w:w w:val="95"/>
        </w:rPr>
        <w:t>1,302,387.77</w:t>
      </w:r>
      <w:r>
        <w:rPr>
          <w:rFonts w:ascii="Arial" w:hAnsi="Arial" w:cs="Arial" w:eastAsia="Arial" w:hint="default"/>
          <w:spacing w:val="12"/>
          <w:w w:val="95"/>
        </w:rPr>
        <w:t> </w:t>
      </w:r>
      <w:r>
        <w:rPr>
          <w:rFonts w:ascii="Arial" w:hAnsi="Arial" w:cs="Arial" w:eastAsia="Arial" w:hint="default"/>
          <w:spacing w:val="12"/>
          <w:w w:val="95"/>
        </w:rPr>
      </w:r>
      <w:r>
        <w:rPr>
          <w:spacing w:val="-2"/>
        </w:rPr>
        <w:t>元，第二步：按权益法确认截止</w:t>
      </w:r>
      <w:r>
        <w:rPr>
          <w:rFonts w:ascii="Arial" w:hAnsi="Arial" w:cs="Arial" w:eastAsia="Arial" w:hint="default"/>
          <w:spacing w:val="-2"/>
        </w:rPr>
        <w:t>2018</w:t>
      </w:r>
      <w:r>
        <w:rPr>
          <w:spacing w:val="-2"/>
        </w:rPr>
        <w:t>年</w:t>
      </w:r>
      <w:r>
        <w:rPr>
          <w:rFonts w:ascii="Arial" w:hAnsi="Arial" w:cs="Arial" w:eastAsia="Arial" w:hint="default"/>
          <w:spacing w:val="-2"/>
        </w:rPr>
        <w:t>5</w:t>
      </w:r>
      <w:r>
        <w:rPr>
          <w:spacing w:val="-2"/>
        </w:rPr>
        <w:t>月的投资益</w:t>
      </w:r>
      <w:r>
        <w:rPr>
          <w:rFonts w:ascii="Arial" w:hAnsi="Arial" w:cs="Arial" w:eastAsia="Arial" w:hint="default"/>
          <w:spacing w:val="-2"/>
        </w:rPr>
        <w:t>-2,392,479.08</w:t>
      </w:r>
      <w:r>
        <w:rPr>
          <w:spacing w:val="-2"/>
        </w:rPr>
        <w:t>元，第三步：将资本公积</w:t>
      </w:r>
      <w:r>
        <w:rPr>
          <w:rFonts w:ascii="Arial" w:hAnsi="Arial" w:cs="Arial" w:eastAsia="Arial" w:hint="default"/>
          <w:spacing w:val="-2"/>
        </w:rPr>
        <w:t>-</w:t>
      </w:r>
      <w:r>
        <w:rPr>
          <w:spacing w:val="-2"/>
        </w:rPr>
        <w:t>其他资本公积</w:t>
      </w:r>
      <w:r>
        <w:rPr>
          <w:spacing w:val="-103"/>
        </w:rPr>
        <w:t> </w:t>
      </w:r>
      <w:r>
        <w:rPr>
          <w:spacing w:val="-103"/>
        </w:rPr>
      </w:r>
      <w:r>
        <w:rPr/>
        <w:t>转入投资收益</w:t>
      </w:r>
      <w:r>
        <w:rPr>
          <w:rFonts w:ascii="Arial" w:hAnsi="Arial" w:cs="Arial" w:eastAsia="Arial" w:hint="default"/>
        </w:rPr>
        <w:t>9,898,002.39</w:t>
      </w:r>
      <w:r>
        <w:rPr/>
        <w:t>元，第四步：确认可供出售金融资产</w:t>
      </w:r>
      <w:r>
        <w:rPr>
          <w:rFonts w:ascii="Arial" w:hAnsi="Arial" w:cs="Arial" w:eastAsia="Arial" w:hint="default"/>
        </w:rPr>
        <w:t>7,200</w:t>
      </w:r>
      <w:r>
        <w:rPr/>
        <w:t>万元，按长期股权投资的账面价值</w:t>
      </w:r>
      <w:r>
        <w:rPr>
          <w:w w:val="99"/>
        </w:rPr>
        <w:t> </w:t>
      </w:r>
      <w:r>
        <w:rPr>
          <w:rFonts w:ascii="Arial" w:hAnsi="Arial" w:cs="Arial" w:eastAsia="Arial" w:hint="default"/>
        </w:rPr>
        <w:t>43,063,495.30</w:t>
      </w:r>
      <w:r>
        <w:rPr/>
        <w:t>元与可供出售金融资产确认金额的差异确认投资收益</w:t>
      </w:r>
      <w:r>
        <w:rPr>
          <w:rFonts w:ascii="Arial" w:hAnsi="Arial" w:cs="Arial" w:eastAsia="Arial" w:hint="default"/>
        </w:rPr>
        <w:t>28,936,504.70</w:t>
      </w:r>
      <w:r>
        <w:rPr/>
        <w:t>元。</w:t>
      </w:r>
    </w:p>
    <w:p>
      <w:pPr>
        <w:spacing w:line="240" w:lineRule="auto" w:before="0"/>
        <w:rPr>
          <w:rFonts w:ascii="宋体" w:hAnsi="宋体" w:cs="宋体" w:eastAsia="宋体" w:hint="default"/>
          <w:sz w:val="23"/>
          <w:szCs w:val="23"/>
        </w:rPr>
      </w:pPr>
    </w:p>
    <w:p>
      <w:pPr>
        <w:pStyle w:val="Heading4"/>
        <w:spacing w:line="240" w:lineRule="auto"/>
        <w:ind w:right="996"/>
        <w:jc w:val="left"/>
        <w:rPr>
          <w:b w:val="0"/>
          <w:bCs w:val="0"/>
        </w:rPr>
      </w:pPr>
      <w:bookmarkStart w:name="39、资产处置收益" w:id="282"/>
      <w:bookmarkEnd w:id="282"/>
      <w:r>
        <w:rPr>
          <w:b w:val="0"/>
          <w:bCs w:val="0"/>
        </w:rPr>
      </w:r>
      <w:r>
        <w:rPr>
          <w:rFonts w:ascii="Arial" w:hAnsi="Arial" w:cs="Arial" w:eastAsia="Arial" w:hint="default"/>
        </w:rPr>
        <w:t>39</w:t>
      </w:r>
      <w:r>
        <w:rPr/>
        <w:t>、资产处置收益</w:t>
      </w:r>
      <w:r>
        <w:rPr>
          <w:b w:val="0"/>
          <w:bCs w:val="0"/>
        </w:rPr>
      </w:r>
    </w:p>
    <w:p>
      <w:pPr>
        <w:spacing w:line="240" w:lineRule="auto" w:before="7"/>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-352,513.73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-63,471.66</w:t>
            </w:r>
          </w:p>
        </w:tc>
      </w:tr>
    </w:tbl>
    <w:p>
      <w:pPr>
        <w:spacing w:line="240" w:lineRule="auto" w:before="5"/>
        <w:rPr>
          <w:rFonts w:ascii="宋体" w:hAnsi="宋体" w:cs="宋体" w:eastAsia="宋体" w:hint="default"/>
          <w:sz w:val="19"/>
          <w:szCs w:val="19"/>
        </w:rPr>
      </w:pPr>
    </w:p>
    <w:p>
      <w:pPr>
        <w:pStyle w:val="Heading4"/>
        <w:spacing w:line="240" w:lineRule="auto" w:before="34"/>
        <w:ind w:right="996"/>
        <w:jc w:val="left"/>
        <w:rPr>
          <w:b w:val="0"/>
          <w:bCs w:val="0"/>
        </w:rPr>
      </w:pPr>
      <w:bookmarkStart w:name="40、营业外收入" w:id="283"/>
      <w:bookmarkEnd w:id="283"/>
      <w:r>
        <w:rPr>
          <w:b w:val="0"/>
          <w:bCs w:val="0"/>
        </w:rPr>
      </w:r>
      <w:r>
        <w:rPr>
          <w:rFonts w:ascii="Arial" w:hAnsi="Arial" w:cs="Arial" w:eastAsia="Arial" w:hint="default"/>
        </w:rPr>
        <w:t>40</w:t>
      </w:r>
      <w:r>
        <w:rPr/>
        <w:t>、营业外收入</w:t>
      </w:r>
      <w:r>
        <w:rPr>
          <w:b w:val="0"/>
          <w:bCs w:val="0"/>
        </w:rPr>
      </w:r>
    </w:p>
    <w:p>
      <w:pPr>
        <w:spacing w:line="240" w:lineRule="auto" w:before="13"/>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零星收入</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216,509.70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135,246.15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216,509.70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216,509.70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135,246.15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216,509.70</w:t>
            </w:r>
          </w:p>
        </w:tc>
      </w:tr>
    </w:tbl>
    <w:p>
      <w:pPr>
        <w:spacing w:line="240" w:lineRule="auto" w:before="2"/>
        <w:rPr>
          <w:rFonts w:ascii="宋体" w:hAnsi="宋体" w:cs="宋体" w:eastAsia="宋体" w:hint="default"/>
          <w:sz w:val="19"/>
          <w:szCs w:val="19"/>
        </w:rPr>
      </w:pPr>
    </w:p>
    <w:p>
      <w:pPr>
        <w:pStyle w:val="Heading4"/>
        <w:spacing w:line="240" w:lineRule="auto" w:before="34"/>
        <w:ind w:right="996"/>
        <w:jc w:val="left"/>
        <w:rPr>
          <w:b w:val="0"/>
          <w:bCs w:val="0"/>
        </w:rPr>
      </w:pPr>
      <w:bookmarkStart w:name="41、营业外支出" w:id="284"/>
      <w:bookmarkEnd w:id="284"/>
      <w:r>
        <w:rPr>
          <w:b w:val="0"/>
          <w:bCs w:val="0"/>
        </w:rPr>
      </w:r>
      <w:r>
        <w:rPr>
          <w:rFonts w:ascii="Arial" w:hAnsi="Arial" w:cs="Arial" w:eastAsia="Arial" w:hint="default"/>
        </w:rPr>
        <w:t>41</w:t>
      </w:r>
      <w:r>
        <w:rPr/>
        <w:t>、营业外支出</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52"/>
        <w:gridCol w:w="2126"/>
        <w:gridCol w:w="2126"/>
        <w:gridCol w:w="2764"/>
      </w:tblGrid>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7"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9,619,273.49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7,127,480.00</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9,619,273.49</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328,596.71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282,427.21</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328,596.71</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1,266,447.61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694,026.15</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1,266,447.61</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Arial" w:hAnsi="Arial" w:cs="Arial" w:eastAsia="Arial" w:hint="default"/>
                <w:sz w:val="18"/>
                <w:szCs w:val="18"/>
              </w:rPr>
            </w:pPr>
            <w:r>
              <w:rPr>
                <w:rFonts w:ascii="Arial"/>
                <w:spacing w:val="-2"/>
                <w:sz w:val="18"/>
              </w:rPr>
              <w:t>11,214,317.81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8,103,933.36</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2"/>
                <w:sz w:val="18"/>
              </w:rPr>
              <w:t>11,214,317.81</w:t>
            </w:r>
          </w:p>
        </w:tc>
      </w:tr>
    </w:tbl>
    <w:p>
      <w:pPr>
        <w:spacing w:line="240" w:lineRule="auto" w:before="3"/>
        <w:rPr>
          <w:rFonts w:ascii="宋体" w:hAnsi="宋体" w:cs="宋体" w:eastAsia="宋体" w:hint="default"/>
          <w:sz w:val="19"/>
          <w:szCs w:val="19"/>
        </w:rPr>
      </w:pPr>
    </w:p>
    <w:p>
      <w:pPr>
        <w:pStyle w:val="Heading4"/>
        <w:spacing w:line="240" w:lineRule="auto" w:before="34"/>
        <w:ind w:right="996"/>
        <w:jc w:val="left"/>
        <w:rPr>
          <w:b w:val="0"/>
          <w:bCs w:val="0"/>
        </w:rPr>
      </w:pPr>
      <w:bookmarkStart w:name="42、所得税费用" w:id="285"/>
      <w:bookmarkEnd w:id="285"/>
      <w:r>
        <w:rPr>
          <w:b w:val="0"/>
          <w:bCs w:val="0"/>
        </w:rPr>
      </w:r>
      <w:r>
        <w:rPr>
          <w:rFonts w:ascii="Arial" w:hAnsi="Arial" w:cs="Arial" w:eastAsia="Arial" w:hint="default"/>
        </w:rPr>
        <w:t>42</w:t>
      </w:r>
      <w:r>
        <w:rPr/>
        <w:t>、所得税费用</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996"/>
        <w:jc w:val="left"/>
        <w:rPr>
          <w:b w:val="0"/>
          <w:bCs w:val="0"/>
        </w:rPr>
      </w:pPr>
      <w:bookmarkStart w:name="（1）所得税费用表" w:id="286"/>
      <w:bookmarkEnd w:id="286"/>
      <w:r>
        <w:rPr>
          <w:b w:val="0"/>
          <w:bCs w:val="0"/>
        </w:rPr>
      </w:r>
      <w:r>
        <w:rPr/>
        <w:t>（</w:t>
      </w:r>
      <w:r>
        <w:rPr>
          <w:rFonts w:ascii="Arial" w:hAnsi="Arial" w:cs="Arial" w:eastAsia="Arial" w:hint="default"/>
        </w:rPr>
        <w:t>1</w:t>
      </w:r>
      <w:r>
        <w:rPr/>
        <w:t>）所得税费用表</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10" w:right="0"/>
              <w:jc w:val="left"/>
              <w:rPr>
                <w:rFonts w:ascii="Arial" w:hAnsi="Arial" w:cs="Arial" w:eastAsia="Arial" w:hint="default"/>
                <w:sz w:val="18"/>
                <w:szCs w:val="18"/>
              </w:rPr>
            </w:pPr>
            <w:r>
              <w:rPr>
                <w:rFonts w:ascii="Arial"/>
                <w:sz w:val="18"/>
              </w:rPr>
              <w:t>42,073,068.67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06" w:right="0"/>
              <w:jc w:val="left"/>
              <w:rPr>
                <w:rFonts w:ascii="Arial" w:hAnsi="Arial" w:cs="Arial" w:eastAsia="Arial" w:hint="default"/>
                <w:sz w:val="18"/>
                <w:szCs w:val="18"/>
              </w:rPr>
            </w:pPr>
            <w:r>
              <w:rPr>
                <w:rFonts w:ascii="Arial"/>
                <w:sz w:val="18"/>
              </w:rPr>
              <w:t>38,678,476.12</w:t>
            </w:r>
          </w:p>
        </w:tc>
      </w:tr>
    </w:tbl>
    <w:p>
      <w:pPr>
        <w:spacing w:after="0" w:line="240" w:lineRule="auto"/>
        <w:jc w:val="left"/>
        <w:rPr>
          <w:rFonts w:ascii="Arial" w:hAnsi="Arial" w:cs="Arial" w:eastAsia="Arial" w:hint="default"/>
          <w:sz w:val="18"/>
          <w:szCs w:val="18"/>
        </w:rPr>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-77,622.56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822,234.27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5"/>
              <w:jc w:val="right"/>
              <w:rPr>
                <w:rFonts w:ascii="Arial" w:hAnsi="Arial" w:cs="Arial" w:eastAsia="Arial" w:hint="default"/>
                <w:sz w:val="18"/>
                <w:szCs w:val="18"/>
              </w:rPr>
            </w:pPr>
            <w:r>
              <w:rPr>
                <w:rFonts w:ascii="Arial"/>
                <w:spacing w:val="-2"/>
                <w:sz w:val="18"/>
              </w:rPr>
              <w:t>41,995,446.11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39,500,710.39</w:t>
            </w:r>
          </w:p>
        </w:tc>
      </w:tr>
    </w:tbl>
    <w:p>
      <w:pPr>
        <w:spacing w:line="240" w:lineRule="auto" w:before="3"/>
        <w:rPr>
          <w:rFonts w:ascii="宋体" w:hAnsi="宋体" w:cs="宋体" w:eastAsia="宋体" w:hint="default"/>
          <w:sz w:val="19"/>
          <w:szCs w:val="19"/>
        </w:rPr>
      </w:pPr>
    </w:p>
    <w:p>
      <w:pPr>
        <w:pStyle w:val="Heading4"/>
        <w:spacing w:line="240" w:lineRule="auto" w:before="34"/>
        <w:ind w:right="996"/>
        <w:jc w:val="left"/>
        <w:rPr>
          <w:b w:val="0"/>
          <w:bCs w:val="0"/>
        </w:rPr>
      </w:pPr>
      <w:bookmarkStart w:name="（2）会计利润与所得税费用调整过程" w:id="287"/>
      <w:bookmarkEnd w:id="287"/>
      <w:r>
        <w:rPr>
          <w:b w:val="0"/>
          <w:bCs w:val="0"/>
        </w:rPr>
      </w:r>
      <w:r>
        <w:rPr/>
        <w:t>（</w:t>
      </w:r>
      <w:r>
        <w:rPr>
          <w:rFonts w:ascii="Arial" w:hAnsi="Arial" w:cs="Arial" w:eastAsia="Arial" w:hint="default"/>
        </w:rPr>
        <w:t>2</w:t>
      </w:r>
      <w:r>
        <w:rPr/>
        <w:t>）会计利润与所得税费用调整过程</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6804"/>
        <w:gridCol w:w="2764"/>
      </w:tblGrid>
      <w:tr>
        <w:trPr>
          <w:trHeight w:val="402" w:hRule="exact"/>
        </w:trPr>
        <w:tc>
          <w:tcPr>
            <w:tcW w:w="6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530,752,609.40</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Arial" w:hAnsi="Arial" w:cs="Arial" w:eastAsia="Arial" w:hint="default"/>
                <w:sz w:val="18"/>
                <w:szCs w:val="18"/>
              </w:rPr>
              <w:t>/</w:t>
            </w:r>
            <w:r>
              <w:rPr>
                <w:rFonts w:ascii="宋体" w:hAnsi="宋体" w:cs="宋体" w:eastAsia="宋体" w:hint="default"/>
                <w:sz w:val="18"/>
                <w:szCs w:val="18"/>
              </w:rPr>
              <w:t>适用税率计算的所得税费用</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79,612,891.41</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-22,453,981.30</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341,215.87</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-5,825,176.06</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5,405,190.76</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1,983,142.95</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权益法核算的合营企业和联营企业损益</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358,871.86</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研究开发费加成扣除的纳税影响</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-17,426,709.38</w:t>
            </w:r>
          </w:p>
        </w:tc>
      </w:tr>
      <w:tr>
        <w:trPr>
          <w:trHeight w:val="402" w:hRule="exact"/>
        </w:trPr>
        <w:tc>
          <w:tcPr>
            <w:tcW w:w="6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Arial" w:hAnsi="Arial" w:cs="Arial" w:eastAsia="Arial" w:hint="default"/>
                <w:sz w:val="18"/>
                <w:szCs w:val="18"/>
              </w:rPr>
            </w:pPr>
            <w:r>
              <w:rPr>
                <w:rFonts w:ascii="Arial"/>
                <w:spacing w:val="-2"/>
                <w:sz w:val="18"/>
              </w:rPr>
              <w:t>41,995,446.11</w:t>
            </w:r>
          </w:p>
        </w:tc>
      </w:tr>
    </w:tbl>
    <w:p>
      <w:pPr>
        <w:spacing w:line="240" w:lineRule="auto" w:before="4"/>
        <w:rPr>
          <w:rFonts w:ascii="宋体" w:hAnsi="宋体" w:cs="宋体" w:eastAsia="宋体" w:hint="default"/>
          <w:sz w:val="19"/>
          <w:szCs w:val="19"/>
        </w:rPr>
      </w:pPr>
    </w:p>
    <w:p>
      <w:pPr>
        <w:pStyle w:val="Heading4"/>
        <w:spacing w:line="240" w:lineRule="auto" w:before="34"/>
        <w:ind w:right="996"/>
        <w:jc w:val="left"/>
        <w:rPr>
          <w:b w:val="0"/>
          <w:bCs w:val="0"/>
        </w:rPr>
      </w:pPr>
      <w:bookmarkStart w:name="43、现金流量表项目" w:id="288"/>
      <w:bookmarkEnd w:id="288"/>
      <w:r>
        <w:rPr>
          <w:b w:val="0"/>
          <w:bCs w:val="0"/>
        </w:rPr>
      </w:r>
      <w:r>
        <w:rPr>
          <w:rFonts w:ascii="Arial" w:hAnsi="Arial" w:cs="Arial" w:eastAsia="Arial" w:hint="default"/>
        </w:rPr>
        <w:t>43</w:t>
      </w:r>
      <w:r>
        <w:rPr/>
        <w:t>、现金流量表项目</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996"/>
        <w:jc w:val="left"/>
        <w:rPr>
          <w:b w:val="0"/>
          <w:bCs w:val="0"/>
        </w:rPr>
      </w:pPr>
      <w:bookmarkStart w:name="（1）收到的其他与经营活动有关的现金" w:id="289"/>
      <w:bookmarkEnd w:id="289"/>
      <w:r>
        <w:rPr>
          <w:b w:val="0"/>
          <w:bCs w:val="0"/>
        </w:rPr>
      </w:r>
      <w:r>
        <w:rPr/>
        <w:t>（</w:t>
      </w:r>
      <w:r>
        <w:rPr>
          <w:rFonts w:ascii="Arial" w:hAnsi="Arial" w:cs="Arial" w:eastAsia="Arial" w:hint="default"/>
        </w:rPr>
        <w:t>1</w:t>
      </w:r>
      <w:r>
        <w:rPr/>
        <w:t>）收到的其他与经营活动有关的现金</w:t>
      </w:r>
      <w:r>
        <w:rPr>
          <w:b w:val="0"/>
          <w:bCs w:val="0"/>
        </w:rPr>
      </w:r>
    </w:p>
    <w:p>
      <w:pPr>
        <w:spacing w:line="240" w:lineRule="auto" w:before="13"/>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退回保证金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152,842,243.86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145,689,304.31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8,964,414.54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9,431,932.75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25,543,077.04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9,343,702.36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8,282,931.82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2"/>
                <w:sz w:val="18"/>
              </w:rPr>
              <w:t>11,038,765.03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195,632,667.26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175,503,704.45</w:t>
            </w:r>
          </w:p>
        </w:tc>
      </w:tr>
    </w:tbl>
    <w:p>
      <w:pPr>
        <w:spacing w:line="240" w:lineRule="auto" w:before="4"/>
        <w:rPr>
          <w:rFonts w:ascii="宋体" w:hAnsi="宋体" w:cs="宋体" w:eastAsia="宋体" w:hint="default"/>
          <w:sz w:val="19"/>
          <w:szCs w:val="19"/>
        </w:rPr>
      </w:pPr>
    </w:p>
    <w:p>
      <w:pPr>
        <w:pStyle w:val="Heading4"/>
        <w:spacing w:line="240" w:lineRule="auto" w:before="34"/>
        <w:ind w:right="996"/>
        <w:jc w:val="left"/>
        <w:rPr>
          <w:b w:val="0"/>
          <w:bCs w:val="0"/>
        </w:rPr>
      </w:pPr>
      <w:bookmarkStart w:name="（2）支付的其他与经营活动有关的现金" w:id="290"/>
      <w:bookmarkEnd w:id="290"/>
      <w:r>
        <w:rPr>
          <w:b w:val="0"/>
          <w:bCs w:val="0"/>
        </w:rPr>
      </w:r>
      <w:r>
        <w:rPr/>
        <w:t>（</w:t>
      </w:r>
      <w:r>
        <w:rPr>
          <w:rFonts w:ascii="Arial" w:hAnsi="Arial" w:cs="Arial" w:eastAsia="Arial" w:hint="default"/>
        </w:rPr>
        <w:t>2</w:t>
      </w:r>
      <w:r>
        <w:rPr/>
        <w:t>）支付的其他与经营活动有关的现金</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340,721,234.25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363,641,735.23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履约、投标保证金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242,214,612.32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161,435,452.54</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22,395,619.14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21,588,163.25</w:t>
            </w:r>
          </w:p>
        </w:tc>
      </w:tr>
    </w:tbl>
    <w:p>
      <w:pPr>
        <w:spacing w:after="0" w:line="240" w:lineRule="auto"/>
        <w:jc w:val="right"/>
        <w:rPr>
          <w:rFonts w:ascii="Arial" w:hAnsi="Arial" w:cs="Arial" w:eastAsia="Arial" w:hint="default"/>
          <w:sz w:val="18"/>
          <w:szCs w:val="18"/>
        </w:rPr>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09" w:right="0"/>
              <w:jc w:val="left"/>
              <w:rPr>
                <w:rFonts w:ascii="Arial" w:hAnsi="Arial" w:cs="Arial" w:eastAsia="Arial" w:hint="default"/>
                <w:sz w:val="18"/>
                <w:szCs w:val="18"/>
              </w:rPr>
            </w:pPr>
            <w:r>
              <w:rPr>
                <w:rFonts w:ascii="Arial"/>
                <w:sz w:val="18"/>
              </w:rPr>
              <w:t>605,331,465.71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06" w:right="0"/>
              <w:jc w:val="left"/>
              <w:rPr>
                <w:rFonts w:ascii="Arial" w:hAnsi="Arial" w:cs="Arial" w:eastAsia="Arial" w:hint="default"/>
                <w:sz w:val="18"/>
                <w:szCs w:val="18"/>
              </w:rPr>
            </w:pPr>
            <w:r>
              <w:rPr>
                <w:rFonts w:ascii="Arial"/>
                <w:sz w:val="18"/>
              </w:rPr>
              <w:t>546,665,351.02</w:t>
            </w:r>
          </w:p>
        </w:tc>
      </w:tr>
    </w:tbl>
    <w:p>
      <w:pPr>
        <w:spacing w:line="240" w:lineRule="auto" w:before="4"/>
        <w:rPr>
          <w:rFonts w:ascii="宋体" w:hAnsi="宋体" w:cs="宋体" w:eastAsia="宋体" w:hint="default"/>
          <w:sz w:val="19"/>
          <w:szCs w:val="19"/>
        </w:rPr>
      </w:pPr>
    </w:p>
    <w:p>
      <w:pPr>
        <w:pStyle w:val="Heading4"/>
        <w:spacing w:line="240" w:lineRule="auto" w:before="34"/>
        <w:ind w:right="996"/>
        <w:jc w:val="left"/>
        <w:rPr>
          <w:b w:val="0"/>
          <w:bCs w:val="0"/>
        </w:rPr>
      </w:pPr>
      <w:bookmarkStart w:name="（3）收到的其他与投资活动有关的现金" w:id="291"/>
      <w:bookmarkEnd w:id="291"/>
      <w:r>
        <w:rPr>
          <w:b w:val="0"/>
          <w:bCs w:val="0"/>
        </w:rPr>
      </w:r>
      <w:r>
        <w:rPr/>
        <w:t>（</w:t>
      </w:r>
      <w:r>
        <w:rPr>
          <w:rFonts w:ascii="Arial" w:hAnsi="Arial" w:cs="Arial" w:eastAsia="Arial" w:hint="default"/>
        </w:rPr>
        <w:t>3</w:t>
      </w:r>
      <w:r>
        <w:rPr/>
        <w:t>）收到的其他与投资活动有关的现金</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捷视飞通业绩补偿款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1,000,000.00</w:t>
            </w:r>
          </w:p>
        </w:tc>
      </w:tr>
    </w:tbl>
    <w:p>
      <w:pPr>
        <w:spacing w:line="240" w:lineRule="auto" w:before="5"/>
        <w:rPr>
          <w:rFonts w:ascii="宋体" w:hAnsi="宋体" w:cs="宋体" w:eastAsia="宋体" w:hint="default"/>
          <w:sz w:val="19"/>
          <w:szCs w:val="19"/>
        </w:rPr>
      </w:pPr>
    </w:p>
    <w:p>
      <w:pPr>
        <w:pStyle w:val="Heading4"/>
        <w:spacing w:line="240" w:lineRule="auto" w:before="34"/>
        <w:ind w:right="996"/>
        <w:jc w:val="left"/>
        <w:rPr>
          <w:b w:val="0"/>
          <w:bCs w:val="0"/>
        </w:rPr>
      </w:pPr>
      <w:bookmarkStart w:name="（4）收到的其他与筹资活动有关的现金" w:id="292"/>
      <w:bookmarkEnd w:id="292"/>
      <w:r>
        <w:rPr>
          <w:b w:val="0"/>
          <w:bCs w:val="0"/>
        </w:rPr>
      </w:r>
      <w:r>
        <w:rPr/>
        <w:t>（</w:t>
      </w:r>
      <w:r>
        <w:rPr>
          <w:rFonts w:ascii="Arial" w:hAnsi="Arial" w:cs="Arial" w:eastAsia="Arial" w:hint="default"/>
        </w:rPr>
        <w:t>4</w:t>
      </w:r>
      <w:r>
        <w:rPr/>
        <w:t>）收到的其他与筹资活动有关的现金</w:t>
      </w:r>
      <w:r>
        <w:rPr>
          <w:b w:val="0"/>
          <w:bCs w:val="0"/>
        </w:rPr>
      </w:r>
    </w:p>
    <w:p>
      <w:pPr>
        <w:spacing w:line="240" w:lineRule="auto" w:before="13"/>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行权款利息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470.06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8,715.53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代收限制性股票个税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493,708.97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回购股票对应的分红款退回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500,220.10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994,399.13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8,715.53</w:t>
            </w:r>
          </w:p>
        </w:tc>
      </w:tr>
    </w:tbl>
    <w:p>
      <w:pPr>
        <w:spacing w:line="240" w:lineRule="auto" w:before="2"/>
        <w:rPr>
          <w:rFonts w:ascii="宋体" w:hAnsi="宋体" w:cs="宋体" w:eastAsia="宋体" w:hint="default"/>
          <w:sz w:val="19"/>
          <w:szCs w:val="19"/>
        </w:rPr>
      </w:pPr>
    </w:p>
    <w:p>
      <w:pPr>
        <w:pStyle w:val="Heading4"/>
        <w:spacing w:line="240" w:lineRule="auto" w:before="34"/>
        <w:ind w:right="996"/>
        <w:jc w:val="left"/>
        <w:rPr>
          <w:b w:val="0"/>
          <w:bCs w:val="0"/>
        </w:rPr>
      </w:pPr>
      <w:bookmarkStart w:name="（5）支付的其他与筹资活动有关的现金" w:id="293"/>
      <w:bookmarkEnd w:id="293"/>
      <w:r>
        <w:rPr>
          <w:b w:val="0"/>
          <w:bCs w:val="0"/>
        </w:rPr>
      </w:r>
      <w:r>
        <w:rPr/>
        <w:t>（</w:t>
      </w:r>
      <w:r>
        <w:rPr>
          <w:rFonts w:ascii="Arial" w:hAnsi="Arial" w:cs="Arial" w:eastAsia="Arial" w:hint="default"/>
        </w:rPr>
        <w:t>5</w:t>
      </w:r>
      <w:r>
        <w:rPr/>
        <w:t>）支付的其他与筹资活动有关的现金</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验资及登记等费用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6,450.20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218,022.16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代付行权个税</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29.91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股票回购款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15,846,466.26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643,097.18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15,852,916.46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861,149.25</w:t>
            </w:r>
          </w:p>
        </w:tc>
      </w:tr>
    </w:tbl>
    <w:p>
      <w:pPr>
        <w:spacing w:line="240" w:lineRule="auto" w:before="3"/>
        <w:rPr>
          <w:rFonts w:ascii="宋体" w:hAnsi="宋体" w:cs="宋体" w:eastAsia="宋体" w:hint="default"/>
          <w:sz w:val="19"/>
          <w:szCs w:val="19"/>
        </w:rPr>
      </w:pPr>
    </w:p>
    <w:p>
      <w:pPr>
        <w:pStyle w:val="Heading4"/>
        <w:spacing w:line="240" w:lineRule="auto" w:before="34"/>
        <w:ind w:right="996"/>
        <w:jc w:val="left"/>
        <w:rPr>
          <w:b w:val="0"/>
          <w:bCs w:val="0"/>
        </w:rPr>
      </w:pPr>
      <w:bookmarkStart w:name="44、现金流量表补充资料" w:id="294"/>
      <w:bookmarkEnd w:id="294"/>
      <w:r>
        <w:rPr>
          <w:b w:val="0"/>
          <w:bCs w:val="0"/>
        </w:rPr>
      </w:r>
      <w:r>
        <w:rPr>
          <w:rFonts w:ascii="Arial" w:hAnsi="Arial" w:cs="Arial" w:eastAsia="Arial" w:hint="default"/>
        </w:rPr>
        <w:t>44</w:t>
      </w:r>
      <w:r>
        <w:rPr/>
        <w:t>、现金流量表补充资料</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996"/>
        <w:jc w:val="left"/>
        <w:rPr>
          <w:b w:val="0"/>
          <w:bCs w:val="0"/>
        </w:rPr>
      </w:pPr>
      <w:bookmarkStart w:name="（1）现金流量表补充资料" w:id="295"/>
      <w:bookmarkEnd w:id="295"/>
      <w:r>
        <w:rPr>
          <w:b w:val="0"/>
          <w:bCs w:val="0"/>
        </w:rPr>
      </w:r>
      <w:r>
        <w:rPr/>
        <w:t>（</w:t>
      </w:r>
      <w:r>
        <w:rPr>
          <w:rFonts w:ascii="Arial" w:hAnsi="Arial" w:cs="Arial" w:eastAsia="Arial" w:hint="default"/>
        </w:rPr>
        <w:t>1</w:t>
      </w:r>
      <w:r>
        <w:rPr/>
        <w:t>）现金流量表补充资料</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387"/>
        <w:gridCol w:w="2090"/>
        <w:gridCol w:w="2091"/>
      </w:tblGrid>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9"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．将净利润调节为经营活动现金流量：</w:t>
            </w:r>
          </w:p>
        </w:tc>
        <w:tc>
          <w:tcPr>
            <w:tcW w:w="2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Arial" w:hAnsi="Arial" w:cs="Arial" w:eastAsia="Arial" w:hint="default"/>
                <w:sz w:val="18"/>
                <w:szCs w:val="18"/>
              </w:rPr>
            </w:pPr>
            <w:r>
              <w:rPr>
                <w:rFonts w:ascii="Arial"/>
                <w:sz w:val="18"/>
              </w:rPr>
              <w:t>--</w:t>
            </w:r>
          </w:p>
        </w:tc>
        <w:tc>
          <w:tcPr>
            <w:tcW w:w="2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Arial" w:hAnsi="Arial" w:cs="Arial" w:eastAsia="Arial" w:hint="default"/>
                <w:sz w:val="18"/>
                <w:szCs w:val="18"/>
              </w:rPr>
            </w:pPr>
            <w:r>
              <w:rPr>
                <w:rFonts w:ascii="Arial"/>
                <w:sz w:val="18"/>
              </w:rPr>
              <w:t>--</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488,757,163.29</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374,844,610.25</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21,286,419.77</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17,780,429.06</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23,892,766.53</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19,122,653.65</w:t>
            </w:r>
          </w:p>
        </w:tc>
      </w:tr>
      <w:tr>
        <w:trPr>
          <w:trHeight w:val="400"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74,794,339.90</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2"/>
                <w:sz w:val="18"/>
              </w:rPr>
              <w:t>81,911,040.79</w:t>
            </w:r>
          </w:p>
        </w:tc>
      </w:tr>
    </w:tbl>
    <w:p>
      <w:pPr>
        <w:spacing w:after="0" w:line="240" w:lineRule="auto"/>
        <w:jc w:val="right"/>
        <w:rPr>
          <w:rFonts w:ascii="Arial" w:hAnsi="Arial" w:cs="Arial" w:eastAsia="Arial" w:hint="default"/>
          <w:sz w:val="18"/>
          <w:szCs w:val="18"/>
        </w:rPr>
        <w:sectPr>
          <w:pgSz w:w="11910" w:h="16840"/>
          <w:pgMar w:header="878" w:footer="978" w:top="1100" w:bottom="1160" w:left="1020" w:right="0"/>
        </w:sectPr>
      </w:pPr>
    </w:p>
    <w:p>
      <w:pPr>
        <w:spacing w:line="240" w:lineRule="auto" w:before="8"/>
        <w:rPr>
          <w:rFonts w:ascii="宋体" w:hAnsi="宋体" w:cs="宋体" w:eastAsia="宋体" w:hint="default"/>
          <w:sz w:val="24"/>
          <w:szCs w:val="24"/>
        </w:rPr>
      </w:pPr>
      <w:r>
        <w:rPr/>
        <w:pict>
          <v:shape style="position:absolute;margin-left:320.158997pt;margin-top:92.500023pt;width:110.3pt;height:19.7pt;mso-position-horizontal-relative:page;mso-position-vertical-relative:page;z-index:-861592" type="#_x0000_t202" filled="false" stroked="false">
            <v:textbox inset="0,0,0,0">
              <w:txbxContent>
                <w:p>
                  <w:pPr>
                    <w:spacing w:before="52"/>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26.200012pt;margin-top:92.500023pt;width:104.25pt;height:19.850pt;mso-position-horizontal-relative:page;mso-position-vertical-relative:page;z-index:-861568" coordorigin="6524,1850" coordsize="2085,397">
            <v:shape style="position:absolute;left:6524;top:1850;width:2085;height:397" coordorigin="6524,1850" coordsize="2085,397" path="m6524,1850l8609,1850,8609,2247,6524,2247,6524,1850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5387"/>
        <w:gridCol w:w="2090"/>
        <w:gridCol w:w="2091"/>
      </w:tblGrid>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4,989,163.39</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4,717,666.21</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处置固定资产、无形资产和其他长期资产的损失（收益以</w:t>
            </w:r>
            <w:r>
              <w:rPr>
                <w:rFonts w:ascii="Arial" w:hAnsi="Arial" w:cs="Arial" w:eastAsia="Arial" w:hint="default"/>
                <w:spacing w:val="-4"/>
                <w:sz w:val="18"/>
                <w:szCs w:val="18"/>
              </w:rPr>
              <w:t>“</w:t>
            </w:r>
            <w:r>
              <w:rPr>
                <w:rFonts w:ascii="宋体" w:hAnsi="宋体" w:cs="宋体" w:eastAsia="宋体" w:hint="default"/>
                <w:spacing w:val="-4"/>
                <w:sz w:val="18"/>
                <w:szCs w:val="18"/>
              </w:rPr>
              <w:t>－</w:t>
            </w:r>
            <w:r>
              <w:rPr>
                <w:rFonts w:ascii="Arial" w:hAnsi="Arial" w:cs="Arial" w:eastAsia="Arial" w:hint="default"/>
                <w:spacing w:val="-4"/>
                <w:sz w:val="18"/>
                <w:szCs w:val="18"/>
              </w:rPr>
              <w:t>”</w:t>
            </w:r>
            <w:r>
              <w:rPr>
                <w:rFonts w:ascii="宋体" w:hAnsi="宋体" w:cs="宋体" w:eastAsia="宋体" w:hint="default"/>
                <w:spacing w:val="-4"/>
                <w:sz w:val="18"/>
                <w:szCs w:val="18"/>
              </w:rPr>
              <w:t>号填列</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352,513.73</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63,471.66</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328,596.71</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282,427.21</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1,965,030.19</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1,375,707.61</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-36,442,028.01</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-1,346,020.16</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1,036,991.32</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1,503,749.40</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Arial" w:hAnsi="Arial" w:cs="Arial" w:eastAsia="Arial" w:hint="default"/>
                <w:sz w:val="18"/>
                <w:szCs w:val="18"/>
              </w:rPr>
            </w:pPr>
            <w:r>
              <w:rPr>
                <w:rFonts w:ascii="Arial"/>
                <w:spacing w:val="-2"/>
                <w:sz w:val="18"/>
              </w:rPr>
              <w:t>-1,114,613.88</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-681,515.13</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Arial" w:hAnsi="Arial" w:cs="Arial" w:eastAsia="Arial" w:hint="default"/>
                <w:sz w:val="18"/>
                <w:szCs w:val="18"/>
              </w:rPr>
            </w:pPr>
            <w:r>
              <w:rPr>
                <w:rFonts w:ascii="Arial"/>
                <w:spacing w:val="-1"/>
                <w:sz w:val="18"/>
              </w:rPr>
              <w:t>-161,071,287.57</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-19,585,724.06</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Arial" w:hAnsi="Arial" w:cs="Arial" w:eastAsia="Arial" w:hint="default"/>
                <w:sz w:val="18"/>
                <w:szCs w:val="18"/>
              </w:rPr>
            </w:pPr>
            <w:r>
              <w:rPr>
                <w:rFonts w:ascii="Arial"/>
                <w:spacing w:val="-1"/>
                <w:sz w:val="18"/>
              </w:rPr>
              <w:t>-396,490,254.42</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-98,625,127.37</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306,782,027.40</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85,161,171.48</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Arial" w:hAnsi="Arial" w:cs="Arial" w:eastAsia="Arial" w:hint="default"/>
                <w:sz w:val="18"/>
                <w:szCs w:val="18"/>
              </w:rPr>
            </w:pPr>
            <w:r>
              <w:rPr>
                <w:rFonts w:ascii="Arial"/>
                <w:spacing w:val="-1"/>
                <w:sz w:val="18"/>
              </w:rPr>
              <w:t>-8,905,518.77</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24,998,762.74</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320,161,309.58</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491,523,303.34</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．不涉及现金收支的重大投资和筹资活动：</w:t>
            </w:r>
          </w:p>
        </w:tc>
        <w:tc>
          <w:tcPr>
            <w:tcW w:w="2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Arial" w:hAnsi="Arial" w:cs="Arial" w:eastAsia="Arial" w:hint="default"/>
                <w:sz w:val="18"/>
                <w:szCs w:val="18"/>
              </w:rPr>
            </w:pPr>
            <w:r>
              <w:rPr>
                <w:rFonts w:ascii="Arial"/>
                <w:sz w:val="18"/>
              </w:rPr>
              <w:t>--</w:t>
            </w:r>
          </w:p>
        </w:tc>
        <w:tc>
          <w:tcPr>
            <w:tcW w:w="2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Arial" w:hAnsi="Arial" w:cs="Arial" w:eastAsia="Arial" w:hint="default"/>
                <w:sz w:val="18"/>
                <w:szCs w:val="18"/>
              </w:rPr>
            </w:pPr>
            <w:r>
              <w:rPr>
                <w:rFonts w:ascii="Arial"/>
                <w:sz w:val="18"/>
              </w:rPr>
              <w:t>--</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．现金及现金等价物净变动情况：</w:t>
            </w:r>
          </w:p>
        </w:tc>
        <w:tc>
          <w:tcPr>
            <w:tcW w:w="2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Arial" w:hAnsi="Arial" w:cs="Arial" w:eastAsia="Arial" w:hint="default"/>
                <w:sz w:val="18"/>
                <w:szCs w:val="18"/>
              </w:rPr>
            </w:pPr>
            <w:r>
              <w:rPr>
                <w:rFonts w:ascii="Arial"/>
                <w:sz w:val="18"/>
              </w:rPr>
              <w:t>--</w:t>
            </w:r>
          </w:p>
        </w:tc>
        <w:tc>
          <w:tcPr>
            <w:tcW w:w="2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Arial" w:hAnsi="Arial" w:cs="Arial" w:eastAsia="Arial" w:hint="default"/>
                <w:sz w:val="18"/>
                <w:szCs w:val="18"/>
              </w:rPr>
            </w:pPr>
            <w:r>
              <w:rPr>
                <w:rFonts w:ascii="Arial"/>
                <w:sz w:val="18"/>
              </w:rPr>
              <w:t>--</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Arial" w:hAnsi="Arial" w:cs="Arial" w:eastAsia="Arial" w:hint="default"/>
                <w:sz w:val="18"/>
                <w:szCs w:val="18"/>
              </w:rPr>
            </w:pPr>
            <w:r>
              <w:rPr>
                <w:rFonts w:ascii="Arial"/>
                <w:spacing w:val="-1"/>
                <w:sz w:val="18"/>
              </w:rPr>
              <w:t>1,261,271,687.09</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1,267,769,932.45</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Arial" w:hAnsi="Arial" w:cs="Arial" w:eastAsia="Arial" w:hint="default"/>
                <w:sz w:val="18"/>
                <w:szCs w:val="18"/>
              </w:rPr>
            </w:pPr>
            <w:r>
              <w:rPr>
                <w:rFonts w:ascii="Arial"/>
                <w:spacing w:val="-1"/>
                <w:sz w:val="18"/>
              </w:rPr>
              <w:t>1,267,769,932.45</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778,856,850.82</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Arial" w:hAnsi="Arial" w:cs="Arial" w:eastAsia="Arial" w:hint="default"/>
                <w:sz w:val="18"/>
                <w:szCs w:val="18"/>
              </w:rPr>
            </w:pPr>
            <w:r>
              <w:rPr>
                <w:rFonts w:ascii="Arial"/>
                <w:spacing w:val="-1"/>
                <w:sz w:val="18"/>
              </w:rPr>
              <w:t>-6,498,245.36</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488,913,081.63</w:t>
            </w:r>
          </w:p>
        </w:tc>
      </w:tr>
    </w:tbl>
    <w:p>
      <w:pPr>
        <w:spacing w:line="240" w:lineRule="auto" w:before="4"/>
        <w:rPr>
          <w:rFonts w:ascii="宋体" w:hAnsi="宋体" w:cs="宋体" w:eastAsia="宋体" w:hint="default"/>
          <w:sz w:val="19"/>
          <w:szCs w:val="19"/>
        </w:rPr>
      </w:pPr>
    </w:p>
    <w:p>
      <w:pPr>
        <w:pStyle w:val="Heading4"/>
        <w:spacing w:line="240" w:lineRule="auto" w:before="34"/>
        <w:ind w:right="996"/>
        <w:jc w:val="left"/>
        <w:rPr>
          <w:b w:val="0"/>
          <w:bCs w:val="0"/>
        </w:rPr>
      </w:pPr>
      <w:bookmarkStart w:name="（2）本期支付的取得子公司的现金净额" w:id="296"/>
      <w:bookmarkEnd w:id="296"/>
      <w:r>
        <w:rPr>
          <w:b w:val="0"/>
          <w:bCs w:val="0"/>
        </w:rPr>
      </w:r>
      <w:r>
        <w:rPr/>
        <w:t>（</w:t>
      </w:r>
      <w:r>
        <w:rPr>
          <w:rFonts w:ascii="Arial" w:hAnsi="Arial" w:cs="Arial" w:eastAsia="Arial" w:hint="default"/>
        </w:rPr>
        <w:t>2</w:t>
      </w:r>
      <w:r>
        <w:rPr/>
        <w:t>）本期支付的取得子公司的现金净额</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812"/>
        <w:gridCol w:w="3756"/>
      </w:tblGrid>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3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Arial" w:hAnsi="Arial" w:cs="Arial" w:eastAsia="Arial" w:hint="default"/>
                <w:sz w:val="18"/>
                <w:szCs w:val="18"/>
              </w:rPr>
            </w:pPr>
            <w:r>
              <w:rPr>
                <w:rFonts w:ascii="Arial"/>
                <w:sz w:val="18"/>
              </w:rPr>
              <w:t>--</w:t>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3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 w:right="0"/>
              <w:jc w:val="center"/>
              <w:rPr>
                <w:rFonts w:ascii="Arial" w:hAnsi="Arial" w:cs="Arial" w:eastAsia="Arial" w:hint="default"/>
                <w:sz w:val="18"/>
                <w:szCs w:val="18"/>
              </w:rPr>
            </w:pPr>
            <w:r>
              <w:rPr>
                <w:rFonts w:ascii="Arial"/>
                <w:sz w:val="18"/>
              </w:rPr>
              <w:t>--</w:t>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39,407,081.17</w:t>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 w:right="0"/>
              <w:jc w:val="center"/>
              <w:rPr>
                <w:rFonts w:ascii="Arial" w:hAnsi="Arial" w:cs="Arial" w:eastAsia="Arial" w:hint="default"/>
                <w:sz w:val="18"/>
                <w:szCs w:val="18"/>
              </w:rPr>
            </w:pPr>
            <w:r>
              <w:rPr>
                <w:rFonts w:ascii="Arial"/>
                <w:sz w:val="18"/>
              </w:rPr>
              <w:t>--</w:t>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北京万户网络技术有限公司</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39,407,081.17</w:t>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39,407,081.17</w:t>
            </w:r>
          </w:p>
        </w:tc>
      </w:tr>
    </w:tbl>
    <w:p>
      <w:pPr>
        <w:spacing w:line="240" w:lineRule="auto" w:before="5"/>
        <w:rPr>
          <w:rFonts w:ascii="宋体" w:hAnsi="宋体" w:cs="宋体" w:eastAsia="宋体" w:hint="default"/>
          <w:sz w:val="19"/>
          <w:szCs w:val="19"/>
        </w:rPr>
      </w:pPr>
    </w:p>
    <w:p>
      <w:pPr>
        <w:pStyle w:val="Heading4"/>
        <w:spacing w:line="240" w:lineRule="auto" w:before="34"/>
        <w:ind w:right="996"/>
        <w:jc w:val="left"/>
        <w:rPr>
          <w:b w:val="0"/>
          <w:bCs w:val="0"/>
        </w:rPr>
      </w:pPr>
      <w:bookmarkStart w:name="（3）现金和现金等价物的构成" w:id="297"/>
      <w:bookmarkEnd w:id="297"/>
      <w:r>
        <w:rPr>
          <w:b w:val="0"/>
          <w:bCs w:val="0"/>
        </w:rPr>
      </w:r>
      <w:r>
        <w:rPr/>
        <w:t>（</w:t>
      </w:r>
      <w:r>
        <w:rPr>
          <w:rFonts w:ascii="Arial" w:hAnsi="Arial" w:cs="Arial" w:eastAsia="Arial" w:hint="default"/>
        </w:rPr>
        <w:t>3</w:t>
      </w:r>
      <w:r>
        <w:rPr/>
        <w:t>）现金和现金等价物的构成</w:t>
      </w:r>
      <w:r>
        <w:rPr>
          <w:b w:val="0"/>
          <w:bCs w:val="0"/>
        </w:rPr>
      </w:r>
    </w:p>
    <w:p>
      <w:pPr>
        <w:spacing w:line="240" w:lineRule="auto" w:before="13"/>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828"/>
        <w:gridCol w:w="2870"/>
        <w:gridCol w:w="2870"/>
      </w:tblGrid>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1,261,271,687.09</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1,267,769,932.45</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186,352.97</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244,474.99</w:t>
            </w:r>
          </w:p>
        </w:tc>
      </w:tr>
      <w:tr>
        <w:trPr>
          <w:trHeight w:val="400"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1,261,034,842.90</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1,267,504,021.90</w:t>
            </w:r>
          </w:p>
        </w:tc>
      </w:tr>
    </w:tbl>
    <w:p>
      <w:pPr>
        <w:spacing w:after="0" w:line="240" w:lineRule="auto"/>
        <w:jc w:val="right"/>
        <w:rPr>
          <w:rFonts w:ascii="Arial" w:hAnsi="Arial" w:cs="Arial" w:eastAsia="Arial" w:hint="default"/>
          <w:sz w:val="18"/>
          <w:szCs w:val="18"/>
        </w:rPr>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828"/>
        <w:gridCol w:w="2870"/>
        <w:gridCol w:w="2870"/>
      </w:tblGrid>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50,491.22</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21,435.56</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1,261,271,687.09</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1,267,769,932.45</w:t>
            </w:r>
          </w:p>
        </w:tc>
      </w:tr>
    </w:tbl>
    <w:p>
      <w:pPr>
        <w:spacing w:line="240" w:lineRule="auto" w:before="3"/>
        <w:rPr>
          <w:rFonts w:ascii="宋体" w:hAnsi="宋体" w:cs="宋体" w:eastAsia="宋体" w:hint="default"/>
          <w:sz w:val="19"/>
          <w:szCs w:val="19"/>
        </w:rPr>
      </w:pPr>
    </w:p>
    <w:p>
      <w:pPr>
        <w:pStyle w:val="Heading4"/>
        <w:spacing w:line="240" w:lineRule="auto" w:before="34"/>
        <w:ind w:right="996"/>
        <w:jc w:val="left"/>
        <w:rPr>
          <w:b w:val="0"/>
          <w:bCs w:val="0"/>
        </w:rPr>
      </w:pPr>
      <w:bookmarkStart w:name="45、所有权或使用权受到限制的资产" w:id="298"/>
      <w:bookmarkEnd w:id="298"/>
      <w:r>
        <w:rPr>
          <w:b w:val="0"/>
          <w:bCs w:val="0"/>
        </w:rPr>
      </w:r>
      <w:r>
        <w:rPr>
          <w:rFonts w:ascii="Arial" w:hAnsi="Arial" w:cs="Arial" w:eastAsia="Arial" w:hint="default"/>
        </w:rPr>
        <w:t>45</w:t>
      </w:r>
      <w:r>
        <w:rPr/>
        <w:t>、所有权或使用权受到限制的资产</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41,870,360.52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信用证保证金、履约保证金</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41,870,360.52</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Arial" w:hAnsi="Arial" w:cs="Arial" w:eastAsia="Arial" w:hint="default"/>
                <w:sz w:val="18"/>
                <w:szCs w:val="18"/>
              </w:rPr>
            </w:pPr>
            <w:r>
              <w:rPr>
                <w:rFonts w:ascii="Arial"/>
                <w:sz w:val="18"/>
              </w:rPr>
              <w:t>--</w:t>
            </w:r>
          </w:p>
        </w:tc>
      </w:tr>
    </w:tbl>
    <w:p>
      <w:pPr>
        <w:spacing w:line="240" w:lineRule="auto" w:before="7"/>
        <w:rPr>
          <w:rFonts w:ascii="宋体" w:hAnsi="宋体" w:cs="宋体" w:eastAsia="宋体" w:hint="default"/>
          <w:sz w:val="5"/>
          <w:szCs w:val="5"/>
        </w:rPr>
      </w:pPr>
    </w:p>
    <w:p>
      <w:pPr>
        <w:pStyle w:val="BodyText"/>
        <w:spacing w:line="240" w:lineRule="auto"/>
        <w:ind w:right="996"/>
        <w:jc w:val="left"/>
      </w:pPr>
      <w:r>
        <w:rPr/>
        <w:t>其他说明：</w:t>
      </w:r>
    </w:p>
    <w:p>
      <w:pPr>
        <w:pStyle w:val="BodyText"/>
        <w:spacing w:line="240" w:lineRule="auto" w:before="157"/>
        <w:ind w:left="540" w:right="996"/>
        <w:jc w:val="left"/>
      </w:pPr>
      <w:r>
        <w:rPr/>
        <w:t>受限的货币资金详见附注七、</w:t>
      </w:r>
      <w:r>
        <w:rPr>
          <w:rFonts w:ascii="Arial" w:hAnsi="Arial" w:cs="Arial" w:eastAsia="Arial" w:hint="default"/>
        </w:rPr>
        <w:t>1</w:t>
      </w:r>
      <w:r>
        <w:rPr/>
        <w:t>、货币资金。</w:t>
      </w:r>
    </w:p>
    <w:p>
      <w:pPr>
        <w:spacing w:line="240" w:lineRule="auto" w:before="8"/>
        <w:rPr>
          <w:rFonts w:ascii="宋体" w:hAnsi="宋体" w:cs="宋体" w:eastAsia="宋体" w:hint="default"/>
          <w:sz w:val="24"/>
          <w:szCs w:val="24"/>
        </w:rPr>
      </w:pPr>
    </w:p>
    <w:p>
      <w:pPr>
        <w:pStyle w:val="Heading4"/>
        <w:spacing w:line="240" w:lineRule="auto"/>
        <w:ind w:right="996"/>
        <w:jc w:val="left"/>
        <w:rPr>
          <w:b w:val="0"/>
          <w:bCs w:val="0"/>
        </w:rPr>
      </w:pPr>
      <w:bookmarkStart w:name="46、政府补助" w:id="299"/>
      <w:bookmarkEnd w:id="299"/>
      <w:r>
        <w:rPr>
          <w:b w:val="0"/>
          <w:bCs w:val="0"/>
        </w:rPr>
      </w:r>
      <w:r>
        <w:rPr>
          <w:rFonts w:ascii="Arial" w:hAnsi="Arial" w:cs="Arial" w:eastAsia="Arial" w:hint="default"/>
        </w:rPr>
        <w:t>46</w:t>
      </w:r>
      <w:r>
        <w:rPr/>
        <w:t>、政府补助</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996"/>
        <w:jc w:val="left"/>
        <w:rPr>
          <w:b w:val="0"/>
          <w:bCs w:val="0"/>
        </w:rPr>
      </w:pPr>
      <w:bookmarkStart w:name="（1）政府补助基本情况" w:id="300"/>
      <w:bookmarkEnd w:id="300"/>
      <w:r>
        <w:rPr>
          <w:b w:val="0"/>
          <w:bCs w:val="0"/>
        </w:rPr>
      </w:r>
      <w:r>
        <w:rPr/>
        <w:t>（</w:t>
      </w:r>
      <w:r>
        <w:rPr>
          <w:rFonts w:ascii="Arial" w:hAnsi="Arial" w:cs="Arial" w:eastAsia="Arial" w:hint="default"/>
        </w:rPr>
        <w:t>1</w:t>
      </w:r>
      <w:r>
        <w:rPr/>
        <w:t>）政府补助基本情况</w:t>
      </w:r>
      <w:r>
        <w:rPr>
          <w:b w:val="0"/>
          <w:bCs w:val="0"/>
        </w:rPr>
      </w:r>
    </w:p>
    <w:p>
      <w:pPr>
        <w:spacing w:line="240" w:lineRule="auto" w:before="13"/>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76"/>
        <w:gridCol w:w="1559"/>
        <w:gridCol w:w="4820"/>
        <w:gridCol w:w="1913"/>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95,290,037.54</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95,290,037.54</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78,200.00</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基于私有云的政法应用支撑与研发平台及其产业化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78,200.00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63,027.10</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中关村科技园区海淀园管委会研发中心研发投入补贴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63,027.10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5,720,000.00</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创新企业、研发投入补贴专项资金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5,720,000.00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72,600.00</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中关村企业项目补助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72,600.00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285,237.04</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285,237.04</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150,000.00</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华宇食品安全项目补贴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150,000.00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2,704,500.00</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科技创新补贴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2,704,500.00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300,343.23</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京津翼主要食品的区域一体化信息互认体系建设</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300,343.23</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469,400.00</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广东省企业研发经费补助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469,400.00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500,000.00</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年度中关村企业改制挂牌上市和并购支持资金项目</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500,000.00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2,000,000.00</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年度科技金融产业发展专项基金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Arial" w:hAnsi="Arial" w:cs="Arial" w:eastAsia="Arial" w:hint="default"/>
                <w:sz w:val="18"/>
                <w:szCs w:val="18"/>
              </w:rPr>
            </w:pPr>
            <w:r>
              <w:rPr>
                <w:rFonts w:ascii="Arial"/>
                <w:spacing w:val="-1"/>
                <w:sz w:val="18"/>
              </w:rPr>
              <w:t>2,000,000.00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827,600.00</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互联网食品安全风险监控预警体系研究</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827,600.00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150,000.00</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国家高新技术企业补贴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150,000.00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880,000.00</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贡献度及开发扶持补贴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880,000.00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财政拨款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1"/>
                <w:sz w:val="18"/>
              </w:rPr>
              <w:t>840.00</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版权补助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840.00</w:t>
            </w:r>
          </w:p>
        </w:tc>
      </w:tr>
    </w:tbl>
    <w:p>
      <w:pPr>
        <w:spacing w:after="0" w:line="240" w:lineRule="auto"/>
        <w:jc w:val="right"/>
        <w:rPr>
          <w:rFonts w:ascii="Arial" w:hAnsi="Arial" w:cs="Arial" w:eastAsia="Arial" w:hint="default"/>
          <w:sz w:val="18"/>
          <w:szCs w:val="18"/>
        </w:rPr>
        <w:sectPr>
          <w:pgSz w:w="11910" w:h="16840"/>
          <w:pgMar w:header="878" w:footer="978" w:top="1100" w:bottom="1160" w:left="1020" w:right="0"/>
        </w:sectPr>
      </w:pPr>
    </w:p>
    <w:p>
      <w:pPr>
        <w:spacing w:line="240" w:lineRule="auto" w:before="10"/>
        <w:rPr>
          <w:rFonts w:ascii="宋体" w:hAnsi="宋体" w:cs="宋体" w:eastAsia="宋体" w:hint="default"/>
          <w:sz w:val="19"/>
          <w:szCs w:val="19"/>
        </w:rPr>
      </w:pPr>
    </w:p>
    <w:p>
      <w:pPr>
        <w:pStyle w:val="Heading2"/>
        <w:spacing w:line="240" w:lineRule="auto"/>
        <w:ind w:right="996"/>
        <w:jc w:val="left"/>
        <w:rPr>
          <w:b w:val="0"/>
          <w:bCs w:val="0"/>
        </w:rPr>
      </w:pPr>
      <w:bookmarkStart w:name="八、合并范围的变更" w:id="301"/>
      <w:bookmarkEnd w:id="301"/>
      <w:r>
        <w:rPr>
          <w:b w:val="0"/>
          <w:bCs w:val="0"/>
        </w:rPr>
      </w:r>
      <w:r>
        <w:rPr/>
        <w:t>八、合并范围的变更</w:t>
      </w:r>
      <w:r>
        <w:rPr>
          <w:b w:val="0"/>
          <w:bCs w:val="0"/>
        </w:rPr>
      </w:r>
    </w:p>
    <w:p>
      <w:pPr>
        <w:spacing w:line="590" w:lineRule="atLeast" w:before="23"/>
        <w:ind w:left="540" w:right="996" w:hanging="428"/>
        <w:jc w:val="left"/>
        <w:rPr>
          <w:rFonts w:ascii="宋体" w:hAnsi="宋体" w:cs="宋体" w:eastAsia="宋体" w:hint="default"/>
          <w:sz w:val="21"/>
          <w:szCs w:val="21"/>
        </w:rPr>
      </w:pPr>
      <w:bookmarkStart w:name="1、其他原因的合并范围变动" w:id="302"/>
      <w:bookmarkEnd w:id="302"/>
      <w:r>
        <w:rPr/>
      </w:r>
      <w:r>
        <w:rPr>
          <w:rFonts w:ascii="Arial" w:hAnsi="Arial" w:cs="Arial" w:eastAsia="Arial" w:hint="default"/>
          <w:b/>
          <w:bCs/>
          <w:sz w:val="21"/>
          <w:szCs w:val="21"/>
        </w:rPr>
        <w:t>1</w:t>
      </w:r>
      <w:r>
        <w:rPr>
          <w:rFonts w:ascii="宋体" w:hAnsi="宋体" w:cs="宋体" w:eastAsia="宋体" w:hint="default"/>
          <w:b/>
          <w:bCs/>
          <w:sz w:val="21"/>
          <w:szCs w:val="21"/>
        </w:rPr>
        <w:t>、其他原因的合并范围变动</w:t>
      </w:r>
      <w:r>
        <w:rPr>
          <w:rFonts w:ascii="宋体" w:hAnsi="宋体" w:cs="宋体" w:eastAsia="宋体" w:hint="default"/>
          <w:b/>
          <w:bCs/>
          <w:w w:val="99"/>
          <w:sz w:val="21"/>
          <w:szCs w:val="21"/>
        </w:rPr>
        <w:t> </w:t>
      </w:r>
      <w:r>
        <w:rPr>
          <w:rFonts w:ascii="宋体" w:hAnsi="宋体" w:cs="宋体" w:eastAsia="宋体" w:hint="default"/>
          <w:w w:val="95"/>
          <w:sz w:val="21"/>
          <w:szCs w:val="21"/>
        </w:rPr>
        <w:t>根据集团经营需要，公司与北京九品启航科技中心（有限合伙）共同设立孙公司北京华宇九品科技有</w:t>
      </w:r>
      <w:r>
        <w:rPr>
          <w:rFonts w:ascii="宋体" w:hAnsi="宋体" w:cs="宋体" w:eastAsia="宋体" w:hint="default"/>
          <w:sz w:val="21"/>
          <w:szCs w:val="21"/>
        </w:rPr>
      </w:r>
    </w:p>
    <w:p>
      <w:pPr>
        <w:spacing w:line="487" w:lineRule="auto" w:before="37"/>
        <w:ind w:left="112" w:right="6899" w:firstLine="0"/>
        <w:jc w:val="left"/>
        <w:rPr>
          <w:rFonts w:ascii="宋体" w:hAnsi="宋体" w:cs="宋体" w:eastAsia="宋体" w:hint="default"/>
          <w:sz w:val="21"/>
          <w:szCs w:val="21"/>
        </w:rPr>
      </w:pPr>
      <w:r>
        <w:rPr>
          <w:rFonts w:ascii="宋体" w:hAnsi="宋体" w:cs="宋体" w:eastAsia="宋体" w:hint="default"/>
          <w:w w:val="95"/>
          <w:sz w:val="21"/>
          <w:szCs w:val="21"/>
        </w:rPr>
        <w:t>限公司，公司占比</w:t>
      </w:r>
      <w:r>
        <w:rPr>
          <w:rFonts w:ascii="Arial" w:hAnsi="Arial" w:cs="Arial" w:eastAsia="Arial" w:hint="default"/>
          <w:w w:val="95"/>
          <w:sz w:val="21"/>
          <w:szCs w:val="21"/>
        </w:rPr>
        <w:t>51%</w:t>
      </w:r>
      <w:r>
        <w:rPr>
          <w:rFonts w:ascii="宋体" w:hAnsi="宋体" w:cs="宋体" w:eastAsia="宋体" w:hint="default"/>
          <w:w w:val="95"/>
          <w:sz w:val="21"/>
          <w:szCs w:val="21"/>
        </w:rPr>
        <w:t>，纳入合并范围。</w:t>
      </w:r>
      <w:r>
        <w:rPr>
          <w:rFonts w:ascii="宋体" w:hAnsi="宋体" w:cs="宋体" w:eastAsia="宋体" w:hint="default"/>
          <w:spacing w:val="78"/>
          <w:w w:val="95"/>
          <w:sz w:val="21"/>
          <w:szCs w:val="21"/>
        </w:rPr>
        <w:t> </w:t>
      </w:r>
      <w:r>
        <w:rPr>
          <w:rFonts w:ascii="宋体" w:hAnsi="宋体" w:cs="宋体" w:eastAsia="宋体" w:hint="default"/>
          <w:spacing w:val="78"/>
          <w:w w:val="95"/>
          <w:sz w:val="21"/>
          <w:szCs w:val="21"/>
        </w:rPr>
      </w:r>
      <w:bookmarkStart w:name="九、在其他主体中的权益" w:id="303"/>
      <w:bookmarkEnd w:id="303"/>
      <w:r>
        <w:rPr>
          <w:rFonts w:ascii="宋体" w:hAnsi="宋体" w:cs="宋体" w:eastAsia="宋体" w:hint="default"/>
          <w:spacing w:val="78"/>
          <w:w w:val="95"/>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304"/>
      <w:bookmarkEnd w:id="304"/>
      <w:r>
        <w:rPr>
          <w:rFonts w:ascii="宋体" w:hAnsi="宋体" w:cs="宋体" w:eastAsia="宋体" w:hint="default"/>
          <w:b/>
          <w:bCs/>
          <w:w w:val="99"/>
          <w:sz w:val="24"/>
          <w:szCs w:val="24"/>
        </w:rPr>
      </w:r>
      <w:r>
        <w:rPr>
          <w:rFonts w:ascii="Arial" w:hAnsi="Arial" w:cs="Arial" w:eastAsia="Arial"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3"/>
        <w:ind w:right="996"/>
        <w:jc w:val="left"/>
        <w:rPr>
          <w:b w:val="0"/>
          <w:bCs w:val="0"/>
        </w:rPr>
      </w:pPr>
      <w:bookmarkStart w:name="（1）企业集团的构成" w:id="305"/>
      <w:bookmarkEnd w:id="305"/>
      <w:r>
        <w:rPr>
          <w:b w:val="0"/>
          <w:bCs w:val="0"/>
        </w:rPr>
      </w:r>
      <w:r>
        <w:rPr/>
        <w:t>（</w:t>
      </w:r>
      <w:r>
        <w:rPr>
          <w:rFonts w:ascii="Arial" w:hAnsi="Arial" w:cs="Arial" w:eastAsia="Arial" w:hint="default"/>
        </w:rPr>
        <w:t>1</w:t>
      </w:r>
      <w:r>
        <w:rPr/>
        <w:t>）企业集团的构成</w:t>
      </w:r>
      <w:r>
        <w:rPr>
          <w:b w:val="0"/>
          <w:bCs w:val="0"/>
        </w:rPr>
      </w:r>
    </w:p>
    <w:p>
      <w:pPr>
        <w:spacing w:line="240" w:lineRule="auto" w:before="0"/>
        <w:rPr>
          <w:rFonts w:ascii="宋体" w:hAnsi="宋体" w:cs="宋体" w:eastAsia="宋体" w:hint="default"/>
          <w:b/>
          <w:bCs/>
          <w:sz w:val="27"/>
          <w:szCs w:val="27"/>
        </w:rPr>
      </w:pPr>
    </w:p>
    <w:p>
      <w:pPr>
        <w:spacing w:after="0" w:line="240" w:lineRule="auto"/>
        <w:rPr>
          <w:rFonts w:ascii="宋体" w:hAnsi="宋体" w:cs="宋体" w:eastAsia="宋体" w:hint="default"/>
          <w:sz w:val="27"/>
          <w:szCs w:val="27"/>
        </w:rPr>
        <w:sectPr>
          <w:pgSz w:w="11910" w:h="16840"/>
          <w:pgMar w:header="878" w:footer="978" w:top="1100" w:bottom="1160" w:left="1020" w:right="0"/>
        </w:sectPr>
      </w:pPr>
    </w:p>
    <w:p>
      <w:pPr>
        <w:spacing w:line="240" w:lineRule="auto" w:before="8"/>
        <w:rPr>
          <w:rFonts w:ascii="宋体" w:hAnsi="宋体" w:cs="宋体" w:eastAsia="宋体" w:hint="default"/>
          <w:b/>
          <w:bCs/>
          <w:sz w:val="18"/>
          <w:szCs w:val="18"/>
        </w:rPr>
      </w:pPr>
    </w:p>
    <w:p>
      <w:pPr>
        <w:tabs>
          <w:tab w:pos="3064" w:val="left" w:leader="none"/>
          <w:tab w:pos="4663" w:val="left" w:leader="none"/>
          <w:tab w:pos="5990" w:val="left" w:leader="none"/>
        </w:tabs>
        <w:spacing w:before="0"/>
        <w:ind w:left="1010" w:right="-20" w:firstLine="0"/>
        <w:jc w:val="left"/>
        <w:rPr>
          <w:rFonts w:ascii="宋体" w:hAnsi="宋体" w:cs="宋体" w:eastAsia="宋体" w:hint="default"/>
          <w:sz w:val="18"/>
          <w:szCs w:val="18"/>
        </w:rPr>
      </w:pPr>
      <w:r>
        <w:rPr>
          <w:rFonts w:ascii="宋体" w:hAnsi="宋体" w:cs="宋体" w:eastAsia="宋体" w:hint="default"/>
          <w:sz w:val="18"/>
          <w:szCs w:val="18"/>
        </w:rPr>
        <w:t>子公司名称</w:t>
        <w:tab/>
        <w:t>主要经营地</w:t>
        <w:tab/>
        <w:t>注册地</w:t>
        <w:tab/>
        <w:t>业务性质</w:t>
      </w:r>
    </w:p>
    <w:p>
      <w:pPr>
        <w:tabs>
          <w:tab w:pos="1404" w:val="left" w:leader="none"/>
        </w:tabs>
        <w:spacing w:line="408" w:lineRule="auto" w:before="44"/>
        <w:ind w:left="624" w:right="0" w:firstLine="103"/>
        <w:jc w:val="left"/>
        <w:rPr>
          <w:rFonts w:ascii="宋体" w:hAnsi="宋体" w:cs="宋体" w:eastAsia="宋体" w:hint="default"/>
          <w:sz w:val="18"/>
          <w:szCs w:val="18"/>
        </w:rPr>
      </w:pPr>
      <w:r>
        <w:rPr/>
        <w:br w:type="column"/>
      </w:r>
      <w:r>
        <w:rPr>
          <w:rFonts w:ascii="宋体" w:hAnsi="宋体" w:cs="宋体" w:eastAsia="宋体" w:hint="default"/>
          <w:sz w:val="18"/>
          <w:szCs w:val="18"/>
        </w:rPr>
        <w:t>持股比例 直接</w:t>
        <w:tab/>
        <w:t>间接</w:t>
      </w:r>
    </w:p>
    <w:p>
      <w:pPr>
        <w:spacing w:line="240" w:lineRule="auto" w:before="8"/>
        <w:rPr>
          <w:rFonts w:ascii="宋体" w:hAnsi="宋体" w:cs="宋体" w:eastAsia="宋体" w:hint="default"/>
          <w:sz w:val="18"/>
          <w:szCs w:val="18"/>
        </w:rPr>
      </w:pPr>
      <w:r>
        <w:rPr/>
        <w:br w:type="column"/>
      </w:r>
      <w:r>
        <w:rPr>
          <w:rFonts w:ascii="宋体"/>
          <w:sz w:val="18"/>
        </w:rPr>
      </w:r>
    </w:p>
    <w:p>
      <w:pPr>
        <w:spacing w:before="0"/>
        <w:ind w:left="235" w:right="0" w:firstLine="0"/>
        <w:jc w:val="left"/>
        <w:rPr>
          <w:rFonts w:ascii="宋体" w:hAnsi="宋体" w:cs="宋体" w:eastAsia="宋体" w:hint="default"/>
          <w:sz w:val="18"/>
          <w:szCs w:val="18"/>
        </w:rPr>
      </w:pPr>
      <w:r>
        <w:rPr>
          <w:rFonts w:ascii="宋体" w:hAnsi="宋体" w:cs="宋体" w:eastAsia="宋体" w:hint="default"/>
          <w:sz w:val="18"/>
          <w:szCs w:val="18"/>
        </w:rPr>
        <w:t>取得方式</w:t>
      </w:r>
    </w:p>
    <w:p>
      <w:pPr>
        <w:spacing w:after="0"/>
        <w:jc w:val="left"/>
        <w:rPr>
          <w:rFonts w:ascii="宋体" w:hAnsi="宋体" w:cs="宋体" w:eastAsia="宋体" w:hint="default"/>
          <w:sz w:val="18"/>
          <w:szCs w:val="18"/>
        </w:rPr>
        <w:sectPr>
          <w:type w:val="continuous"/>
          <w:pgSz w:w="11910" w:h="16840"/>
          <w:pgMar w:top="1060" w:bottom="1160" w:left="1020" w:right="0"/>
          <w:cols w:num="3" w:equalWidth="0">
            <w:col w:w="6711" w:space="40"/>
            <w:col w:w="1765" w:space="40"/>
            <w:col w:w="2334"/>
          </w:cols>
        </w:sectPr>
      </w:pPr>
    </w:p>
    <w:p>
      <w:pPr>
        <w:tabs>
          <w:tab w:pos="8647" w:val="left" w:leader="none"/>
        </w:tabs>
        <w:spacing w:line="388" w:lineRule="auto" w:before="41"/>
        <w:ind w:left="141" w:right="1876" w:firstLine="0"/>
        <w:jc w:val="both"/>
        <w:rPr>
          <w:rFonts w:ascii="宋体" w:hAnsi="宋体" w:cs="宋体" w:eastAsia="宋体" w:hint="default"/>
          <w:sz w:val="18"/>
          <w:szCs w:val="18"/>
        </w:rPr>
      </w:pPr>
      <w:r>
        <w:rPr>
          <w:rFonts w:ascii="宋体" w:hAnsi="宋体" w:cs="宋体" w:eastAsia="宋体" w:hint="default"/>
          <w:sz w:val="18"/>
          <w:szCs w:val="18"/>
        </w:rPr>
        <w:t>北京亿信华辰软件有限责任公司  北京市海淀区    北京市海淀区    软件开发与销售   </w:t>
      </w:r>
      <w:r>
        <w:rPr>
          <w:rFonts w:ascii="宋体" w:hAnsi="宋体" w:cs="宋体" w:eastAsia="宋体" w:hint="default"/>
          <w:spacing w:val="68"/>
          <w:sz w:val="18"/>
          <w:szCs w:val="18"/>
        </w:rPr>
        <w:t> </w:t>
      </w:r>
      <w:r>
        <w:rPr>
          <w:rFonts w:ascii="Arial" w:hAnsi="Arial" w:cs="Arial" w:eastAsia="Arial" w:hint="default"/>
          <w:sz w:val="18"/>
          <w:szCs w:val="18"/>
        </w:rPr>
        <w:t>80.00%</w:t>
        <w:tab/>
      </w:r>
      <w:r>
        <w:rPr>
          <w:rFonts w:ascii="宋体" w:hAnsi="宋体" w:cs="宋体" w:eastAsia="宋体" w:hint="default"/>
          <w:sz w:val="18"/>
          <w:szCs w:val="18"/>
        </w:rPr>
        <w:t>设立 广州华宇信息技术有限公司      广州市海珠区    广州市海珠区    软件开发与销售  </w:t>
      </w:r>
      <w:r>
        <w:rPr>
          <w:rFonts w:ascii="宋体" w:hAnsi="宋体" w:cs="宋体" w:eastAsia="宋体" w:hint="default"/>
          <w:spacing w:val="57"/>
          <w:sz w:val="18"/>
          <w:szCs w:val="18"/>
        </w:rPr>
        <w:t> </w:t>
      </w:r>
      <w:r>
        <w:rPr>
          <w:rFonts w:ascii="Arial" w:hAnsi="Arial" w:cs="Arial" w:eastAsia="Arial" w:hint="default"/>
          <w:sz w:val="18"/>
          <w:szCs w:val="18"/>
        </w:rPr>
        <w:t>100.00%</w:t>
        <w:tab/>
      </w:r>
      <w:r>
        <w:rPr>
          <w:rFonts w:ascii="宋体" w:hAnsi="宋体" w:cs="宋体" w:eastAsia="宋体" w:hint="default"/>
          <w:sz w:val="18"/>
          <w:szCs w:val="18"/>
        </w:rPr>
        <w:t>设立 北京华宇信息技术有限公司      北京市海淀区    北京市海淀区    软件开发与销售  </w:t>
      </w:r>
      <w:r>
        <w:rPr>
          <w:rFonts w:ascii="宋体" w:hAnsi="宋体" w:cs="宋体" w:eastAsia="宋体" w:hint="default"/>
          <w:spacing w:val="57"/>
          <w:sz w:val="18"/>
          <w:szCs w:val="18"/>
        </w:rPr>
        <w:t> </w:t>
      </w:r>
      <w:r>
        <w:rPr>
          <w:rFonts w:ascii="Arial" w:hAnsi="Arial" w:cs="Arial" w:eastAsia="Arial" w:hint="default"/>
          <w:sz w:val="18"/>
          <w:szCs w:val="18"/>
        </w:rPr>
        <w:t>100.00%</w:t>
        <w:tab/>
      </w:r>
      <w:r>
        <w:rPr>
          <w:rFonts w:ascii="宋体" w:hAnsi="宋体" w:cs="宋体" w:eastAsia="宋体" w:hint="default"/>
          <w:sz w:val="18"/>
          <w:szCs w:val="18"/>
        </w:rPr>
        <w:t>设立 华宇（大连）信息服务有限公司  大连市甘井子区  大连市甘井子区  软件开发与销售  </w:t>
      </w:r>
      <w:r>
        <w:rPr>
          <w:rFonts w:ascii="宋体" w:hAnsi="宋体" w:cs="宋体" w:eastAsia="宋体" w:hint="default"/>
          <w:spacing w:val="57"/>
          <w:sz w:val="18"/>
          <w:szCs w:val="18"/>
        </w:rPr>
        <w:t> </w:t>
      </w:r>
      <w:r>
        <w:rPr>
          <w:rFonts w:ascii="Arial" w:hAnsi="Arial" w:cs="Arial" w:eastAsia="Arial" w:hint="default"/>
          <w:sz w:val="18"/>
          <w:szCs w:val="18"/>
        </w:rPr>
        <w:t>100.00%</w:t>
        <w:tab/>
      </w:r>
      <w:r>
        <w:rPr>
          <w:rFonts w:ascii="宋体" w:hAnsi="宋体" w:cs="宋体" w:eastAsia="宋体" w:hint="default"/>
          <w:sz w:val="18"/>
          <w:szCs w:val="18"/>
        </w:rPr>
        <w:t>设立</w:t>
      </w:r>
    </w:p>
    <w:p>
      <w:pPr>
        <w:spacing w:after="0" w:line="388" w:lineRule="auto"/>
        <w:jc w:val="both"/>
        <w:rPr>
          <w:rFonts w:ascii="宋体" w:hAnsi="宋体" w:cs="宋体" w:eastAsia="宋体" w:hint="default"/>
          <w:sz w:val="18"/>
          <w:szCs w:val="18"/>
        </w:rPr>
        <w:sectPr>
          <w:type w:val="continuous"/>
          <w:pgSz w:w="11910" w:h="16840"/>
          <w:pgMar w:top="1060" w:bottom="1160" w:left="1020" w:right="0"/>
        </w:sectPr>
      </w:pPr>
    </w:p>
    <w:p>
      <w:pPr>
        <w:spacing w:line="240" w:lineRule="auto" w:before="1"/>
        <w:rPr>
          <w:rFonts w:ascii="宋体" w:hAnsi="宋体" w:cs="宋体" w:eastAsia="宋体" w:hint="default"/>
          <w:sz w:val="14"/>
          <w:szCs w:val="14"/>
        </w:rPr>
      </w:pPr>
    </w:p>
    <w:p>
      <w:pPr>
        <w:tabs>
          <w:tab w:pos="4252" w:val="left" w:leader="none"/>
          <w:tab w:pos="5671" w:val="left" w:leader="none"/>
          <w:tab w:pos="7312" w:val="left" w:leader="none"/>
        </w:tabs>
        <w:spacing w:before="0"/>
        <w:ind w:left="141" w:right="-18" w:firstLine="0"/>
        <w:jc w:val="left"/>
        <w:rPr>
          <w:rFonts w:ascii="Arial" w:hAnsi="Arial" w:cs="Arial" w:eastAsia="Arial" w:hint="default"/>
          <w:sz w:val="18"/>
          <w:szCs w:val="18"/>
        </w:rPr>
      </w:pPr>
      <w:r>
        <w:rPr>
          <w:rFonts w:ascii="宋体" w:hAnsi="宋体" w:cs="宋体" w:eastAsia="宋体" w:hint="default"/>
          <w:sz w:val="18"/>
          <w:szCs w:val="18"/>
        </w:rPr>
        <w:t>华宇金信（北京）软件有限公司</w:t>
      </w:r>
      <w:r>
        <w:rPr>
          <w:rFonts w:ascii="宋体" w:hAnsi="宋体" w:cs="宋体" w:eastAsia="宋体" w:hint="default"/>
          <w:spacing w:val="85"/>
          <w:sz w:val="18"/>
          <w:szCs w:val="18"/>
        </w:rPr>
        <w:t> </w:t>
      </w:r>
      <w:r>
        <w:rPr>
          <w:rFonts w:ascii="宋体" w:hAnsi="宋体" w:cs="宋体" w:eastAsia="宋体" w:hint="default"/>
          <w:sz w:val="18"/>
          <w:szCs w:val="18"/>
        </w:rPr>
        <w:t>北京市海淀区</w:t>
        <w:tab/>
        <w:t>北京市海淀区</w:t>
        <w:tab/>
        <w:t>软件开发与销售</w:t>
        <w:tab/>
      </w:r>
      <w:r>
        <w:rPr>
          <w:rFonts w:ascii="Arial" w:hAnsi="Arial" w:cs="Arial" w:eastAsia="Arial" w:hint="default"/>
          <w:sz w:val="18"/>
          <w:szCs w:val="18"/>
        </w:rPr>
        <w:t>100.00%</w:t>
      </w:r>
    </w:p>
    <w:p>
      <w:pPr>
        <w:spacing w:line="316" w:lineRule="auto" w:before="27"/>
        <w:ind w:left="141" w:right="1319" w:firstLine="0"/>
        <w:jc w:val="left"/>
        <w:rPr>
          <w:rFonts w:ascii="宋体" w:hAnsi="宋体" w:cs="宋体" w:eastAsia="宋体" w:hint="default"/>
          <w:sz w:val="18"/>
          <w:szCs w:val="18"/>
        </w:rPr>
      </w:pPr>
      <w:r>
        <w:rPr/>
        <w:br w:type="column"/>
      </w:r>
      <w:r>
        <w:rPr>
          <w:rFonts w:ascii="宋体" w:hAnsi="宋体" w:cs="宋体" w:eastAsia="宋体" w:hint="default"/>
          <w:sz w:val="18"/>
          <w:szCs w:val="18"/>
        </w:rPr>
        <w:t>非同一控制 下企业合并</w:t>
      </w:r>
    </w:p>
    <w:p>
      <w:pPr>
        <w:spacing w:after="0" w:line="316" w:lineRule="auto"/>
        <w:jc w:val="left"/>
        <w:rPr>
          <w:rFonts w:ascii="宋体" w:hAnsi="宋体" w:cs="宋体" w:eastAsia="宋体" w:hint="default"/>
          <w:sz w:val="18"/>
          <w:szCs w:val="18"/>
        </w:rPr>
        <w:sectPr>
          <w:type w:val="continuous"/>
          <w:pgSz w:w="11910" w:h="16840"/>
          <w:pgMar w:top="1060" w:bottom="1160" w:left="1020" w:right="0"/>
          <w:cols w:num="2" w:equalWidth="0">
            <w:col w:w="8025" w:space="480"/>
            <w:col w:w="2385"/>
          </w:cols>
        </w:sectPr>
      </w:pPr>
    </w:p>
    <w:p>
      <w:pPr>
        <w:spacing w:line="240" w:lineRule="auto" w:before="2"/>
        <w:rPr>
          <w:rFonts w:ascii="宋体" w:hAnsi="宋体" w:cs="宋体" w:eastAsia="宋体" w:hint="default"/>
          <w:sz w:val="20"/>
          <w:szCs w:val="20"/>
        </w:rPr>
      </w:pPr>
    </w:p>
    <w:p>
      <w:pPr>
        <w:tabs>
          <w:tab w:pos="2836" w:val="left" w:leader="none"/>
          <w:tab w:pos="4252" w:val="left" w:leader="none"/>
        </w:tabs>
        <w:spacing w:before="0"/>
        <w:ind w:left="141" w:right="-20" w:firstLine="0"/>
        <w:jc w:val="left"/>
        <w:rPr>
          <w:rFonts w:ascii="宋体" w:hAnsi="宋体" w:cs="宋体" w:eastAsia="宋体" w:hint="default"/>
          <w:sz w:val="18"/>
          <w:szCs w:val="18"/>
        </w:rPr>
      </w:pPr>
      <w:r>
        <w:rPr>
          <w:rFonts w:ascii="宋体" w:hAnsi="宋体" w:cs="宋体" w:eastAsia="宋体" w:hint="default"/>
          <w:sz w:val="18"/>
          <w:szCs w:val="18"/>
        </w:rPr>
        <w:t>北京华宇信码技术有限公司</w:t>
        <w:tab/>
        <w:t>北京市海淀区</w:t>
        <w:tab/>
        <w:t>北京市海淀区</w:t>
      </w:r>
    </w:p>
    <w:p>
      <w:pPr>
        <w:spacing w:line="316" w:lineRule="auto" w:before="107"/>
        <w:ind w:left="14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技术开发与咨询、 服务</w:t>
      </w:r>
    </w:p>
    <w:p>
      <w:pPr>
        <w:spacing w:line="240" w:lineRule="auto" w:before="4"/>
        <w:rPr>
          <w:rFonts w:ascii="宋体" w:hAnsi="宋体" w:cs="宋体" w:eastAsia="宋体" w:hint="default"/>
          <w:sz w:val="20"/>
          <w:szCs w:val="20"/>
        </w:rPr>
      </w:pPr>
      <w:r>
        <w:rPr/>
        <w:br w:type="column"/>
      </w:r>
      <w:r>
        <w:rPr>
          <w:rFonts w:ascii="宋体"/>
          <w:sz w:val="20"/>
        </w:rPr>
      </w:r>
    </w:p>
    <w:p>
      <w:pPr>
        <w:tabs>
          <w:tab w:pos="1375" w:val="left" w:leader="none"/>
        </w:tabs>
        <w:spacing w:before="0"/>
        <w:ind w:left="141" w:right="0" w:firstLine="0"/>
        <w:jc w:val="left"/>
        <w:rPr>
          <w:rFonts w:ascii="宋体" w:hAnsi="宋体" w:cs="宋体" w:eastAsia="宋体" w:hint="default"/>
          <w:sz w:val="18"/>
          <w:szCs w:val="18"/>
        </w:rPr>
      </w:pPr>
      <w:r>
        <w:rPr>
          <w:rFonts w:ascii="Arial" w:hAnsi="Arial" w:cs="Arial" w:eastAsia="Arial" w:hint="default"/>
          <w:spacing w:val="-1"/>
          <w:sz w:val="18"/>
          <w:szCs w:val="18"/>
        </w:rPr>
        <w:t>51.00%</w:t>
        <w:tab/>
      </w:r>
      <w:r>
        <w:rPr>
          <w:rFonts w:ascii="宋体" w:hAnsi="宋体" w:cs="宋体" w:eastAsia="宋体" w:hint="default"/>
          <w:sz w:val="18"/>
          <w:szCs w:val="18"/>
        </w:rPr>
        <w:t>设立</w:t>
      </w:r>
    </w:p>
    <w:p>
      <w:pPr>
        <w:spacing w:after="0"/>
        <w:jc w:val="left"/>
        <w:rPr>
          <w:rFonts w:ascii="宋体" w:hAnsi="宋体" w:cs="宋体" w:eastAsia="宋体" w:hint="default"/>
          <w:sz w:val="18"/>
          <w:szCs w:val="18"/>
        </w:rPr>
        <w:sectPr>
          <w:type w:val="continuous"/>
          <w:pgSz w:w="11910" w:h="16840"/>
          <w:pgMar w:top="1060" w:bottom="1160" w:left="1020" w:right="0"/>
          <w:cols w:num="3" w:equalWidth="0">
            <w:col w:w="5333" w:space="196"/>
            <w:col w:w="1582" w:space="160"/>
            <w:col w:w="3619"/>
          </w:cols>
        </w:sectPr>
      </w:pPr>
    </w:p>
    <w:p>
      <w:pPr>
        <w:spacing w:line="240" w:lineRule="auto" w:before="4"/>
        <w:rPr>
          <w:rFonts w:ascii="宋体" w:hAnsi="宋体" w:cs="宋体" w:eastAsia="宋体" w:hint="default"/>
          <w:sz w:val="20"/>
          <w:szCs w:val="20"/>
        </w:rPr>
      </w:pPr>
    </w:p>
    <w:p>
      <w:pPr>
        <w:tabs>
          <w:tab w:pos="7312" w:val="left" w:leader="none"/>
        </w:tabs>
        <w:spacing w:before="0"/>
        <w:ind w:left="141" w:right="-18" w:firstLine="0"/>
        <w:jc w:val="left"/>
        <w:rPr>
          <w:rFonts w:ascii="Arial" w:hAnsi="Arial" w:cs="Arial" w:eastAsia="Arial" w:hint="default"/>
          <w:sz w:val="18"/>
          <w:szCs w:val="18"/>
        </w:rPr>
      </w:pPr>
      <w:r>
        <w:rPr>
          <w:rFonts w:ascii="宋体" w:hAnsi="宋体" w:cs="宋体" w:eastAsia="宋体" w:hint="default"/>
          <w:sz w:val="18"/>
          <w:szCs w:val="18"/>
        </w:rPr>
        <w:t>上海浦东华宇信息技术有限公司  上海市浦东新区  上海市浦东新区</w:t>
      </w:r>
      <w:r>
        <w:rPr>
          <w:rFonts w:ascii="宋体" w:hAnsi="宋体" w:cs="宋体" w:eastAsia="宋体" w:hint="default"/>
          <w:spacing w:val="39"/>
          <w:sz w:val="18"/>
          <w:szCs w:val="18"/>
        </w:rPr>
        <w:t> </w:t>
      </w:r>
      <w:r>
        <w:rPr>
          <w:rFonts w:ascii="宋体" w:hAnsi="宋体" w:cs="宋体" w:eastAsia="宋体" w:hint="default"/>
          <w:sz w:val="18"/>
          <w:szCs w:val="18"/>
        </w:rPr>
        <w:t>软件开发与销售</w:t>
        <w:tab/>
      </w:r>
      <w:r>
        <w:rPr>
          <w:rFonts w:ascii="Arial" w:hAnsi="Arial" w:cs="Arial" w:eastAsia="Arial" w:hint="default"/>
          <w:sz w:val="18"/>
          <w:szCs w:val="18"/>
        </w:rPr>
        <w:t>100.00%</w:t>
      </w:r>
    </w:p>
    <w:p>
      <w:pPr>
        <w:spacing w:line="316" w:lineRule="auto" w:before="110"/>
        <w:ind w:left="141" w:right="1319" w:firstLine="0"/>
        <w:jc w:val="left"/>
        <w:rPr>
          <w:rFonts w:ascii="宋体" w:hAnsi="宋体" w:cs="宋体" w:eastAsia="宋体" w:hint="default"/>
          <w:sz w:val="18"/>
          <w:szCs w:val="18"/>
        </w:rPr>
      </w:pPr>
      <w:r>
        <w:rPr/>
        <w:br w:type="column"/>
      </w:r>
      <w:r>
        <w:rPr>
          <w:rFonts w:ascii="宋体" w:hAnsi="宋体" w:cs="宋体" w:eastAsia="宋体" w:hint="default"/>
          <w:sz w:val="18"/>
          <w:szCs w:val="18"/>
        </w:rPr>
        <w:t>非同一控制 下企业合并</w:t>
      </w:r>
    </w:p>
    <w:p>
      <w:pPr>
        <w:spacing w:after="0" w:line="316" w:lineRule="auto"/>
        <w:jc w:val="left"/>
        <w:rPr>
          <w:rFonts w:ascii="宋体" w:hAnsi="宋体" w:cs="宋体" w:eastAsia="宋体" w:hint="default"/>
          <w:sz w:val="18"/>
          <w:szCs w:val="18"/>
        </w:rPr>
        <w:sectPr>
          <w:type w:val="continuous"/>
          <w:pgSz w:w="11910" w:h="16840"/>
          <w:pgMar w:top="1060" w:bottom="1160" w:left="1020" w:right="0"/>
          <w:cols w:num="2" w:equalWidth="0">
            <w:col w:w="8025" w:space="480"/>
            <w:col w:w="2385"/>
          </w:cols>
        </w:sectPr>
      </w:pPr>
    </w:p>
    <w:p>
      <w:pPr>
        <w:spacing w:line="240" w:lineRule="auto" w:before="4"/>
        <w:rPr>
          <w:rFonts w:ascii="宋体" w:hAnsi="宋体" w:cs="宋体" w:eastAsia="宋体" w:hint="default"/>
          <w:sz w:val="20"/>
          <w:szCs w:val="20"/>
        </w:rPr>
      </w:pPr>
    </w:p>
    <w:p>
      <w:pPr>
        <w:tabs>
          <w:tab w:pos="2836" w:val="left" w:leader="none"/>
          <w:tab w:pos="4252" w:val="left" w:leader="none"/>
          <w:tab w:pos="5671" w:val="left" w:leader="none"/>
          <w:tab w:pos="7312" w:val="left" w:leader="none"/>
        </w:tabs>
        <w:spacing w:before="0"/>
        <w:ind w:left="141" w:right="-18" w:firstLine="0"/>
        <w:jc w:val="left"/>
        <w:rPr>
          <w:rFonts w:ascii="Arial" w:hAnsi="Arial" w:cs="Arial" w:eastAsia="Arial" w:hint="default"/>
          <w:sz w:val="18"/>
          <w:szCs w:val="18"/>
        </w:rPr>
      </w:pPr>
      <w:r>
        <w:rPr>
          <w:rFonts w:ascii="宋体" w:hAnsi="宋体" w:cs="宋体" w:eastAsia="宋体" w:hint="default"/>
          <w:sz w:val="18"/>
          <w:szCs w:val="18"/>
        </w:rPr>
        <w:t>北京万户网络技术有限公司</w:t>
        <w:tab/>
        <w:t>北京市海淀区</w:t>
        <w:tab/>
        <w:t>北京市海淀区</w:t>
        <w:tab/>
        <w:t>软件开发与销售</w:t>
        <w:tab/>
      </w:r>
      <w:r>
        <w:rPr>
          <w:rFonts w:ascii="Arial" w:hAnsi="Arial" w:cs="Arial" w:eastAsia="Arial" w:hint="default"/>
          <w:sz w:val="18"/>
          <w:szCs w:val="18"/>
        </w:rPr>
        <w:t>100.00%</w:t>
      </w:r>
    </w:p>
    <w:p>
      <w:pPr>
        <w:spacing w:line="316" w:lineRule="auto" w:before="107"/>
        <w:ind w:left="141" w:right="1319" w:firstLine="0"/>
        <w:jc w:val="left"/>
        <w:rPr>
          <w:rFonts w:ascii="宋体" w:hAnsi="宋体" w:cs="宋体" w:eastAsia="宋体" w:hint="default"/>
          <w:sz w:val="18"/>
          <w:szCs w:val="18"/>
        </w:rPr>
      </w:pPr>
      <w:r>
        <w:rPr/>
        <w:br w:type="column"/>
      </w:r>
      <w:r>
        <w:rPr>
          <w:rFonts w:ascii="宋体" w:hAnsi="宋体" w:cs="宋体" w:eastAsia="宋体" w:hint="default"/>
          <w:sz w:val="18"/>
          <w:szCs w:val="18"/>
        </w:rPr>
        <w:t>非同一控制 下企业合并</w:t>
      </w:r>
    </w:p>
    <w:p>
      <w:pPr>
        <w:spacing w:after="0" w:line="316" w:lineRule="auto"/>
        <w:jc w:val="left"/>
        <w:rPr>
          <w:rFonts w:ascii="宋体" w:hAnsi="宋体" w:cs="宋体" w:eastAsia="宋体" w:hint="default"/>
          <w:sz w:val="18"/>
          <w:szCs w:val="18"/>
        </w:rPr>
        <w:sectPr>
          <w:type w:val="continuous"/>
          <w:pgSz w:w="11910" w:h="16840"/>
          <w:pgMar w:top="1060" w:bottom="1160" w:left="1020" w:right="0"/>
          <w:cols w:num="2" w:equalWidth="0">
            <w:col w:w="8025" w:space="480"/>
            <w:col w:w="2385"/>
          </w:cols>
        </w:sectPr>
      </w:pPr>
    </w:p>
    <w:p>
      <w:pPr>
        <w:spacing w:line="240" w:lineRule="auto" w:before="4"/>
        <w:rPr>
          <w:rFonts w:ascii="宋体" w:hAnsi="宋体" w:cs="宋体" w:eastAsia="宋体" w:hint="default"/>
          <w:sz w:val="20"/>
          <w:szCs w:val="20"/>
        </w:rPr>
      </w:pPr>
    </w:p>
    <w:p>
      <w:pPr>
        <w:tabs>
          <w:tab w:pos="4252" w:val="left" w:leader="none"/>
        </w:tabs>
        <w:spacing w:before="0"/>
        <w:ind w:left="141" w:right="-20" w:firstLine="0"/>
        <w:jc w:val="left"/>
        <w:rPr>
          <w:rFonts w:ascii="宋体" w:hAnsi="宋体" w:cs="宋体" w:eastAsia="宋体" w:hint="default"/>
          <w:sz w:val="18"/>
          <w:szCs w:val="18"/>
        </w:rPr>
      </w:pPr>
      <w:r>
        <w:rPr>
          <w:rFonts w:ascii="宋体" w:hAnsi="宋体" w:cs="宋体" w:eastAsia="宋体" w:hint="default"/>
          <w:sz w:val="18"/>
          <w:szCs w:val="18"/>
        </w:rPr>
        <w:t>北京华宇元典信息服务有限公司</w:t>
      </w:r>
      <w:r>
        <w:rPr>
          <w:rFonts w:ascii="宋体" w:hAnsi="宋体" w:cs="宋体" w:eastAsia="宋体" w:hint="default"/>
          <w:spacing w:val="85"/>
          <w:sz w:val="18"/>
          <w:szCs w:val="18"/>
        </w:rPr>
        <w:t> </w:t>
      </w:r>
      <w:r>
        <w:rPr>
          <w:rFonts w:ascii="宋体" w:hAnsi="宋体" w:cs="宋体" w:eastAsia="宋体" w:hint="default"/>
          <w:sz w:val="18"/>
          <w:szCs w:val="18"/>
        </w:rPr>
        <w:t>北京市海淀区</w:t>
        <w:tab/>
        <w:t>北京市海淀区</w:t>
      </w:r>
    </w:p>
    <w:p>
      <w:pPr>
        <w:spacing w:line="316" w:lineRule="auto" w:before="110"/>
        <w:ind w:left="14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软件开发与销售、 技术咨询</w:t>
      </w:r>
    </w:p>
    <w:p>
      <w:pPr>
        <w:spacing w:line="240" w:lineRule="auto" w:before="4"/>
        <w:rPr>
          <w:rFonts w:ascii="宋体" w:hAnsi="宋体" w:cs="宋体" w:eastAsia="宋体" w:hint="default"/>
          <w:sz w:val="20"/>
          <w:szCs w:val="20"/>
        </w:rPr>
      </w:pPr>
      <w:r>
        <w:rPr/>
        <w:br w:type="column"/>
      </w:r>
      <w:r>
        <w:rPr>
          <w:rFonts w:ascii="宋体"/>
          <w:sz w:val="20"/>
        </w:rPr>
      </w:r>
    </w:p>
    <w:p>
      <w:pPr>
        <w:tabs>
          <w:tab w:pos="1375" w:val="left" w:leader="none"/>
        </w:tabs>
        <w:spacing w:before="0"/>
        <w:ind w:left="141" w:right="0" w:firstLine="0"/>
        <w:jc w:val="left"/>
        <w:rPr>
          <w:rFonts w:ascii="宋体" w:hAnsi="宋体" w:cs="宋体" w:eastAsia="宋体" w:hint="default"/>
          <w:sz w:val="18"/>
          <w:szCs w:val="18"/>
        </w:rPr>
      </w:pPr>
      <w:r>
        <w:rPr>
          <w:rFonts w:ascii="Arial" w:hAnsi="Arial" w:cs="Arial" w:eastAsia="Arial" w:hint="default"/>
          <w:spacing w:val="-1"/>
          <w:sz w:val="18"/>
          <w:szCs w:val="18"/>
        </w:rPr>
        <w:t>37.50%</w:t>
        <w:tab/>
      </w:r>
      <w:r>
        <w:rPr>
          <w:rFonts w:ascii="宋体" w:hAnsi="宋体" w:cs="宋体" w:eastAsia="宋体" w:hint="default"/>
          <w:sz w:val="18"/>
          <w:szCs w:val="18"/>
        </w:rPr>
        <w:t>设立</w:t>
      </w:r>
    </w:p>
    <w:p>
      <w:pPr>
        <w:spacing w:after="0"/>
        <w:jc w:val="left"/>
        <w:rPr>
          <w:rFonts w:ascii="宋体" w:hAnsi="宋体" w:cs="宋体" w:eastAsia="宋体" w:hint="default"/>
          <w:sz w:val="18"/>
          <w:szCs w:val="18"/>
        </w:rPr>
        <w:sectPr>
          <w:type w:val="continuous"/>
          <w:pgSz w:w="11910" w:h="16840"/>
          <w:pgMar w:top="1060" w:bottom="1160" w:left="1020" w:right="0"/>
          <w:cols w:num="3" w:equalWidth="0">
            <w:col w:w="5333" w:space="196"/>
            <w:col w:w="1582" w:space="160"/>
            <w:col w:w="3619"/>
          </w:cols>
        </w:sectPr>
      </w:pPr>
    </w:p>
    <w:p>
      <w:pPr>
        <w:spacing w:line="240" w:lineRule="auto" w:before="2"/>
        <w:rPr>
          <w:rFonts w:ascii="宋体" w:hAnsi="宋体" w:cs="宋体" w:eastAsia="宋体" w:hint="default"/>
          <w:sz w:val="20"/>
          <w:szCs w:val="20"/>
        </w:rPr>
      </w:pPr>
    </w:p>
    <w:p>
      <w:pPr>
        <w:tabs>
          <w:tab w:pos="4252" w:val="left" w:leader="none"/>
        </w:tabs>
        <w:spacing w:before="0"/>
        <w:ind w:left="141" w:right="-20" w:firstLine="0"/>
        <w:jc w:val="left"/>
        <w:rPr>
          <w:rFonts w:ascii="宋体" w:hAnsi="宋体" w:cs="宋体" w:eastAsia="宋体" w:hint="default"/>
          <w:sz w:val="18"/>
          <w:szCs w:val="18"/>
        </w:rPr>
      </w:pPr>
      <w:r>
        <w:rPr>
          <w:rFonts w:ascii="宋体" w:hAnsi="宋体" w:cs="宋体" w:eastAsia="宋体" w:hint="default"/>
          <w:spacing w:val="-5"/>
          <w:sz w:val="18"/>
          <w:szCs w:val="18"/>
        </w:rPr>
        <w:t>溯源云（北京）科技服务有限公司</w:t>
      </w:r>
      <w:r>
        <w:rPr>
          <w:rFonts w:ascii="宋体" w:hAnsi="宋体" w:cs="宋体" w:eastAsia="宋体" w:hint="default"/>
          <w:spacing w:val="-22"/>
          <w:sz w:val="18"/>
          <w:szCs w:val="18"/>
        </w:rPr>
        <w:t> </w:t>
      </w:r>
      <w:r>
        <w:rPr>
          <w:rFonts w:ascii="宋体" w:hAnsi="宋体" w:cs="宋体" w:eastAsia="宋体" w:hint="default"/>
          <w:sz w:val="18"/>
          <w:szCs w:val="18"/>
        </w:rPr>
        <w:t>北京市海淀区</w:t>
        <w:tab/>
        <w:t>北京市海淀区</w:t>
      </w:r>
    </w:p>
    <w:p>
      <w:pPr>
        <w:spacing w:line="316" w:lineRule="auto" w:before="107"/>
        <w:ind w:left="14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技术开发与咨询、 服务</w:t>
      </w:r>
    </w:p>
    <w:p>
      <w:pPr>
        <w:spacing w:line="240" w:lineRule="auto" w:before="4"/>
        <w:rPr>
          <w:rFonts w:ascii="宋体" w:hAnsi="宋体" w:cs="宋体" w:eastAsia="宋体" w:hint="default"/>
          <w:sz w:val="20"/>
          <w:szCs w:val="20"/>
        </w:rPr>
      </w:pPr>
      <w:r>
        <w:rPr/>
        <w:br w:type="column"/>
      </w:r>
      <w:r>
        <w:rPr>
          <w:rFonts w:ascii="宋体"/>
          <w:sz w:val="20"/>
        </w:rPr>
      </w:r>
    </w:p>
    <w:p>
      <w:pPr>
        <w:tabs>
          <w:tab w:pos="1375" w:val="left" w:leader="none"/>
        </w:tabs>
        <w:spacing w:before="0"/>
        <w:ind w:left="141" w:right="0" w:firstLine="0"/>
        <w:jc w:val="left"/>
        <w:rPr>
          <w:rFonts w:ascii="宋体" w:hAnsi="宋体" w:cs="宋体" w:eastAsia="宋体" w:hint="default"/>
          <w:sz w:val="18"/>
          <w:szCs w:val="18"/>
        </w:rPr>
      </w:pPr>
      <w:r>
        <w:rPr>
          <w:rFonts w:ascii="Arial" w:hAnsi="Arial" w:cs="Arial" w:eastAsia="Arial" w:hint="default"/>
          <w:spacing w:val="-1"/>
          <w:sz w:val="18"/>
          <w:szCs w:val="18"/>
        </w:rPr>
        <w:t>45.00%</w:t>
        <w:tab/>
      </w:r>
      <w:r>
        <w:rPr>
          <w:rFonts w:ascii="宋体" w:hAnsi="宋体" w:cs="宋体" w:eastAsia="宋体" w:hint="default"/>
          <w:sz w:val="18"/>
          <w:szCs w:val="18"/>
        </w:rPr>
        <w:t>设立</w:t>
      </w:r>
    </w:p>
    <w:p>
      <w:pPr>
        <w:spacing w:after="0"/>
        <w:jc w:val="left"/>
        <w:rPr>
          <w:rFonts w:ascii="宋体" w:hAnsi="宋体" w:cs="宋体" w:eastAsia="宋体" w:hint="default"/>
          <w:sz w:val="18"/>
          <w:szCs w:val="18"/>
        </w:rPr>
        <w:sectPr>
          <w:type w:val="continuous"/>
          <w:pgSz w:w="11910" w:h="16840"/>
          <w:pgMar w:top="1060" w:bottom="1160" w:left="1020" w:right="0"/>
          <w:cols w:num="3" w:equalWidth="0">
            <w:col w:w="5333" w:space="196"/>
            <w:col w:w="1582" w:space="160"/>
            <w:col w:w="3619"/>
          </w:cols>
        </w:sectPr>
      </w:pPr>
    </w:p>
    <w:p>
      <w:pPr>
        <w:spacing w:line="240" w:lineRule="auto" w:before="4"/>
        <w:rPr>
          <w:rFonts w:ascii="宋体" w:hAnsi="宋体" w:cs="宋体" w:eastAsia="宋体" w:hint="default"/>
          <w:sz w:val="20"/>
          <w:szCs w:val="20"/>
        </w:rPr>
      </w:pPr>
    </w:p>
    <w:p>
      <w:pPr>
        <w:tabs>
          <w:tab w:pos="2836" w:val="left" w:leader="none"/>
          <w:tab w:pos="4252" w:val="left" w:leader="none"/>
        </w:tabs>
        <w:spacing w:before="0"/>
        <w:ind w:left="141" w:right="-20" w:firstLine="0"/>
        <w:jc w:val="left"/>
        <w:rPr>
          <w:rFonts w:ascii="宋体" w:hAnsi="宋体" w:cs="宋体" w:eastAsia="宋体" w:hint="default"/>
          <w:sz w:val="18"/>
          <w:szCs w:val="18"/>
        </w:rPr>
      </w:pPr>
      <w:r>
        <w:rPr>
          <w:rFonts w:ascii="宋体" w:hAnsi="宋体" w:cs="宋体" w:eastAsia="宋体" w:hint="default"/>
          <w:sz w:val="18"/>
          <w:szCs w:val="18"/>
        </w:rPr>
        <w:t>联奕科技有限公司</w:t>
        <w:tab/>
        <w:t>广州市天河区</w:t>
        <w:tab/>
        <w:t>广州市天河区</w:t>
      </w:r>
    </w:p>
    <w:p>
      <w:pPr>
        <w:spacing w:line="316" w:lineRule="auto" w:before="110"/>
        <w:ind w:left="14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软件开发与销售、 技术咨询</w:t>
      </w:r>
    </w:p>
    <w:p>
      <w:pPr>
        <w:spacing w:line="240" w:lineRule="auto" w:before="6"/>
        <w:rPr>
          <w:rFonts w:ascii="宋体" w:hAnsi="宋体" w:cs="宋体" w:eastAsia="宋体" w:hint="default"/>
          <w:sz w:val="23"/>
          <w:szCs w:val="23"/>
        </w:rPr>
      </w:pPr>
      <w:r>
        <w:rPr/>
        <w:br w:type="column"/>
      </w:r>
      <w:r>
        <w:rPr>
          <w:rFonts w:ascii="宋体"/>
          <w:sz w:val="23"/>
        </w:rPr>
      </w:r>
    </w:p>
    <w:p>
      <w:pPr>
        <w:spacing w:before="0"/>
        <w:ind w:left="141" w:right="-18" w:firstLine="0"/>
        <w:jc w:val="left"/>
        <w:rPr>
          <w:rFonts w:ascii="Arial" w:hAnsi="Arial" w:cs="Arial" w:eastAsia="Arial" w:hint="default"/>
          <w:sz w:val="18"/>
          <w:szCs w:val="18"/>
        </w:rPr>
      </w:pPr>
      <w:r>
        <w:rPr>
          <w:rFonts w:ascii="Arial"/>
          <w:sz w:val="18"/>
        </w:rPr>
        <w:t>100.00%</w:t>
      </w:r>
    </w:p>
    <w:p>
      <w:pPr>
        <w:spacing w:line="316" w:lineRule="auto" w:before="110"/>
        <w:ind w:left="141" w:right="1319" w:firstLine="0"/>
        <w:jc w:val="left"/>
        <w:rPr>
          <w:rFonts w:ascii="宋体" w:hAnsi="宋体" w:cs="宋体" w:eastAsia="宋体" w:hint="default"/>
          <w:sz w:val="18"/>
          <w:szCs w:val="18"/>
        </w:rPr>
      </w:pPr>
      <w:r>
        <w:rPr/>
        <w:br w:type="column"/>
      </w:r>
      <w:r>
        <w:rPr>
          <w:rFonts w:ascii="宋体" w:hAnsi="宋体" w:cs="宋体" w:eastAsia="宋体" w:hint="default"/>
          <w:sz w:val="18"/>
          <w:szCs w:val="18"/>
        </w:rPr>
        <w:t>非同一控制 下企业合并</w:t>
      </w:r>
    </w:p>
    <w:p>
      <w:pPr>
        <w:spacing w:after="0" w:line="316" w:lineRule="auto"/>
        <w:jc w:val="left"/>
        <w:rPr>
          <w:rFonts w:ascii="宋体" w:hAnsi="宋体" w:cs="宋体" w:eastAsia="宋体" w:hint="default"/>
          <w:sz w:val="18"/>
          <w:szCs w:val="18"/>
        </w:rPr>
        <w:sectPr>
          <w:type w:val="continuous"/>
          <w:pgSz w:w="11910" w:h="16840"/>
          <w:pgMar w:top="1060" w:bottom="1160" w:left="1020" w:right="0"/>
          <w:cols w:num="4" w:equalWidth="0">
            <w:col w:w="5333" w:space="196"/>
            <w:col w:w="1582" w:space="60"/>
            <w:col w:w="854" w:space="480"/>
            <w:col w:w="2385"/>
          </w:cols>
        </w:sectPr>
      </w:pPr>
    </w:p>
    <w:p>
      <w:pPr>
        <w:spacing w:line="240" w:lineRule="auto" w:before="12"/>
        <w:rPr>
          <w:rFonts w:ascii="宋体" w:hAnsi="宋体" w:cs="宋体" w:eastAsia="宋体" w:hint="default"/>
          <w:sz w:val="9"/>
          <w:szCs w:val="9"/>
        </w:rPr>
      </w:pPr>
    </w:p>
    <w:p>
      <w:pPr>
        <w:pStyle w:val="BodyText"/>
        <w:spacing w:line="240" w:lineRule="auto"/>
        <w:ind w:right="996"/>
        <w:jc w:val="left"/>
      </w:pPr>
      <w:r>
        <w:rPr/>
        <w:pict>
          <v:group style="position:absolute;margin-left:56.220001pt;margin-top:-374.776337pt;width:479.55pt;height:371.5pt;mso-position-horizontal-relative:page;mso-position-vertical-relative:paragraph;z-index:-861544" coordorigin="1124,-7496" coordsize="9591,7430">
            <v:group style="position:absolute;left:1137;top:-7484;width:2689;height:798" coordorigin="1137,-7484" coordsize="2689,798">
              <v:shape style="position:absolute;left:1137;top:-7484;width:2689;height:798" coordorigin="1137,-7484" coordsize="2689,798" path="m1137,-7484l3826,-7484,3826,-6686,1137,-6686,1137,-7484xe" filled="true" fillcolor="#d2d2d2" stroked="false">
                <v:path arrowok="t"/>
                <v:fill type="solid"/>
              </v:shape>
            </v:group>
            <v:group style="position:absolute;left:3831;top:-7484;width:1412;height:798" coordorigin="3831,-7484" coordsize="1412,798">
              <v:shape style="position:absolute;left:3831;top:-7484;width:1412;height:798" coordorigin="3831,-7484" coordsize="1412,798" path="m3831,-7484l5243,-7484,5243,-6686,3831,-6686,3831,-7484xe" filled="true" fillcolor="#d2d2d2" stroked="false">
                <v:path arrowok="t"/>
                <v:fill type="solid"/>
              </v:shape>
            </v:group>
            <v:group style="position:absolute;left:5248;top:-7484;width:1413;height:798" coordorigin="5248,-7484" coordsize="1413,798">
              <v:shape style="position:absolute;left:5248;top:-7484;width:1413;height:798" coordorigin="5248,-7484" coordsize="1413,798" path="m5248,-7484l6661,-7484,6661,-6686,5248,-6686,5248,-7484xe" filled="true" fillcolor="#d2d2d2" stroked="false">
                <v:path arrowok="t"/>
                <v:fill type="solid"/>
              </v:shape>
            </v:group>
            <v:group style="position:absolute;left:6666;top:-7484;width:1412;height:798" coordorigin="6666,-7484" coordsize="1412,798">
              <v:shape style="position:absolute;left:6666;top:-7484;width:1412;height:798" coordorigin="6666,-7484" coordsize="1412,798" path="m6666,-7484l8078,-7484,8078,-6686,6666,-6686,6666,-7484xe" filled="true" fillcolor="#d2d2d2" stroked="false">
                <v:path arrowok="t"/>
                <v:fill type="solid"/>
              </v:shape>
            </v:group>
            <v:group style="position:absolute;left:8083;top:-7484;width:1554;height:397" coordorigin="8083,-7484" coordsize="1554,397">
              <v:shape style="position:absolute;left:8083;top:-7484;width:1554;height:397" coordorigin="8083,-7484" coordsize="1554,397" path="m8083,-7484l9637,-7484,9637,-7087,8083,-7087,8083,-7484xe" filled="true" fillcolor="#d2d2d2" stroked="false">
                <v:path arrowok="t"/>
                <v:fill type="solid"/>
              </v:shape>
            </v:group>
            <v:group style="position:absolute;left:9642;top:-7484;width:1061;height:798" coordorigin="9642,-7484" coordsize="1061,798">
              <v:shape style="position:absolute;left:9642;top:-7484;width:1061;height:798" coordorigin="9642,-7484" coordsize="1061,798" path="m9642,-7484l10703,-7484,10703,-6686,9642,-6686,9642,-7484xe" filled="true" fillcolor="#d2d2d2" stroked="false">
                <v:path arrowok="t"/>
                <v:fill type="solid"/>
              </v:shape>
            </v:group>
            <v:group style="position:absolute;left:8083;top:-7082;width:987;height:397" coordorigin="8083,-7082" coordsize="987,397">
              <v:shape style="position:absolute;left:8083;top:-7082;width:987;height:397" coordorigin="8083,-7082" coordsize="987,397" path="m8083,-7082l9070,-7082,9070,-6685,8083,-6685,8083,-7082xe" filled="true" fillcolor="#d2d2d2" stroked="false">
                <v:path arrowok="t"/>
                <v:fill type="solid"/>
              </v:shape>
            </v:group>
            <v:group style="position:absolute;left:9075;top:-7082;width:562;height:397" coordorigin="9075,-7082" coordsize="562,397">
              <v:shape style="position:absolute;left:9075;top:-7082;width:562;height:397" coordorigin="9075,-7082" coordsize="562,397" path="m9075,-7082l9637,-7082,9637,-6685,9075,-6685,9075,-7082xe" filled="true" fillcolor="#d2d2d2" stroked="false">
                <v:path arrowok="t"/>
                <v:fill type="solid"/>
              </v:shape>
            </v:group>
            <v:group style="position:absolute;left:1129;top:-7486;width:9581;height:2" coordorigin="1129,-7486" coordsize="9581,2">
              <v:shape style="position:absolute;left:1129;top:-7486;width:9581;height:2" coordorigin="1129,-7486" coordsize="9581,0" path="m1129,-7486l10710,-7486e" filled="false" stroked="true" strokeweight=".48pt" strokecolor="#000000">
                <v:path arrowok="t"/>
              </v:shape>
            </v:group>
            <v:group style="position:absolute;left:8075;top:-7084;width:1569;height:2" coordorigin="8075,-7084" coordsize="1569,2">
              <v:shape style="position:absolute;left:8075;top:-7084;width:1569;height:2" coordorigin="8075,-7084" coordsize="1569,0" path="m8075,-7084l9644,-7084e" filled="false" stroked="true" strokeweight=".48pt" strokecolor="#000000">
                <v:path arrowok="t"/>
              </v:shape>
            </v:group>
            <v:group style="position:absolute;left:1129;top:-6682;width:9581;height:2" coordorigin="1129,-6682" coordsize="9581,2">
              <v:shape style="position:absolute;left:1129;top:-6682;width:9581;height:2" coordorigin="1129,-6682" coordsize="9581,0" path="m1129,-6682l10710,-6682e" filled="false" stroked="true" strokeweight=".48pt" strokecolor="#000000">
                <v:path arrowok="t"/>
              </v:shape>
            </v:group>
            <v:group style="position:absolute;left:8083;top:-4358;width:987;height:709" coordorigin="8083,-4358" coordsize="987,709">
              <v:shape style="position:absolute;left:8083;top:-4358;width:987;height:709" coordorigin="8083,-4358" coordsize="987,709" path="m8083,-4358l9070,-4358,9070,-3649,8083,-3649,8083,-4358xe" filled="true" fillcolor="#ffffff" stroked="false">
                <v:path arrowok="t"/>
                <v:fill type="solid"/>
              </v:shape>
            </v:group>
            <v:group style="position:absolute;left:1129;top:-4360;width:9581;height:2" coordorigin="1129,-4360" coordsize="9581,2">
              <v:shape style="position:absolute;left:1129;top:-4360;width:9581;height:2" coordorigin="1129,-4360" coordsize="9581,0" path="m1129,-4360l10710,-4360e" filled="false" stroked="true" strokeweight=".48pt" strokecolor="#000000">
                <v:path arrowok="t"/>
              </v:shape>
            </v:group>
            <v:group style="position:absolute;left:1129;top:-3646;width:9581;height:2" coordorigin="1129,-3646" coordsize="9581,2">
              <v:shape style="position:absolute;left:1129;top:-3646;width:9581;height:2" coordorigin="1129,-3646" coordsize="9581,0" path="m1129,-3646l10710,-3646e" filled="false" stroked="true" strokeweight=".48pt" strokecolor="#000000">
                <v:path arrowok="t"/>
              </v:shape>
            </v:group>
            <v:group style="position:absolute;left:8083;top:-2216;width:987;height:709" coordorigin="8083,-2216" coordsize="987,709">
              <v:shape style="position:absolute;left:8083;top:-2216;width:987;height:709" coordorigin="8083,-2216" coordsize="987,709" path="m8083,-2216l9070,-2216,9070,-1507,8083,-1507,8083,-2216xe" filled="true" fillcolor="#ffffff" stroked="false">
                <v:path arrowok="t"/>
                <v:fill type="solid"/>
              </v:shape>
            </v:group>
            <v:group style="position:absolute;left:8083;top:-1502;width:987;height:709" coordorigin="8083,-1502" coordsize="987,709">
              <v:shape style="position:absolute;left:8083;top:-1502;width:987;height:709" coordorigin="8083,-1502" coordsize="987,709" path="m8083,-1502l9070,-1502,9070,-793,8083,-793,8083,-1502xe" filled="true" fillcolor="#ffffff" stroked="false">
                <v:path arrowok="t"/>
                <v:fill type="solid"/>
              </v:shape>
            </v:group>
            <v:group style="position:absolute;left:8083;top:-788;width:987;height:709" coordorigin="8083,-788" coordsize="987,709">
              <v:shape style="position:absolute;left:8083;top:-788;width:987;height:709" coordorigin="8083,-788" coordsize="987,709" path="m8083,-788l9070,-788,9070,-79,8083,-79,8083,-788xe" filled="true" fillcolor="#ffffff" stroked="false">
                <v:path arrowok="t"/>
                <v:fill type="solid"/>
              </v:shape>
            </v:group>
            <v:group style="position:absolute;left:1129;top:-2218;width:9581;height:2" coordorigin="1129,-2218" coordsize="9581,2">
              <v:shape style="position:absolute;left:1129;top:-2218;width:9581;height:2" coordorigin="1129,-2218" coordsize="9581,0" path="m1129,-2218l10710,-2218e" filled="false" stroked="true" strokeweight=".48pt" strokecolor="#000000">
                <v:path arrowok="t"/>
              </v:shape>
            </v:group>
            <v:group style="position:absolute;left:1129;top:-1504;width:9581;height:2" coordorigin="1129,-1504" coordsize="9581,2">
              <v:shape style="position:absolute;left:1129;top:-1504;width:9581;height:2" coordorigin="1129,-1504" coordsize="9581,0" path="m1129,-1504l10710,-1504e" filled="false" stroked="true" strokeweight=".48pt" strokecolor="#000000">
                <v:path arrowok="t"/>
              </v:shape>
            </v:group>
            <v:group style="position:absolute;left:1129;top:-790;width:9581;height:2" coordorigin="1129,-790" coordsize="9581,2">
              <v:shape style="position:absolute;left:1129;top:-790;width:9581;height:2" coordorigin="1129,-790" coordsize="9581,0" path="m1129,-790l10710,-790e" filled="false" stroked="true" strokeweight=".48pt" strokecolor="#000000">
                <v:path arrowok="t"/>
              </v:shape>
            </v:group>
            <v:group style="position:absolute;left:1129;top:-76;width:9581;height:2" coordorigin="1129,-76" coordsize="9581,2">
              <v:shape style="position:absolute;left:1129;top:-76;width:9581;height:2" coordorigin="1129,-76" coordsize="9581,0" path="m1129,-76l10710,-76e" filled="false" stroked="true" strokeweight=".48pt" strokecolor="#000000">
                <v:path arrowok="t"/>
              </v:shape>
            </v:group>
            <v:group style="position:absolute;left:1129;top:-6280;width:9581;height:2" coordorigin="1129,-6280" coordsize="9581,2">
              <v:shape style="position:absolute;left:1129;top:-6280;width:9581;height:2" coordorigin="1129,-6280" coordsize="9581,0" path="m1129,-6280l10710,-6280e" filled="false" stroked="true" strokeweight=".48pt" strokecolor="#000000">
                <v:path arrowok="t"/>
              </v:shape>
            </v:group>
            <v:group style="position:absolute;left:1129;top:-5878;width:9581;height:2" coordorigin="1129,-5878" coordsize="9581,2">
              <v:shape style="position:absolute;left:1129;top:-5878;width:9581;height:2" coordorigin="1129,-5878" coordsize="9581,0" path="m1129,-5878l10710,-5878e" filled="false" stroked="true" strokeweight=".48pt" strokecolor="#000000">
                <v:path arrowok="t"/>
              </v:shape>
            </v:group>
            <v:group style="position:absolute;left:1129;top:-5476;width:9581;height:2" coordorigin="1129,-5476" coordsize="9581,2">
              <v:shape style="position:absolute;left:1129;top:-5476;width:9581;height:2" coordorigin="1129,-5476" coordsize="9581,0" path="m1129,-5476l10710,-5476e" filled="false" stroked="true" strokeweight=".48pt" strokecolor="#000000">
                <v:path arrowok="t"/>
              </v:shape>
            </v:group>
            <v:group style="position:absolute;left:1129;top:-5074;width:9581;height:2" coordorigin="1129,-5074" coordsize="9581,2">
              <v:shape style="position:absolute;left:1129;top:-5074;width:9581;height:2" coordorigin="1129,-5074" coordsize="9581,0" path="m1129,-5074l10710,-5074e" filled="false" stroked="true" strokeweight=".48pt" strokecolor="#000000">
                <v:path arrowok="t"/>
              </v:shape>
            </v:group>
            <v:group style="position:absolute;left:1129;top:-2932;width:9581;height:2" coordorigin="1129,-2932" coordsize="9581,2">
              <v:shape style="position:absolute;left:1129;top:-2932;width:9581;height:2" coordorigin="1129,-2932" coordsize="9581,0" path="m1129,-2932l10710,-2932e" filled="false" stroked="true" strokeweight=".48pt" strokecolor="#000000">
                <v:path arrowok="t"/>
              </v:shape>
            </v:group>
            <v:group style="position:absolute;left:1134;top:-7491;width:2;height:7420" coordorigin="1134,-7491" coordsize="2,7420">
              <v:shape style="position:absolute;left:1134;top:-7491;width:2;height:7420" coordorigin="1134,-7491" coordsize="0,7420" path="m1134,-7491l1134,-71e" filled="false" stroked="true" strokeweight=".48pt" strokecolor="#000000">
                <v:path arrowok="t"/>
              </v:shape>
            </v:group>
            <v:group style="position:absolute;left:3828;top:-7491;width:2;height:7410" coordorigin="3828,-7491" coordsize="2,7410">
              <v:shape style="position:absolute;left:3828;top:-7491;width:2;height:7410" coordorigin="3828,-7491" coordsize="0,7410" path="m3828,-7491l3828,-81e" filled="false" stroked="true" strokeweight=".48pt" strokecolor="#000000">
                <v:path arrowok="t"/>
              </v:shape>
            </v:group>
            <v:group style="position:absolute;left:5245;top:-7491;width:2;height:7410" coordorigin="5245,-7491" coordsize="2,7410">
              <v:shape style="position:absolute;left:5245;top:-7491;width:2;height:7410" coordorigin="5245,-7491" coordsize="0,7410" path="m5245,-7491l5245,-81e" filled="false" stroked="true" strokeweight=".48pt" strokecolor="#000000">
                <v:path arrowok="t"/>
              </v:shape>
            </v:group>
            <v:group style="position:absolute;left:6663;top:-7491;width:2;height:7410" coordorigin="6663,-7491" coordsize="2,7410">
              <v:shape style="position:absolute;left:6663;top:-7491;width:2;height:7410" coordorigin="6663,-7491" coordsize="0,7410" path="m6663,-7491l6663,-81e" filled="false" stroked="true" strokeweight=".48pt" strokecolor="#000000">
                <v:path arrowok="t"/>
              </v:shape>
            </v:group>
            <v:group style="position:absolute;left:8080;top:-7491;width:2;height:7410" coordorigin="8080,-7491" coordsize="2,7410">
              <v:shape style="position:absolute;left:8080;top:-7491;width:2;height:7410" coordorigin="8080,-7491" coordsize="0,7410" path="m8080,-7491l8080,-81e" filled="false" stroked="true" strokeweight=".48pt" strokecolor="#000000">
                <v:path arrowok="t"/>
              </v:shape>
            </v:group>
            <v:group style="position:absolute;left:9072;top:-7089;width:2;height:7008" coordorigin="9072,-7089" coordsize="2,7008">
              <v:shape style="position:absolute;left:9072;top:-7089;width:2;height:7008" coordorigin="9072,-7089" coordsize="0,7008" path="m9072,-7089l9072,-81e" filled="false" stroked="true" strokeweight=".48pt" strokecolor="#000000">
                <v:path arrowok="t"/>
              </v:shape>
            </v:group>
            <v:group style="position:absolute;left:9639;top:-7491;width:2;height:7410" coordorigin="9639,-7491" coordsize="2,7410">
              <v:shape style="position:absolute;left:9639;top:-7491;width:2;height:7410" coordorigin="9639,-7491" coordsize="0,7410" path="m9639,-7491l9639,-81e" filled="false" stroked="true" strokeweight=".48pt" strokecolor="#000000">
                <v:path arrowok="t"/>
              </v:shape>
            </v:group>
            <v:group style="position:absolute;left:10705;top:-7481;width:2;height:7410" coordorigin="10705,-7481" coordsize="2,7410">
              <v:shape style="position:absolute;left:10705;top:-7481;width:2;height:7410" coordorigin="10705,-7481" coordsize="0,7410" path="m10705,-7481l10705,-71e" filled="false" stroked="true" strokeweight=".48pt" strokecolor="#000000">
                <v:path arrowok="t"/>
              </v:shape>
            </v:group>
            <w10:wrap type="none"/>
          </v:group>
        </w:pict>
      </w:r>
      <w:r>
        <w:rPr/>
        <w:t>持有半数或以下表决权但仍控制被投资单位、以及持有半数以上表决权但不控制被投资单位的依据：</w:t>
      </w:r>
    </w:p>
    <w:p>
      <w:pPr>
        <w:pStyle w:val="BodyText"/>
        <w:spacing w:line="268" w:lineRule="auto" w:before="157"/>
        <w:ind w:right="996" w:firstLine="427"/>
        <w:jc w:val="left"/>
      </w:pPr>
      <w:r>
        <w:rPr/>
        <w:t>①本公司对北京华宇元典信息服务有限公司持股</w:t>
      </w:r>
      <w:r>
        <w:rPr>
          <w:rFonts w:ascii="Arial" w:hAnsi="Arial" w:cs="Arial" w:eastAsia="Arial" w:hint="default"/>
        </w:rPr>
        <w:t>37.50%</w:t>
      </w:r>
      <w:r>
        <w:rPr/>
        <w:t>，未超过公司半数表决权，但本公司为北京</w:t>
      </w:r>
      <w:r>
        <w:rPr>
          <w:w w:val="99"/>
        </w:rPr>
        <w:t> </w:t>
      </w:r>
      <w:r>
        <w:rPr>
          <w:w w:val="95"/>
        </w:rPr>
        <w:t>华宇元典信息服务有限公司第一大股东，且北京华宇元典信息服务有限公司的董事会成员过半数由本公司</w:t>
      </w:r>
      <w:r>
        <w:rPr>
          <w:spacing w:val="37"/>
          <w:w w:val="95"/>
        </w:rPr>
        <w:t> </w:t>
      </w:r>
      <w:r>
        <w:rPr>
          <w:spacing w:val="37"/>
          <w:w w:val="95"/>
        </w:rPr>
      </w:r>
      <w:r>
        <w:rPr>
          <w:w w:val="95"/>
        </w:rPr>
        <w:t>及子公司高管担任，能够实质性控制北京华宇元典信息服务有限公司，故将北京华宇元典信息服务有限公</w:t>
      </w:r>
      <w:r>
        <w:rPr>
          <w:spacing w:val="40"/>
          <w:w w:val="95"/>
        </w:rPr>
        <w:t> </w:t>
      </w:r>
      <w:r>
        <w:rPr>
          <w:spacing w:val="40"/>
          <w:w w:val="95"/>
        </w:rPr>
      </w:r>
      <w:r>
        <w:rPr/>
        <w:t>司纳入合并范围。</w:t>
      </w:r>
    </w:p>
    <w:p>
      <w:pPr>
        <w:pStyle w:val="BodyText"/>
        <w:spacing w:line="259" w:lineRule="auto" w:before="132"/>
        <w:ind w:right="996" w:firstLine="427"/>
        <w:jc w:val="left"/>
      </w:pPr>
      <w:r>
        <w:rPr/>
        <w:t>②本公司对溯源云（北京）科技服务有限公司持股</w:t>
      </w:r>
      <w:r>
        <w:rPr>
          <w:rFonts w:ascii="Arial" w:hAnsi="Arial" w:cs="Arial" w:eastAsia="Arial" w:hint="default"/>
        </w:rPr>
        <w:t>45.00%</w:t>
      </w:r>
      <w:r>
        <w:rPr/>
        <w:t>，未超过公司半数表决权，但本公司为溯</w:t>
      </w:r>
      <w:r>
        <w:rPr>
          <w:w w:val="99"/>
        </w:rPr>
        <w:t> </w:t>
      </w:r>
      <w:r>
        <w:rPr>
          <w:w w:val="95"/>
        </w:rPr>
        <w:t>源云（北京）科技服务有限公司第一大股东，且溯源云（北京）科技服务有限公司的董事会成员过半数由</w:t>
      </w:r>
      <w:r>
        <w:rPr/>
      </w:r>
    </w:p>
    <w:p>
      <w:pPr>
        <w:spacing w:after="0" w:line="259" w:lineRule="auto"/>
        <w:jc w:val="left"/>
        <w:sectPr>
          <w:type w:val="continuous"/>
          <w:pgSz w:w="11910" w:h="16840"/>
          <w:pgMar w:top="1060" w:bottom="1160" w:left="1020" w:right="0"/>
        </w:sectPr>
      </w:pPr>
    </w:p>
    <w:p>
      <w:pPr>
        <w:spacing w:line="240" w:lineRule="auto" w:before="12"/>
        <w:rPr>
          <w:rFonts w:ascii="宋体" w:hAnsi="宋体" w:cs="宋体" w:eastAsia="宋体" w:hint="default"/>
          <w:sz w:val="20"/>
          <w:szCs w:val="20"/>
        </w:rPr>
      </w:pPr>
    </w:p>
    <w:p>
      <w:pPr>
        <w:pStyle w:val="BodyText"/>
        <w:spacing w:line="273" w:lineRule="auto"/>
        <w:ind w:right="996"/>
        <w:jc w:val="left"/>
      </w:pPr>
      <w:r>
        <w:rPr>
          <w:w w:val="95"/>
        </w:rPr>
        <w:t>本公司及子公司高管担任，能够实质性控制溯源云（北京）科技服务有限公司，故将北京溯源云（北京）</w:t>
      </w:r>
      <w:r>
        <w:rPr>
          <w:spacing w:val="61"/>
          <w:w w:val="95"/>
        </w:rPr>
        <w:t> </w:t>
      </w:r>
      <w:r>
        <w:rPr>
          <w:spacing w:val="61"/>
          <w:w w:val="95"/>
        </w:rPr>
      </w:r>
      <w:r>
        <w:rPr/>
        <w:t>科技服务有限公司纳入合并范围。</w:t>
      </w:r>
    </w:p>
    <w:p>
      <w:pPr>
        <w:spacing w:line="240" w:lineRule="auto" w:before="7"/>
        <w:rPr>
          <w:rFonts w:ascii="宋体" w:hAnsi="宋体" w:cs="宋体" w:eastAsia="宋体" w:hint="default"/>
          <w:sz w:val="23"/>
          <w:szCs w:val="23"/>
        </w:rPr>
      </w:pPr>
    </w:p>
    <w:p>
      <w:pPr>
        <w:pStyle w:val="Heading4"/>
        <w:spacing w:line="240" w:lineRule="auto"/>
        <w:ind w:right="996"/>
        <w:jc w:val="left"/>
        <w:rPr>
          <w:b w:val="0"/>
          <w:bCs w:val="0"/>
        </w:rPr>
      </w:pPr>
      <w:bookmarkStart w:name="（2）重要的非全资子公司" w:id="306"/>
      <w:bookmarkEnd w:id="306"/>
      <w:r>
        <w:rPr>
          <w:b w:val="0"/>
          <w:bCs w:val="0"/>
        </w:rPr>
      </w:r>
      <w:r>
        <w:rPr/>
        <w:t>（</w:t>
      </w:r>
      <w:r>
        <w:rPr>
          <w:rFonts w:ascii="Arial" w:hAnsi="Arial" w:cs="Arial" w:eastAsia="Arial" w:hint="default"/>
        </w:rPr>
        <w:t>2</w:t>
      </w:r>
      <w:r>
        <w:rPr/>
        <w:t>）重要的非全资子公司</w:t>
      </w:r>
      <w:r>
        <w:rPr>
          <w:b w:val="0"/>
          <w:bCs w:val="0"/>
        </w:rPr>
      </w:r>
    </w:p>
    <w:p>
      <w:pPr>
        <w:spacing w:line="240" w:lineRule="auto" w:before="7"/>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44"/>
        <w:gridCol w:w="1559"/>
        <w:gridCol w:w="1701"/>
        <w:gridCol w:w="1453"/>
        <w:gridCol w:w="1913"/>
      </w:tblGrid>
      <w:tr>
        <w:trPr>
          <w:trHeight w:val="76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52"/>
              <w:jc w:val="righ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74" w:right="35" w:hanging="540"/>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90" w:right="91"/>
              <w:jc w:val="left"/>
              <w:rPr>
                <w:rFonts w:ascii="宋体" w:hAnsi="宋体" w:cs="宋体" w:eastAsia="宋体" w:hint="default"/>
                <w:sz w:val="18"/>
                <w:szCs w:val="18"/>
              </w:rPr>
            </w:pPr>
            <w:r>
              <w:rPr>
                <w:rFonts w:ascii="宋体" w:hAnsi="宋体" w:cs="宋体" w:eastAsia="宋体" w:hint="default"/>
                <w:sz w:val="18"/>
                <w:szCs w:val="18"/>
              </w:rPr>
              <w:t>本期向少数股东 宣告分派的股利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北京亿信华辰软件有限责任公司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20.00%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3,802,716.51</w:t>
            </w:r>
          </w:p>
        </w:tc>
        <w:tc>
          <w:tcPr>
            <w:tcW w:w="145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24,270,678.48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北京华宇元典信息服务有限公司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62.50%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-2,085,805.03</w:t>
            </w:r>
          </w:p>
        </w:tc>
        <w:tc>
          <w:tcPr>
            <w:tcW w:w="145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20,397,333.47</w:t>
            </w:r>
          </w:p>
        </w:tc>
      </w:tr>
    </w:tbl>
    <w:p>
      <w:pPr>
        <w:spacing w:line="240" w:lineRule="auto" w:before="5"/>
        <w:rPr>
          <w:rFonts w:ascii="宋体" w:hAnsi="宋体" w:cs="宋体" w:eastAsia="宋体" w:hint="default"/>
          <w:sz w:val="19"/>
          <w:szCs w:val="19"/>
        </w:rPr>
      </w:pPr>
    </w:p>
    <w:p>
      <w:pPr>
        <w:pStyle w:val="Heading4"/>
        <w:spacing w:line="240" w:lineRule="auto" w:before="34"/>
        <w:ind w:right="996"/>
        <w:jc w:val="left"/>
        <w:rPr>
          <w:b w:val="0"/>
          <w:bCs w:val="0"/>
        </w:rPr>
      </w:pPr>
      <w:bookmarkStart w:name="（3）重要非全资子公司的主要财务信息" w:id="307"/>
      <w:bookmarkEnd w:id="307"/>
      <w:r>
        <w:rPr>
          <w:b w:val="0"/>
          <w:bCs w:val="0"/>
        </w:rPr>
      </w:r>
      <w:r>
        <w:rPr/>
        <w:t>（</w:t>
      </w:r>
      <w:r>
        <w:rPr>
          <w:rFonts w:ascii="Arial" w:hAnsi="Arial" w:cs="Arial" w:eastAsia="Arial" w:hint="default"/>
        </w:rPr>
        <w:t>3</w:t>
      </w:r>
      <w:r>
        <w:rPr/>
        <w:t>）重要非全资子公司的主要财务信息</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6"/>
        <w:gridCol w:w="736"/>
        <w:gridCol w:w="736"/>
        <w:gridCol w:w="736"/>
        <w:gridCol w:w="736"/>
        <w:gridCol w:w="735"/>
        <w:gridCol w:w="735"/>
        <w:gridCol w:w="735"/>
        <w:gridCol w:w="735"/>
        <w:gridCol w:w="735"/>
        <w:gridCol w:w="737"/>
        <w:gridCol w:w="736"/>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83" w:right="92" w:hanging="92"/>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0"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2"/>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1" w:right="92"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1"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1"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1"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356"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北京亿</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1"/>
              <w:jc w:val="both"/>
              <w:rPr>
                <w:rFonts w:ascii="宋体" w:hAnsi="宋体" w:cs="宋体" w:eastAsia="宋体" w:hint="default"/>
                <w:sz w:val="18"/>
                <w:szCs w:val="18"/>
              </w:rPr>
            </w:pPr>
            <w:r>
              <w:rPr>
                <w:rFonts w:ascii="宋体" w:hAnsi="宋体" w:cs="宋体" w:eastAsia="宋体" w:hint="default"/>
                <w:sz w:val="18"/>
                <w:szCs w:val="18"/>
              </w:rPr>
              <w:t>信华辰 软件有 限责任</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66" w:right="0"/>
              <w:jc w:val="left"/>
              <w:rPr>
                <w:rFonts w:ascii="Arial" w:hAnsi="Arial" w:cs="Arial" w:eastAsia="Arial" w:hint="default"/>
                <w:sz w:val="18"/>
                <w:szCs w:val="18"/>
              </w:rPr>
            </w:pPr>
            <w:r>
              <w:rPr>
                <w:rFonts w:ascii="Arial"/>
                <w:spacing w:val="-3"/>
                <w:sz w:val="18"/>
              </w:rPr>
              <w:t>118,280</w:t>
            </w:r>
          </w:p>
          <w:p>
            <w:pPr>
              <w:pStyle w:val="TableParagraph"/>
              <w:spacing w:line="240" w:lineRule="auto" w:before="105"/>
              <w:ind w:left="102" w:right="0"/>
              <w:jc w:val="left"/>
              <w:rPr>
                <w:rFonts w:ascii="Arial" w:hAnsi="Arial" w:cs="Arial" w:eastAsia="Arial" w:hint="default"/>
                <w:sz w:val="18"/>
                <w:szCs w:val="18"/>
              </w:rPr>
            </w:pPr>
            <w:r>
              <w:rPr>
                <w:rFonts w:ascii="Arial"/>
                <w:sz w:val="18"/>
              </w:rPr>
              <w:t>,538.50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3" w:right="0"/>
              <w:jc w:val="left"/>
              <w:rPr>
                <w:rFonts w:ascii="Arial" w:hAnsi="Arial" w:cs="Arial" w:eastAsia="Arial" w:hint="default"/>
                <w:sz w:val="18"/>
                <w:szCs w:val="18"/>
              </w:rPr>
            </w:pPr>
            <w:r>
              <w:rPr>
                <w:rFonts w:ascii="Arial"/>
                <w:sz w:val="18"/>
              </w:rPr>
              <w:t>45,736,</w:t>
            </w:r>
          </w:p>
          <w:p>
            <w:pPr>
              <w:pStyle w:val="TableParagraph"/>
              <w:spacing w:line="240" w:lineRule="auto" w:before="105"/>
              <w:ind w:left="153" w:right="0"/>
              <w:jc w:val="left"/>
              <w:rPr>
                <w:rFonts w:ascii="Arial" w:hAnsi="Arial" w:cs="Arial" w:eastAsia="Arial" w:hint="default"/>
                <w:sz w:val="18"/>
                <w:szCs w:val="18"/>
              </w:rPr>
            </w:pPr>
            <w:r>
              <w:rPr>
                <w:rFonts w:ascii="Arial"/>
                <w:sz w:val="18"/>
              </w:rPr>
              <w:t>042.90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53" w:right="0"/>
              <w:jc w:val="left"/>
              <w:rPr>
                <w:rFonts w:ascii="Arial" w:hAnsi="Arial" w:cs="Arial" w:eastAsia="Arial" w:hint="default"/>
                <w:sz w:val="18"/>
                <w:szCs w:val="18"/>
              </w:rPr>
            </w:pPr>
            <w:r>
              <w:rPr>
                <w:rFonts w:ascii="Arial"/>
                <w:sz w:val="18"/>
              </w:rPr>
              <w:t>164,016</w:t>
            </w:r>
          </w:p>
          <w:p>
            <w:pPr>
              <w:pStyle w:val="TableParagraph"/>
              <w:spacing w:line="240" w:lineRule="auto" w:before="105"/>
              <w:ind w:left="101" w:right="0"/>
              <w:jc w:val="left"/>
              <w:rPr>
                <w:rFonts w:ascii="Arial" w:hAnsi="Arial" w:cs="Arial" w:eastAsia="Arial" w:hint="default"/>
                <w:sz w:val="18"/>
                <w:szCs w:val="18"/>
              </w:rPr>
            </w:pPr>
            <w:r>
              <w:rPr>
                <w:rFonts w:ascii="Arial"/>
                <w:sz w:val="18"/>
              </w:rPr>
              <w:t>,581.40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2" w:right="0"/>
              <w:jc w:val="left"/>
              <w:rPr>
                <w:rFonts w:ascii="Arial" w:hAnsi="Arial" w:cs="Arial" w:eastAsia="Arial" w:hint="default"/>
                <w:sz w:val="18"/>
                <w:szCs w:val="18"/>
              </w:rPr>
            </w:pPr>
            <w:r>
              <w:rPr>
                <w:rFonts w:ascii="Arial"/>
                <w:sz w:val="18"/>
              </w:rPr>
              <w:t>42,663,</w:t>
            </w:r>
          </w:p>
          <w:p>
            <w:pPr>
              <w:pStyle w:val="TableParagraph"/>
              <w:spacing w:line="240" w:lineRule="auto" w:before="105"/>
              <w:ind w:left="153" w:right="0"/>
              <w:jc w:val="left"/>
              <w:rPr>
                <w:rFonts w:ascii="Arial" w:hAnsi="Arial" w:cs="Arial" w:eastAsia="Arial" w:hint="default"/>
                <w:sz w:val="18"/>
                <w:szCs w:val="18"/>
              </w:rPr>
            </w:pPr>
            <w:r>
              <w:rPr>
                <w:rFonts w:ascii="Arial"/>
                <w:sz w:val="18"/>
              </w:rPr>
              <w:t>188.96</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2" w:right="0"/>
              <w:jc w:val="left"/>
              <w:rPr>
                <w:rFonts w:ascii="Arial" w:hAnsi="Arial" w:cs="Arial" w:eastAsia="Arial" w:hint="default"/>
                <w:sz w:val="18"/>
                <w:szCs w:val="18"/>
              </w:rPr>
            </w:pPr>
            <w:r>
              <w:rPr>
                <w:rFonts w:ascii="Arial"/>
                <w:sz w:val="18"/>
              </w:rPr>
              <w:t>42,663,</w:t>
            </w:r>
          </w:p>
          <w:p>
            <w:pPr>
              <w:pStyle w:val="TableParagraph"/>
              <w:spacing w:line="240" w:lineRule="auto" w:before="105"/>
              <w:ind w:left="151" w:right="0"/>
              <w:jc w:val="left"/>
              <w:rPr>
                <w:rFonts w:ascii="Arial" w:hAnsi="Arial" w:cs="Arial" w:eastAsia="Arial" w:hint="default"/>
                <w:sz w:val="18"/>
                <w:szCs w:val="18"/>
              </w:rPr>
            </w:pPr>
            <w:r>
              <w:rPr>
                <w:rFonts w:ascii="Arial"/>
                <w:sz w:val="18"/>
              </w:rPr>
              <w:t>188.96</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2" w:right="0"/>
              <w:jc w:val="left"/>
              <w:rPr>
                <w:rFonts w:ascii="Arial" w:hAnsi="Arial" w:cs="Arial" w:eastAsia="Arial" w:hint="default"/>
                <w:sz w:val="18"/>
                <w:szCs w:val="18"/>
              </w:rPr>
            </w:pPr>
            <w:r>
              <w:rPr>
                <w:rFonts w:ascii="Arial"/>
                <w:sz w:val="18"/>
              </w:rPr>
              <w:t>81,562,</w:t>
            </w:r>
          </w:p>
          <w:p>
            <w:pPr>
              <w:pStyle w:val="TableParagraph"/>
              <w:spacing w:line="240" w:lineRule="auto" w:before="105"/>
              <w:ind w:left="152" w:right="0"/>
              <w:jc w:val="left"/>
              <w:rPr>
                <w:rFonts w:ascii="Arial" w:hAnsi="Arial" w:cs="Arial" w:eastAsia="Arial" w:hint="default"/>
                <w:sz w:val="18"/>
                <w:szCs w:val="18"/>
              </w:rPr>
            </w:pPr>
            <w:r>
              <w:rPr>
                <w:rFonts w:ascii="Arial"/>
                <w:sz w:val="18"/>
              </w:rPr>
              <w:t>989.13</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1" w:right="0"/>
              <w:jc w:val="left"/>
              <w:rPr>
                <w:rFonts w:ascii="Arial" w:hAnsi="Arial" w:cs="Arial" w:eastAsia="Arial" w:hint="default"/>
                <w:sz w:val="18"/>
                <w:szCs w:val="18"/>
              </w:rPr>
            </w:pPr>
            <w:r>
              <w:rPr>
                <w:rFonts w:ascii="Arial"/>
                <w:sz w:val="18"/>
              </w:rPr>
              <w:t>37,585,</w:t>
            </w:r>
          </w:p>
          <w:p>
            <w:pPr>
              <w:pStyle w:val="TableParagraph"/>
              <w:spacing w:line="240" w:lineRule="auto" w:before="105"/>
              <w:ind w:left="152" w:right="0"/>
              <w:jc w:val="left"/>
              <w:rPr>
                <w:rFonts w:ascii="Arial" w:hAnsi="Arial" w:cs="Arial" w:eastAsia="Arial" w:hint="default"/>
                <w:sz w:val="18"/>
                <w:szCs w:val="18"/>
              </w:rPr>
            </w:pPr>
            <w:r>
              <w:rPr>
                <w:rFonts w:ascii="Arial"/>
                <w:sz w:val="18"/>
              </w:rPr>
              <w:t>387.91</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65" w:right="0"/>
              <w:jc w:val="left"/>
              <w:rPr>
                <w:rFonts w:ascii="Arial" w:hAnsi="Arial" w:cs="Arial" w:eastAsia="Arial" w:hint="default"/>
                <w:sz w:val="18"/>
                <w:szCs w:val="18"/>
              </w:rPr>
            </w:pPr>
            <w:r>
              <w:rPr>
                <w:rFonts w:ascii="Arial"/>
                <w:spacing w:val="-3"/>
                <w:sz w:val="18"/>
              </w:rPr>
              <w:t>119,148</w:t>
            </w:r>
          </w:p>
          <w:p>
            <w:pPr>
              <w:pStyle w:val="TableParagraph"/>
              <w:spacing w:line="240" w:lineRule="auto" w:before="105"/>
              <w:ind w:left="101" w:right="0"/>
              <w:jc w:val="left"/>
              <w:rPr>
                <w:rFonts w:ascii="Arial" w:hAnsi="Arial" w:cs="Arial" w:eastAsia="Arial" w:hint="default"/>
                <w:sz w:val="18"/>
                <w:szCs w:val="18"/>
              </w:rPr>
            </w:pPr>
            <w:r>
              <w:rPr>
                <w:rFonts w:ascii="Arial"/>
                <w:sz w:val="18"/>
              </w:rPr>
              <w:t>,377.04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2" w:right="0"/>
              <w:jc w:val="left"/>
              <w:rPr>
                <w:rFonts w:ascii="Arial" w:hAnsi="Arial" w:cs="Arial" w:eastAsia="Arial" w:hint="default"/>
                <w:sz w:val="18"/>
                <w:szCs w:val="18"/>
              </w:rPr>
            </w:pPr>
            <w:r>
              <w:rPr>
                <w:rFonts w:ascii="Arial"/>
                <w:sz w:val="18"/>
              </w:rPr>
              <w:t>16,944,</w:t>
            </w:r>
          </w:p>
          <w:p>
            <w:pPr>
              <w:pStyle w:val="TableParagraph"/>
              <w:spacing w:line="240" w:lineRule="auto" w:before="105"/>
              <w:ind w:left="153" w:right="0"/>
              <w:jc w:val="left"/>
              <w:rPr>
                <w:rFonts w:ascii="Arial" w:hAnsi="Arial" w:cs="Arial" w:eastAsia="Arial" w:hint="default"/>
                <w:sz w:val="18"/>
                <w:szCs w:val="18"/>
              </w:rPr>
            </w:pPr>
            <w:r>
              <w:rPr>
                <w:rFonts w:ascii="Arial"/>
                <w:sz w:val="18"/>
              </w:rPr>
              <w:t>540.01</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3" w:right="0"/>
              <w:jc w:val="left"/>
              <w:rPr>
                <w:rFonts w:ascii="Arial" w:hAnsi="Arial" w:cs="Arial" w:eastAsia="Arial" w:hint="default"/>
                <w:sz w:val="18"/>
                <w:szCs w:val="18"/>
              </w:rPr>
            </w:pPr>
            <w:r>
              <w:rPr>
                <w:rFonts w:ascii="Arial"/>
                <w:sz w:val="18"/>
              </w:rPr>
              <w:t>16,944,</w:t>
            </w:r>
          </w:p>
          <w:p>
            <w:pPr>
              <w:pStyle w:val="TableParagraph"/>
              <w:spacing w:line="240" w:lineRule="auto" w:before="105"/>
              <w:ind w:left="153" w:right="0"/>
              <w:jc w:val="left"/>
              <w:rPr>
                <w:rFonts w:ascii="Arial" w:hAnsi="Arial" w:cs="Arial" w:eastAsia="Arial" w:hint="default"/>
                <w:sz w:val="18"/>
                <w:szCs w:val="18"/>
              </w:rPr>
            </w:pPr>
            <w:r>
              <w:rPr>
                <w:rFonts w:ascii="Arial"/>
                <w:sz w:val="18"/>
              </w:rPr>
              <w:t>540.01</w:t>
            </w:r>
          </w:p>
        </w:tc>
      </w:tr>
      <w:tr>
        <w:trPr>
          <w:trHeight w:val="358"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1"/>
              <w:jc w:val="both"/>
              <w:rPr>
                <w:rFonts w:ascii="宋体" w:hAnsi="宋体" w:cs="宋体" w:eastAsia="宋体" w:hint="default"/>
                <w:sz w:val="18"/>
                <w:szCs w:val="18"/>
              </w:rPr>
            </w:pPr>
            <w:r>
              <w:rPr>
                <w:rFonts w:ascii="宋体" w:hAnsi="宋体" w:cs="宋体" w:eastAsia="宋体" w:hint="default"/>
                <w:sz w:val="18"/>
                <w:szCs w:val="18"/>
              </w:rPr>
              <w:t>宇元典 信息服 务有限</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0" w:right="0"/>
              <w:jc w:val="center"/>
              <w:rPr>
                <w:rFonts w:ascii="Arial" w:hAnsi="Arial" w:cs="Arial" w:eastAsia="Arial" w:hint="default"/>
                <w:sz w:val="18"/>
                <w:szCs w:val="18"/>
              </w:rPr>
            </w:pPr>
            <w:r>
              <w:rPr>
                <w:rFonts w:ascii="Arial"/>
                <w:sz w:val="18"/>
              </w:rPr>
              <w:t>9,258,6</w:t>
            </w:r>
          </w:p>
          <w:p>
            <w:pPr>
              <w:pStyle w:val="TableParagraph"/>
              <w:spacing w:line="240" w:lineRule="auto" w:before="105"/>
              <w:ind w:left="232" w:right="0"/>
              <w:jc w:val="center"/>
              <w:rPr>
                <w:rFonts w:ascii="Arial" w:hAnsi="Arial" w:cs="Arial" w:eastAsia="Arial" w:hint="default"/>
                <w:sz w:val="18"/>
                <w:szCs w:val="18"/>
              </w:rPr>
            </w:pPr>
            <w:r>
              <w:rPr>
                <w:rFonts w:ascii="Arial"/>
                <w:sz w:val="18"/>
              </w:rPr>
              <w:t>74.23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Arial" w:hAnsi="Arial" w:cs="Arial" w:eastAsia="Arial" w:hint="default"/>
                <w:sz w:val="18"/>
                <w:szCs w:val="18"/>
              </w:rPr>
            </w:pPr>
            <w:r>
              <w:rPr>
                <w:rFonts w:ascii="Arial"/>
                <w:sz w:val="18"/>
              </w:rPr>
              <w:t>38,324,</w:t>
            </w:r>
          </w:p>
          <w:p>
            <w:pPr>
              <w:pStyle w:val="TableParagraph"/>
              <w:spacing w:line="240" w:lineRule="auto" w:before="105"/>
              <w:ind w:left="153" w:right="0"/>
              <w:jc w:val="left"/>
              <w:rPr>
                <w:rFonts w:ascii="Arial" w:hAnsi="Arial" w:cs="Arial" w:eastAsia="Arial" w:hint="default"/>
                <w:sz w:val="18"/>
                <w:szCs w:val="18"/>
              </w:rPr>
            </w:pPr>
            <w:r>
              <w:rPr>
                <w:rFonts w:ascii="Arial"/>
                <w:sz w:val="18"/>
              </w:rPr>
              <w:t>209.81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Arial" w:hAnsi="Arial" w:cs="Arial" w:eastAsia="Arial" w:hint="default"/>
                <w:sz w:val="18"/>
                <w:szCs w:val="18"/>
              </w:rPr>
            </w:pPr>
            <w:r>
              <w:rPr>
                <w:rFonts w:ascii="Arial"/>
                <w:sz w:val="18"/>
              </w:rPr>
              <w:t>47,582,</w:t>
            </w:r>
          </w:p>
          <w:p>
            <w:pPr>
              <w:pStyle w:val="TableParagraph"/>
              <w:spacing w:line="240" w:lineRule="auto" w:before="105"/>
              <w:ind w:left="152" w:right="0"/>
              <w:jc w:val="left"/>
              <w:rPr>
                <w:rFonts w:ascii="Arial" w:hAnsi="Arial" w:cs="Arial" w:eastAsia="Arial" w:hint="default"/>
                <w:sz w:val="18"/>
                <w:szCs w:val="18"/>
              </w:rPr>
            </w:pPr>
            <w:r>
              <w:rPr>
                <w:rFonts w:ascii="Arial"/>
                <w:sz w:val="18"/>
              </w:rPr>
              <w:t>884.04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Arial" w:hAnsi="Arial" w:cs="Arial" w:eastAsia="Arial" w:hint="default"/>
                <w:sz w:val="18"/>
                <w:szCs w:val="18"/>
              </w:rPr>
            </w:pPr>
            <w:r>
              <w:rPr>
                <w:rFonts w:ascii="Arial"/>
                <w:sz w:val="18"/>
              </w:rPr>
              <w:t>14,031,</w:t>
            </w:r>
          </w:p>
          <w:p>
            <w:pPr>
              <w:pStyle w:val="TableParagraph"/>
              <w:spacing w:line="240" w:lineRule="auto" w:before="105"/>
              <w:ind w:left="153" w:right="0"/>
              <w:jc w:val="left"/>
              <w:rPr>
                <w:rFonts w:ascii="Arial" w:hAnsi="Arial" w:cs="Arial" w:eastAsia="Arial" w:hint="default"/>
                <w:sz w:val="18"/>
                <w:szCs w:val="18"/>
              </w:rPr>
            </w:pPr>
            <w:r>
              <w:rPr>
                <w:rFonts w:ascii="Arial"/>
                <w:sz w:val="18"/>
              </w:rPr>
              <w:t>150.48</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3" w:right="0"/>
              <w:jc w:val="left"/>
              <w:rPr>
                <w:rFonts w:ascii="Arial" w:hAnsi="Arial" w:cs="Arial" w:eastAsia="Arial" w:hint="default"/>
                <w:sz w:val="18"/>
                <w:szCs w:val="18"/>
              </w:rPr>
            </w:pPr>
            <w:r>
              <w:rPr>
                <w:rFonts w:ascii="Arial"/>
                <w:sz w:val="18"/>
              </w:rPr>
              <w:t>916,000</w:t>
            </w:r>
          </w:p>
          <w:p>
            <w:pPr>
              <w:pStyle w:val="TableParagraph"/>
              <w:spacing w:line="240" w:lineRule="auto" w:before="105"/>
              <w:ind w:left="451" w:right="0"/>
              <w:jc w:val="left"/>
              <w:rPr>
                <w:rFonts w:ascii="Arial" w:hAnsi="Arial" w:cs="Arial" w:eastAsia="Arial" w:hint="default"/>
                <w:sz w:val="18"/>
                <w:szCs w:val="18"/>
              </w:rPr>
            </w:pPr>
            <w:r>
              <w:rPr>
                <w:rFonts w:ascii="Arial"/>
                <w:sz w:val="18"/>
              </w:rPr>
              <w:t>.00</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Arial" w:hAnsi="Arial" w:cs="Arial" w:eastAsia="Arial" w:hint="default"/>
                <w:sz w:val="18"/>
                <w:szCs w:val="18"/>
              </w:rPr>
            </w:pPr>
            <w:r>
              <w:rPr>
                <w:rFonts w:ascii="Arial"/>
                <w:sz w:val="18"/>
              </w:rPr>
              <w:t>14,947,</w:t>
            </w:r>
          </w:p>
          <w:p>
            <w:pPr>
              <w:pStyle w:val="TableParagraph"/>
              <w:spacing w:line="240" w:lineRule="auto" w:before="105"/>
              <w:ind w:left="151" w:right="0"/>
              <w:jc w:val="left"/>
              <w:rPr>
                <w:rFonts w:ascii="Arial" w:hAnsi="Arial" w:cs="Arial" w:eastAsia="Arial" w:hint="default"/>
                <w:sz w:val="18"/>
                <w:szCs w:val="18"/>
              </w:rPr>
            </w:pPr>
            <w:r>
              <w:rPr>
                <w:rFonts w:ascii="Arial"/>
                <w:sz w:val="18"/>
              </w:rPr>
              <w:t>150.48</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1" w:right="0"/>
              <w:jc w:val="center"/>
              <w:rPr>
                <w:rFonts w:ascii="Arial" w:hAnsi="Arial" w:cs="Arial" w:eastAsia="Arial" w:hint="default"/>
                <w:sz w:val="18"/>
                <w:szCs w:val="18"/>
              </w:rPr>
            </w:pPr>
            <w:r>
              <w:rPr>
                <w:rFonts w:ascii="Arial"/>
                <w:sz w:val="18"/>
              </w:rPr>
              <w:t>3,980,6</w:t>
            </w:r>
          </w:p>
          <w:p>
            <w:pPr>
              <w:pStyle w:val="TableParagraph"/>
              <w:spacing w:line="240" w:lineRule="auto" w:before="105"/>
              <w:ind w:left="244" w:right="0"/>
              <w:jc w:val="center"/>
              <w:rPr>
                <w:rFonts w:ascii="Arial" w:hAnsi="Arial" w:cs="Arial" w:eastAsia="Arial" w:hint="default"/>
                <w:sz w:val="18"/>
                <w:szCs w:val="18"/>
              </w:rPr>
            </w:pPr>
            <w:r>
              <w:rPr>
                <w:rFonts w:ascii="Arial"/>
                <w:spacing w:val="-3"/>
                <w:sz w:val="18"/>
              </w:rPr>
              <w:t>11.36</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Arial" w:hAnsi="Arial" w:cs="Arial" w:eastAsia="Arial" w:hint="default"/>
                <w:sz w:val="18"/>
                <w:szCs w:val="18"/>
              </w:rPr>
            </w:pPr>
            <w:r>
              <w:rPr>
                <w:rFonts w:ascii="Arial"/>
                <w:sz w:val="18"/>
              </w:rPr>
              <w:t>18,059,</w:t>
            </w:r>
          </w:p>
          <w:p>
            <w:pPr>
              <w:pStyle w:val="TableParagraph"/>
              <w:spacing w:line="240" w:lineRule="auto" w:before="105"/>
              <w:ind w:left="152" w:right="0"/>
              <w:jc w:val="left"/>
              <w:rPr>
                <w:rFonts w:ascii="Arial" w:hAnsi="Arial" w:cs="Arial" w:eastAsia="Arial" w:hint="default"/>
                <w:sz w:val="18"/>
                <w:szCs w:val="18"/>
              </w:rPr>
            </w:pPr>
            <w:r>
              <w:rPr>
                <w:rFonts w:ascii="Arial"/>
                <w:sz w:val="18"/>
              </w:rPr>
              <w:t>253.72</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Arial" w:hAnsi="Arial" w:cs="Arial" w:eastAsia="Arial" w:hint="default"/>
                <w:sz w:val="18"/>
                <w:szCs w:val="18"/>
              </w:rPr>
            </w:pPr>
            <w:r>
              <w:rPr>
                <w:rFonts w:ascii="Arial"/>
                <w:sz w:val="18"/>
              </w:rPr>
              <w:t>22,039,</w:t>
            </w:r>
          </w:p>
          <w:p>
            <w:pPr>
              <w:pStyle w:val="TableParagraph"/>
              <w:spacing w:line="240" w:lineRule="auto" w:before="105"/>
              <w:ind w:left="151" w:right="0"/>
              <w:jc w:val="left"/>
              <w:rPr>
                <w:rFonts w:ascii="Arial" w:hAnsi="Arial" w:cs="Arial" w:eastAsia="Arial" w:hint="default"/>
                <w:sz w:val="18"/>
                <w:szCs w:val="18"/>
              </w:rPr>
            </w:pPr>
            <w:r>
              <w:rPr>
                <w:rFonts w:ascii="Arial"/>
                <w:sz w:val="18"/>
              </w:rPr>
              <w:t>865.08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0" w:right="0"/>
              <w:jc w:val="center"/>
              <w:rPr>
                <w:rFonts w:ascii="Arial" w:hAnsi="Arial" w:cs="Arial" w:eastAsia="Arial" w:hint="default"/>
                <w:sz w:val="18"/>
                <w:szCs w:val="18"/>
              </w:rPr>
            </w:pPr>
            <w:r>
              <w:rPr>
                <w:rFonts w:ascii="Arial"/>
                <w:sz w:val="18"/>
              </w:rPr>
              <w:t>2,182,1</w:t>
            </w:r>
          </w:p>
          <w:p>
            <w:pPr>
              <w:pStyle w:val="TableParagraph"/>
              <w:spacing w:line="240" w:lineRule="auto" w:before="105"/>
              <w:ind w:left="231" w:right="0"/>
              <w:jc w:val="center"/>
              <w:rPr>
                <w:rFonts w:ascii="Arial" w:hAnsi="Arial" w:cs="Arial" w:eastAsia="Arial" w:hint="default"/>
                <w:sz w:val="18"/>
                <w:szCs w:val="18"/>
              </w:rPr>
            </w:pPr>
            <w:r>
              <w:rPr>
                <w:rFonts w:ascii="Arial"/>
                <w:sz w:val="18"/>
              </w:rPr>
              <w:t>47.22</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2" w:right="0"/>
              <w:jc w:val="center"/>
              <w:rPr>
                <w:rFonts w:ascii="Arial" w:hAnsi="Arial" w:cs="Arial" w:eastAsia="Arial" w:hint="default"/>
                <w:sz w:val="18"/>
                <w:szCs w:val="18"/>
              </w:rPr>
            </w:pPr>
            <w:r>
              <w:rPr>
                <w:rFonts w:ascii="Arial"/>
                <w:sz w:val="18"/>
              </w:rPr>
              <w:t>2,182,1</w:t>
            </w:r>
          </w:p>
          <w:p>
            <w:pPr>
              <w:pStyle w:val="TableParagraph"/>
              <w:spacing w:line="240" w:lineRule="auto" w:before="105"/>
              <w:ind w:left="228" w:right="0"/>
              <w:jc w:val="center"/>
              <w:rPr>
                <w:rFonts w:ascii="Arial" w:hAnsi="Arial" w:cs="Arial" w:eastAsia="Arial" w:hint="default"/>
                <w:sz w:val="18"/>
                <w:szCs w:val="18"/>
              </w:rPr>
            </w:pPr>
            <w:r>
              <w:rPr>
                <w:rFonts w:ascii="Arial"/>
                <w:sz w:val="18"/>
              </w:rPr>
              <w:t>47.22</w:t>
            </w: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bl>
    <w:p>
      <w:pPr>
        <w:spacing w:before="49"/>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2"/>
        <w:gridCol w:w="1065"/>
        <w:gridCol w:w="1065"/>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7" w:right="76"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5" w:right="75"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8" w:right="76"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北京亿信华 辰软件有限 责任公司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147,283,872</w:t>
            </w:r>
          </w:p>
          <w:p>
            <w:pPr>
              <w:pStyle w:val="TableParagraph"/>
              <w:spacing w:line="240" w:lineRule="auto" w:before="105"/>
              <w:ind w:right="19"/>
              <w:jc w:val="right"/>
              <w:rPr>
                <w:rFonts w:ascii="Arial" w:hAnsi="Arial" w:cs="Arial" w:eastAsia="Arial" w:hint="default"/>
                <w:sz w:val="18"/>
                <w:szCs w:val="18"/>
              </w:rPr>
            </w:pPr>
            <w:r>
              <w:rPr>
                <w:rFonts w:ascii="Arial"/>
                <w:w w:val="95"/>
                <w:sz w:val="18"/>
              </w:rPr>
              <w:t>.25</w:t>
            </w:r>
            <w:r>
              <w:rPr>
                <w:rFonts w:ascii="Arial"/>
                <w:sz w:val="18"/>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19,013,582.</w:t>
            </w:r>
          </w:p>
          <w:p>
            <w:pPr>
              <w:pStyle w:val="TableParagraph"/>
              <w:spacing w:line="240" w:lineRule="auto" w:before="105"/>
              <w:ind w:right="20"/>
              <w:jc w:val="right"/>
              <w:rPr>
                <w:rFonts w:ascii="Arial" w:hAnsi="Arial" w:cs="Arial" w:eastAsia="Arial" w:hint="default"/>
                <w:sz w:val="18"/>
                <w:szCs w:val="18"/>
              </w:rPr>
            </w:pPr>
            <w:r>
              <w:rPr>
                <w:rFonts w:ascii="Arial"/>
                <w:w w:val="95"/>
                <w:sz w:val="18"/>
              </w:rPr>
              <w:t>57</w:t>
            </w:r>
            <w:r>
              <w:rPr>
                <w:rFonts w:ascii="Arial"/>
                <w:sz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19,013,582.</w:t>
            </w:r>
          </w:p>
          <w:p>
            <w:pPr>
              <w:pStyle w:val="TableParagraph"/>
              <w:spacing w:line="240" w:lineRule="auto" w:before="105"/>
              <w:ind w:right="20"/>
              <w:jc w:val="right"/>
              <w:rPr>
                <w:rFonts w:ascii="Arial" w:hAnsi="Arial" w:cs="Arial" w:eastAsia="Arial" w:hint="default"/>
                <w:sz w:val="18"/>
                <w:szCs w:val="18"/>
              </w:rPr>
            </w:pPr>
            <w:r>
              <w:rPr>
                <w:rFonts w:ascii="Arial"/>
                <w:w w:val="95"/>
                <w:sz w:val="18"/>
              </w:rPr>
              <w:t>57</w:t>
            </w:r>
            <w:r>
              <w:rPr>
                <w:rFonts w:ascii="Arial"/>
                <w:sz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19,494,155.</w:t>
            </w:r>
          </w:p>
          <w:p>
            <w:pPr>
              <w:pStyle w:val="TableParagraph"/>
              <w:spacing w:line="240" w:lineRule="auto" w:before="105"/>
              <w:ind w:right="19"/>
              <w:jc w:val="right"/>
              <w:rPr>
                <w:rFonts w:ascii="Arial" w:hAnsi="Arial" w:cs="Arial" w:eastAsia="Arial" w:hint="default"/>
                <w:sz w:val="18"/>
                <w:szCs w:val="18"/>
              </w:rPr>
            </w:pPr>
            <w:r>
              <w:rPr>
                <w:rFonts w:ascii="Arial"/>
                <w:w w:val="95"/>
                <w:sz w:val="18"/>
              </w:rPr>
              <w:t>44</w:t>
            </w:r>
            <w:r>
              <w:rPr>
                <w:rFonts w:ascii="Arial"/>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2"/>
                <w:sz w:val="18"/>
              </w:rPr>
              <w:t>115,045,264</w:t>
            </w:r>
          </w:p>
          <w:p>
            <w:pPr>
              <w:pStyle w:val="TableParagraph"/>
              <w:spacing w:line="240" w:lineRule="auto" w:before="105"/>
              <w:ind w:right="19"/>
              <w:jc w:val="right"/>
              <w:rPr>
                <w:rFonts w:ascii="Arial" w:hAnsi="Arial" w:cs="Arial" w:eastAsia="Arial" w:hint="default"/>
                <w:sz w:val="18"/>
                <w:szCs w:val="18"/>
              </w:rPr>
            </w:pPr>
            <w:r>
              <w:rPr>
                <w:rFonts w:ascii="Arial"/>
                <w:w w:val="95"/>
                <w:sz w:val="18"/>
              </w:rPr>
              <w:t>.60</w:t>
            </w:r>
            <w:r>
              <w:rPr>
                <w:rFonts w:ascii="Arial"/>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16,500,382.</w:t>
            </w:r>
          </w:p>
          <w:p>
            <w:pPr>
              <w:pStyle w:val="TableParagraph"/>
              <w:spacing w:line="240" w:lineRule="auto" w:before="105"/>
              <w:ind w:right="21"/>
              <w:jc w:val="right"/>
              <w:rPr>
                <w:rFonts w:ascii="Arial" w:hAnsi="Arial" w:cs="Arial" w:eastAsia="Arial" w:hint="default"/>
                <w:sz w:val="18"/>
                <w:szCs w:val="18"/>
              </w:rPr>
            </w:pPr>
            <w:r>
              <w:rPr>
                <w:rFonts w:ascii="Arial"/>
                <w:w w:val="95"/>
                <w:sz w:val="18"/>
              </w:rPr>
              <w:t>43</w:t>
            </w:r>
            <w:r>
              <w:rPr>
                <w:rFonts w:ascii="Arial"/>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16,500,382.</w:t>
            </w:r>
          </w:p>
          <w:p>
            <w:pPr>
              <w:pStyle w:val="TableParagraph"/>
              <w:spacing w:line="240" w:lineRule="auto" w:before="105"/>
              <w:ind w:right="21"/>
              <w:jc w:val="right"/>
              <w:rPr>
                <w:rFonts w:ascii="Arial" w:hAnsi="Arial" w:cs="Arial" w:eastAsia="Arial" w:hint="default"/>
                <w:sz w:val="18"/>
                <w:szCs w:val="18"/>
              </w:rPr>
            </w:pPr>
            <w:r>
              <w:rPr>
                <w:rFonts w:ascii="Arial"/>
                <w:w w:val="95"/>
                <w:sz w:val="18"/>
              </w:rPr>
              <w:t>43</w:t>
            </w:r>
            <w:r>
              <w:rPr>
                <w:rFonts w:ascii="Arial"/>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-3,217,983.</w:t>
            </w:r>
          </w:p>
          <w:p>
            <w:pPr>
              <w:pStyle w:val="TableParagraph"/>
              <w:spacing w:line="240" w:lineRule="auto" w:before="105"/>
              <w:ind w:right="19"/>
              <w:jc w:val="right"/>
              <w:rPr>
                <w:rFonts w:ascii="Arial" w:hAnsi="Arial" w:cs="Arial" w:eastAsia="Arial" w:hint="default"/>
                <w:sz w:val="18"/>
                <w:szCs w:val="18"/>
              </w:rPr>
            </w:pPr>
            <w:r>
              <w:rPr>
                <w:rFonts w:ascii="Arial"/>
                <w:w w:val="95"/>
                <w:sz w:val="18"/>
              </w:rPr>
              <w:t>76</w:t>
            </w:r>
            <w:r>
              <w:rPr>
                <w:rFonts w:ascii="Arial"/>
                <w:sz w:val="18"/>
              </w:rPr>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26"/>
              <w:jc w:val="both"/>
              <w:rPr>
                <w:rFonts w:ascii="宋体" w:hAnsi="宋体" w:cs="宋体" w:eastAsia="宋体" w:hint="default"/>
                <w:sz w:val="18"/>
                <w:szCs w:val="18"/>
              </w:rPr>
            </w:pPr>
            <w:r>
              <w:rPr>
                <w:rFonts w:ascii="宋体" w:hAnsi="宋体" w:cs="宋体" w:eastAsia="宋体" w:hint="default"/>
                <w:sz w:val="18"/>
                <w:szCs w:val="18"/>
              </w:rPr>
              <w:t>北京华宇元 典信息服务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18,552,810.</w:t>
            </w:r>
          </w:p>
          <w:p>
            <w:pPr>
              <w:pStyle w:val="TableParagraph"/>
              <w:spacing w:line="240" w:lineRule="auto" w:before="105"/>
              <w:ind w:right="19"/>
              <w:jc w:val="right"/>
              <w:rPr>
                <w:rFonts w:ascii="Arial" w:hAnsi="Arial" w:cs="Arial" w:eastAsia="Arial" w:hint="default"/>
                <w:sz w:val="18"/>
                <w:szCs w:val="18"/>
              </w:rPr>
            </w:pPr>
            <w:r>
              <w:rPr>
                <w:rFonts w:ascii="Arial"/>
                <w:w w:val="95"/>
                <w:sz w:val="18"/>
              </w:rPr>
              <w:t>67</w:t>
            </w:r>
            <w:r>
              <w:rPr>
                <w:rFonts w:ascii="Arial"/>
                <w:sz w:val="18"/>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1"/>
                <w:sz w:val="18"/>
              </w:rPr>
              <w:t>-3,337,288.</w:t>
            </w:r>
          </w:p>
          <w:p>
            <w:pPr>
              <w:pStyle w:val="TableParagraph"/>
              <w:spacing w:line="240" w:lineRule="auto" w:before="105"/>
              <w:ind w:right="20"/>
              <w:jc w:val="right"/>
              <w:rPr>
                <w:rFonts w:ascii="Arial" w:hAnsi="Arial" w:cs="Arial" w:eastAsia="Arial" w:hint="default"/>
                <w:sz w:val="18"/>
                <w:szCs w:val="18"/>
              </w:rPr>
            </w:pPr>
            <w:r>
              <w:rPr>
                <w:rFonts w:ascii="Arial"/>
                <w:w w:val="95"/>
                <w:sz w:val="18"/>
              </w:rPr>
              <w:t>05</w:t>
            </w:r>
            <w:r>
              <w:rPr>
                <w:rFonts w:ascii="Arial"/>
                <w:sz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-3,337,288.</w:t>
            </w:r>
          </w:p>
          <w:p>
            <w:pPr>
              <w:pStyle w:val="TableParagraph"/>
              <w:spacing w:line="240" w:lineRule="auto" w:before="105"/>
              <w:ind w:right="20"/>
              <w:jc w:val="right"/>
              <w:rPr>
                <w:rFonts w:ascii="Arial" w:hAnsi="Arial" w:cs="Arial" w:eastAsia="Arial" w:hint="default"/>
                <w:sz w:val="18"/>
                <w:szCs w:val="18"/>
              </w:rPr>
            </w:pPr>
            <w:r>
              <w:rPr>
                <w:rFonts w:ascii="Arial"/>
                <w:w w:val="95"/>
                <w:sz w:val="18"/>
              </w:rPr>
              <w:t>05</w:t>
            </w:r>
            <w:r>
              <w:rPr>
                <w:rFonts w:ascii="Arial"/>
                <w:sz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12,021,532.</w:t>
            </w:r>
          </w:p>
          <w:p>
            <w:pPr>
              <w:pStyle w:val="TableParagraph"/>
              <w:spacing w:line="240" w:lineRule="auto" w:before="105"/>
              <w:ind w:right="19"/>
              <w:jc w:val="right"/>
              <w:rPr>
                <w:rFonts w:ascii="Arial" w:hAnsi="Arial" w:cs="Arial" w:eastAsia="Arial" w:hint="default"/>
                <w:sz w:val="18"/>
                <w:szCs w:val="18"/>
              </w:rPr>
            </w:pPr>
            <w:r>
              <w:rPr>
                <w:rFonts w:ascii="Arial"/>
                <w:w w:val="95"/>
                <w:sz w:val="18"/>
              </w:rPr>
              <w:t>12</w:t>
            </w:r>
            <w:r>
              <w:rPr>
                <w:rFonts w:ascii="Arial"/>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30" w:right="0"/>
              <w:jc w:val="left"/>
              <w:rPr>
                <w:rFonts w:ascii="Arial" w:hAnsi="Arial" w:cs="Arial" w:eastAsia="Arial" w:hint="default"/>
                <w:sz w:val="18"/>
                <w:szCs w:val="18"/>
              </w:rPr>
            </w:pPr>
            <w:r>
              <w:rPr>
                <w:rFonts w:ascii="Arial"/>
                <w:sz w:val="18"/>
              </w:rPr>
              <w:t>153,846.15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-10,579,219</w:t>
            </w:r>
          </w:p>
          <w:p>
            <w:pPr>
              <w:pStyle w:val="TableParagraph"/>
              <w:spacing w:line="240" w:lineRule="auto" w:before="105"/>
              <w:ind w:right="19"/>
              <w:jc w:val="right"/>
              <w:rPr>
                <w:rFonts w:ascii="Arial" w:hAnsi="Arial" w:cs="Arial" w:eastAsia="Arial" w:hint="default"/>
                <w:sz w:val="18"/>
                <w:szCs w:val="18"/>
              </w:rPr>
            </w:pPr>
            <w:r>
              <w:rPr>
                <w:rFonts w:ascii="Arial"/>
                <w:w w:val="95"/>
                <w:sz w:val="18"/>
              </w:rPr>
              <w:t>.39</w:t>
            </w:r>
            <w:r>
              <w:rPr>
                <w:rFonts w:ascii="Arial"/>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1"/>
                <w:sz w:val="18"/>
              </w:rPr>
              <w:t>-10,579,219</w:t>
            </w:r>
          </w:p>
          <w:p>
            <w:pPr>
              <w:pStyle w:val="TableParagraph"/>
              <w:spacing w:line="240" w:lineRule="auto" w:before="105"/>
              <w:ind w:right="18"/>
              <w:jc w:val="right"/>
              <w:rPr>
                <w:rFonts w:ascii="Arial" w:hAnsi="Arial" w:cs="Arial" w:eastAsia="Arial" w:hint="default"/>
                <w:sz w:val="18"/>
                <w:szCs w:val="18"/>
              </w:rPr>
            </w:pPr>
            <w:r>
              <w:rPr>
                <w:rFonts w:ascii="Arial"/>
                <w:w w:val="95"/>
                <w:sz w:val="18"/>
              </w:rPr>
              <w:t>.39</w:t>
            </w:r>
            <w:r>
              <w:rPr>
                <w:rFonts w:ascii="Arial"/>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-14,291,616</w:t>
            </w:r>
          </w:p>
          <w:p>
            <w:pPr>
              <w:pStyle w:val="TableParagraph"/>
              <w:spacing w:line="240" w:lineRule="auto" w:before="105"/>
              <w:ind w:right="19"/>
              <w:jc w:val="right"/>
              <w:rPr>
                <w:rFonts w:ascii="Arial" w:hAnsi="Arial" w:cs="Arial" w:eastAsia="Arial" w:hint="default"/>
                <w:sz w:val="18"/>
                <w:szCs w:val="18"/>
              </w:rPr>
            </w:pPr>
            <w:r>
              <w:rPr>
                <w:rFonts w:ascii="Arial"/>
                <w:w w:val="95"/>
                <w:sz w:val="18"/>
              </w:rPr>
              <w:t>.69</w:t>
            </w:r>
            <w:r>
              <w:rPr>
                <w:rFonts w:ascii="Arial"/>
                <w:sz w:val="18"/>
              </w:rPr>
            </w:r>
          </w:p>
        </w:tc>
      </w:tr>
    </w:tbl>
    <w:p>
      <w:pPr>
        <w:spacing w:line="240" w:lineRule="auto" w:before="0"/>
        <w:rPr>
          <w:rFonts w:ascii="宋体" w:hAnsi="宋体" w:cs="宋体" w:eastAsia="宋体" w:hint="default"/>
          <w:sz w:val="18"/>
          <w:szCs w:val="18"/>
        </w:rPr>
      </w:pPr>
    </w:p>
    <w:p>
      <w:pPr>
        <w:pStyle w:val="Heading2"/>
        <w:spacing w:line="240" w:lineRule="auto"/>
        <w:ind w:right="996"/>
        <w:jc w:val="left"/>
        <w:rPr>
          <w:b w:val="0"/>
          <w:bCs w:val="0"/>
        </w:rPr>
      </w:pPr>
      <w:bookmarkStart w:name="十、与金融工具相关的风险" w:id="308"/>
      <w:bookmarkEnd w:id="308"/>
      <w:r>
        <w:rPr>
          <w:b w:val="0"/>
          <w:bCs w:val="0"/>
        </w:rPr>
      </w:r>
      <w:r>
        <w:rPr/>
        <w:t>十、与金融工具相关的风险</w:t>
      </w:r>
      <w:r>
        <w:rPr>
          <w:b w:val="0"/>
          <w:bCs w:val="0"/>
        </w:rPr>
      </w:r>
    </w:p>
    <w:p>
      <w:pPr>
        <w:spacing w:line="240" w:lineRule="auto" w:before="9"/>
        <w:rPr>
          <w:rFonts w:ascii="宋体" w:hAnsi="宋体" w:cs="宋体" w:eastAsia="宋体" w:hint="default"/>
          <w:b/>
          <w:bCs/>
          <w:sz w:val="24"/>
          <w:szCs w:val="24"/>
        </w:rPr>
      </w:pPr>
    </w:p>
    <w:p>
      <w:pPr>
        <w:pStyle w:val="BodyText"/>
        <w:spacing w:line="240" w:lineRule="auto" w:before="0"/>
        <w:ind w:left="540" w:right="996"/>
        <w:jc w:val="left"/>
      </w:pPr>
      <w:r>
        <w:rPr/>
        <w:t>本集团的主要金融工具包括货币资金、应收账款、应收票据、应收利息、其他应收款、应付账款、其</w:t>
      </w:r>
    </w:p>
    <w:p>
      <w:pPr>
        <w:spacing w:after="0" w:line="240" w:lineRule="auto"/>
        <w:jc w:val="left"/>
        <w:sectPr>
          <w:footerReference w:type="default" r:id="rId46"/>
          <w:pgSz w:w="11910" w:h="16840"/>
          <w:pgMar w:footer="978" w:header="878" w:top="1100" w:bottom="1160" w:left="1020" w:right="0"/>
          <w:pgNumType w:start="160"/>
        </w:sectPr>
      </w:pPr>
    </w:p>
    <w:p>
      <w:pPr>
        <w:spacing w:line="240" w:lineRule="auto" w:before="12"/>
        <w:rPr>
          <w:rFonts w:ascii="宋体" w:hAnsi="宋体" w:cs="宋体" w:eastAsia="宋体" w:hint="default"/>
          <w:sz w:val="20"/>
          <w:szCs w:val="20"/>
        </w:rPr>
      </w:pPr>
    </w:p>
    <w:p>
      <w:pPr>
        <w:pStyle w:val="BodyText"/>
        <w:spacing w:line="273" w:lineRule="auto"/>
        <w:ind w:right="1132"/>
        <w:jc w:val="both"/>
      </w:pPr>
      <w:r>
        <w:rPr>
          <w:w w:val="95"/>
        </w:rPr>
        <w:t>他应付款、短期借款。各项金融工具的详细情况已于相关附注内披露。与这些金融工具有关的风险，以及</w:t>
      </w:r>
      <w:r>
        <w:rPr>
          <w:spacing w:val="38"/>
          <w:w w:val="95"/>
        </w:rPr>
        <w:t> </w:t>
      </w:r>
      <w:r>
        <w:rPr>
          <w:spacing w:val="38"/>
          <w:w w:val="95"/>
        </w:rPr>
      </w:r>
      <w:r>
        <w:rPr>
          <w:w w:val="95"/>
        </w:rPr>
        <w:t>本集团为降低这些风险所采取的风险管理政策如下所述。本集团管理层对这些风险敞口进行管理和监控以</w:t>
      </w:r>
      <w:r>
        <w:rPr>
          <w:spacing w:val="39"/>
          <w:w w:val="95"/>
        </w:rPr>
        <w:t> </w:t>
      </w:r>
      <w:r>
        <w:rPr>
          <w:spacing w:val="39"/>
          <w:w w:val="95"/>
        </w:rPr>
      </w:r>
      <w:r>
        <w:rPr/>
        <w:t>确保将上述风险控制在限定的范围之内。</w:t>
      </w:r>
    </w:p>
    <w:p>
      <w:pPr>
        <w:spacing w:line="590" w:lineRule="atLeast" w:before="7"/>
        <w:ind w:left="540" w:right="996" w:hanging="428"/>
        <w:jc w:val="left"/>
        <w:rPr>
          <w:rFonts w:ascii="宋体" w:hAnsi="宋体" w:cs="宋体" w:eastAsia="宋体" w:hint="default"/>
          <w:sz w:val="21"/>
          <w:szCs w:val="21"/>
        </w:rPr>
      </w:pPr>
      <w:r>
        <w:rPr>
          <w:rFonts w:ascii="Arial" w:hAnsi="Arial" w:cs="Arial" w:eastAsia="Arial" w:hint="default"/>
          <w:b/>
          <w:bCs/>
          <w:sz w:val="21"/>
          <w:szCs w:val="21"/>
        </w:rPr>
        <w:t>1</w:t>
      </w:r>
      <w:r>
        <w:rPr>
          <w:rFonts w:ascii="宋体" w:hAnsi="宋体" w:cs="宋体" w:eastAsia="宋体" w:hint="default"/>
          <w:b/>
          <w:bCs/>
          <w:sz w:val="21"/>
          <w:szCs w:val="21"/>
        </w:rPr>
        <w:t>、风险管理目标和政策</w:t>
      </w:r>
      <w:r>
        <w:rPr>
          <w:rFonts w:ascii="宋体" w:hAnsi="宋体" w:cs="宋体" w:eastAsia="宋体" w:hint="default"/>
          <w:b/>
          <w:bCs/>
          <w:w w:val="99"/>
          <w:sz w:val="21"/>
          <w:szCs w:val="21"/>
        </w:rPr>
        <w:t> </w:t>
      </w:r>
      <w:r>
        <w:rPr>
          <w:rFonts w:ascii="宋体" w:hAnsi="宋体" w:cs="宋体" w:eastAsia="宋体" w:hint="default"/>
          <w:w w:val="95"/>
          <w:sz w:val="21"/>
          <w:szCs w:val="21"/>
        </w:rPr>
        <w:t>本集团从事风险管理的目标是在风险和收益之间取得适当的平衡，力求降低金融风险对本集团财务业</w:t>
      </w:r>
      <w:r>
        <w:rPr>
          <w:rFonts w:ascii="宋体" w:hAnsi="宋体" w:cs="宋体" w:eastAsia="宋体" w:hint="default"/>
          <w:sz w:val="21"/>
          <w:szCs w:val="21"/>
        </w:rPr>
      </w:r>
    </w:p>
    <w:p>
      <w:pPr>
        <w:pStyle w:val="BodyText"/>
        <w:spacing w:line="273" w:lineRule="auto" w:before="37"/>
        <w:ind w:right="1132"/>
        <w:jc w:val="both"/>
      </w:pPr>
      <w:r>
        <w:rPr>
          <w:w w:val="95"/>
        </w:rPr>
        <w:t>绩的不利影响。基于该风险管理目标，本集团已制定风险管理政策以辨别和分析本集团所面临的风险，设</w:t>
      </w:r>
      <w:r>
        <w:rPr>
          <w:spacing w:val="40"/>
          <w:w w:val="95"/>
        </w:rPr>
        <w:t> </w:t>
      </w:r>
      <w:r>
        <w:rPr>
          <w:spacing w:val="40"/>
          <w:w w:val="95"/>
        </w:rPr>
      </w:r>
      <w:r>
        <w:rPr>
          <w:w w:val="95"/>
        </w:rPr>
        <w:t>定适当的风险可接受水平并设计相应的内部控制程序，以监控本集团的风险水平。本集团会定期审阅这些</w:t>
      </w:r>
      <w:r>
        <w:rPr>
          <w:spacing w:val="37"/>
          <w:w w:val="95"/>
        </w:rPr>
        <w:t> </w:t>
      </w:r>
      <w:r>
        <w:rPr>
          <w:spacing w:val="37"/>
          <w:w w:val="95"/>
        </w:rPr>
      </w:r>
      <w:r>
        <w:rPr>
          <w:w w:val="95"/>
        </w:rPr>
        <w:t>风险管理政策及有关内部控制系统，以适应市场情况或本集团经营活动的改变。本集团的内部审计部门也</w:t>
      </w:r>
      <w:r>
        <w:rPr>
          <w:spacing w:val="40"/>
          <w:w w:val="95"/>
        </w:rPr>
        <w:t> </w:t>
      </w:r>
      <w:r>
        <w:rPr>
          <w:spacing w:val="40"/>
          <w:w w:val="95"/>
        </w:rPr>
      </w:r>
      <w:r>
        <w:rPr/>
        <w:t>定期或随机检查内部控制系统的执行是否符合风险管理政策。</w:t>
      </w:r>
    </w:p>
    <w:p>
      <w:pPr>
        <w:pStyle w:val="BodyText"/>
        <w:spacing w:line="432" w:lineRule="exact" w:before="27"/>
        <w:ind w:left="540" w:right="996"/>
        <w:jc w:val="left"/>
      </w:pPr>
      <w:r>
        <w:rPr/>
        <w:t>本集团的金融工具导致的主要风险是信用风险、流动性风险、市场风险。</w:t>
      </w:r>
      <w:r>
        <w:rPr>
          <w:w w:val="99"/>
        </w:rPr>
        <w:t> </w:t>
      </w:r>
      <w:r>
        <w:rPr>
          <w:w w:val="95"/>
        </w:rPr>
        <w:t>董事会负责规划并建立本集团的风险管理架构，指定本集团的风险管理政策和相关指引并监督风险管</w:t>
      </w:r>
      <w:r>
        <w:rPr/>
      </w:r>
    </w:p>
    <w:p>
      <w:pPr>
        <w:pStyle w:val="BodyText"/>
        <w:spacing w:line="255" w:lineRule="exact" w:before="0"/>
        <w:ind w:right="0"/>
        <w:jc w:val="both"/>
      </w:pPr>
      <w:r>
        <w:rPr/>
        <w:t>理措施的执行情况。本集团已制定风险管理政策以识别和分析本集团所面临的风险，这些风险管理政策对</w:t>
      </w:r>
    </w:p>
    <w:p>
      <w:pPr>
        <w:pStyle w:val="BodyText"/>
        <w:spacing w:line="273" w:lineRule="auto" w:before="37"/>
        <w:ind w:right="1132"/>
        <w:jc w:val="both"/>
      </w:pPr>
      <w:r>
        <w:rPr>
          <w:w w:val="95"/>
        </w:rPr>
        <w:t>特定风险进行了明确规定，涵盖了信用风险、流动性风险和市场风险管理等诸多方面。本集团定期评估市</w:t>
      </w:r>
      <w:r>
        <w:rPr>
          <w:spacing w:val="37"/>
          <w:w w:val="95"/>
        </w:rPr>
        <w:t> </w:t>
      </w:r>
      <w:r>
        <w:rPr>
          <w:spacing w:val="37"/>
          <w:w w:val="95"/>
        </w:rPr>
      </w:r>
      <w:r>
        <w:rPr>
          <w:w w:val="95"/>
        </w:rPr>
        <w:t>场环境及本集团经营活动的变化以决定是否对风险管理政策及系统进行更新。本集团的风险管理由风险管</w:t>
      </w:r>
      <w:r>
        <w:rPr>
          <w:spacing w:val="37"/>
          <w:w w:val="95"/>
        </w:rPr>
        <w:t> </w:t>
      </w:r>
      <w:r>
        <w:rPr>
          <w:spacing w:val="37"/>
          <w:w w:val="95"/>
        </w:rPr>
      </w:r>
      <w:r>
        <w:rPr>
          <w:w w:val="95"/>
        </w:rPr>
        <w:t>理委员会按照董事会批准的政策开展。风险管理委员会通过与本集团其他业务部门的紧密合作来识别、评</w:t>
      </w:r>
      <w:r>
        <w:rPr>
          <w:spacing w:val="40"/>
          <w:w w:val="95"/>
        </w:rPr>
        <w:t> </w:t>
      </w:r>
      <w:r>
        <w:rPr>
          <w:spacing w:val="40"/>
          <w:w w:val="95"/>
        </w:rPr>
      </w:r>
      <w:r>
        <w:rPr>
          <w:w w:val="95"/>
        </w:rPr>
        <w:t>价和规避相关风险。本集团内部审计部门就风险管理控制及程序进行定期的审核，并将审核结果上报本集</w:t>
      </w:r>
      <w:r>
        <w:rPr>
          <w:spacing w:val="37"/>
          <w:w w:val="95"/>
        </w:rPr>
        <w:t> </w:t>
      </w:r>
      <w:r>
        <w:rPr>
          <w:spacing w:val="37"/>
          <w:w w:val="95"/>
        </w:rPr>
      </w:r>
      <w:r>
        <w:rPr/>
        <w:t>团的审计委员会。</w:t>
      </w:r>
    </w:p>
    <w:p>
      <w:pPr>
        <w:pStyle w:val="BodyText"/>
        <w:spacing w:line="273" w:lineRule="auto" w:before="128"/>
        <w:ind w:right="1135" w:firstLine="427"/>
        <w:jc w:val="both"/>
      </w:pPr>
      <w:r>
        <w:rPr>
          <w:w w:val="95"/>
        </w:rPr>
        <w:t>本集团通过适当的多样化投资及业务组合来分散金融工具风险，并通过制定相应的风险管理政策减少</w:t>
      </w:r>
      <w:r>
        <w:rPr>
          <w:w w:val="99"/>
        </w:rPr>
        <w:t> </w:t>
      </w:r>
      <w:r>
        <w:rPr/>
        <w:t>集中于任何单一行业、特定地区或特定交易对手方的风险。</w:t>
      </w:r>
    </w:p>
    <w:p>
      <w:pPr>
        <w:spacing w:line="240" w:lineRule="auto" w:before="7"/>
        <w:rPr>
          <w:rFonts w:ascii="宋体" w:hAnsi="宋体" w:cs="宋体" w:eastAsia="宋体" w:hint="default"/>
          <w:sz w:val="23"/>
          <w:szCs w:val="23"/>
        </w:rPr>
      </w:pPr>
    </w:p>
    <w:p>
      <w:pPr>
        <w:pStyle w:val="Heading4"/>
        <w:spacing w:line="240" w:lineRule="auto"/>
        <w:ind w:right="0"/>
        <w:jc w:val="both"/>
        <w:rPr>
          <w:b w:val="0"/>
          <w:bCs w:val="0"/>
        </w:rPr>
      </w:pPr>
      <w:r>
        <w:rPr/>
        <w:t>（</w:t>
      </w:r>
      <w:r>
        <w:rPr>
          <w:rFonts w:ascii="Arial" w:hAnsi="Arial" w:cs="Arial" w:eastAsia="Arial" w:hint="default"/>
        </w:rPr>
        <w:t>1</w:t>
      </w:r>
      <w:r>
        <w:rPr/>
        <w:t>）信用风险</w:t>
      </w:r>
      <w:r>
        <w:rPr>
          <w:b w:val="0"/>
          <w:bCs w:val="0"/>
        </w:rPr>
      </w:r>
    </w:p>
    <w:p>
      <w:pPr>
        <w:pStyle w:val="BodyText"/>
        <w:spacing w:line="430" w:lineRule="atLeast" w:before="167"/>
        <w:ind w:left="540" w:right="996"/>
        <w:jc w:val="left"/>
      </w:pPr>
      <w:r>
        <w:rPr/>
        <w:t>信用风险，是指交易对手方未能履行合同义务而导致本集团产生财务损失的风险。</w:t>
      </w:r>
      <w:r>
        <w:rPr>
          <w:w w:val="99"/>
        </w:rPr>
        <w:t> </w:t>
      </w:r>
      <w:r>
        <w:rPr/>
        <w:t>本集团对信用风险按组合分类进行管理。信用风险主要产生于银行存款和应收款项等。</w:t>
      </w:r>
      <w:r>
        <w:rPr>
          <w:w w:val="99"/>
        </w:rPr>
        <w:t> </w:t>
      </w:r>
      <w:r>
        <w:rPr>
          <w:w w:val="95"/>
        </w:rPr>
        <w:t>本集团银行存款主要存放于国有银行和其它大中型上市银行，本集团预期银行存款不存在重大的信用</w:t>
      </w:r>
      <w:r>
        <w:rPr/>
      </w:r>
    </w:p>
    <w:p>
      <w:pPr>
        <w:pStyle w:val="BodyText"/>
        <w:spacing w:line="240" w:lineRule="auto" w:before="37"/>
        <w:ind w:right="0"/>
        <w:jc w:val="both"/>
      </w:pPr>
      <w:r>
        <w:rPr/>
        <w:t>风险。</w:t>
      </w:r>
    </w:p>
    <w:p>
      <w:pPr>
        <w:pStyle w:val="BodyText"/>
        <w:spacing w:line="273" w:lineRule="auto" w:before="157"/>
        <w:ind w:right="1132" w:firstLine="427"/>
        <w:jc w:val="both"/>
      </w:pPr>
      <w:r>
        <w:rPr>
          <w:w w:val="95"/>
        </w:rPr>
        <w:t>对于应收款项，本集团设定相关政策以控制信用风险敞口。本集团基于对债务人的财务状况、外部评</w:t>
      </w:r>
      <w:r>
        <w:rPr>
          <w:w w:val="99"/>
        </w:rPr>
        <w:t> </w:t>
      </w:r>
      <w:r>
        <w:rPr>
          <w:w w:val="95"/>
        </w:rPr>
        <w:t>级、从第三方获取担保的可能性、信用记录及其它因素诸如目前市场状况等评估债务人的信用资质并设置</w:t>
      </w:r>
      <w:r>
        <w:rPr>
          <w:spacing w:val="40"/>
          <w:w w:val="95"/>
        </w:rPr>
        <w:t> </w:t>
      </w:r>
      <w:r>
        <w:rPr>
          <w:spacing w:val="40"/>
          <w:w w:val="95"/>
        </w:rPr>
      </w:r>
      <w:r>
        <w:rPr>
          <w:w w:val="95"/>
        </w:rPr>
        <w:t>相应欠款额度与信用期限。本集团已采取政策只与信用良好的交易对手方合作并在有必要时获取足够的抵</w:t>
      </w:r>
      <w:r>
        <w:rPr>
          <w:spacing w:val="37"/>
          <w:w w:val="95"/>
        </w:rPr>
        <w:t> </w:t>
      </w:r>
      <w:r>
        <w:rPr>
          <w:spacing w:val="37"/>
          <w:w w:val="95"/>
        </w:rPr>
      </w:r>
      <w:r>
        <w:rPr>
          <w:w w:val="95"/>
        </w:rPr>
        <w:t>押品，以此缓解因交易对手方未能履行合同义务而产生财务损失的风险。本集团会定期对债务人信用记录</w:t>
      </w:r>
      <w:r>
        <w:rPr>
          <w:spacing w:val="37"/>
          <w:w w:val="95"/>
        </w:rPr>
        <w:t> </w:t>
      </w:r>
      <w:r>
        <w:rPr>
          <w:spacing w:val="37"/>
          <w:w w:val="95"/>
        </w:rPr>
      </w:r>
      <w:r>
        <w:rPr>
          <w:w w:val="95"/>
        </w:rPr>
        <w:t>进行监控，对于信用记录不良的债务人，本集团会采用书面催款、缩短信用期或取消信用期等方式，以确</w:t>
      </w:r>
      <w:r>
        <w:rPr>
          <w:spacing w:val="38"/>
          <w:w w:val="95"/>
        </w:rPr>
        <w:t> </w:t>
      </w:r>
      <w:r>
        <w:rPr>
          <w:spacing w:val="38"/>
          <w:w w:val="95"/>
        </w:rPr>
      </w:r>
      <w:r>
        <w:rPr/>
        <w:t>保本集团的整体信用风险在可控的范围内。</w:t>
      </w:r>
    </w:p>
    <w:p>
      <w:pPr>
        <w:pStyle w:val="BodyText"/>
        <w:spacing w:line="273" w:lineRule="auto" w:before="127"/>
        <w:ind w:right="1132" w:firstLine="427"/>
        <w:jc w:val="both"/>
      </w:pPr>
      <w:r>
        <w:rPr>
          <w:w w:val="95"/>
        </w:rPr>
        <w:t>本集团应收账款的债务人主要为法院、检察院、教育局、学校等政府性质、事业单位性质的客户。信</w:t>
      </w:r>
      <w:r>
        <w:rPr>
          <w:w w:val="99"/>
        </w:rPr>
        <w:t> </w:t>
      </w:r>
      <w:r>
        <w:rPr/>
        <w:t>用风险低。</w:t>
      </w:r>
    </w:p>
    <w:p>
      <w:pPr>
        <w:pStyle w:val="BodyText"/>
        <w:spacing w:line="240" w:lineRule="auto" w:before="127"/>
        <w:ind w:left="540" w:right="996"/>
        <w:jc w:val="left"/>
      </w:pPr>
      <w:r>
        <w:rPr/>
        <w:t>本集团应收账款中，欠款金额前五大客户的应收账款占本集团应收账款总额的</w:t>
      </w:r>
      <w:r>
        <w:rPr>
          <w:rFonts w:ascii="Arial" w:hAnsi="Arial" w:cs="Arial" w:eastAsia="Arial" w:hint="default"/>
        </w:rPr>
        <w:t>12.70%</w:t>
      </w:r>
      <w:r>
        <w:rPr/>
        <w:t>（</w:t>
      </w:r>
      <w:r>
        <w:rPr>
          <w:rFonts w:ascii="Arial" w:hAnsi="Arial" w:cs="Arial" w:eastAsia="Arial" w:hint="default"/>
        </w:rPr>
        <w:t>2017</w:t>
      </w:r>
      <w:r>
        <w:rPr/>
        <w:t>年末：</w:t>
      </w:r>
    </w:p>
    <w:p>
      <w:pPr>
        <w:pStyle w:val="BodyText"/>
        <w:spacing w:line="240" w:lineRule="auto" w:before="22"/>
        <w:ind w:right="0"/>
        <w:jc w:val="both"/>
        <w:rPr>
          <w:rFonts w:ascii="Arial" w:hAnsi="Arial" w:cs="Arial" w:eastAsia="Arial" w:hint="default"/>
        </w:rPr>
      </w:pPr>
      <w:r>
        <w:rPr>
          <w:rFonts w:ascii="Arial" w:hAnsi="Arial" w:cs="Arial" w:eastAsia="Arial" w:hint="default"/>
        </w:rPr>
        <w:t>13.78%</w:t>
      </w:r>
      <w:r>
        <w:rPr/>
        <w:t>）；本集团其他应收款中，欠款金额前五大公司的其他应收款占本集团其他应收款总额的</w:t>
      </w:r>
      <w:r>
        <w:rPr>
          <w:rFonts w:ascii="Arial" w:hAnsi="Arial" w:cs="Arial" w:eastAsia="Arial" w:hint="default"/>
        </w:rPr>
        <w:t>21.87%</w:t>
      </w:r>
    </w:p>
    <w:p>
      <w:pPr>
        <w:pStyle w:val="BodyText"/>
        <w:spacing w:line="240" w:lineRule="auto" w:before="22"/>
        <w:ind w:right="0"/>
        <w:jc w:val="both"/>
      </w:pPr>
      <w:r>
        <w:rPr/>
        <w:t>（</w:t>
      </w:r>
      <w:r>
        <w:rPr>
          <w:rFonts w:ascii="Arial" w:hAnsi="Arial" w:cs="Arial" w:eastAsia="Arial" w:hint="default"/>
        </w:rPr>
        <w:t>2017</w:t>
      </w:r>
      <w:r>
        <w:rPr/>
        <w:t>年末：</w:t>
      </w:r>
      <w:r>
        <w:rPr>
          <w:rFonts w:ascii="Arial" w:hAnsi="Arial" w:cs="Arial" w:eastAsia="Arial" w:hint="default"/>
        </w:rPr>
        <w:t>19.02%</w:t>
      </w:r>
      <w:r>
        <w:rPr/>
        <w:t>）。</w:t>
      </w:r>
    </w:p>
    <w:p>
      <w:pPr>
        <w:spacing w:line="240" w:lineRule="auto" w:before="8"/>
        <w:rPr>
          <w:rFonts w:ascii="宋体" w:hAnsi="宋体" w:cs="宋体" w:eastAsia="宋体" w:hint="default"/>
          <w:sz w:val="24"/>
          <w:szCs w:val="24"/>
        </w:rPr>
      </w:pPr>
    </w:p>
    <w:p>
      <w:pPr>
        <w:pStyle w:val="Heading4"/>
        <w:spacing w:line="240" w:lineRule="auto"/>
        <w:ind w:right="0"/>
        <w:jc w:val="both"/>
        <w:rPr>
          <w:b w:val="0"/>
          <w:bCs w:val="0"/>
        </w:rPr>
      </w:pPr>
      <w:r>
        <w:rPr/>
        <w:t>（</w:t>
      </w:r>
      <w:r>
        <w:rPr>
          <w:rFonts w:ascii="Arial" w:hAnsi="Arial" w:cs="Arial" w:eastAsia="Arial" w:hint="default"/>
        </w:rPr>
        <w:t>2</w:t>
      </w:r>
      <w:r>
        <w:rPr/>
        <w:t>）流动性风险</w:t>
      </w:r>
      <w:r>
        <w:rPr>
          <w:b w:val="0"/>
          <w:bCs w:val="0"/>
        </w:rPr>
      </w:r>
    </w:p>
    <w:p>
      <w:pPr>
        <w:spacing w:after="0" w:line="240" w:lineRule="auto"/>
        <w:jc w:val="both"/>
        <w:sectPr>
          <w:pgSz w:w="11910" w:h="16840"/>
          <w:pgMar w:header="878" w:footer="978" w:top="1100" w:bottom="1160" w:left="1020" w:right="0"/>
        </w:sectPr>
      </w:pPr>
    </w:p>
    <w:p>
      <w:pPr>
        <w:spacing w:line="240" w:lineRule="auto" w:before="12"/>
        <w:rPr>
          <w:rFonts w:ascii="宋体" w:hAnsi="宋体" w:cs="宋体" w:eastAsia="宋体" w:hint="default"/>
          <w:b/>
          <w:bCs/>
          <w:sz w:val="20"/>
          <w:szCs w:val="20"/>
        </w:rPr>
      </w:pPr>
    </w:p>
    <w:p>
      <w:pPr>
        <w:pStyle w:val="BodyText"/>
        <w:spacing w:line="240" w:lineRule="auto"/>
        <w:ind w:left="540" w:right="0"/>
        <w:jc w:val="left"/>
      </w:pPr>
      <w:r>
        <w:rPr/>
        <w:t>流动性风险，是指本集团在履行以交付现金或其他金融资产的方式结算的义务时发生资金短缺的风险。</w:t>
      </w:r>
    </w:p>
    <w:p>
      <w:pPr>
        <w:pStyle w:val="BodyText"/>
        <w:spacing w:line="273" w:lineRule="auto" w:before="157"/>
        <w:ind w:right="1025" w:firstLine="427"/>
        <w:jc w:val="left"/>
      </w:pPr>
      <w:r>
        <w:rPr/>
        <w:t>管理流动风险时，本集团保持管理层认为充分的现金及现金等价物并对其进行监控，以满足本集团经</w:t>
      </w:r>
      <w:r>
        <w:rPr>
          <w:w w:val="99"/>
        </w:rPr>
        <w:t> </w:t>
      </w:r>
      <w:r>
        <w:rPr>
          <w:spacing w:val="-3"/>
        </w:rPr>
        <w:t>营需要，并降低现金流量波动的影响。本集团管理层对银行借款的使用情况进行监控并确保遵守借款协议。</w:t>
      </w:r>
      <w:r>
        <w:rPr>
          <w:w w:val="99"/>
        </w:rPr>
        <w:t> </w:t>
      </w:r>
      <w:r>
        <w:rPr/>
        <w:t>同时从主要金融机构获得提供足够备用资金的承诺，以满足短期和长期的资金需求。</w:t>
      </w:r>
    </w:p>
    <w:p>
      <w:pPr>
        <w:pStyle w:val="BodyText"/>
        <w:spacing w:line="432" w:lineRule="exact" w:before="27"/>
        <w:ind w:left="540" w:right="996"/>
        <w:jc w:val="left"/>
      </w:pPr>
      <w:r>
        <w:rPr/>
        <w:t>本集团通过经营业务产生的资金及银行及其他借款来筹措营运资金。</w:t>
      </w:r>
      <w:r>
        <w:rPr>
          <w:w w:val="99"/>
        </w:rPr>
        <w:t> </w:t>
      </w:r>
      <w:r>
        <w:rPr>
          <w:w w:val="95"/>
        </w:rPr>
        <w:t>期末本集团持有的金融资产、金融负债和表外担保项目按未折现剩余合同现金流量的到期期限分析如</w:t>
      </w:r>
      <w:r>
        <w:rPr/>
      </w:r>
    </w:p>
    <w:p>
      <w:pPr>
        <w:pStyle w:val="BodyText"/>
        <w:spacing w:line="255" w:lineRule="exact" w:before="0"/>
        <w:ind w:right="996"/>
        <w:jc w:val="left"/>
      </w:pPr>
      <w:r>
        <w:rPr/>
        <w:t>下（单位：人民币万元）：</w:t>
      </w:r>
    </w:p>
    <w:p>
      <w:pPr>
        <w:spacing w:line="240" w:lineRule="auto" w:before="1"/>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2835"/>
        <w:gridCol w:w="1843"/>
        <w:gridCol w:w="1701"/>
        <w:gridCol w:w="1701"/>
        <w:gridCol w:w="1559"/>
      </w:tblGrid>
      <w:tr>
        <w:trPr>
          <w:trHeight w:val="379" w:hRule="exact"/>
        </w:trPr>
        <w:tc>
          <w:tcPr>
            <w:tcW w:w="2835"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80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79" w:hRule="exact"/>
        </w:trPr>
        <w:tc>
          <w:tcPr>
            <w:tcW w:w="2835" w:type="dxa"/>
            <w:vMerge/>
            <w:tcBorders>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5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11" w:right="0"/>
              <w:jc w:val="left"/>
              <w:rPr>
                <w:rFonts w:ascii="宋体" w:hAnsi="宋体" w:cs="宋体" w:eastAsia="宋体" w:hint="default"/>
                <w:sz w:val="18"/>
                <w:szCs w:val="18"/>
              </w:rPr>
            </w:pPr>
            <w:r>
              <w:rPr>
                <w:rFonts w:ascii="宋体" w:hAnsi="宋体" w:cs="宋体" w:eastAsia="宋体" w:hint="default"/>
                <w:sz w:val="18"/>
                <w:szCs w:val="18"/>
              </w:rPr>
              <w:t>一年至五年以内</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83"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79"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843"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379"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29"/>
              <w:jc w:val="right"/>
              <w:rPr>
                <w:rFonts w:ascii="Arial" w:hAnsi="Arial" w:cs="Arial" w:eastAsia="Arial" w:hint="default"/>
                <w:sz w:val="18"/>
                <w:szCs w:val="18"/>
              </w:rPr>
            </w:pPr>
            <w:r>
              <w:rPr>
                <w:rFonts w:ascii="Arial"/>
                <w:spacing w:val="-1"/>
                <w:sz w:val="18"/>
              </w:rPr>
              <w:t>130,314.20</w:t>
            </w:r>
          </w:p>
        </w:tc>
        <w:tc>
          <w:tcPr>
            <w:tcW w:w="170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0"/>
              <w:jc w:val="right"/>
              <w:rPr>
                <w:rFonts w:ascii="Arial" w:hAnsi="Arial" w:cs="Arial" w:eastAsia="Arial" w:hint="default"/>
                <w:sz w:val="18"/>
                <w:szCs w:val="18"/>
              </w:rPr>
            </w:pPr>
            <w:r>
              <w:rPr>
                <w:rFonts w:ascii="Arial"/>
                <w:spacing w:val="-1"/>
                <w:sz w:val="18"/>
              </w:rPr>
              <w:t>130,314.20</w:t>
            </w:r>
          </w:p>
        </w:tc>
      </w:tr>
      <w:tr>
        <w:trPr>
          <w:trHeight w:val="379"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29"/>
              <w:jc w:val="right"/>
              <w:rPr>
                <w:rFonts w:ascii="Arial" w:hAnsi="Arial" w:cs="Arial" w:eastAsia="Arial" w:hint="default"/>
                <w:sz w:val="18"/>
                <w:szCs w:val="18"/>
              </w:rPr>
            </w:pPr>
            <w:r>
              <w:rPr>
                <w:rFonts w:ascii="Arial"/>
                <w:spacing w:val="-1"/>
                <w:sz w:val="18"/>
              </w:rPr>
              <w:t>92,180.39</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1"/>
              <w:jc w:val="right"/>
              <w:rPr>
                <w:rFonts w:ascii="Arial" w:hAnsi="Arial" w:cs="Arial" w:eastAsia="Arial" w:hint="default"/>
                <w:sz w:val="18"/>
                <w:szCs w:val="18"/>
              </w:rPr>
            </w:pPr>
            <w:r>
              <w:rPr>
                <w:rFonts w:ascii="Arial"/>
                <w:spacing w:val="-1"/>
                <w:sz w:val="18"/>
              </w:rPr>
              <w:t>375.26</w:t>
            </w:r>
          </w:p>
        </w:tc>
        <w:tc>
          <w:tcPr>
            <w:tcW w:w="170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0"/>
              <w:jc w:val="right"/>
              <w:rPr>
                <w:rFonts w:ascii="Arial" w:hAnsi="Arial" w:cs="Arial" w:eastAsia="Arial" w:hint="default"/>
                <w:sz w:val="18"/>
                <w:szCs w:val="18"/>
              </w:rPr>
            </w:pPr>
            <w:r>
              <w:rPr>
                <w:rFonts w:ascii="Arial"/>
                <w:spacing w:val="-1"/>
                <w:sz w:val="18"/>
              </w:rPr>
              <w:t>92,555.65</w:t>
            </w:r>
          </w:p>
        </w:tc>
      </w:tr>
      <w:tr>
        <w:trPr>
          <w:trHeight w:val="379"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29"/>
              <w:jc w:val="right"/>
              <w:rPr>
                <w:rFonts w:ascii="Arial" w:hAnsi="Arial" w:cs="Arial" w:eastAsia="Arial" w:hint="default"/>
                <w:sz w:val="18"/>
                <w:szCs w:val="18"/>
              </w:rPr>
            </w:pPr>
            <w:r>
              <w:rPr>
                <w:rFonts w:ascii="Arial"/>
                <w:spacing w:val="-1"/>
                <w:sz w:val="18"/>
              </w:rPr>
              <w:t>28,363.48</w:t>
            </w:r>
          </w:p>
        </w:tc>
        <w:tc>
          <w:tcPr>
            <w:tcW w:w="170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0"/>
              <w:jc w:val="right"/>
              <w:rPr>
                <w:rFonts w:ascii="Arial" w:hAnsi="Arial" w:cs="Arial" w:eastAsia="Arial" w:hint="default"/>
                <w:sz w:val="18"/>
                <w:szCs w:val="18"/>
              </w:rPr>
            </w:pPr>
            <w:r>
              <w:rPr>
                <w:rFonts w:ascii="Arial"/>
                <w:spacing w:val="-1"/>
                <w:sz w:val="18"/>
              </w:rPr>
              <w:t>28,363.48</w:t>
            </w:r>
          </w:p>
        </w:tc>
      </w:tr>
      <w:tr>
        <w:trPr>
          <w:trHeight w:val="379"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29"/>
              <w:jc w:val="right"/>
              <w:rPr>
                <w:rFonts w:ascii="Arial" w:hAnsi="Arial" w:cs="Arial" w:eastAsia="Arial" w:hint="default"/>
                <w:sz w:val="18"/>
                <w:szCs w:val="18"/>
              </w:rPr>
            </w:pPr>
            <w:r>
              <w:rPr>
                <w:rFonts w:ascii="Arial"/>
                <w:spacing w:val="-1"/>
                <w:sz w:val="18"/>
              </w:rPr>
              <w:t>13,100.00</w:t>
            </w:r>
          </w:p>
        </w:tc>
        <w:tc>
          <w:tcPr>
            <w:tcW w:w="170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0"/>
              <w:jc w:val="right"/>
              <w:rPr>
                <w:rFonts w:ascii="Arial" w:hAnsi="Arial" w:cs="Arial" w:eastAsia="Arial" w:hint="default"/>
                <w:sz w:val="18"/>
                <w:szCs w:val="18"/>
              </w:rPr>
            </w:pPr>
            <w:r>
              <w:rPr>
                <w:rFonts w:ascii="Arial"/>
                <w:spacing w:val="-1"/>
                <w:sz w:val="18"/>
              </w:rPr>
              <w:t>13,100.00</w:t>
            </w:r>
          </w:p>
        </w:tc>
      </w:tr>
      <w:tr>
        <w:trPr>
          <w:trHeight w:val="379"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869" w:right="0"/>
              <w:jc w:val="left"/>
              <w:rPr>
                <w:rFonts w:ascii="宋体" w:hAnsi="宋体" w:cs="宋体" w:eastAsia="宋体" w:hint="default"/>
                <w:sz w:val="18"/>
                <w:szCs w:val="18"/>
              </w:rPr>
            </w:pPr>
            <w:r>
              <w:rPr>
                <w:rFonts w:ascii="宋体" w:hAnsi="宋体" w:cs="宋体" w:eastAsia="宋体" w:hint="default"/>
                <w:sz w:val="18"/>
                <w:szCs w:val="18"/>
              </w:rPr>
              <w:t>金融资产合计</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29"/>
              <w:jc w:val="right"/>
              <w:rPr>
                <w:rFonts w:ascii="Arial" w:hAnsi="Arial" w:cs="Arial" w:eastAsia="Arial" w:hint="default"/>
                <w:sz w:val="18"/>
                <w:szCs w:val="18"/>
              </w:rPr>
            </w:pPr>
            <w:r>
              <w:rPr>
                <w:rFonts w:ascii="Arial"/>
                <w:spacing w:val="-1"/>
                <w:sz w:val="18"/>
              </w:rPr>
              <w:t>263,958.07</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1"/>
              <w:jc w:val="right"/>
              <w:rPr>
                <w:rFonts w:ascii="Arial" w:hAnsi="Arial" w:cs="Arial" w:eastAsia="Arial" w:hint="default"/>
                <w:sz w:val="18"/>
                <w:szCs w:val="18"/>
              </w:rPr>
            </w:pPr>
            <w:r>
              <w:rPr>
                <w:rFonts w:ascii="Arial"/>
                <w:spacing w:val="-1"/>
                <w:sz w:val="18"/>
              </w:rPr>
              <w:t>375.26</w:t>
            </w:r>
          </w:p>
        </w:tc>
        <w:tc>
          <w:tcPr>
            <w:tcW w:w="170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0"/>
              <w:jc w:val="right"/>
              <w:rPr>
                <w:rFonts w:ascii="Arial" w:hAnsi="Arial" w:cs="Arial" w:eastAsia="Arial" w:hint="default"/>
                <w:sz w:val="18"/>
                <w:szCs w:val="18"/>
              </w:rPr>
            </w:pPr>
            <w:r>
              <w:rPr>
                <w:rFonts w:ascii="Arial"/>
                <w:spacing w:val="-1"/>
                <w:sz w:val="18"/>
              </w:rPr>
              <w:t>264,333.33</w:t>
            </w:r>
          </w:p>
        </w:tc>
      </w:tr>
      <w:tr>
        <w:trPr>
          <w:trHeight w:val="379"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843"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379"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29"/>
              <w:jc w:val="right"/>
              <w:rPr>
                <w:rFonts w:ascii="Arial" w:hAnsi="Arial" w:cs="Arial" w:eastAsia="Arial" w:hint="default"/>
                <w:sz w:val="18"/>
                <w:szCs w:val="18"/>
              </w:rPr>
            </w:pPr>
            <w:r>
              <w:rPr>
                <w:rFonts w:ascii="Arial"/>
                <w:spacing w:val="-1"/>
                <w:sz w:val="18"/>
              </w:rPr>
              <w:t>3,900.00</w:t>
            </w:r>
          </w:p>
        </w:tc>
        <w:tc>
          <w:tcPr>
            <w:tcW w:w="170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0"/>
              <w:jc w:val="right"/>
              <w:rPr>
                <w:rFonts w:ascii="Arial" w:hAnsi="Arial" w:cs="Arial" w:eastAsia="Arial" w:hint="default"/>
                <w:sz w:val="18"/>
                <w:szCs w:val="18"/>
              </w:rPr>
            </w:pPr>
            <w:r>
              <w:rPr>
                <w:rFonts w:ascii="Arial"/>
                <w:spacing w:val="-1"/>
                <w:sz w:val="18"/>
              </w:rPr>
              <w:t>3,900.00</w:t>
            </w:r>
          </w:p>
        </w:tc>
      </w:tr>
      <w:tr>
        <w:trPr>
          <w:trHeight w:val="379"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29"/>
              <w:jc w:val="right"/>
              <w:rPr>
                <w:rFonts w:ascii="Arial" w:hAnsi="Arial" w:cs="Arial" w:eastAsia="Arial" w:hint="default"/>
                <w:sz w:val="18"/>
                <w:szCs w:val="18"/>
              </w:rPr>
            </w:pPr>
            <w:r>
              <w:rPr>
                <w:rFonts w:ascii="Arial"/>
                <w:spacing w:val="-1"/>
                <w:sz w:val="18"/>
              </w:rPr>
              <w:t>43,143.64</w:t>
            </w:r>
          </w:p>
        </w:tc>
        <w:tc>
          <w:tcPr>
            <w:tcW w:w="170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30"/>
              <w:jc w:val="right"/>
              <w:rPr>
                <w:rFonts w:ascii="Arial" w:hAnsi="Arial" w:cs="Arial" w:eastAsia="Arial" w:hint="default"/>
                <w:sz w:val="18"/>
                <w:szCs w:val="18"/>
              </w:rPr>
            </w:pPr>
            <w:r>
              <w:rPr>
                <w:rFonts w:ascii="Arial"/>
                <w:spacing w:val="-1"/>
                <w:sz w:val="18"/>
              </w:rPr>
              <w:t>43,143.64</w:t>
            </w:r>
          </w:p>
        </w:tc>
      </w:tr>
      <w:tr>
        <w:trPr>
          <w:trHeight w:val="379"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29"/>
              <w:jc w:val="right"/>
              <w:rPr>
                <w:rFonts w:ascii="Arial" w:hAnsi="Arial" w:cs="Arial" w:eastAsia="Arial" w:hint="default"/>
                <w:sz w:val="18"/>
                <w:szCs w:val="18"/>
              </w:rPr>
            </w:pPr>
            <w:r>
              <w:rPr>
                <w:rFonts w:ascii="Arial"/>
                <w:spacing w:val="-1"/>
                <w:sz w:val="18"/>
              </w:rPr>
              <w:t>19,703.33</w:t>
            </w:r>
          </w:p>
        </w:tc>
        <w:tc>
          <w:tcPr>
            <w:tcW w:w="170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30"/>
              <w:jc w:val="right"/>
              <w:rPr>
                <w:rFonts w:ascii="Arial" w:hAnsi="Arial" w:cs="Arial" w:eastAsia="Arial" w:hint="default"/>
                <w:sz w:val="18"/>
                <w:szCs w:val="18"/>
              </w:rPr>
            </w:pPr>
            <w:r>
              <w:rPr>
                <w:rFonts w:ascii="Arial"/>
                <w:spacing w:val="-1"/>
                <w:sz w:val="18"/>
              </w:rPr>
              <w:t>19,703.33</w:t>
            </w:r>
          </w:p>
        </w:tc>
      </w:tr>
      <w:tr>
        <w:trPr>
          <w:trHeight w:val="379"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29"/>
              <w:jc w:val="right"/>
              <w:rPr>
                <w:rFonts w:ascii="Arial" w:hAnsi="Arial" w:cs="Arial" w:eastAsia="Arial" w:hint="default"/>
                <w:sz w:val="18"/>
                <w:szCs w:val="18"/>
              </w:rPr>
            </w:pPr>
            <w:r>
              <w:rPr>
                <w:rFonts w:ascii="Arial"/>
                <w:spacing w:val="-1"/>
                <w:sz w:val="18"/>
              </w:rPr>
              <w:t>2,700.00</w:t>
            </w:r>
          </w:p>
        </w:tc>
        <w:tc>
          <w:tcPr>
            <w:tcW w:w="170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30"/>
              <w:jc w:val="right"/>
              <w:rPr>
                <w:rFonts w:ascii="Arial" w:hAnsi="Arial" w:cs="Arial" w:eastAsia="Arial" w:hint="default"/>
                <w:sz w:val="18"/>
                <w:szCs w:val="18"/>
              </w:rPr>
            </w:pPr>
            <w:r>
              <w:rPr>
                <w:rFonts w:ascii="Arial"/>
                <w:spacing w:val="-1"/>
                <w:sz w:val="18"/>
              </w:rPr>
              <w:t>2,700.00</w:t>
            </w:r>
          </w:p>
        </w:tc>
      </w:tr>
      <w:tr>
        <w:trPr>
          <w:trHeight w:val="379"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18" w:right="0"/>
              <w:jc w:val="left"/>
              <w:rPr>
                <w:rFonts w:ascii="宋体" w:hAnsi="宋体" w:cs="宋体" w:eastAsia="宋体" w:hint="default"/>
                <w:sz w:val="18"/>
                <w:szCs w:val="18"/>
              </w:rPr>
            </w:pPr>
            <w:r>
              <w:rPr>
                <w:rFonts w:ascii="宋体" w:hAnsi="宋体" w:cs="宋体" w:eastAsia="宋体" w:hint="default"/>
                <w:sz w:val="18"/>
                <w:szCs w:val="18"/>
              </w:rPr>
              <w:t>金融负债和或有负债合计</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29"/>
              <w:jc w:val="right"/>
              <w:rPr>
                <w:rFonts w:ascii="Arial" w:hAnsi="Arial" w:cs="Arial" w:eastAsia="Arial" w:hint="default"/>
                <w:sz w:val="18"/>
                <w:szCs w:val="18"/>
              </w:rPr>
            </w:pPr>
            <w:r>
              <w:rPr>
                <w:rFonts w:ascii="Arial"/>
                <w:spacing w:val="-1"/>
                <w:sz w:val="18"/>
              </w:rPr>
              <w:t>69,446.97</w:t>
            </w:r>
          </w:p>
        </w:tc>
        <w:tc>
          <w:tcPr>
            <w:tcW w:w="170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30"/>
              <w:jc w:val="right"/>
              <w:rPr>
                <w:rFonts w:ascii="Arial" w:hAnsi="Arial" w:cs="Arial" w:eastAsia="Arial" w:hint="default"/>
                <w:sz w:val="18"/>
                <w:szCs w:val="18"/>
              </w:rPr>
            </w:pPr>
            <w:r>
              <w:rPr>
                <w:rFonts w:ascii="Arial"/>
                <w:spacing w:val="-1"/>
                <w:sz w:val="18"/>
              </w:rPr>
              <w:t>69,446.97</w:t>
            </w:r>
          </w:p>
        </w:tc>
      </w:tr>
    </w:tbl>
    <w:p>
      <w:pPr>
        <w:spacing w:line="240" w:lineRule="auto" w:before="7"/>
        <w:rPr>
          <w:rFonts w:ascii="宋体" w:hAnsi="宋体" w:cs="宋体" w:eastAsia="宋体" w:hint="default"/>
          <w:sz w:val="5"/>
          <w:szCs w:val="5"/>
        </w:rPr>
      </w:pPr>
    </w:p>
    <w:p>
      <w:pPr>
        <w:pStyle w:val="BodyText"/>
        <w:spacing w:line="273" w:lineRule="auto"/>
        <w:ind w:right="996" w:firstLine="427"/>
        <w:jc w:val="left"/>
      </w:pPr>
      <w:r>
        <w:rPr>
          <w:w w:val="95"/>
        </w:rPr>
        <w:t>期初本集团持有的金融资产、金融负债和表外担保项目按未折现剩余合同现金流量的到期期限分析如</w:t>
      </w:r>
      <w:r>
        <w:rPr>
          <w:w w:val="99"/>
        </w:rPr>
        <w:t> </w:t>
      </w:r>
      <w:r>
        <w:rPr/>
        <w:t>下（单位：人民币万元）：</w:t>
      </w:r>
    </w:p>
    <w:p>
      <w:pPr>
        <w:spacing w:line="240" w:lineRule="auto" w:before="11"/>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2835"/>
        <w:gridCol w:w="1843"/>
        <w:gridCol w:w="1701"/>
        <w:gridCol w:w="1701"/>
        <w:gridCol w:w="1559"/>
      </w:tblGrid>
      <w:tr>
        <w:trPr>
          <w:trHeight w:val="379" w:hRule="exact"/>
        </w:trPr>
        <w:tc>
          <w:tcPr>
            <w:tcW w:w="2835"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80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79" w:hRule="exact"/>
        </w:trPr>
        <w:tc>
          <w:tcPr>
            <w:tcW w:w="2835" w:type="dxa"/>
            <w:vMerge/>
            <w:tcBorders>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5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11" w:right="0"/>
              <w:jc w:val="left"/>
              <w:rPr>
                <w:rFonts w:ascii="宋体" w:hAnsi="宋体" w:cs="宋体" w:eastAsia="宋体" w:hint="default"/>
                <w:sz w:val="18"/>
                <w:szCs w:val="18"/>
              </w:rPr>
            </w:pPr>
            <w:r>
              <w:rPr>
                <w:rFonts w:ascii="宋体" w:hAnsi="宋体" w:cs="宋体" w:eastAsia="宋体" w:hint="default"/>
                <w:sz w:val="18"/>
                <w:szCs w:val="18"/>
              </w:rPr>
              <w:t>一年至五年以内</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83"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79"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843"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379"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29"/>
              <w:jc w:val="right"/>
              <w:rPr>
                <w:rFonts w:ascii="Arial" w:hAnsi="Arial" w:cs="Arial" w:eastAsia="Arial" w:hint="default"/>
                <w:sz w:val="18"/>
                <w:szCs w:val="18"/>
              </w:rPr>
            </w:pPr>
            <w:r>
              <w:rPr>
                <w:rFonts w:ascii="Arial"/>
                <w:spacing w:val="-1"/>
                <w:sz w:val="18"/>
              </w:rPr>
              <w:t>129,733.41</w:t>
            </w:r>
          </w:p>
        </w:tc>
        <w:tc>
          <w:tcPr>
            <w:tcW w:w="170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30"/>
              <w:jc w:val="right"/>
              <w:rPr>
                <w:rFonts w:ascii="Arial" w:hAnsi="Arial" w:cs="Arial" w:eastAsia="Arial" w:hint="default"/>
                <w:sz w:val="18"/>
                <w:szCs w:val="18"/>
              </w:rPr>
            </w:pPr>
            <w:r>
              <w:rPr>
                <w:rFonts w:ascii="Arial"/>
                <w:spacing w:val="-1"/>
                <w:sz w:val="18"/>
              </w:rPr>
              <w:t>129,733.41</w:t>
            </w:r>
          </w:p>
        </w:tc>
      </w:tr>
      <w:tr>
        <w:trPr>
          <w:trHeight w:val="379"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29"/>
              <w:jc w:val="right"/>
              <w:rPr>
                <w:rFonts w:ascii="Arial" w:hAnsi="Arial" w:cs="Arial" w:eastAsia="Arial" w:hint="default"/>
                <w:sz w:val="18"/>
                <w:szCs w:val="18"/>
              </w:rPr>
            </w:pPr>
            <w:r>
              <w:rPr>
                <w:rFonts w:ascii="Arial"/>
                <w:spacing w:val="-1"/>
                <w:sz w:val="18"/>
              </w:rPr>
              <w:t>63,820.01</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1"/>
              <w:jc w:val="right"/>
              <w:rPr>
                <w:rFonts w:ascii="Arial" w:hAnsi="Arial" w:cs="Arial" w:eastAsia="Arial" w:hint="default"/>
                <w:sz w:val="18"/>
                <w:szCs w:val="18"/>
              </w:rPr>
            </w:pPr>
            <w:r>
              <w:rPr>
                <w:rFonts w:ascii="Arial"/>
                <w:spacing w:val="-1"/>
                <w:sz w:val="18"/>
              </w:rPr>
              <w:t>562.88</w:t>
            </w:r>
          </w:p>
        </w:tc>
        <w:tc>
          <w:tcPr>
            <w:tcW w:w="170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0"/>
              <w:jc w:val="right"/>
              <w:rPr>
                <w:rFonts w:ascii="Arial" w:hAnsi="Arial" w:cs="Arial" w:eastAsia="Arial" w:hint="default"/>
                <w:sz w:val="18"/>
                <w:szCs w:val="18"/>
              </w:rPr>
            </w:pPr>
            <w:r>
              <w:rPr>
                <w:rFonts w:ascii="Arial"/>
                <w:spacing w:val="-1"/>
                <w:sz w:val="18"/>
              </w:rPr>
              <w:t>64,382.89</w:t>
            </w:r>
          </w:p>
        </w:tc>
      </w:tr>
      <w:tr>
        <w:trPr>
          <w:trHeight w:val="379"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29"/>
              <w:jc w:val="right"/>
              <w:rPr>
                <w:rFonts w:ascii="Arial" w:hAnsi="Arial" w:cs="Arial" w:eastAsia="Arial" w:hint="default"/>
                <w:sz w:val="18"/>
                <w:szCs w:val="18"/>
              </w:rPr>
            </w:pPr>
            <w:r>
              <w:rPr>
                <w:rFonts w:ascii="Arial"/>
                <w:spacing w:val="-1"/>
                <w:sz w:val="18"/>
              </w:rPr>
              <w:t>20,221.06</w:t>
            </w:r>
          </w:p>
        </w:tc>
        <w:tc>
          <w:tcPr>
            <w:tcW w:w="170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0"/>
              <w:jc w:val="right"/>
              <w:rPr>
                <w:rFonts w:ascii="Arial" w:hAnsi="Arial" w:cs="Arial" w:eastAsia="Arial" w:hint="default"/>
                <w:sz w:val="18"/>
                <w:szCs w:val="18"/>
              </w:rPr>
            </w:pPr>
            <w:r>
              <w:rPr>
                <w:rFonts w:ascii="Arial"/>
                <w:spacing w:val="-1"/>
                <w:sz w:val="18"/>
              </w:rPr>
              <w:t>20,221.06</w:t>
            </w:r>
          </w:p>
        </w:tc>
      </w:tr>
      <w:tr>
        <w:trPr>
          <w:trHeight w:val="379"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29"/>
              <w:jc w:val="right"/>
              <w:rPr>
                <w:rFonts w:ascii="Arial" w:hAnsi="Arial" w:cs="Arial" w:eastAsia="Arial" w:hint="default"/>
                <w:sz w:val="18"/>
                <w:szCs w:val="18"/>
              </w:rPr>
            </w:pPr>
            <w:r>
              <w:rPr>
                <w:rFonts w:ascii="Arial"/>
                <w:spacing w:val="-1"/>
                <w:sz w:val="18"/>
              </w:rPr>
              <w:t>3,400.00</w:t>
            </w:r>
          </w:p>
        </w:tc>
        <w:tc>
          <w:tcPr>
            <w:tcW w:w="170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0"/>
              <w:jc w:val="right"/>
              <w:rPr>
                <w:rFonts w:ascii="Arial" w:hAnsi="Arial" w:cs="Arial" w:eastAsia="Arial" w:hint="default"/>
                <w:sz w:val="18"/>
                <w:szCs w:val="18"/>
              </w:rPr>
            </w:pPr>
            <w:r>
              <w:rPr>
                <w:rFonts w:ascii="Arial"/>
                <w:spacing w:val="-1"/>
                <w:sz w:val="18"/>
              </w:rPr>
              <w:t>3,400.00</w:t>
            </w:r>
          </w:p>
        </w:tc>
      </w:tr>
      <w:tr>
        <w:trPr>
          <w:trHeight w:val="379"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869" w:right="0"/>
              <w:jc w:val="left"/>
              <w:rPr>
                <w:rFonts w:ascii="宋体" w:hAnsi="宋体" w:cs="宋体" w:eastAsia="宋体" w:hint="default"/>
                <w:sz w:val="18"/>
                <w:szCs w:val="18"/>
              </w:rPr>
            </w:pPr>
            <w:r>
              <w:rPr>
                <w:rFonts w:ascii="宋体" w:hAnsi="宋体" w:cs="宋体" w:eastAsia="宋体" w:hint="default"/>
                <w:sz w:val="18"/>
                <w:szCs w:val="18"/>
              </w:rPr>
              <w:t>金融资产合计</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29"/>
              <w:jc w:val="right"/>
              <w:rPr>
                <w:rFonts w:ascii="Arial" w:hAnsi="Arial" w:cs="Arial" w:eastAsia="Arial" w:hint="default"/>
                <w:sz w:val="18"/>
                <w:szCs w:val="18"/>
              </w:rPr>
            </w:pPr>
            <w:r>
              <w:rPr>
                <w:rFonts w:ascii="Arial"/>
                <w:spacing w:val="-1"/>
                <w:sz w:val="18"/>
              </w:rPr>
              <w:t>217,174.48</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1"/>
              <w:jc w:val="right"/>
              <w:rPr>
                <w:rFonts w:ascii="Arial" w:hAnsi="Arial" w:cs="Arial" w:eastAsia="Arial" w:hint="default"/>
                <w:sz w:val="18"/>
                <w:szCs w:val="18"/>
              </w:rPr>
            </w:pPr>
            <w:r>
              <w:rPr>
                <w:rFonts w:ascii="Arial"/>
                <w:spacing w:val="-1"/>
                <w:sz w:val="18"/>
              </w:rPr>
              <w:t>562.88</w:t>
            </w:r>
          </w:p>
        </w:tc>
        <w:tc>
          <w:tcPr>
            <w:tcW w:w="170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0"/>
              <w:jc w:val="right"/>
              <w:rPr>
                <w:rFonts w:ascii="Arial" w:hAnsi="Arial" w:cs="Arial" w:eastAsia="Arial" w:hint="default"/>
                <w:sz w:val="18"/>
                <w:szCs w:val="18"/>
              </w:rPr>
            </w:pPr>
            <w:r>
              <w:rPr>
                <w:rFonts w:ascii="Arial"/>
                <w:spacing w:val="-1"/>
                <w:sz w:val="18"/>
              </w:rPr>
              <w:t>217,737.36</w:t>
            </w:r>
          </w:p>
        </w:tc>
      </w:tr>
      <w:tr>
        <w:trPr>
          <w:trHeight w:val="379"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843"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r>
      <w:tr>
        <w:trPr>
          <w:trHeight w:val="379"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29"/>
              <w:jc w:val="right"/>
              <w:rPr>
                <w:rFonts w:ascii="Arial" w:hAnsi="Arial" w:cs="Arial" w:eastAsia="Arial" w:hint="default"/>
                <w:sz w:val="18"/>
                <w:szCs w:val="18"/>
              </w:rPr>
            </w:pPr>
            <w:r>
              <w:rPr>
                <w:rFonts w:ascii="Arial"/>
                <w:spacing w:val="-1"/>
                <w:sz w:val="18"/>
              </w:rPr>
              <w:t>6,035.00</w:t>
            </w:r>
          </w:p>
        </w:tc>
        <w:tc>
          <w:tcPr>
            <w:tcW w:w="170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0"/>
              <w:jc w:val="right"/>
              <w:rPr>
                <w:rFonts w:ascii="Arial" w:hAnsi="Arial" w:cs="Arial" w:eastAsia="Arial" w:hint="default"/>
                <w:sz w:val="18"/>
                <w:szCs w:val="18"/>
              </w:rPr>
            </w:pPr>
            <w:r>
              <w:rPr>
                <w:rFonts w:ascii="Arial"/>
                <w:spacing w:val="-1"/>
                <w:sz w:val="18"/>
              </w:rPr>
              <w:t>6,035.00</w:t>
            </w:r>
          </w:p>
        </w:tc>
      </w:tr>
      <w:tr>
        <w:trPr>
          <w:trHeight w:val="379"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29"/>
              <w:jc w:val="right"/>
              <w:rPr>
                <w:rFonts w:ascii="Arial" w:hAnsi="Arial" w:cs="Arial" w:eastAsia="Arial" w:hint="default"/>
                <w:sz w:val="18"/>
                <w:szCs w:val="18"/>
              </w:rPr>
            </w:pPr>
            <w:r>
              <w:rPr>
                <w:rFonts w:ascii="Arial"/>
                <w:spacing w:val="-1"/>
                <w:sz w:val="18"/>
              </w:rPr>
              <w:t>29,574.29</w:t>
            </w:r>
          </w:p>
        </w:tc>
        <w:tc>
          <w:tcPr>
            <w:tcW w:w="170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0"/>
              <w:jc w:val="right"/>
              <w:rPr>
                <w:rFonts w:ascii="Arial" w:hAnsi="Arial" w:cs="Arial" w:eastAsia="Arial" w:hint="default"/>
                <w:sz w:val="18"/>
                <w:szCs w:val="18"/>
              </w:rPr>
            </w:pPr>
            <w:r>
              <w:rPr>
                <w:rFonts w:ascii="Arial"/>
                <w:spacing w:val="-1"/>
                <w:sz w:val="18"/>
              </w:rPr>
              <w:t>29,574.29</w:t>
            </w:r>
          </w:p>
        </w:tc>
      </w:tr>
      <w:tr>
        <w:trPr>
          <w:trHeight w:val="379"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29"/>
              <w:jc w:val="right"/>
              <w:rPr>
                <w:rFonts w:ascii="Arial" w:hAnsi="Arial" w:cs="Arial" w:eastAsia="Arial" w:hint="default"/>
                <w:sz w:val="18"/>
                <w:szCs w:val="18"/>
              </w:rPr>
            </w:pPr>
            <w:r>
              <w:rPr>
                <w:rFonts w:ascii="Arial"/>
                <w:spacing w:val="-1"/>
                <w:sz w:val="18"/>
              </w:rPr>
              <w:t>32,991.32</w:t>
            </w:r>
          </w:p>
        </w:tc>
        <w:tc>
          <w:tcPr>
            <w:tcW w:w="1701"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30"/>
              <w:jc w:val="right"/>
              <w:rPr>
                <w:rFonts w:ascii="Arial" w:hAnsi="Arial" w:cs="Arial" w:eastAsia="Arial" w:hint="default"/>
                <w:sz w:val="18"/>
                <w:szCs w:val="18"/>
              </w:rPr>
            </w:pPr>
            <w:r>
              <w:rPr>
                <w:rFonts w:ascii="Arial"/>
                <w:spacing w:val="-1"/>
                <w:sz w:val="18"/>
              </w:rPr>
              <w:t>32,991.32</w:t>
            </w:r>
          </w:p>
        </w:tc>
      </w:tr>
      <w:tr>
        <w:trPr>
          <w:trHeight w:val="377"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43"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29"/>
              <w:jc w:val="right"/>
              <w:rPr>
                <w:rFonts w:ascii="Arial" w:hAnsi="Arial" w:cs="Arial" w:eastAsia="Arial" w:hint="default"/>
                <w:sz w:val="18"/>
                <w:szCs w:val="18"/>
              </w:rPr>
            </w:pPr>
            <w:r>
              <w:rPr>
                <w:rFonts w:ascii="Arial"/>
                <w:spacing w:val="-1"/>
                <w:sz w:val="18"/>
              </w:rPr>
              <w:t>2,700.00</w:t>
            </w:r>
          </w:p>
        </w:tc>
        <w:tc>
          <w:tcPr>
            <w:tcW w:w="170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30"/>
              <w:jc w:val="right"/>
              <w:rPr>
                <w:rFonts w:ascii="Arial" w:hAnsi="Arial" w:cs="Arial" w:eastAsia="Arial" w:hint="default"/>
                <w:sz w:val="18"/>
                <w:szCs w:val="18"/>
              </w:rPr>
            </w:pPr>
            <w:r>
              <w:rPr>
                <w:rFonts w:ascii="Arial"/>
                <w:spacing w:val="-1"/>
                <w:sz w:val="18"/>
              </w:rPr>
              <w:t>2,700.00</w:t>
            </w:r>
          </w:p>
        </w:tc>
      </w:tr>
    </w:tbl>
    <w:p>
      <w:pPr>
        <w:spacing w:after="0" w:line="240" w:lineRule="auto"/>
        <w:jc w:val="right"/>
        <w:rPr>
          <w:rFonts w:ascii="Arial" w:hAnsi="Arial" w:cs="Arial" w:eastAsia="Arial" w:hint="default"/>
          <w:sz w:val="18"/>
          <w:szCs w:val="18"/>
        </w:rPr>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2835"/>
        <w:gridCol w:w="1843"/>
        <w:gridCol w:w="1701"/>
        <w:gridCol w:w="1701"/>
        <w:gridCol w:w="1559"/>
      </w:tblGrid>
      <w:tr>
        <w:trPr>
          <w:trHeight w:val="379"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18" w:right="0"/>
              <w:jc w:val="left"/>
              <w:rPr>
                <w:rFonts w:ascii="宋体" w:hAnsi="宋体" w:cs="宋体" w:eastAsia="宋体" w:hint="default"/>
                <w:sz w:val="18"/>
                <w:szCs w:val="18"/>
              </w:rPr>
            </w:pPr>
            <w:r>
              <w:rPr>
                <w:rFonts w:ascii="宋体" w:hAnsi="宋体" w:cs="宋体" w:eastAsia="宋体" w:hint="default"/>
                <w:sz w:val="18"/>
                <w:szCs w:val="18"/>
              </w:rPr>
              <w:t>金融负债和或有负债合计</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895" w:right="0"/>
              <w:jc w:val="left"/>
              <w:rPr>
                <w:rFonts w:ascii="Arial" w:hAnsi="Arial" w:cs="Arial" w:eastAsia="Arial" w:hint="default"/>
                <w:sz w:val="18"/>
                <w:szCs w:val="18"/>
              </w:rPr>
            </w:pPr>
            <w:r>
              <w:rPr>
                <w:rFonts w:ascii="Arial"/>
                <w:sz w:val="18"/>
              </w:rPr>
              <w:t>68,600.61</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852" w:right="0"/>
              <w:jc w:val="left"/>
              <w:rPr>
                <w:rFonts w:ascii="Arial" w:hAnsi="Arial" w:cs="Arial" w:eastAsia="Arial" w:hint="default"/>
                <w:sz w:val="18"/>
                <w:szCs w:val="18"/>
              </w:rPr>
            </w:pPr>
            <w:r>
              <w:rPr>
                <w:rFonts w:ascii="Arial"/>
                <w:sz w:val="18"/>
              </w:rPr>
              <w:t>2,700.00</w:t>
            </w:r>
          </w:p>
        </w:tc>
        <w:tc>
          <w:tcPr>
            <w:tcW w:w="1701"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611" w:right="0"/>
              <w:jc w:val="left"/>
              <w:rPr>
                <w:rFonts w:ascii="Arial" w:hAnsi="Arial" w:cs="Arial" w:eastAsia="Arial" w:hint="default"/>
                <w:sz w:val="18"/>
                <w:szCs w:val="18"/>
              </w:rPr>
            </w:pPr>
            <w:r>
              <w:rPr>
                <w:rFonts w:ascii="Arial"/>
                <w:sz w:val="18"/>
              </w:rPr>
              <w:t>71,300.61</w:t>
            </w:r>
          </w:p>
        </w:tc>
      </w:tr>
    </w:tbl>
    <w:p>
      <w:pPr>
        <w:spacing w:line="240" w:lineRule="auto" w:before="7"/>
        <w:rPr>
          <w:rFonts w:ascii="宋体" w:hAnsi="宋体" w:cs="宋体" w:eastAsia="宋体" w:hint="default"/>
          <w:sz w:val="5"/>
          <w:szCs w:val="5"/>
        </w:rPr>
      </w:pPr>
    </w:p>
    <w:p>
      <w:pPr>
        <w:pStyle w:val="BodyText"/>
        <w:spacing w:line="240" w:lineRule="auto"/>
        <w:ind w:left="540" w:right="996"/>
        <w:jc w:val="left"/>
      </w:pPr>
      <w:r>
        <w:rPr/>
        <w:t>上表中披露的金融负债金额为未经折现的合同现金流量，因而可能与资产负债表中的账面金额有所不</w:t>
      </w:r>
    </w:p>
    <w:p>
      <w:pPr>
        <w:pStyle w:val="BodyText"/>
        <w:spacing w:line="240" w:lineRule="auto" w:before="37"/>
        <w:ind w:right="996"/>
        <w:jc w:val="left"/>
      </w:pPr>
      <w:r>
        <w:rPr/>
        <w:t>同。</w:t>
      </w:r>
    </w:p>
    <w:p>
      <w:pPr>
        <w:spacing w:line="240" w:lineRule="auto" w:before="2"/>
        <w:rPr>
          <w:rFonts w:ascii="宋体" w:hAnsi="宋体" w:cs="宋体" w:eastAsia="宋体" w:hint="default"/>
          <w:sz w:val="23"/>
          <w:szCs w:val="23"/>
        </w:rPr>
      </w:pPr>
    </w:p>
    <w:p>
      <w:pPr>
        <w:pStyle w:val="Heading4"/>
        <w:spacing w:line="240" w:lineRule="auto" w:before="34"/>
        <w:ind w:right="996"/>
        <w:jc w:val="left"/>
        <w:rPr>
          <w:b w:val="0"/>
          <w:bCs w:val="0"/>
        </w:rPr>
      </w:pPr>
      <w:r>
        <w:rPr/>
        <w:t>（</w:t>
      </w:r>
      <w:r>
        <w:rPr>
          <w:rFonts w:ascii="Arial" w:hAnsi="Arial" w:cs="Arial" w:eastAsia="Arial" w:hint="default"/>
        </w:rPr>
        <w:t>3</w:t>
      </w:r>
      <w:r>
        <w:rPr/>
        <w:t>）市场风险</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996" w:firstLine="427"/>
        <w:jc w:val="left"/>
      </w:pPr>
      <w:r>
        <w:rPr>
          <w:w w:val="95"/>
        </w:rPr>
        <w:t>金融工具的市场风险，是指金融工具的公允价值或未来现金流量因市场价格变动而发生波动的风险，</w:t>
      </w:r>
      <w:r>
        <w:rPr>
          <w:spacing w:val="-88"/>
          <w:w w:val="95"/>
        </w:rPr>
        <w:t> </w:t>
      </w:r>
      <w:r>
        <w:rPr>
          <w:spacing w:val="-88"/>
          <w:w w:val="95"/>
        </w:rPr>
      </w:r>
      <w:r>
        <w:rPr/>
        <w:t>包括利率风险、汇率风险和其他价格风险。</w:t>
      </w:r>
    </w:p>
    <w:p>
      <w:pPr>
        <w:pStyle w:val="BodyText"/>
        <w:spacing w:line="432" w:lineRule="exact" w:before="27"/>
        <w:ind w:left="540" w:right="996"/>
        <w:jc w:val="left"/>
      </w:pPr>
      <w:r>
        <w:rPr/>
        <w:t>利率风险</w:t>
      </w:r>
      <w:r>
        <w:rPr>
          <w:w w:val="99"/>
        </w:rPr>
        <w:t> </w:t>
      </w:r>
      <w:r>
        <w:rPr>
          <w:w w:val="95"/>
        </w:rPr>
        <w:t>利率风险，是指金融工具的公允价值或未来现金流量因市场利率变动而发生波动的风险。利率风险可</w:t>
      </w:r>
      <w:r>
        <w:rPr/>
      </w:r>
    </w:p>
    <w:p>
      <w:pPr>
        <w:pStyle w:val="BodyText"/>
        <w:spacing w:line="255" w:lineRule="exact" w:before="0"/>
        <w:ind w:right="996"/>
        <w:jc w:val="left"/>
      </w:pPr>
      <w:r>
        <w:rPr/>
        <w:t>源于已确认的计息金融工具和未确认的金融工具（如某些贷款承诺）。</w:t>
      </w:r>
    </w:p>
    <w:p>
      <w:pPr>
        <w:pStyle w:val="BodyText"/>
        <w:spacing w:line="430" w:lineRule="atLeast" w:before="2"/>
        <w:ind w:left="540" w:right="996"/>
        <w:jc w:val="left"/>
      </w:pPr>
      <w:r>
        <w:rPr/>
        <w:t>本集团的长期带息债务金额较小且利率固定，因此集团利率风险较小。</w:t>
      </w:r>
      <w:r>
        <w:rPr>
          <w:w w:val="99"/>
        </w:rPr>
        <w:t> </w:t>
      </w:r>
      <w:r>
        <w:rPr>
          <w:w w:val="95"/>
        </w:rPr>
        <w:t>本集团密切关注利率变动对本集团利率风险的影响。本集团目前并未采取利率对冲政策。但管理层负</w:t>
      </w:r>
      <w:r>
        <w:rPr/>
      </w:r>
    </w:p>
    <w:p>
      <w:pPr>
        <w:pStyle w:val="BodyText"/>
        <w:spacing w:line="273" w:lineRule="auto" w:before="37"/>
        <w:ind w:right="996"/>
        <w:jc w:val="left"/>
      </w:pPr>
      <w:r>
        <w:rPr>
          <w:w w:val="95"/>
        </w:rPr>
        <w:t>责监控利率风险，并将于需要时考虑对冲重大利率风险。由于定期存款为短期存款，故银行存款的公允价</w:t>
      </w:r>
      <w:r>
        <w:rPr>
          <w:spacing w:val="40"/>
          <w:w w:val="95"/>
        </w:rPr>
        <w:t> </w:t>
      </w:r>
      <w:r>
        <w:rPr>
          <w:spacing w:val="40"/>
          <w:w w:val="95"/>
        </w:rPr>
      </w:r>
      <w:r>
        <w:rPr/>
        <w:t>值利率风险并不重大。</w:t>
      </w:r>
    </w:p>
    <w:p>
      <w:pPr>
        <w:pStyle w:val="BodyText"/>
        <w:spacing w:line="240" w:lineRule="auto" w:before="127"/>
        <w:ind w:left="540" w:right="996"/>
        <w:jc w:val="left"/>
      </w:pPr>
      <w:r>
        <w:rPr/>
        <w:t>本集团持有的计息金融工具如下（单位：人民币万元）：</w:t>
      </w:r>
    </w:p>
    <w:p>
      <w:pPr>
        <w:spacing w:line="240" w:lineRule="auto" w:before="1"/>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3187"/>
        <w:gridCol w:w="3193"/>
        <w:gridCol w:w="3189"/>
      </w:tblGrid>
      <w:tr>
        <w:trPr>
          <w:trHeight w:val="379" w:hRule="exact"/>
        </w:trPr>
        <w:tc>
          <w:tcPr>
            <w:tcW w:w="3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405"/>
              <w:jc w:val="right"/>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79" w:hRule="exact"/>
        </w:trPr>
        <w:tc>
          <w:tcPr>
            <w:tcW w:w="3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固定利率金融工具</w:t>
            </w:r>
          </w:p>
        </w:tc>
        <w:tc>
          <w:tcPr>
            <w:tcW w:w="3193" w:type="dxa"/>
            <w:tcBorders>
              <w:top w:val="single" w:sz="6" w:space="0" w:color="000000"/>
              <w:left w:val="single" w:sz="6" w:space="0" w:color="000000"/>
              <w:bottom w:val="single" w:sz="6" w:space="0" w:color="000000"/>
              <w:right w:val="single" w:sz="6" w:space="0" w:color="000000"/>
            </w:tcBorders>
          </w:tcPr>
          <w:p>
            <w:pPr/>
          </w:p>
        </w:tc>
        <w:tc>
          <w:tcPr>
            <w:tcW w:w="3189" w:type="dxa"/>
            <w:tcBorders>
              <w:top w:val="single" w:sz="6" w:space="0" w:color="000000"/>
              <w:left w:val="single" w:sz="6" w:space="0" w:color="000000"/>
              <w:bottom w:val="single" w:sz="6" w:space="0" w:color="000000"/>
              <w:right w:val="single" w:sz="6" w:space="0" w:color="000000"/>
            </w:tcBorders>
          </w:tcPr>
          <w:p>
            <w:pPr/>
          </w:p>
        </w:tc>
      </w:tr>
      <w:tr>
        <w:trPr>
          <w:trHeight w:val="379" w:hRule="exact"/>
        </w:trPr>
        <w:tc>
          <w:tcPr>
            <w:tcW w:w="3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30"/>
              <w:jc w:val="right"/>
              <w:rPr>
                <w:rFonts w:ascii="Arial" w:hAnsi="Arial" w:cs="Arial" w:eastAsia="Arial" w:hint="default"/>
                <w:sz w:val="18"/>
                <w:szCs w:val="18"/>
              </w:rPr>
            </w:pPr>
            <w:r>
              <w:rPr>
                <w:rFonts w:ascii="Arial"/>
                <w:spacing w:val="-1"/>
                <w:sz w:val="18"/>
              </w:rPr>
              <w:t>2,700.00</w:t>
            </w:r>
          </w:p>
        </w:tc>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7"/>
              <w:jc w:val="right"/>
              <w:rPr>
                <w:rFonts w:ascii="Arial" w:hAnsi="Arial" w:cs="Arial" w:eastAsia="Arial" w:hint="default"/>
                <w:sz w:val="18"/>
                <w:szCs w:val="18"/>
              </w:rPr>
            </w:pPr>
            <w:r>
              <w:rPr>
                <w:rFonts w:ascii="Arial"/>
                <w:spacing w:val="-1"/>
                <w:sz w:val="18"/>
              </w:rPr>
              <w:t>2,700.00</w:t>
            </w:r>
          </w:p>
        </w:tc>
      </w:tr>
      <w:tr>
        <w:trPr>
          <w:trHeight w:val="379" w:hRule="exact"/>
        </w:trPr>
        <w:tc>
          <w:tcPr>
            <w:tcW w:w="3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其中：长期应付款</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30"/>
              <w:jc w:val="right"/>
              <w:rPr>
                <w:rFonts w:ascii="Arial" w:hAnsi="Arial" w:cs="Arial" w:eastAsia="Arial" w:hint="default"/>
                <w:sz w:val="18"/>
                <w:szCs w:val="18"/>
              </w:rPr>
            </w:pPr>
            <w:r>
              <w:rPr>
                <w:rFonts w:ascii="Arial"/>
                <w:spacing w:val="-1"/>
                <w:sz w:val="18"/>
              </w:rPr>
              <w:t>2,700.00</w:t>
            </w:r>
          </w:p>
        </w:tc>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7"/>
              <w:jc w:val="right"/>
              <w:rPr>
                <w:rFonts w:ascii="Arial" w:hAnsi="Arial" w:cs="Arial" w:eastAsia="Arial" w:hint="default"/>
                <w:sz w:val="18"/>
                <w:szCs w:val="18"/>
              </w:rPr>
            </w:pPr>
            <w:r>
              <w:rPr>
                <w:rFonts w:ascii="Arial"/>
                <w:spacing w:val="-1"/>
                <w:sz w:val="18"/>
              </w:rPr>
              <w:t>2,700.00</w:t>
            </w:r>
          </w:p>
        </w:tc>
      </w:tr>
      <w:tr>
        <w:trPr>
          <w:trHeight w:val="379" w:hRule="exact"/>
        </w:trPr>
        <w:tc>
          <w:tcPr>
            <w:tcW w:w="3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05"/>
              <w:jc w:val="righ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30"/>
              <w:jc w:val="right"/>
              <w:rPr>
                <w:rFonts w:ascii="Arial" w:hAnsi="Arial" w:cs="Arial" w:eastAsia="Arial" w:hint="default"/>
                <w:sz w:val="18"/>
                <w:szCs w:val="18"/>
              </w:rPr>
            </w:pPr>
            <w:r>
              <w:rPr>
                <w:rFonts w:ascii="Arial"/>
                <w:spacing w:val="-1"/>
                <w:sz w:val="18"/>
              </w:rPr>
              <w:t>2,700.00</w:t>
            </w:r>
          </w:p>
        </w:tc>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7"/>
              <w:jc w:val="right"/>
              <w:rPr>
                <w:rFonts w:ascii="Arial" w:hAnsi="Arial" w:cs="Arial" w:eastAsia="Arial" w:hint="default"/>
                <w:sz w:val="18"/>
                <w:szCs w:val="18"/>
              </w:rPr>
            </w:pPr>
            <w:r>
              <w:rPr>
                <w:rFonts w:ascii="Arial"/>
                <w:spacing w:val="-1"/>
                <w:sz w:val="18"/>
              </w:rPr>
              <w:t>2,700.00</w:t>
            </w:r>
          </w:p>
        </w:tc>
      </w:tr>
      <w:tr>
        <w:trPr>
          <w:trHeight w:val="379" w:hRule="exact"/>
        </w:trPr>
        <w:tc>
          <w:tcPr>
            <w:tcW w:w="3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浮动利率金融工具</w:t>
            </w:r>
          </w:p>
        </w:tc>
        <w:tc>
          <w:tcPr>
            <w:tcW w:w="3193" w:type="dxa"/>
            <w:tcBorders>
              <w:top w:val="single" w:sz="6" w:space="0" w:color="000000"/>
              <w:left w:val="single" w:sz="6" w:space="0" w:color="000000"/>
              <w:bottom w:val="single" w:sz="6" w:space="0" w:color="000000"/>
              <w:right w:val="single" w:sz="6" w:space="0" w:color="000000"/>
            </w:tcBorders>
          </w:tcPr>
          <w:p>
            <w:pPr/>
          </w:p>
        </w:tc>
        <w:tc>
          <w:tcPr>
            <w:tcW w:w="3189" w:type="dxa"/>
            <w:tcBorders>
              <w:top w:val="single" w:sz="6" w:space="0" w:color="000000"/>
              <w:left w:val="single" w:sz="6" w:space="0" w:color="000000"/>
              <w:bottom w:val="single" w:sz="6" w:space="0" w:color="000000"/>
              <w:right w:val="single" w:sz="6" w:space="0" w:color="000000"/>
            </w:tcBorders>
          </w:tcPr>
          <w:p>
            <w:pPr/>
          </w:p>
        </w:tc>
      </w:tr>
      <w:tr>
        <w:trPr>
          <w:trHeight w:val="379" w:hRule="exact"/>
        </w:trPr>
        <w:tc>
          <w:tcPr>
            <w:tcW w:w="3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0"/>
              <w:jc w:val="right"/>
              <w:rPr>
                <w:rFonts w:ascii="Arial" w:hAnsi="Arial" w:cs="Arial" w:eastAsia="Arial" w:hint="default"/>
                <w:sz w:val="18"/>
                <w:szCs w:val="18"/>
              </w:rPr>
            </w:pPr>
            <w:r>
              <w:rPr>
                <w:rFonts w:ascii="Arial"/>
                <w:spacing w:val="-1"/>
                <w:sz w:val="18"/>
              </w:rPr>
              <w:t>130,314.20</w:t>
            </w:r>
          </w:p>
        </w:tc>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57"/>
              <w:jc w:val="right"/>
              <w:rPr>
                <w:rFonts w:ascii="Arial" w:hAnsi="Arial" w:cs="Arial" w:eastAsia="Arial" w:hint="default"/>
                <w:sz w:val="18"/>
                <w:szCs w:val="18"/>
              </w:rPr>
            </w:pPr>
            <w:r>
              <w:rPr>
                <w:rFonts w:ascii="Arial"/>
                <w:spacing w:val="-1"/>
                <w:sz w:val="18"/>
              </w:rPr>
              <w:t>129,733.41</w:t>
            </w:r>
          </w:p>
        </w:tc>
      </w:tr>
      <w:tr>
        <w:trPr>
          <w:trHeight w:val="379" w:hRule="exact"/>
        </w:trPr>
        <w:tc>
          <w:tcPr>
            <w:tcW w:w="3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其中：货币资金</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0"/>
              <w:jc w:val="right"/>
              <w:rPr>
                <w:rFonts w:ascii="Arial" w:hAnsi="Arial" w:cs="Arial" w:eastAsia="Arial" w:hint="default"/>
                <w:sz w:val="18"/>
                <w:szCs w:val="18"/>
              </w:rPr>
            </w:pPr>
            <w:r>
              <w:rPr>
                <w:rFonts w:ascii="Arial"/>
                <w:spacing w:val="-1"/>
                <w:sz w:val="18"/>
              </w:rPr>
              <w:t>130,314.20</w:t>
            </w:r>
          </w:p>
        </w:tc>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57"/>
              <w:jc w:val="right"/>
              <w:rPr>
                <w:rFonts w:ascii="Arial" w:hAnsi="Arial" w:cs="Arial" w:eastAsia="Arial" w:hint="default"/>
                <w:sz w:val="18"/>
                <w:szCs w:val="18"/>
              </w:rPr>
            </w:pPr>
            <w:r>
              <w:rPr>
                <w:rFonts w:ascii="Arial"/>
                <w:spacing w:val="-1"/>
                <w:sz w:val="18"/>
              </w:rPr>
              <w:t>129,733.41</w:t>
            </w:r>
          </w:p>
        </w:tc>
      </w:tr>
      <w:tr>
        <w:trPr>
          <w:trHeight w:val="379" w:hRule="exact"/>
        </w:trPr>
        <w:tc>
          <w:tcPr>
            <w:tcW w:w="3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0"/>
              <w:jc w:val="right"/>
              <w:rPr>
                <w:rFonts w:ascii="Arial" w:hAnsi="Arial" w:cs="Arial" w:eastAsia="Arial" w:hint="default"/>
                <w:sz w:val="18"/>
                <w:szCs w:val="18"/>
              </w:rPr>
            </w:pPr>
            <w:r>
              <w:rPr>
                <w:rFonts w:ascii="Arial"/>
                <w:spacing w:val="-1"/>
                <w:sz w:val="18"/>
              </w:rPr>
              <w:t>3,900.00</w:t>
            </w:r>
          </w:p>
        </w:tc>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57"/>
              <w:jc w:val="right"/>
              <w:rPr>
                <w:rFonts w:ascii="Arial" w:hAnsi="Arial" w:cs="Arial" w:eastAsia="Arial" w:hint="default"/>
                <w:sz w:val="18"/>
                <w:szCs w:val="18"/>
              </w:rPr>
            </w:pPr>
            <w:r>
              <w:rPr>
                <w:rFonts w:ascii="Arial"/>
                <w:spacing w:val="-1"/>
                <w:sz w:val="18"/>
              </w:rPr>
              <w:t>6,035.00</w:t>
            </w:r>
          </w:p>
        </w:tc>
      </w:tr>
      <w:tr>
        <w:trPr>
          <w:trHeight w:val="379" w:hRule="exact"/>
        </w:trPr>
        <w:tc>
          <w:tcPr>
            <w:tcW w:w="3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其中：短期借款</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30"/>
              <w:jc w:val="right"/>
              <w:rPr>
                <w:rFonts w:ascii="Arial" w:hAnsi="Arial" w:cs="Arial" w:eastAsia="Arial" w:hint="default"/>
                <w:sz w:val="18"/>
                <w:szCs w:val="18"/>
              </w:rPr>
            </w:pPr>
            <w:r>
              <w:rPr>
                <w:rFonts w:ascii="Arial"/>
                <w:spacing w:val="-1"/>
                <w:sz w:val="18"/>
              </w:rPr>
              <w:t>3,900.00</w:t>
            </w:r>
          </w:p>
        </w:tc>
        <w:tc>
          <w:tcPr>
            <w:tcW w:w="3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57"/>
              <w:jc w:val="right"/>
              <w:rPr>
                <w:rFonts w:ascii="Arial" w:hAnsi="Arial" w:cs="Arial" w:eastAsia="Arial" w:hint="default"/>
                <w:sz w:val="18"/>
                <w:szCs w:val="18"/>
              </w:rPr>
            </w:pPr>
            <w:r>
              <w:rPr>
                <w:rFonts w:ascii="Arial"/>
                <w:spacing w:val="-1"/>
                <w:sz w:val="18"/>
              </w:rPr>
              <w:t>6,035.00</w:t>
            </w:r>
          </w:p>
        </w:tc>
      </w:tr>
    </w:tbl>
    <w:p>
      <w:pPr>
        <w:spacing w:line="240" w:lineRule="auto" w:before="6"/>
        <w:rPr>
          <w:rFonts w:ascii="宋体" w:hAnsi="宋体" w:cs="宋体" w:eastAsia="宋体" w:hint="default"/>
          <w:sz w:val="5"/>
          <w:szCs w:val="5"/>
        </w:rPr>
      </w:pPr>
    </w:p>
    <w:p>
      <w:pPr>
        <w:pStyle w:val="BodyText"/>
        <w:spacing w:line="259" w:lineRule="auto"/>
        <w:ind w:right="996" w:firstLine="427"/>
        <w:jc w:val="left"/>
      </w:pPr>
      <w:r>
        <w:rPr>
          <w:w w:val="95"/>
        </w:rPr>
        <w:t>于</w:t>
      </w:r>
      <w:r>
        <w:rPr>
          <w:rFonts w:ascii="Arial" w:hAnsi="Arial" w:cs="Arial" w:eastAsia="Arial" w:hint="default"/>
          <w:w w:val="95"/>
        </w:rPr>
        <w:t>2018</w:t>
      </w:r>
      <w:r>
        <w:rPr>
          <w:w w:val="95"/>
        </w:rPr>
        <w:t>年</w:t>
      </w:r>
      <w:r>
        <w:rPr>
          <w:rFonts w:ascii="Arial" w:hAnsi="Arial" w:cs="Arial" w:eastAsia="Arial" w:hint="default"/>
          <w:w w:val="95"/>
        </w:rPr>
        <w:t>12</w:t>
      </w:r>
      <w:r>
        <w:rPr>
          <w:w w:val="95"/>
        </w:rPr>
        <w:t>月</w:t>
      </w:r>
      <w:r>
        <w:rPr>
          <w:rFonts w:ascii="Arial" w:hAnsi="Arial" w:cs="Arial" w:eastAsia="Arial" w:hint="default"/>
          <w:w w:val="95"/>
        </w:rPr>
        <w:t>31</w:t>
      </w:r>
      <w:r>
        <w:rPr>
          <w:w w:val="95"/>
        </w:rPr>
        <w:t>日，如果以浮动利率计算的借款利率上升或下降</w:t>
      </w:r>
      <w:r>
        <w:rPr>
          <w:rFonts w:ascii="Arial" w:hAnsi="Arial" w:cs="Arial" w:eastAsia="Arial" w:hint="default"/>
          <w:w w:val="95"/>
        </w:rPr>
        <w:t>50</w:t>
      </w:r>
      <w:r>
        <w:rPr>
          <w:w w:val="95"/>
        </w:rPr>
        <w:t>个基点，而其它因素保持不变，</w:t>
      </w:r>
      <w:r>
        <w:rPr>
          <w:spacing w:val="-95"/>
          <w:w w:val="95"/>
        </w:rPr>
        <w:t> </w:t>
      </w:r>
      <w:r>
        <w:rPr>
          <w:spacing w:val="-95"/>
          <w:w w:val="95"/>
        </w:rPr>
      </w:r>
      <w:r>
        <w:rPr/>
        <w:t>本集团的净利润及股东权益将增加或减少约</w:t>
      </w:r>
      <w:r>
        <w:rPr>
          <w:rFonts w:ascii="Arial" w:hAnsi="Arial" w:cs="Arial" w:eastAsia="Arial" w:hint="default"/>
        </w:rPr>
        <w:t>632.07</w:t>
      </w:r>
      <w:r>
        <w:rPr/>
        <w:t>万元（</w:t>
      </w:r>
      <w:r>
        <w:rPr>
          <w:rFonts w:ascii="Arial" w:hAnsi="Arial" w:cs="Arial" w:eastAsia="Arial" w:hint="default"/>
        </w:rPr>
        <w:t>2017</w:t>
      </w:r>
      <w:r>
        <w:rPr/>
        <w:t>年</w:t>
      </w:r>
      <w:r>
        <w:rPr>
          <w:rFonts w:ascii="Arial" w:hAnsi="Arial" w:cs="Arial" w:eastAsia="Arial" w:hint="default"/>
        </w:rPr>
        <w:t>12</w:t>
      </w:r>
      <w:r>
        <w:rPr/>
        <w:t>月</w:t>
      </w:r>
      <w:r>
        <w:rPr>
          <w:rFonts w:ascii="Arial" w:hAnsi="Arial" w:cs="Arial" w:eastAsia="Arial" w:hint="default"/>
        </w:rPr>
        <w:t>31</w:t>
      </w:r>
      <w:r>
        <w:rPr/>
        <w:t>日：</w:t>
      </w:r>
      <w:r>
        <w:rPr>
          <w:rFonts w:ascii="Arial" w:hAnsi="Arial" w:cs="Arial" w:eastAsia="Arial" w:hint="default"/>
        </w:rPr>
        <w:t>618.49</w:t>
      </w:r>
      <w:r>
        <w:rPr/>
        <w:t>万元）。</w:t>
      </w:r>
    </w:p>
    <w:p>
      <w:pPr>
        <w:spacing w:line="240" w:lineRule="auto" w:before="2"/>
        <w:rPr>
          <w:rFonts w:ascii="宋体" w:hAnsi="宋体" w:cs="宋体" w:eastAsia="宋体" w:hint="default"/>
          <w:sz w:val="23"/>
          <w:szCs w:val="23"/>
        </w:rPr>
      </w:pPr>
    </w:p>
    <w:p>
      <w:pPr>
        <w:pStyle w:val="Heading4"/>
        <w:spacing w:line="240" w:lineRule="auto"/>
        <w:ind w:right="996"/>
        <w:jc w:val="left"/>
        <w:rPr>
          <w:b w:val="0"/>
          <w:bCs w:val="0"/>
        </w:rPr>
      </w:pPr>
      <w:r>
        <w:rPr>
          <w:rFonts w:ascii="Arial" w:hAnsi="Arial" w:cs="Arial" w:eastAsia="Arial" w:hint="default"/>
        </w:rPr>
        <w:t>2</w:t>
      </w:r>
      <w:r>
        <w:rPr/>
        <w:t>、资本管理</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996" w:firstLine="427"/>
        <w:jc w:val="left"/>
      </w:pPr>
      <w:r>
        <w:rPr>
          <w:w w:val="95"/>
        </w:rPr>
        <w:t>本集团资本管理政策的目标是为了保障本集团能够持续经营，从而为股东提供回报，并使其他利益相</w:t>
      </w:r>
      <w:r>
        <w:rPr>
          <w:w w:val="99"/>
        </w:rPr>
        <w:t> </w:t>
      </w:r>
      <w:r>
        <w:rPr/>
        <w:t>关者获益，同时维持最佳的资本结构以降低资本成本。</w:t>
      </w:r>
    </w:p>
    <w:p>
      <w:pPr>
        <w:pStyle w:val="BodyText"/>
        <w:spacing w:line="273" w:lineRule="auto" w:before="127"/>
        <w:ind w:right="996" w:firstLine="427"/>
        <w:jc w:val="left"/>
      </w:pPr>
      <w:r>
        <w:rPr>
          <w:w w:val="95"/>
        </w:rPr>
        <w:t>为了维持或调整资本结构，本集团可能会调整支付给股东的股利金额、向股东返还资本、发行新股或</w:t>
      </w:r>
      <w:r>
        <w:rPr>
          <w:w w:val="99"/>
        </w:rPr>
        <w:t> </w:t>
      </w:r>
      <w:r>
        <w:rPr/>
        <w:t>出售资产以减低债务。</w:t>
      </w:r>
    </w:p>
    <w:p>
      <w:pPr>
        <w:pStyle w:val="BodyText"/>
        <w:spacing w:line="259" w:lineRule="auto" w:before="127"/>
        <w:ind w:right="996" w:firstLine="427"/>
        <w:jc w:val="left"/>
      </w:pPr>
      <w:r>
        <w:rPr>
          <w:w w:val="95"/>
        </w:rPr>
        <w:t>本集团以资产负债率（即总负债除以总资产）为基础对资本结构进行监控。于</w:t>
      </w:r>
      <w:r>
        <w:rPr>
          <w:rFonts w:ascii="Arial" w:hAnsi="Arial" w:cs="Arial" w:eastAsia="Arial" w:hint="default"/>
          <w:w w:val="95"/>
        </w:rPr>
        <w:t>2018</w:t>
      </w:r>
      <w:r>
        <w:rPr>
          <w:w w:val="95"/>
        </w:rPr>
        <w:t>年</w:t>
      </w:r>
      <w:r>
        <w:rPr>
          <w:rFonts w:ascii="Arial" w:hAnsi="Arial" w:cs="Arial" w:eastAsia="Arial" w:hint="default"/>
          <w:w w:val="95"/>
        </w:rPr>
        <w:t>12</w:t>
      </w:r>
      <w:r>
        <w:rPr>
          <w:w w:val="95"/>
        </w:rPr>
        <w:t>月</w:t>
      </w:r>
      <w:r>
        <w:rPr>
          <w:rFonts w:ascii="Arial" w:hAnsi="Arial" w:cs="Arial" w:eastAsia="Arial" w:hint="default"/>
          <w:w w:val="95"/>
        </w:rPr>
        <w:t>31</w:t>
      </w:r>
      <w:r>
        <w:rPr>
          <w:w w:val="95"/>
        </w:rPr>
        <w:t>日，本</w:t>
      </w:r>
      <w:r>
        <w:rPr>
          <w:spacing w:val="-94"/>
          <w:w w:val="95"/>
        </w:rPr>
        <w:t> </w:t>
      </w:r>
      <w:r>
        <w:rPr>
          <w:spacing w:val="-94"/>
          <w:w w:val="95"/>
        </w:rPr>
      </w:r>
      <w:r>
        <w:rPr/>
        <w:t>集团的资产负债率为</w:t>
      </w:r>
      <w:r>
        <w:rPr>
          <w:rFonts w:ascii="Arial" w:hAnsi="Arial" w:cs="Arial" w:eastAsia="Arial" w:hint="default"/>
        </w:rPr>
        <w:t>25.96%</w:t>
      </w:r>
      <w:r>
        <w:rPr/>
        <w:t>（</w:t>
      </w:r>
      <w:r>
        <w:rPr>
          <w:rFonts w:ascii="Arial" w:hAnsi="Arial" w:cs="Arial" w:eastAsia="Arial" w:hint="default"/>
        </w:rPr>
        <w:t>2017</w:t>
      </w:r>
      <w:r>
        <w:rPr/>
        <w:t>年</w:t>
      </w:r>
      <w:r>
        <w:rPr>
          <w:rFonts w:ascii="Arial" w:hAnsi="Arial" w:cs="Arial" w:eastAsia="Arial" w:hint="default"/>
        </w:rPr>
        <w:t>12</w:t>
      </w:r>
      <w:r>
        <w:rPr/>
        <w:t>月</w:t>
      </w:r>
      <w:r>
        <w:rPr>
          <w:rFonts w:ascii="Arial" w:hAnsi="Arial" w:cs="Arial" w:eastAsia="Arial" w:hint="default"/>
        </w:rPr>
        <w:t>31</w:t>
      </w:r>
      <w:r>
        <w:rPr/>
        <w:t>日：</w:t>
      </w:r>
      <w:r>
        <w:rPr>
          <w:rFonts w:ascii="Arial" w:hAnsi="Arial" w:cs="Arial" w:eastAsia="Arial" w:hint="default"/>
        </w:rPr>
        <w:t>26.52%</w:t>
      </w:r>
      <w:r>
        <w:rPr/>
        <w:t>）。</w:t>
      </w:r>
    </w:p>
    <w:p>
      <w:pPr>
        <w:spacing w:after="0" w:line="259" w:lineRule="auto"/>
        <w:jc w:val="left"/>
        <w:sectPr>
          <w:pgSz w:w="11910" w:h="16840"/>
          <w:pgMar w:header="878" w:footer="978" w:top="1100" w:bottom="1160" w:left="1020" w:right="0"/>
        </w:sectPr>
      </w:pPr>
    </w:p>
    <w:p>
      <w:pPr>
        <w:spacing w:line="240" w:lineRule="auto" w:before="10"/>
        <w:rPr>
          <w:rFonts w:ascii="宋体" w:hAnsi="宋体" w:cs="宋体" w:eastAsia="宋体" w:hint="default"/>
          <w:sz w:val="19"/>
          <w:szCs w:val="19"/>
        </w:rPr>
      </w:pPr>
    </w:p>
    <w:p>
      <w:pPr>
        <w:pStyle w:val="Heading2"/>
        <w:spacing w:line="240" w:lineRule="auto"/>
        <w:ind w:right="996"/>
        <w:jc w:val="left"/>
        <w:rPr>
          <w:b w:val="0"/>
          <w:bCs w:val="0"/>
        </w:rPr>
      </w:pPr>
      <w:bookmarkStart w:name="十一、关联方及关联交易" w:id="309"/>
      <w:bookmarkEnd w:id="309"/>
      <w:r>
        <w:rPr>
          <w:b w:val="0"/>
          <w:bCs w:val="0"/>
        </w:rPr>
      </w:r>
      <w:r>
        <w:rPr/>
        <w:t>十一、关联方及关联交易</w:t>
      </w:r>
      <w:r>
        <w:rPr>
          <w:b w:val="0"/>
          <w:bCs w:val="0"/>
        </w:rPr>
      </w:r>
    </w:p>
    <w:p>
      <w:pPr>
        <w:spacing w:line="240" w:lineRule="auto" w:before="9"/>
        <w:rPr>
          <w:rFonts w:ascii="宋体" w:hAnsi="宋体" w:cs="宋体" w:eastAsia="宋体" w:hint="default"/>
          <w:b/>
          <w:bCs/>
          <w:sz w:val="24"/>
          <w:szCs w:val="24"/>
        </w:rPr>
      </w:pPr>
    </w:p>
    <w:p>
      <w:pPr>
        <w:spacing w:line="506" w:lineRule="auto" w:before="0"/>
        <w:ind w:left="112" w:right="2114" w:firstLine="0"/>
        <w:jc w:val="left"/>
        <w:rPr>
          <w:rFonts w:ascii="宋体" w:hAnsi="宋体" w:cs="宋体" w:eastAsia="宋体" w:hint="default"/>
          <w:sz w:val="21"/>
          <w:szCs w:val="21"/>
        </w:rPr>
      </w:pPr>
      <w:bookmarkStart w:name="1、本企业的子公司情况" w:id="310"/>
      <w:bookmarkEnd w:id="310"/>
      <w:r>
        <w:rPr/>
      </w:r>
      <w:r>
        <w:rPr>
          <w:rFonts w:ascii="Arial" w:hAnsi="Arial" w:cs="Arial" w:eastAsia="Arial" w:hint="default"/>
          <w:b/>
          <w:bCs/>
          <w:sz w:val="21"/>
          <w:szCs w:val="21"/>
        </w:rPr>
        <w:t>1</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w w:val="95"/>
          <w:sz w:val="21"/>
          <w:szCs w:val="21"/>
        </w:rPr>
        <w:t>本企业子公司的情况详见附注九、在其他主体中的权益；</w:t>
      </w:r>
      <w:r>
        <w:rPr>
          <w:rFonts w:ascii="Arial" w:hAnsi="Arial" w:cs="Arial" w:eastAsia="Arial" w:hint="default"/>
          <w:w w:val="95"/>
          <w:sz w:val="21"/>
          <w:szCs w:val="21"/>
        </w:rPr>
        <w:t>1</w:t>
      </w:r>
      <w:r>
        <w:rPr>
          <w:rFonts w:ascii="宋体" w:hAnsi="宋体" w:cs="宋体" w:eastAsia="宋体" w:hint="default"/>
          <w:w w:val="95"/>
          <w:sz w:val="21"/>
          <w:szCs w:val="21"/>
        </w:rPr>
        <w:t>、在子公司中的权益。</w:t>
      </w:r>
      <w:r>
        <w:rPr>
          <w:rFonts w:ascii="宋体" w:hAnsi="宋体" w:cs="宋体" w:eastAsia="宋体" w:hint="default"/>
          <w:spacing w:val="53"/>
          <w:w w:val="95"/>
          <w:sz w:val="21"/>
          <w:szCs w:val="21"/>
        </w:rPr>
        <w:t> </w:t>
      </w:r>
      <w:r>
        <w:rPr>
          <w:rFonts w:ascii="宋体" w:hAnsi="宋体" w:cs="宋体" w:eastAsia="宋体" w:hint="default"/>
          <w:spacing w:val="53"/>
          <w:w w:val="95"/>
          <w:sz w:val="21"/>
          <w:szCs w:val="21"/>
        </w:rPr>
      </w:r>
      <w:bookmarkStart w:name="2、本企业合营和联营企业情况" w:id="311"/>
      <w:bookmarkEnd w:id="311"/>
      <w:r>
        <w:rPr>
          <w:rFonts w:ascii="宋体" w:hAnsi="宋体" w:cs="宋体" w:eastAsia="宋体" w:hint="default"/>
          <w:spacing w:val="53"/>
          <w:w w:val="95"/>
          <w:sz w:val="21"/>
          <w:szCs w:val="21"/>
        </w:rPr>
      </w:r>
      <w:r>
        <w:rPr>
          <w:rFonts w:ascii="Arial" w:hAnsi="Arial" w:cs="Arial" w:eastAsia="Arial" w:hint="default"/>
          <w:b/>
          <w:bCs/>
          <w:sz w:val="21"/>
          <w:szCs w:val="21"/>
        </w:rPr>
        <w:t>2</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240" w:lineRule="auto" w:before="62"/>
        <w:ind w:right="0"/>
        <w:jc w:val="left"/>
      </w:pPr>
      <w:r>
        <w:rPr/>
        <w:t>本期与本公司发生关联方交易，或前期与本公司发生关联方交易形成余额的其他合营或联营企业情况如下：</w:t>
      </w:r>
    </w:p>
    <w:p>
      <w:pPr>
        <w:spacing w:line="240" w:lineRule="auto" w:before="3"/>
        <w:rPr>
          <w:rFonts w:ascii="宋体" w:hAnsi="宋体" w:cs="宋体" w:eastAsia="宋体"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3828"/>
        <w:gridCol w:w="2657"/>
        <w:gridCol w:w="3083"/>
      </w:tblGrid>
      <w:tr>
        <w:trPr>
          <w:trHeight w:val="402"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098"/>
              <w:jc w:val="righ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3" w:right="0"/>
              <w:jc w:val="left"/>
              <w:rPr>
                <w:rFonts w:ascii="宋体" w:hAnsi="宋体" w:cs="宋体" w:eastAsia="宋体" w:hint="default"/>
                <w:sz w:val="18"/>
                <w:szCs w:val="18"/>
              </w:rPr>
            </w:pPr>
            <w:r>
              <w:rPr>
                <w:rFonts w:ascii="宋体" w:hAnsi="宋体" w:cs="宋体" w:eastAsia="宋体" w:hint="default"/>
                <w:sz w:val="18"/>
                <w:szCs w:val="18"/>
              </w:rPr>
              <w:t>与本企业关系</w:t>
            </w:r>
          </w:p>
        </w:tc>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变更时间</w:t>
            </w:r>
          </w:p>
        </w:tc>
      </w:tr>
      <w:tr>
        <w:trPr>
          <w:trHeight w:val="402"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93"/>
              <w:jc w:val="right"/>
              <w:rPr>
                <w:rFonts w:ascii="宋体" w:hAnsi="宋体" w:cs="宋体" w:eastAsia="宋体" w:hint="default"/>
                <w:sz w:val="18"/>
                <w:szCs w:val="18"/>
              </w:rPr>
            </w:pPr>
            <w:r>
              <w:rPr>
                <w:rFonts w:ascii="宋体" w:hAnsi="宋体" w:cs="宋体" w:eastAsia="宋体" w:hint="default"/>
                <w:sz w:val="18"/>
                <w:szCs w:val="18"/>
              </w:rPr>
              <w:t>深圳市捷视飞通科技股份有限公司</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5</w:t>
            </w:r>
            <w:r>
              <w:rPr>
                <w:rFonts w:ascii="Arial" w:hAnsi="Arial" w:cs="Arial" w:eastAsia="Arial" w:hint="default"/>
                <w:spacing w:val="-5"/>
                <w:sz w:val="18"/>
                <w:szCs w:val="18"/>
              </w:rPr>
              <w:t> </w:t>
            </w:r>
            <w:r>
              <w:rPr>
                <w:rFonts w:ascii="宋体" w:hAnsi="宋体" w:cs="宋体" w:eastAsia="宋体" w:hint="default"/>
                <w:sz w:val="18"/>
                <w:szCs w:val="18"/>
              </w:rPr>
              <w:t>月</w:t>
            </w:r>
          </w:p>
        </w:tc>
      </w:tr>
    </w:tbl>
    <w:p>
      <w:pPr>
        <w:spacing w:line="240" w:lineRule="auto" w:before="4"/>
        <w:rPr>
          <w:rFonts w:ascii="宋体" w:hAnsi="宋体" w:cs="宋体" w:eastAsia="宋体" w:hint="default"/>
          <w:sz w:val="19"/>
          <w:szCs w:val="19"/>
        </w:rPr>
      </w:pPr>
    </w:p>
    <w:p>
      <w:pPr>
        <w:pStyle w:val="Heading4"/>
        <w:spacing w:line="240" w:lineRule="auto" w:before="34"/>
        <w:ind w:right="996"/>
        <w:jc w:val="left"/>
        <w:rPr>
          <w:b w:val="0"/>
          <w:bCs w:val="0"/>
        </w:rPr>
      </w:pPr>
      <w:bookmarkStart w:name="3、其他关联方情况" w:id="312"/>
      <w:bookmarkEnd w:id="312"/>
      <w:r>
        <w:rPr>
          <w:b w:val="0"/>
          <w:bCs w:val="0"/>
        </w:rPr>
      </w:r>
      <w:r>
        <w:rPr>
          <w:rFonts w:ascii="Arial" w:hAnsi="Arial" w:cs="Arial" w:eastAsia="Arial" w:hint="default"/>
        </w:rPr>
        <w:t>3</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吕宾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赵晓明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副总经理、财务总监</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朱恒源</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王月</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樊娇娇</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王珍</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邢立君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人力资源总监</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韦光宇</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r>
    </w:tbl>
    <w:p>
      <w:pPr>
        <w:spacing w:line="240" w:lineRule="auto" w:before="4"/>
        <w:rPr>
          <w:rFonts w:ascii="宋体" w:hAnsi="宋体" w:cs="宋体" w:eastAsia="宋体" w:hint="default"/>
          <w:b/>
          <w:bCs/>
          <w:sz w:val="19"/>
          <w:szCs w:val="19"/>
        </w:rPr>
      </w:pPr>
    </w:p>
    <w:p>
      <w:pPr>
        <w:pStyle w:val="Heading4"/>
        <w:spacing w:line="240" w:lineRule="auto" w:before="34"/>
        <w:ind w:right="996"/>
        <w:jc w:val="left"/>
        <w:rPr>
          <w:b w:val="0"/>
          <w:bCs w:val="0"/>
        </w:rPr>
      </w:pPr>
      <w:bookmarkStart w:name="4、关联交易情况" w:id="313"/>
      <w:bookmarkEnd w:id="313"/>
      <w:r>
        <w:rPr>
          <w:b w:val="0"/>
          <w:bCs w:val="0"/>
        </w:rPr>
      </w:r>
      <w:r>
        <w:rPr>
          <w:rFonts w:ascii="Arial" w:hAnsi="Arial" w:cs="Arial" w:eastAsia="Arial" w:hint="default"/>
        </w:rPr>
        <w:t>4</w:t>
      </w:r>
      <w:r>
        <w:rPr/>
        <w:t>、关联交易情况</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996"/>
        <w:jc w:val="left"/>
        <w:rPr>
          <w:b w:val="0"/>
          <w:bCs w:val="0"/>
        </w:rPr>
      </w:pPr>
      <w:bookmarkStart w:name="（1）购销商品、提供和接受劳务的关联交易" w:id="314"/>
      <w:bookmarkEnd w:id="314"/>
      <w:r>
        <w:rPr>
          <w:b w:val="0"/>
          <w:bCs w:val="0"/>
        </w:rPr>
      </w:r>
      <w:r>
        <w:rPr/>
        <w:t>（</w:t>
      </w:r>
      <w:r>
        <w:rPr>
          <w:rFonts w:ascii="Arial" w:hAnsi="Arial" w:cs="Arial" w:eastAsia="Arial" w:hint="default"/>
        </w:rPr>
        <w:t>1</w:t>
      </w:r>
      <w:r>
        <w:rPr/>
        <w:t>）购销商品、提供和接受劳务的关联交易</w:t>
      </w:r>
      <w:r>
        <w:rPr>
          <w:b w:val="0"/>
          <w:bCs w:val="0"/>
        </w:rPr>
      </w:r>
    </w:p>
    <w:p>
      <w:pPr>
        <w:spacing w:line="240" w:lineRule="auto" w:before="13"/>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19"/>
        <w:gridCol w:w="1276"/>
        <w:gridCol w:w="1275"/>
        <w:gridCol w:w="1418"/>
        <w:gridCol w:w="1134"/>
        <w:gridCol w:w="1384"/>
      </w:tblGrid>
      <w:tr>
        <w:trPr>
          <w:trHeight w:val="714"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获批的交易额度</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93" w:right="109" w:hanging="180"/>
              <w:jc w:val="left"/>
              <w:rPr>
                <w:rFonts w:ascii="宋体" w:hAnsi="宋体" w:cs="宋体" w:eastAsia="宋体" w:hint="default"/>
                <w:sz w:val="18"/>
                <w:szCs w:val="18"/>
              </w:rPr>
            </w:pPr>
            <w:r>
              <w:rPr>
                <w:rFonts w:ascii="宋体" w:hAnsi="宋体" w:cs="宋体" w:eastAsia="宋体" w:hint="default"/>
                <w:sz w:val="18"/>
                <w:szCs w:val="18"/>
              </w:rPr>
              <w:t>是否超过交 易额度</w:t>
            </w:r>
          </w:p>
        </w:tc>
        <w:tc>
          <w:tcPr>
            <w:tcW w:w="1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深圳市捷视飞通科技股份有限公司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2" w:right="0"/>
              <w:jc w:val="left"/>
              <w:rPr>
                <w:rFonts w:ascii="Arial" w:hAnsi="Arial" w:cs="Arial" w:eastAsia="Arial" w:hint="default"/>
                <w:sz w:val="18"/>
                <w:szCs w:val="18"/>
              </w:rPr>
            </w:pPr>
            <w:r>
              <w:rPr>
                <w:rFonts w:ascii="Arial"/>
                <w:sz w:val="18"/>
              </w:rPr>
              <w:t>5,745,653.74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5,745,653.74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0" w:right="0"/>
              <w:jc w:val="left"/>
              <w:rPr>
                <w:rFonts w:ascii="Arial" w:hAnsi="Arial" w:cs="Arial" w:eastAsia="Arial" w:hint="default"/>
                <w:sz w:val="18"/>
                <w:szCs w:val="18"/>
              </w:rPr>
            </w:pPr>
            <w:r>
              <w:rPr>
                <w:rFonts w:ascii="Arial"/>
                <w:sz w:val="18"/>
              </w:rPr>
              <w:t>19,766,262.59</w:t>
            </w:r>
          </w:p>
        </w:tc>
      </w:tr>
    </w:tbl>
    <w:p>
      <w:pPr>
        <w:spacing w:line="240" w:lineRule="auto" w:before="4"/>
        <w:rPr>
          <w:rFonts w:ascii="宋体" w:hAnsi="宋体" w:cs="宋体" w:eastAsia="宋体" w:hint="default"/>
          <w:sz w:val="5"/>
          <w:szCs w:val="5"/>
        </w:rPr>
      </w:pPr>
    </w:p>
    <w:p>
      <w:pPr>
        <w:pStyle w:val="BodyText"/>
        <w:spacing w:line="240" w:lineRule="auto"/>
        <w:ind w:right="996"/>
        <w:jc w:val="left"/>
      </w:pPr>
      <w:r>
        <w:rPr/>
        <w:t>其他说明：</w:t>
      </w:r>
    </w:p>
    <w:p>
      <w:pPr>
        <w:pStyle w:val="BodyText"/>
        <w:spacing w:line="240" w:lineRule="auto" w:before="157"/>
        <w:ind w:left="540" w:right="996"/>
        <w:jc w:val="left"/>
      </w:pPr>
      <w:r>
        <w:rPr/>
        <w:t>与深圳市捷视飞通科技股份有限公司本期发生额系作为联营企业期间的本期采购额。附注十一、</w:t>
      </w:r>
      <w:r>
        <w:rPr>
          <w:rFonts w:ascii="Arial" w:hAnsi="Arial" w:cs="Arial" w:eastAsia="Arial" w:hint="default"/>
        </w:rPr>
        <w:t>2</w:t>
      </w:r>
      <w:r>
        <w:rPr/>
        <w:t>。</w:t>
      </w:r>
    </w:p>
    <w:p>
      <w:pPr>
        <w:spacing w:after="0" w:line="240" w:lineRule="auto"/>
        <w:jc w:val="left"/>
        <w:sectPr>
          <w:pgSz w:w="11910" w:h="16840"/>
          <w:pgMar w:header="878" w:footer="978" w:top="1100" w:bottom="1160" w:left="1020" w:right="0"/>
        </w:sectPr>
      </w:pPr>
    </w:p>
    <w:p>
      <w:pPr>
        <w:spacing w:line="240" w:lineRule="auto" w:before="12"/>
        <w:rPr>
          <w:rFonts w:ascii="宋体" w:hAnsi="宋体" w:cs="宋体" w:eastAsia="宋体" w:hint="default"/>
          <w:sz w:val="20"/>
          <w:szCs w:val="20"/>
        </w:rPr>
      </w:pPr>
    </w:p>
    <w:p>
      <w:pPr>
        <w:pStyle w:val="Heading4"/>
        <w:spacing w:line="240" w:lineRule="auto" w:before="34"/>
        <w:ind w:right="996"/>
        <w:jc w:val="left"/>
        <w:rPr>
          <w:b w:val="0"/>
          <w:bCs w:val="0"/>
        </w:rPr>
      </w:pPr>
      <w:bookmarkStart w:name="（2）关联担保情况" w:id="315"/>
      <w:bookmarkEnd w:id="315"/>
      <w:r>
        <w:rPr>
          <w:b w:val="0"/>
          <w:bCs w:val="0"/>
        </w:rPr>
      </w:r>
      <w:r>
        <w:rPr/>
        <w:t>（</w:t>
      </w:r>
      <w:r>
        <w:rPr>
          <w:rFonts w:ascii="Arial" w:hAnsi="Arial" w:cs="Arial" w:eastAsia="Arial" w:hint="default"/>
        </w:rPr>
        <w:t>2</w:t>
      </w:r>
      <w:r>
        <w:rPr/>
        <w:t>）关联担保情况</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8" w:footer="978" w:top="1100" w:bottom="1160" w:left="1020" w:right="0"/>
        </w:sectPr>
      </w:pPr>
    </w:p>
    <w:p>
      <w:pPr>
        <w:pStyle w:val="BodyText"/>
        <w:spacing w:line="240" w:lineRule="auto"/>
        <w:ind w:right="0"/>
        <w:jc w:val="left"/>
      </w:pPr>
      <w:r>
        <w:rPr>
          <w:w w:val="95"/>
        </w:rPr>
        <w:t>本公司作为担保方</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3"/>
          <w:szCs w:val="13"/>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0"/>
          <w:cols w:num="2" w:equalWidth="0">
            <w:col w:w="1791" w:space="7039"/>
            <w:col w:w="2060"/>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94"/>
        <w:gridCol w:w="1275"/>
        <w:gridCol w:w="1843"/>
        <w:gridCol w:w="1844"/>
        <w:gridCol w:w="1914"/>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4"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7"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华宇金信（北京）软件有限公司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5,000,000.00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09</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Arial" w:hAnsi="Arial" w:cs="Arial" w:eastAsia="Arial" w:hint="default"/>
                <w:sz w:val="18"/>
                <w:szCs w:val="18"/>
              </w:rPr>
              <w:t>2021</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09</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华宇金信（北京）软件有限公司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4,000,000.00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09</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Arial" w:hAnsi="Arial" w:cs="Arial" w:eastAsia="Arial" w:hint="default"/>
                <w:sz w:val="18"/>
                <w:szCs w:val="18"/>
              </w:rPr>
              <w:t>2021</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09</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6"/>
        <w:rPr>
          <w:rFonts w:ascii="宋体" w:hAnsi="宋体" w:cs="宋体" w:eastAsia="宋体" w:hint="default"/>
          <w:sz w:val="5"/>
          <w:szCs w:val="5"/>
        </w:rPr>
      </w:pPr>
    </w:p>
    <w:p>
      <w:pPr>
        <w:pStyle w:val="BodyText"/>
        <w:spacing w:line="240" w:lineRule="auto"/>
        <w:ind w:right="996"/>
        <w:jc w:val="left"/>
      </w:pPr>
      <w:r>
        <w:rPr/>
        <w:t>本公司作为被担保方</w:t>
      </w:r>
    </w:p>
    <w:p>
      <w:pPr>
        <w:spacing w:line="240" w:lineRule="auto" w:before="7"/>
        <w:rPr>
          <w:rFonts w:ascii="宋体" w:hAnsi="宋体" w:cs="宋体" w:eastAsia="宋体" w:hint="default"/>
          <w:sz w:val="10"/>
          <w:szCs w:val="10"/>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27"/>
        <w:gridCol w:w="1701"/>
        <w:gridCol w:w="1914"/>
        <w:gridCol w:w="1914"/>
        <w:gridCol w:w="1914"/>
      </w:tblGrid>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任刚、赵国艳</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8" w:right="0"/>
              <w:jc w:val="left"/>
              <w:rPr>
                <w:rFonts w:ascii="Arial" w:hAnsi="Arial" w:cs="Arial" w:eastAsia="Arial" w:hint="default"/>
                <w:sz w:val="18"/>
                <w:szCs w:val="18"/>
              </w:rPr>
            </w:pPr>
            <w:r>
              <w:rPr>
                <w:rFonts w:ascii="Arial"/>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03</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Arial" w:hAnsi="Arial" w:cs="Arial" w:eastAsia="Arial" w:hint="default"/>
                <w:sz w:val="18"/>
                <w:szCs w:val="18"/>
              </w:rPr>
              <w:t>2022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02</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3"/>
        <w:rPr>
          <w:rFonts w:ascii="宋体" w:hAnsi="宋体" w:cs="宋体" w:eastAsia="宋体" w:hint="default"/>
          <w:sz w:val="19"/>
          <w:szCs w:val="19"/>
        </w:rPr>
      </w:pPr>
    </w:p>
    <w:p>
      <w:pPr>
        <w:pStyle w:val="Heading4"/>
        <w:spacing w:line="240" w:lineRule="auto" w:before="34"/>
        <w:ind w:right="996"/>
        <w:jc w:val="left"/>
        <w:rPr>
          <w:b w:val="0"/>
          <w:bCs w:val="0"/>
        </w:rPr>
      </w:pPr>
      <w:bookmarkStart w:name="（3）关键管理人员报酬" w:id="316"/>
      <w:bookmarkEnd w:id="316"/>
      <w:r>
        <w:rPr>
          <w:b w:val="0"/>
          <w:bCs w:val="0"/>
        </w:rPr>
      </w:r>
      <w:r>
        <w:rPr/>
        <w:t>（</w:t>
      </w:r>
      <w:r>
        <w:rPr>
          <w:rFonts w:ascii="Arial" w:hAnsi="Arial" w:cs="Arial" w:eastAsia="Arial" w:hint="default"/>
        </w:rPr>
        <w:t>3</w:t>
      </w:r>
      <w:r>
        <w:rPr/>
        <w:t>）关键管理人员报酬</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07" w:right="0"/>
              <w:jc w:val="left"/>
              <w:rPr>
                <w:rFonts w:ascii="Arial" w:hAnsi="Arial" w:cs="Arial" w:eastAsia="Arial" w:hint="default"/>
                <w:sz w:val="18"/>
                <w:szCs w:val="18"/>
              </w:rPr>
            </w:pPr>
            <w:r>
              <w:rPr>
                <w:rFonts w:ascii="Arial"/>
                <w:sz w:val="18"/>
              </w:rPr>
              <w:t>3,176,879.00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07" w:right="0"/>
              <w:jc w:val="left"/>
              <w:rPr>
                <w:rFonts w:ascii="Arial" w:hAnsi="Arial" w:cs="Arial" w:eastAsia="Arial" w:hint="default"/>
                <w:sz w:val="18"/>
                <w:szCs w:val="18"/>
              </w:rPr>
            </w:pPr>
            <w:r>
              <w:rPr>
                <w:rFonts w:ascii="Arial"/>
                <w:sz w:val="18"/>
              </w:rPr>
              <w:t>2,944,200.00</w:t>
            </w:r>
          </w:p>
        </w:tc>
      </w:tr>
    </w:tbl>
    <w:p>
      <w:pPr>
        <w:spacing w:line="240" w:lineRule="auto" w:before="4"/>
        <w:rPr>
          <w:rFonts w:ascii="宋体" w:hAnsi="宋体" w:cs="宋体" w:eastAsia="宋体" w:hint="default"/>
          <w:sz w:val="19"/>
          <w:szCs w:val="19"/>
        </w:rPr>
      </w:pPr>
    </w:p>
    <w:p>
      <w:pPr>
        <w:pStyle w:val="Heading4"/>
        <w:spacing w:line="240" w:lineRule="auto" w:before="34"/>
        <w:ind w:right="996"/>
        <w:jc w:val="left"/>
        <w:rPr>
          <w:b w:val="0"/>
          <w:bCs w:val="0"/>
        </w:rPr>
      </w:pPr>
      <w:bookmarkStart w:name="5、关联方应收应付款项" w:id="317"/>
      <w:bookmarkEnd w:id="317"/>
      <w:r>
        <w:rPr>
          <w:b w:val="0"/>
          <w:bCs w:val="0"/>
        </w:rPr>
      </w:r>
      <w:r>
        <w:rPr>
          <w:rFonts w:ascii="Arial" w:hAnsi="Arial" w:cs="Arial" w:eastAsia="Arial" w:hint="default"/>
        </w:rPr>
        <w:t>5</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96"/>
        <w:jc w:val="left"/>
        <w:rPr>
          <w:b w:val="0"/>
          <w:bCs w:val="0"/>
        </w:rPr>
      </w:pPr>
      <w:bookmarkStart w:name="（1）应付项目" w:id="318"/>
      <w:bookmarkEnd w:id="318"/>
      <w:r>
        <w:rPr>
          <w:b w:val="0"/>
          <w:bCs w:val="0"/>
        </w:rPr>
      </w:r>
      <w:r>
        <w:rPr/>
        <w:t>（</w:t>
      </w:r>
      <w:r>
        <w:rPr>
          <w:rFonts w:ascii="Arial" w:hAnsi="Arial" w:cs="Arial" w:eastAsia="Arial" w:hint="default"/>
        </w:rPr>
        <w:t>1</w:t>
      </w:r>
      <w:r>
        <w:rPr/>
        <w:t>）应付项目</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27"/>
        <w:gridCol w:w="3085"/>
        <w:gridCol w:w="1964"/>
        <w:gridCol w:w="2392"/>
      </w:tblGrid>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深圳市捷视飞通科技股份有限公司</w:t>
            </w:r>
          </w:p>
        </w:tc>
        <w:tc>
          <w:tcPr>
            <w:tcW w:w="1964"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5,460,702.94</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深圳市捷视飞通科技股份有限公司</w:t>
            </w:r>
          </w:p>
        </w:tc>
        <w:tc>
          <w:tcPr>
            <w:tcW w:w="1964"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650,868.60</w:t>
            </w:r>
          </w:p>
        </w:tc>
      </w:tr>
    </w:tbl>
    <w:p>
      <w:pPr>
        <w:spacing w:line="240" w:lineRule="auto" w:before="2"/>
        <w:rPr>
          <w:rFonts w:ascii="宋体" w:hAnsi="宋体" w:cs="宋体" w:eastAsia="宋体" w:hint="default"/>
          <w:sz w:val="18"/>
          <w:szCs w:val="18"/>
        </w:rPr>
      </w:pPr>
    </w:p>
    <w:p>
      <w:pPr>
        <w:pStyle w:val="Heading2"/>
        <w:spacing w:line="240" w:lineRule="auto"/>
        <w:ind w:right="996"/>
        <w:jc w:val="left"/>
        <w:rPr>
          <w:b w:val="0"/>
          <w:bCs w:val="0"/>
        </w:rPr>
      </w:pPr>
      <w:bookmarkStart w:name="十二、股份支付" w:id="319"/>
      <w:bookmarkEnd w:id="319"/>
      <w:r>
        <w:rPr>
          <w:b w:val="0"/>
          <w:bCs w:val="0"/>
        </w:rPr>
      </w:r>
      <w:r>
        <w:rPr/>
        <w:t>十二、股份支付</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96"/>
        <w:jc w:val="left"/>
        <w:rPr>
          <w:b w:val="0"/>
          <w:bCs w:val="0"/>
        </w:rPr>
      </w:pPr>
      <w:bookmarkStart w:name="1、股份支付总体情况" w:id="320"/>
      <w:bookmarkEnd w:id="320"/>
      <w:r>
        <w:rPr>
          <w:b w:val="0"/>
          <w:bCs w:val="0"/>
        </w:rPr>
      </w:r>
      <w:r>
        <w:rPr>
          <w:rFonts w:ascii="Arial" w:hAnsi="Arial" w:cs="Arial" w:eastAsia="Arial" w:hint="default"/>
        </w:rPr>
        <w:t>1</w:t>
      </w:r>
      <w:r>
        <w:rPr/>
        <w:t>、股份支付总体情况</w:t>
      </w:r>
      <w:r>
        <w:rPr>
          <w:b w:val="0"/>
          <w:bCs w:val="0"/>
        </w:rPr>
      </w:r>
    </w:p>
    <w:p>
      <w:pPr>
        <w:spacing w:line="240" w:lineRule="auto" w:before="2"/>
        <w:rPr>
          <w:rFonts w:ascii="宋体" w:hAnsi="宋体" w:cs="宋体" w:eastAsia="宋体" w:hint="default"/>
          <w:b/>
          <w:bCs/>
          <w:sz w:val="23"/>
          <w:szCs w:val="23"/>
        </w:rPr>
      </w:pPr>
    </w:p>
    <w:p>
      <w:pPr>
        <w:spacing w:before="44"/>
        <w:ind w:left="112" w:right="996" w:firstLine="0"/>
        <w:jc w:val="left"/>
        <w:rPr>
          <w:rFonts w:ascii="宋体" w:hAnsi="宋体" w:cs="宋体" w:eastAsia="宋体" w:hint="default"/>
          <w:sz w:val="18"/>
          <w:szCs w:val="18"/>
        </w:rPr>
      </w:pPr>
      <w:r>
        <w:rPr>
          <w:rFonts w:ascii="Arial" w:hAnsi="Arial" w:cs="Arial" w:eastAsia="Arial" w:hint="default"/>
          <w:sz w:val="18"/>
          <w:szCs w:val="18"/>
        </w:rPr>
        <w:t>√  </w:t>
      </w:r>
      <w:r>
        <w:rPr>
          <w:rFonts w:ascii="宋体" w:hAnsi="宋体" w:cs="宋体" w:eastAsia="宋体" w:hint="default"/>
          <w:sz w:val="18"/>
          <w:szCs w:val="18"/>
        </w:rPr>
        <w:t>适用 </w:t>
      </w:r>
      <w:r>
        <w:rPr>
          <w:rFonts w:ascii="Arial" w:hAnsi="Arial" w:cs="Arial" w:eastAsia="Arial" w:hint="default"/>
          <w:sz w:val="18"/>
          <w:szCs w:val="18"/>
        </w:rPr>
        <w:t>□</w:t>
      </w:r>
      <w:r>
        <w:rPr>
          <w:rFonts w:ascii="Arial" w:hAnsi="Arial" w:cs="Arial" w:eastAsia="Arial" w:hint="default"/>
          <w:spacing w:val="27"/>
          <w:sz w:val="18"/>
          <w:szCs w:val="18"/>
        </w:rPr>
        <w:t> </w:t>
      </w:r>
      <w:r>
        <w:rPr>
          <w:rFonts w:ascii="宋体" w:hAnsi="宋体" w:cs="宋体" w:eastAsia="宋体" w:hint="default"/>
          <w:sz w:val="18"/>
          <w:szCs w:val="18"/>
        </w:rPr>
        <w:t>不适用</w:t>
      </w:r>
    </w:p>
    <w:p>
      <w:pPr>
        <w:spacing w:before="102"/>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686"/>
        <w:gridCol w:w="5882"/>
      </w:tblGrid>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2"/>
                <w:sz w:val="18"/>
              </w:rPr>
              <w:t>11,486,358.00</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1,917,928.00</w:t>
            </w:r>
          </w:p>
        </w:tc>
      </w:tr>
      <w:tr>
        <w:trPr>
          <w:trHeight w:val="714"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 范围和合同剩余期限</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Arial" w:hAnsi="Arial" w:cs="Arial" w:eastAsia="Arial" w:hint="default"/>
                <w:sz w:val="18"/>
                <w:szCs w:val="18"/>
              </w:rPr>
            </w:pPr>
            <w:r>
              <w:rPr>
                <w:rFonts w:ascii="宋体" w:hAnsi="宋体" w:cs="宋体" w:eastAsia="宋体" w:hint="default"/>
                <w:sz w:val="18"/>
                <w:szCs w:val="18"/>
              </w:rPr>
              <w:t>限制性股票（</w:t>
            </w:r>
            <w:r>
              <w:rPr>
                <w:rFonts w:ascii="Arial" w:hAnsi="Arial" w:cs="Arial" w:eastAsia="Arial" w:hint="default"/>
                <w:sz w:val="18"/>
                <w:szCs w:val="18"/>
              </w:rPr>
              <w:t>2016</w:t>
            </w:r>
            <w:r>
              <w:rPr>
                <w:rFonts w:ascii="Arial" w:hAnsi="Arial" w:cs="Arial" w:eastAsia="Arial" w:hint="default"/>
                <w:spacing w:val="-10"/>
                <w:sz w:val="18"/>
                <w:szCs w:val="18"/>
              </w:rPr>
              <w:t> </w:t>
            </w:r>
            <w:r>
              <w:rPr>
                <w:rFonts w:ascii="宋体" w:hAnsi="宋体" w:cs="宋体" w:eastAsia="宋体" w:hint="default"/>
                <w:sz w:val="18"/>
                <w:szCs w:val="18"/>
              </w:rPr>
              <w:t>年）的授予价格为</w:t>
            </w:r>
            <w:r>
              <w:rPr>
                <w:rFonts w:ascii="宋体" w:hAnsi="宋体" w:cs="宋体" w:eastAsia="宋体" w:hint="default"/>
                <w:spacing w:val="-46"/>
                <w:sz w:val="18"/>
                <w:szCs w:val="18"/>
              </w:rPr>
              <w:t> </w:t>
            </w:r>
            <w:r>
              <w:rPr>
                <w:rFonts w:ascii="Arial" w:hAnsi="Arial" w:cs="Arial" w:eastAsia="Arial" w:hint="default"/>
                <w:sz w:val="18"/>
                <w:szCs w:val="18"/>
              </w:rPr>
              <w:t>10.03</w:t>
            </w:r>
            <w:r>
              <w:rPr>
                <w:rFonts w:ascii="Arial" w:hAnsi="Arial" w:cs="Arial" w:eastAsia="Arial" w:hint="default"/>
                <w:spacing w:val="-8"/>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股；自授予日</w:t>
            </w:r>
            <w:r>
              <w:rPr>
                <w:rFonts w:ascii="宋体" w:hAnsi="宋体" w:cs="宋体" w:eastAsia="宋体" w:hint="default"/>
                <w:spacing w:val="-46"/>
                <w:sz w:val="18"/>
                <w:szCs w:val="18"/>
              </w:rPr>
              <w:t> </w:t>
            </w: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16</w:t>
            </w:r>
            <w:r>
              <w:rPr>
                <w:rFonts w:ascii="Arial" w:hAnsi="Arial" w:cs="Arial" w:eastAsia="Arial" w:hint="default"/>
                <w:spacing w:val="-7"/>
                <w:sz w:val="18"/>
                <w:szCs w:val="18"/>
              </w:rPr>
              <w:t> </w:t>
            </w:r>
            <w:r>
              <w:rPr>
                <w:rFonts w:ascii="宋体" w:hAnsi="宋体" w:cs="宋体" w:eastAsia="宋体" w:hint="default"/>
                <w:sz w:val="18"/>
                <w:szCs w:val="18"/>
              </w:rPr>
              <w:t>日起分三次解锁，本次限制性股票第一期已解锁完毕。</w:t>
            </w:r>
          </w:p>
        </w:tc>
      </w:tr>
    </w:tbl>
    <w:p>
      <w:pPr>
        <w:spacing w:after="0" w:line="240" w:lineRule="auto"/>
        <w:jc w:val="left"/>
        <w:rPr>
          <w:rFonts w:ascii="宋体" w:hAnsi="宋体" w:cs="宋体" w:eastAsia="宋体" w:hint="default"/>
          <w:sz w:val="18"/>
          <w:szCs w:val="18"/>
        </w:rPr>
        <w:sectPr>
          <w:type w:val="continuous"/>
          <w:pgSz w:w="11910" w:h="16840"/>
          <w:pgMar w:top="1060" w:bottom="1160" w:left="1020" w:right="0"/>
        </w:sectPr>
      </w:pPr>
    </w:p>
    <w:p>
      <w:pPr>
        <w:spacing w:line="240" w:lineRule="auto" w:before="12"/>
        <w:rPr>
          <w:rFonts w:ascii="宋体" w:hAnsi="宋体" w:cs="宋体" w:eastAsia="宋体" w:hint="default"/>
          <w:sz w:val="20"/>
          <w:szCs w:val="20"/>
        </w:rPr>
      </w:pPr>
    </w:p>
    <w:p>
      <w:pPr>
        <w:pStyle w:val="Heading4"/>
        <w:spacing w:line="240" w:lineRule="auto" w:before="34"/>
        <w:ind w:right="996"/>
        <w:jc w:val="left"/>
        <w:rPr>
          <w:b w:val="0"/>
          <w:bCs w:val="0"/>
        </w:rPr>
      </w:pPr>
      <w:bookmarkStart w:name="2、以权益结算的股份支付情况" w:id="321"/>
      <w:bookmarkEnd w:id="321"/>
      <w:r>
        <w:rPr>
          <w:b w:val="0"/>
          <w:bCs w:val="0"/>
        </w:rPr>
      </w:r>
      <w:r>
        <w:rPr>
          <w:rFonts w:ascii="Arial" w:hAnsi="Arial" w:cs="Arial" w:eastAsia="Arial" w:hint="default"/>
        </w:rPr>
        <w:t>2</w:t>
      </w:r>
      <w:r>
        <w:rPr/>
        <w:t>、以权益结算的股份支付情况</w:t>
      </w:r>
      <w:r>
        <w:rPr>
          <w:b w:val="0"/>
          <w:bCs w:val="0"/>
        </w:rPr>
      </w:r>
    </w:p>
    <w:p>
      <w:pPr>
        <w:spacing w:line="240" w:lineRule="auto" w:before="2"/>
        <w:rPr>
          <w:rFonts w:ascii="宋体" w:hAnsi="宋体" w:cs="宋体" w:eastAsia="宋体" w:hint="default"/>
          <w:b/>
          <w:bCs/>
          <w:sz w:val="23"/>
          <w:szCs w:val="23"/>
        </w:rPr>
      </w:pPr>
    </w:p>
    <w:p>
      <w:pPr>
        <w:spacing w:before="44"/>
        <w:ind w:left="112" w:right="996" w:firstLine="0"/>
        <w:jc w:val="left"/>
        <w:rPr>
          <w:rFonts w:ascii="宋体" w:hAnsi="宋体" w:cs="宋体" w:eastAsia="宋体" w:hint="default"/>
          <w:sz w:val="18"/>
          <w:szCs w:val="18"/>
        </w:rPr>
      </w:pPr>
      <w:r>
        <w:rPr>
          <w:rFonts w:ascii="Arial" w:hAnsi="Arial" w:cs="Arial" w:eastAsia="Arial" w:hint="default"/>
          <w:sz w:val="18"/>
          <w:szCs w:val="18"/>
        </w:rPr>
        <w:t>√  </w:t>
      </w:r>
      <w:r>
        <w:rPr>
          <w:rFonts w:ascii="宋体" w:hAnsi="宋体" w:cs="宋体" w:eastAsia="宋体" w:hint="default"/>
          <w:sz w:val="18"/>
          <w:szCs w:val="18"/>
        </w:rPr>
        <w:t>适用 </w:t>
      </w:r>
      <w:r>
        <w:rPr>
          <w:rFonts w:ascii="Arial" w:hAnsi="Arial" w:cs="Arial" w:eastAsia="Arial" w:hint="default"/>
          <w:sz w:val="18"/>
          <w:szCs w:val="18"/>
        </w:rPr>
        <w:t>□</w:t>
      </w:r>
      <w:r>
        <w:rPr>
          <w:rFonts w:ascii="Arial" w:hAnsi="Arial" w:cs="Arial" w:eastAsia="Arial" w:hint="default"/>
          <w:spacing w:val="27"/>
          <w:sz w:val="18"/>
          <w:szCs w:val="18"/>
        </w:rPr>
        <w:t> </w:t>
      </w:r>
      <w:r>
        <w:rPr>
          <w:rFonts w:ascii="宋体" w:hAnsi="宋体" w:cs="宋体" w:eastAsia="宋体" w:hint="default"/>
          <w:sz w:val="18"/>
          <w:szCs w:val="18"/>
        </w:rPr>
        <w:t>不适用</w:t>
      </w:r>
    </w:p>
    <w:p>
      <w:pPr>
        <w:spacing w:before="10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969"/>
        <w:gridCol w:w="5599"/>
      </w:tblGrid>
      <w:tr>
        <w:trPr>
          <w:trHeight w:val="714"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0"/>
              <w:ind w:left="23" w:right="89"/>
              <w:jc w:val="left"/>
              <w:rPr>
                <w:rFonts w:ascii="宋体" w:hAnsi="宋体" w:cs="宋体" w:eastAsia="宋体" w:hint="default"/>
                <w:sz w:val="18"/>
                <w:szCs w:val="18"/>
              </w:rPr>
            </w:pPr>
            <w:r>
              <w:rPr>
                <w:rFonts w:ascii="宋体" w:hAnsi="宋体" w:cs="宋体" w:eastAsia="宋体" w:hint="default"/>
                <w:sz w:val="18"/>
                <w:szCs w:val="18"/>
              </w:rPr>
              <w:t>公司在授权日采用 </w:t>
            </w:r>
            <w:r>
              <w:rPr>
                <w:rFonts w:ascii="Arial" w:hAnsi="Arial" w:cs="Arial" w:eastAsia="Arial" w:hint="default"/>
                <w:sz w:val="18"/>
                <w:szCs w:val="18"/>
              </w:rPr>
              <w:t>Black--Scholes</w:t>
            </w:r>
            <w:r>
              <w:rPr>
                <w:rFonts w:ascii="Arial" w:hAnsi="Arial" w:cs="Arial" w:eastAsia="Arial" w:hint="default"/>
                <w:spacing w:val="-13"/>
                <w:sz w:val="18"/>
                <w:szCs w:val="18"/>
              </w:rPr>
              <w:t> </w:t>
            </w:r>
            <w:r>
              <w:rPr>
                <w:rFonts w:ascii="宋体" w:hAnsi="宋体" w:cs="宋体" w:eastAsia="宋体" w:hint="default"/>
                <w:sz w:val="18"/>
                <w:szCs w:val="18"/>
              </w:rPr>
              <w:t>期权定价模型确定股票期权在授权 日的公允价值。</w:t>
            </w:r>
          </w:p>
        </w:tc>
      </w:tr>
      <w:tr>
        <w:trPr>
          <w:trHeight w:val="1338"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4"/>
              <w:jc w:val="left"/>
              <w:rPr>
                <w:rFonts w:ascii="宋体" w:hAnsi="宋体" w:cs="宋体" w:eastAsia="宋体" w:hint="default"/>
                <w:sz w:val="18"/>
                <w:szCs w:val="18"/>
              </w:rPr>
            </w:pPr>
            <w:r>
              <w:rPr>
                <w:rFonts w:ascii="宋体" w:hAnsi="宋体" w:cs="宋体" w:eastAsia="宋体" w:hint="default"/>
                <w:sz w:val="18"/>
                <w:szCs w:val="18"/>
              </w:rPr>
              <w:t>根据《企业会计准则第</w:t>
            </w:r>
            <w:r>
              <w:rPr>
                <w:rFonts w:ascii="宋体" w:hAnsi="宋体" w:cs="宋体" w:eastAsia="宋体" w:hint="default"/>
                <w:spacing w:val="-45"/>
                <w:sz w:val="18"/>
                <w:szCs w:val="18"/>
              </w:rPr>
              <w:t> </w:t>
            </w:r>
            <w:r>
              <w:rPr>
                <w:rFonts w:ascii="Arial" w:hAnsi="Arial" w:cs="Arial" w:eastAsia="Arial" w:hint="default"/>
                <w:spacing w:val="-6"/>
                <w:sz w:val="18"/>
                <w:szCs w:val="18"/>
              </w:rPr>
              <w:t>11</w:t>
            </w:r>
            <w:r>
              <w:rPr>
                <w:rFonts w:ascii="Arial" w:hAnsi="Arial" w:cs="Arial" w:eastAsia="Arial" w:hint="default"/>
                <w:spacing w:val="37"/>
                <w:sz w:val="18"/>
                <w:szCs w:val="18"/>
              </w:rPr>
              <w:t> </w:t>
            </w:r>
            <w:r>
              <w:rPr>
                <w:rFonts w:ascii="宋体" w:hAnsi="宋体" w:cs="宋体" w:eastAsia="宋体" w:hint="default"/>
                <w:sz w:val="18"/>
                <w:szCs w:val="18"/>
              </w:rPr>
              <w:t>号</w:t>
            </w:r>
            <w:r>
              <w:rPr>
                <w:rFonts w:ascii="Arial" w:hAnsi="Arial" w:cs="Arial" w:eastAsia="Arial" w:hint="default"/>
                <w:sz w:val="18"/>
                <w:szCs w:val="18"/>
              </w:rPr>
              <w:t>-</w:t>
            </w:r>
            <w:r>
              <w:rPr>
                <w:rFonts w:ascii="宋体" w:hAnsi="宋体" w:cs="宋体" w:eastAsia="宋体" w:hint="default"/>
                <w:sz w:val="18"/>
                <w:szCs w:val="18"/>
              </w:rPr>
              <w:t>股份支付》和《企业会计准则第</w:t>
            </w:r>
            <w:r>
              <w:rPr>
                <w:rFonts w:ascii="宋体" w:hAnsi="宋体" w:cs="宋体" w:eastAsia="宋体" w:hint="default"/>
                <w:spacing w:val="-47"/>
                <w:sz w:val="18"/>
                <w:szCs w:val="18"/>
              </w:rPr>
              <w:t> </w:t>
            </w:r>
            <w:r>
              <w:rPr>
                <w:rFonts w:ascii="Arial" w:hAnsi="Arial" w:cs="Arial" w:eastAsia="Arial" w:hint="default"/>
                <w:sz w:val="18"/>
                <w:szCs w:val="18"/>
              </w:rPr>
              <w:t>22</w:t>
            </w:r>
            <w:r>
              <w:rPr>
                <w:rFonts w:ascii="Arial" w:hAnsi="Arial" w:cs="Arial" w:eastAsia="Arial" w:hint="default"/>
                <w:spacing w:val="-4"/>
                <w:sz w:val="18"/>
                <w:szCs w:val="18"/>
              </w:rPr>
              <w:t> </w:t>
            </w:r>
            <w:r>
              <w:rPr>
                <w:rFonts w:ascii="宋体" w:hAnsi="宋体" w:cs="宋体" w:eastAsia="宋体" w:hint="default"/>
                <w:sz w:val="18"/>
                <w:szCs w:val="18"/>
              </w:rPr>
              <w:t>号</w:t>
            </w:r>
            <w:r>
              <w:rPr>
                <w:rFonts w:ascii="Arial" w:hAnsi="Arial" w:cs="Arial" w:eastAsia="Arial" w:hint="default"/>
                <w:sz w:val="18"/>
                <w:szCs w:val="18"/>
              </w:rPr>
              <w:t>- </w:t>
            </w:r>
            <w:r>
              <w:rPr>
                <w:rFonts w:ascii="宋体" w:hAnsi="宋体" w:cs="宋体" w:eastAsia="宋体" w:hint="default"/>
                <w:spacing w:val="-2"/>
                <w:sz w:val="18"/>
                <w:szCs w:val="18"/>
              </w:rPr>
              <w:t>金融工具确认和计量》的有关规定，公司将在等待期的每个资产负债表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日，根据最新取得的可行权人数变动、业绩指标完成情况等后续信息， 修正预计可行权的股票期权数量。</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44,006,744.41</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3,400,654.41</w:t>
            </w:r>
          </w:p>
        </w:tc>
      </w:tr>
    </w:tbl>
    <w:p>
      <w:pPr>
        <w:spacing w:line="240" w:lineRule="auto" w:before="1"/>
        <w:rPr>
          <w:rFonts w:ascii="宋体" w:hAnsi="宋体" w:cs="宋体" w:eastAsia="宋体" w:hint="default"/>
          <w:sz w:val="18"/>
          <w:szCs w:val="18"/>
        </w:rPr>
      </w:pPr>
    </w:p>
    <w:p>
      <w:pPr>
        <w:pStyle w:val="Heading2"/>
        <w:spacing w:line="240" w:lineRule="auto"/>
        <w:ind w:right="996"/>
        <w:jc w:val="left"/>
        <w:rPr>
          <w:b w:val="0"/>
          <w:bCs w:val="0"/>
        </w:rPr>
      </w:pPr>
      <w:bookmarkStart w:name="十三、资产负债表日后事项" w:id="322"/>
      <w:bookmarkEnd w:id="322"/>
      <w:r>
        <w:rPr>
          <w:b w:val="0"/>
          <w:bCs w:val="0"/>
        </w:rPr>
      </w:r>
      <w:r>
        <w:rPr/>
        <w:t>十三、资产负债表日后事项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96"/>
        <w:jc w:val="left"/>
        <w:rPr>
          <w:b w:val="0"/>
          <w:bCs w:val="0"/>
        </w:rPr>
      </w:pPr>
      <w:bookmarkStart w:name="1、利润分配情况" w:id="323"/>
      <w:bookmarkEnd w:id="323"/>
      <w:r>
        <w:rPr>
          <w:b w:val="0"/>
          <w:bCs w:val="0"/>
        </w:rPr>
      </w:r>
      <w:r>
        <w:rPr>
          <w:rFonts w:ascii="Arial" w:hAnsi="Arial" w:cs="Arial" w:eastAsia="Arial" w:hint="default"/>
        </w:rPr>
        <w:t>1</w:t>
      </w:r>
      <w:r>
        <w:rPr/>
        <w:t>、利润分配情况</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49,796,436.36</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49,796,436.36</w:t>
            </w:r>
          </w:p>
        </w:tc>
      </w:tr>
    </w:tbl>
    <w:p>
      <w:pPr>
        <w:spacing w:line="240" w:lineRule="auto" w:before="2"/>
        <w:rPr>
          <w:rFonts w:ascii="宋体" w:hAnsi="宋体" w:cs="宋体" w:eastAsia="宋体" w:hint="default"/>
          <w:sz w:val="19"/>
          <w:szCs w:val="19"/>
        </w:rPr>
      </w:pPr>
    </w:p>
    <w:p>
      <w:pPr>
        <w:pStyle w:val="Heading4"/>
        <w:spacing w:line="240" w:lineRule="auto" w:before="34"/>
        <w:ind w:right="996"/>
        <w:jc w:val="left"/>
        <w:rPr>
          <w:b w:val="0"/>
          <w:bCs w:val="0"/>
        </w:rPr>
      </w:pPr>
      <w:bookmarkStart w:name="2、其他资产负债表日后事项说明" w:id="324"/>
      <w:bookmarkEnd w:id="324"/>
      <w:r>
        <w:rPr>
          <w:b w:val="0"/>
          <w:bCs w:val="0"/>
        </w:rPr>
      </w:r>
      <w:r>
        <w:rPr>
          <w:rFonts w:ascii="Arial" w:hAnsi="Arial" w:cs="Arial" w:eastAsia="Arial" w:hint="default"/>
        </w:rPr>
        <w:t>2</w:t>
      </w:r>
      <w:r>
        <w:rPr/>
        <w:t>、其他资产负债表日后事项说明</w:t>
      </w:r>
      <w:r>
        <w:rPr>
          <w:b w:val="0"/>
          <w:bCs w:val="0"/>
        </w:rPr>
      </w:r>
    </w:p>
    <w:p>
      <w:pPr>
        <w:spacing w:line="240" w:lineRule="auto" w:before="11"/>
        <w:rPr>
          <w:rFonts w:ascii="宋体" w:hAnsi="宋体" w:cs="宋体" w:eastAsia="宋体" w:hint="default"/>
          <w:b/>
          <w:bCs/>
          <w:sz w:val="24"/>
          <w:szCs w:val="24"/>
        </w:rPr>
      </w:pPr>
    </w:p>
    <w:p>
      <w:pPr>
        <w:pStyle w:val="BodyText"/>
        <w:spacing w:line="259" w:lineRule="auto" w:before="0"/>
        <w:ind w:right="1132" w:firstLine="427"/>
        <w:jc w:val="both"/>
      </w:pPr>
      <w:r>
        <w:rPr>
          <w:w w:val="95"/>
        </w:rPr>
        <w:t>根据本公司</w:t>
      </w:r>
      <w:r>
        <w:rPr>
          <w:rFonts w:ascii="Arial" w:hAnsi="Arial" w:cs="Arial" w:eastAsia="Arial" w:hint="default"/>
          <w:w w:val="95"/>
        </w:rPr>
        <w:t>2018</w:t>
      </w:r>
      <w:r>
        <w:rPr>
          <w:w w:val="95"/>
        </w:rPr>
        <w:t>年</w:t>
      </w:r>
      <w:r>
        <w:rPr>
          <w:rFonts w:ascii="Arial" w:hAnsi="Arial" w:cs="Arial" w:eastAsia="Arial" w:hint="default"/>
          <w:w w:val="95"/>
        </w:rPr>
        <w:t>6</w:t>
      </w:r>
      <w:r>
        <w:rPr>
          <w:w w:val="95"/>
        </w:rPr>
        <w:t>月</w:t>
      </w:r>
      <w:r>
        <w:rPr>
          <w:rFonts w:ascii="Arial" w:hAnsi="Arial" w:cs="Arial" w:eastAsia="Arial" w:hint="default"/>
          <w:w w:val="95"/>
        </w:rPr>
        <w:t>11</w:t>
      </w:r>
      <w:r>
        <w:rPr>
          <w:w w:val="95"/>
        </w:rPr>
        <w:t>日召开的第一次临时股东大会决议，并经中国证券监督管理委员会核准，截</w:t>
      </w:r>
      <w:r>
        <w:rPr>
          <w:spacing w:val="-95"/>
          <w:w w:val="95"/>
        </w:rPr>
        <w:t> </w:t>
      </w:r>
      <w:r>
        <w:rPr>
          <w:spacing w:val="-95"/>
          <w:w w:val="95"/>
        </w:rPr>
      </w:r>
      <w:r>
        <w:rPr>
          <w:spacing w:val="-3"/>
          <w:w w:val="95"/>
        </w:rPr>
        <w:t>至</w:t>
      </w:r>
      <w:r>
        <w:rPr>
          <w:rFonts w:ascii="Arial" w:hAnsi="Arial" w:cs="Arial" w:eastAsia="Arial" w:hint="default"/>
          <w:spacing w:val="-3"/>
          <w:w w:val="95"/>
        </w:rPr>
        <w:t>2019</w:t>
      </w:r>
      <w:r>
        <w:rPr>
          <w:spacing w:val="-3"/>
          <w:w w:val="95"/>
        </w:rPr>
        <w:t>年</w:t>
      </w:r>
      <w:r>
        <w:rPr>
          <w:rFonts w:ascii="Arial" w:hAnsi="Arial" w:cs="Arial" w:eastAsia="Arial" w:hint="default"/>
          <w:spacing w:val="-3"/>
          <w:w w:val="95"/>
        </w:rPr>
        <w:t>4</w:t>
      </w:r>
      <w:r>
        <w:rPr>
          <w:spacing w:val="-3"/>
          <w:w w:val="95"/>
        </w:rPr>
        <w:t>月</w:t>
      </w:r>
      <w:r>
        <w:rPr>
          <w:rFonts w:ascii="Arial" w:hAnsi="Arial" w:cs="Arial" w:eastAsia="Arial" w:hint="default"/>
          <w:spacing w:val="-3"/>
          <w:w w:val="95"/>
        </w:rPr>
        <w:t>9</w:t>
      </w:r>
      <w:r>
        <w:rPr>
          <w:spacing w:val="-3"/>
          <w:w w:val="95"/>
        </w:rPr>
        <w:t>日止，本公司非公开发行股票</w:t>
      </w:r>
      <w:r>
        <w:rPr>
          <w:rFonts w:ascii="Arial" w:hAnsi="Arial" w:cs="Arial" w:eastAsia="Arial" w:hint="default"/>
          <w:spacing w:val="-3"/>
          <w:w w:val="95"/>
        </w:rPr>
        <w:t>55,938,493</w:t>
      </w:r>
      <w:r>
        <w:rPr>
          <w:spacing w:val="-3"/>
          <w:w w:val="95"/>
        </w:rPr>
        <w:t>股，每股面值人民币</w:t>
      </w:r>
      <w:r>
        <w:rPr>
          <w:rFonts w:ascii="Arial" w:hAnsi="Arial" w:cs="Arial" w:eastAsia="Arial" w:hint="default"/>
          <w:spacing w:val="-3"/>
          <w:w w:val="95"/>
        </w:rPr>
        <w:t>1.00</w:t>
      </w:r>
      <w:r>
        <w:rPr>
          <w:spacing w:val="-3"/>
          <w:w w:val="95"/>
        </w:rPr>
        <w:t>元，每股发行价格为</w:t>
      </w:r>
      <w:r>
        <w:rPr>
          <w:rFonts w:ascii="Arial" w:hAnsi="Arial" w:cs="Arial" w:eastAsia="Arial" w:hint="default"/>
          <w:spacing w:val="-3"/>
          <w:w w:val="95"/>
        </w:rPr>
        <w:t>18.86</w:t>
      </w:r>
      <w:r>
        <w:rPr>
          <w:rFonts w:ascii="Arial" w:hAnsi="Arial" w:cs="Arial" w:eastAsia="Arial" w:hint="default"/>
          <w:spacing w:val="30"/>
          <w:w w:val="95"/>
        </w:rPr>
        <w:t> </w:t>
      </w:r>
      <w:r>
        <w:rPr>
          <w:rFonts w:ascii="Arial" w:hAnsi="Arial" w:cs="Arial" w:eastAsia="Arial" w:hint="default"/>
          <w:spacing w:val="30"/>
          <w:w w:val="95"/>
        </w:rPr>
      </w:r>
      <w:r>
        <w:rPr/>
        <w:t>元，共计募集资金人民币</w:t>
      </w:r>
      <w:r>
        <w:rPr>
          <w:rFonts w:ascii="Arial" w:hAnsi="Arial" w:cs="Arial" w:eastAsia="Arial" w:hint="default"/>
        </w:rPr>
        <w:t>1,054,999,977.98</w:t>
      </w:r>
      <w:r>
        <w:rPr/>
        <w:t>元；扣除与发行有关的承销费及保荐费、律师费及验资费等费</w:t>
      </w:r>
      <w:r>
        <w:rPr>
          <w:w w:val="99"/>
        </w:rPr>
        <w:t> </w:t>
      </w:r>
      <w:r>
        <w:rPr>
          <w:rFonts w:ascii="Arial" w:hAnsi="Arial" w:cs="Arial" w:eastAsia="Arial" w:hint="default"/>
        </w:rPr>
        <w:t>12,303,443.75</w:t>
      </w:r>
      <w:r>
        <w:rPr/>
        <w:t>元（不含税）后，实际募集资金净额为</w:t>
      </w:r>
      <w:r>
        <w:rPr>
          <w:rFonts w:ascii="Arial" w:hAnsi="Arial" w:cs="Arial" w:eastAsia="Arial" w:hint="default"/>
        </w:rPr>
        <w:t>1,042,696,534.23</w:t>
      </w:r>
      <w:r>
        <w:rPr>
          <w:rFonts w:ascii="Arial" w:hAnsi="Arial" w:cs="Arial" w:eastAsia="Arial" w:hint="default"/>
          <w:spacing w:val="25"/>
        </w:rPr>
        <w:t> </w:t>
      </w:r>
      <w:r>
        <w:rPr/>
        <w:t>元。</w:t>
      </w:r>
    </w:p>
    <w:p>
      <w:pPr>
        <w:spacing w:line="240" w:lineRule="auto" w:before="6"/>
        <w:rPr>
          <w:rFonts w:ascii="宋体" w:hAnsi="宋体" w:cs="宋体" w:eastAsia="宋体" w:hint="default"/>
          <w:sz w:val="21"/>
          <w:szCs w:val="21"/>
        </w:rPr>
      </w:pPr>
    </w:p>
    <w:p>
      <w:pPr>
        <w:pStyle w:val="Heading2"/>
        <w:spacing w:line="240" w:lineRule="auto" w:before="0"/>
        <w:ind w:right="996"/>
        <w:jc w:val="left"/>
        <w:rPr>
          <w:b w:val="0"/>
          <w:bCs w:val="0"/>
        </w:rPr>
      </w:pPr>
      <w:bookmarkStart w:name="十四、其他重要事项" w:id="325"/>
      <w:bookmarkEnd w:id="325"/>
      <w:r>
        <w:rPr>
          <w:b w:val="0"/>
          <w:bCs w:val="0"/>
        </w:rPr>
      </w:r>
      <w:r>
        <w:rPr/>
        <w:t>十四、其他重要事项</w:t>
      </w:r>
      <w:r>
        <w:rPr>
          <w:b w:val="0"/>
          <w:bCs w:val="0"/>
        </w:rPr>
      </w:r>
    </w:p>
    <w:p>
      <w:pPr>
        <w:pStyle w:val="BodyText"/>
        <w:spacing w:line="440" w:lineRule="atLeast" w:before="155"/>
        <w:ind w:left="540" w:right="996" w:hanging="428"/>
        <w:jc w:val="left"/>
      </w:pPr>
      <w:r>
        <w:rPr/>
        <w:t>联奕科技原股东对本公司业绩承诺：</w:t>
      </w:r>
      <w:r>
        <w:rPr>
          <w:w w:val="99"/>
        </w:rPr>
        <w:t> </w:t>
      </w:r>
      <w:r>
        <w:rPr>
          <w:w w:val="95"/>
        </w:rPr>
        <w:t>根据华宇软件与联奕科技于</w:t>
      </w:r>
      <w:r>
        <w:rPr>
          <w:rFonts w:ascii="Arial" w:hAnsi="Arial" w:cs="Arial" w:eastAsia="Arial" w:hint="default"/>
          <w:w w:val="95"/>
        </w:rPr>
        <w:t>2017</w:t>
      </w:r>
      <w:r>
        <w:rPr>
          <w:w w:val="95"/>
        </w:rPr>
        <w:t>年</w:t>
      </w:r>
      <w:r>
        <w:rPr>
          <w:rFonts w:ascii="Arial" w:hAnsi="Arial" w:cs="Arial" w:eastAsia="Arial" w:hint="default"/>
          <w:w w:val="95"/>
        </w:rPr>
        <w:t>3</w:t>
      </w:r>
      <w:r>
        <w:rPr>
          <w:w w:val="95"/>
        </w:rPr>
        <w:t>月</w:t>
      </w:r>
      <w:r>
        <w:rPr>
          <w:rFonts w:ascii="Arial" w:hAnsi="Arial" w:cs="Arial" w:eastAsia="Arial" w:hint="default"/>
          <w:w w:val="95"/>
        </w:rPr>
        <w:t>13</w:t>
      </w:r>
      <w:r>
        <w:rPr>
          <w:w w:val="95"/>
        </w:rPr>
        <w:t>日签署的股权转让协议，联奕科技原股东承诺并保证标的公</w:t>
      </w:r>
      <w:r>
        <w:rPr/>
      </w:r>
    </w:p>
    <w:p>
      <w:pPr>
        <w:pStyle w:val="BodyText"/>
        <w:spacing w:line="240" w:lineRule="auto" w:before="22"/>
        <w:ind w:right="996"/>
        <w:jc w:val="left"/>
      </w:pPr>
      <w:r>
        <w:rPr/>
        <w:t>司</w:t>
      </w:r>
      <w:r>
        <w:rPr>
          <w:rFonts w:ascii="Arial" w:hAnsi="Arial" w:cs="Arial" w:eastAsia="Arial" w:hint="default"/>
        </w:rPr>
        <w:t>2019</w:t>
      </w:r>
      <w:r>
        <w:rPr/>
        <w:t>年归属于母公司股东的净利润（以扣除非经常性损益前后孰低者为准）不低于</w:t>
      </w:r>
      <w:r>
        <w:rPr>
          <w:rFonts w:ascii="Arial" w:hAnsi="Arial" w:cs="Arial" w:eastAsia="Arial" w:hint="default"/>
        </w:rPr>
        <w:t>14,400</w:t>
      </w:r>
      <w:r>
        <w:rPr/>
        <w:t>万元。</w:t>
      </w:r>
    </w:p>
    <w:p>
      <w:pPr>
        <w:spacing w:line="240" w:lineRule="auto" w:before="11"/>
        <w:rPr>
          <w:rFonts w:ascii="宋体" w:hAnsi="宋体" w:cs="宋体" w:eastAsia="宋体" w:hint="default"/>
          <w:sz w:val="22"/>
          <w:szCs w:val="22"/>
        </w:rPr>
      </w:pPr>
    </w:p>
    <w:p>
      <w:pPr>
        <w:pStyle w:val="Heading2"/>
        <w:spacing w:line="240" w:lineRule="auto" w:before="0"/>
        <w:ind w:right="996"/>
        <w:jc w:val="left"/>
        <w:rPr>
          <w:b w:val="0"/>
          <w:bCs w:val="0"/>
        </w:rPr>
      </w:pPr>
      <w:bookmarkStart w:name="十五、母公司财务报表主要项目注释" w:id="326"/>
      <w:bookmarkEnd w:id="326"/>
      <w:r>
        <w:rPr>
          <w:b w:val="0"/>
          <w:bCs w:val="0"/>
        </w:rPr>
      </w:r>
      <w:r>
        <w:rPr/>
        <w:t>十五、母公司财务报表主要项目注释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96"/>
        <w:jc w:val="left"/>
        <w:rPr>
          <w:b w:val="0"/>
          <w:bCs w:val="0"/>
        </w:rPr>
      </w:pPr>
      <w:bookmarkStart w:name="1、应收票据及应收账款" w:id="327"/>
      <w:bookmarkEnd w:id="327"/>
      <w:r>
        <w:rPr>
          <w:b w:val="0"/>
          <w:bCs w:val="0"/>
        </w:rPr>
      </w:r>
      <w:r>
        <w:rPr>
          <w:rFonts w:ascii="Arial" w:hAnsi="Arial" w:cs="Arial" w:eastAsia="Arial" w:hint="default"/>
        </w:rPr>
        <w:t>1</w:t>
      </w:r>
      <w:r>
        <w:rPr/>
        <w:t>、应收票据及应收账款</w:t>
      </w:r>
      <w:r>
        <w:rPr>
          <w:b w:val="0"/>
          <w:bCs w:val="0"/>
        </w:rPr>
      </w:r>
    </w:p>
    <w:p>
      <w:pPr>
        <w:spacing w:line="240" w:lineRule="auto" w:before="7"/>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0"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8" w:footer="978" w:top="110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22,091,627.46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34,278,481.67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22,091,627.46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34,278,481.67</w:t>
            </w:r>
          </w:p>
        </w:tc>
      </w:tr>
    </w:tbl>
    <w:p>
      <w:pPr>
        <w:spacing w:line="240" w:lineRule="auto" w:before="3"/>
        <w:rPr>
          <w:rFonts w:ascii="宋体" w:hAnsi="宋体" w:cs="宋体" w:eastAsia="宋体" w:hint="default"/>
          <w:sz w:val="19"/>
          <w:szCs w:val="19"/>
        </w:rPr>
      </w:pPr>
    </w:p>
    <w:p>
      <w:pPr>
        <w:pStyle w:val="Heading4"/>
        <w:spacing w:line="240" w:lineRule="auto" w:before="34"/>
        <w:ind w:right="996"/>
        <w:jc w:val="left"/>
        <w:rPr>
          <w:b w:val="0"/>
          <w:bCs w:val="0"/>
        </w:rPr>
      </w:pPr>
      <w:bookmarkStart w:name="（1）应收账款" w:id="328"/>
      <w:bookmarkEnd w:id="328"/>
      <w:r>
        <w:rPr>
          <w:b w:val="0"/>
          <w:bCs w:val="0"/>
        </w:rPr>
      </w:r>
      <w:r>
        <w:rPr/>
        <w:t>（</w:t>
      </w:r>
      <w:r>
        <w:rPr>
          <w:rFonts w:ascii="Arial" w:hAnsi="Arial" w:cs="Arial" w:eastAsia="Arial" w:hint="default"/>
        </w:rPr>
        <w:t>1</w:t>
      </w:r>
      <w:r>
        <w:rPr/>
        <w:t>）应收账款</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8" w:footer="978" w:top="1100" w:bottom="1160" w:left="1020" w:right="0"/>
        </w:sectPr>
      </w:pPr>
    </w:p>
    <w:p>
      <w:pPr>
        <w:pStyle w:val="Heading4"/>
        <w:spacing w:line="240" w:lineRule="auto" w:before="34"/>
        <w:ind w:right="-17"/>
        <w:jc w:val="left"/>
        <w:rPr>
          <w:b w:val="0"/>
          <w:bCs w:val="0"/>
        </w:rPr>
      </w:pPr>
      <w:r>
        <w:rPr>
          <w:rFonts w:ascii="Arial" w:hAnsi="Arial" w:cs="Arial" w:eastAsia="Arial" w:hint="default"/>
        </w:rPr>
        <w:t>1)</w:t>
      </w:r>
      <w:r>
        <w:rPr>
          <w:rFonts w:ascii="Arial" w:hAnsi="Arial" w:cs="Arial" w:eastAsia="Arial" w:hint="default"/>
          <w:spacing w:val="43"/>
        </w:rPr>
        <w:t> </w:t>
      </w:r>
      <w:r>
        <w:rPr/>
        <w:t>应收账款分类披露</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7"/>
        <w:rPr>
          <w:rFonts w:ascii="宋体" w:hAnsi="宋体" w:cs="宋体" w:eastAsia="宋体" w:hint="default"/>
          <w:b/>
          <w:bCs/>
          <w:sz w:val="13"/>
          <w:szCs w:val="13"/>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0"/>
          <w:cols w:num="2" w:equalWidth="0">
            <w:col w:w="2091" w:space="6739"/>
            <w:col w:w="2060"/>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0" w:right="0"/>
              <w:jc w:val="left"/>
              <w:rPr>
                <w:rFonts w:ascii="Arial" w:hAnsi="Arial" w:cs="Arial" w:eastAsia="Arial" w:hint="default"/>
                <w:sz w:val="18"/>
                <w:szCs w:val="18"/>
              </w:rPr>
            </w:pPr>
            <w:r>
              <w:rPr>
                <w:rFonts w:ascii="Arial"/>
                <w:sz w:val="18"/>
              </w:rPr>
              <w:t>21,002,8</w:t>
            </w:r>
          </w:p>
          <w:p>
            <w:pPr>
              <w:pStyle w:val="TableParagraph"/>
              <w:spacing w:line="240" w:lineRule="auto" w:before="105"/>
              <w:ind w:left="279" w:right="0"/>
              <w:jc w:val="left"/>
              <w:rPr>
                <w:rFonts w:ascii="Arial" w:hAnsi="Arial" w:cs="Arial" w:eastAsia="Arial" w:hint="default"/>
                <w:sz w:val="18"/>
                <w:szCs w:val="18"/>
              </w:rPr>
            </w:pPr>
            <w:r>
              <w:rPr>
                <w:rFonts w:ascii="Arial"/>
                <w:sz w:val="18"/>
              </w:rPr>
              <w:t>48.68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42.10%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1"/>
                <w:sz w:val="18"/>
              </w:rPr>
              <w:t>525,071.</w:t>
            </w:r>
          </w:p>
          <w:p>
            <w:pPr>
              <w:pStyle w:val="TableParagraph"/>
              <w:spacing w:line="240" w:lineRule="auto" w:before="105"/>
              <w:ind w:right="20"/>
              <w:jc w:val="right"/>
              <w:rPr>
                <w:rFonts w:ascii="Arial" w:hAnsi="Arial" w:cs="Arial" w:eastAsia="Arial" w:hint="default"/>
                <w:sz w:val="18"/>
                <w:szCs w:val="18"/>
              </w:rPr>
            </w:pPr>
            <w:r>
              <w:rPr>
                <w:rFonts w:ascii="Arial"/>
                <w:w w:val="95"/>
                <w:sz w:val="18"/>
              </w:rPr>
              <w:t>22</w:t>
            </w:r>
            <w:r>
              <w:rPr>
                <w:rFonts w:ascii="Arial"/>
                <w:sz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sz w:val="18"/>
              </w:rPr>
              <w:t>2.50%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7" w:right="0"/>
              <w:jc w:val="left"/>
              <w:rPr>
                <w:rFonts w:ascii="Arial" w:hAnsi="Arial" w:cs="Arial" w:eastAsia="Arial" w:hint="default"/>
                <w:sz w:val="18"/>
                <w:szCs w:val="18"/>
              </w:rPr>
            </w:pPr>
            <w:r>
              <w:rPr>
                <w:rFonts w:ascii="Arial"/>
                <w:sz w:val="18"/>
              </w:rPr>
              <w:t>20,477,7</w:t>
            </w:r>
          </w:p>
          <w:p>
            <w:pPr>
              <w:pStyle w:val="TableParagraph"/>
              <w:spacing w:line="240" w:lineRule="auto" w:before="105"/>
              <w:ind w:left="306" w:right="0"/>
              <w:jc w:val="left"/>
              <w:rPr>
                <w:rFonts w:ascii="Arial" w:hAnsi="Arial" w:cs="Arial" w:eastAsia="Arial" w:hint="default"/>
                <w:sz w:val="18"/>
                <w:szCs w:val="18"/>
              </w:rPr>
            </w:pPr>
            <w:r>
              <w:rPr>
                <w:rFonts w:ascii="Arial"/>
                <w:sz w:val="18"/>
              </w:rPr>
              <w:t>77.46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32,761</w:t>
            </w:r>
          </w:p>
          <w:p>
            <w:pPr>
              <w:pStyle w:val="TableParagraph"/>
              <w:spacing w:line="240" w:lineRule="auto" w:before="105"/>
              <w:ind w:right="21"/>
              <w:jc w:val="right"/>
              <w:rPr>
                <w:rFonts w:ascii="Arial" w:hAnsi="Arial" w:cs="Arial" w:eastAsia="Arial" w:hint="default"/>
                <w:sz w:val="18"/>
                <w:szCs w:val="18"/>
              </w:rPr>
            </w:pPr>
            <w:r>
              <w:rPr>
                <w:rFonts w:ascii="Arial"/>
                <w:spacing w:val="-1"/>
                <w:sz w:val="18"/>
              </w:rPr>
              <w:t>,103.7</w:t>
            </w:r>
          </w:p>
          <w:p>
            <w:pPr>
              <w:pStyle w:val="TableParagraph"/>
              <w:spacing w:line="240" w:lineRule="auto" w:before="105"/>
              <w:ind w:right="21"/>
              <w:jc w:val="right"/>
              <w:rPr>
                <w:rFonts w:ascii="Arial" w:hAnsi="Arial" w:cs="Arial" w:eastAsia="Arial" w:hint="default"/>
                <w:sz w:val="18"/>
                <w:szCs w:val="18"/>
              </w:rPr>
            </w:pPr>
            <w:r>
              <w:rPr>
                <w:rFonts w:ascii="Arial"/>
                <w:w w:val="99"/>
                <w:sz w:val="18"/>
              </w:rPr>
              <w:t>7</w:t>
            </w:r>
            <w:r>
              <w:rPr>
                <w:rFonts w:ascii="Arial"/>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6" w:right="0"/>
              <w:jc w:val="center"/>
              <w:rPr>
                <w:rFonts w:ascii="Arial" w:hAnsi="Arial" w:cs="Arial" w:eastAsia="Arial" w:hint="default"/>
                <w:sz w:val="18"/>
                <w:szCs w:val="18"/>
              </w:rPr>
            </w:pPr>
            <w:r>
              <w:rPr>
                <w:rFonts w:ascii="Arial"/>
                <w:sz w:val="18"/>
              </w:rPr>
              <w:t>51.04%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819,027.</w:t>
            </w:r>
          </w:p>
          <w:p>
            <w:pPr>
              <w:pStyle w:val="TableParagraph"/>
              <w:spacing w:line="240" w:lineRule="auto" w:before="105"/>
              <w:ind w:right="19"/>
              <w:jc w:val="right"/>
              <w:rPr>
                <w:rFonts w:ascii="Arial" w:hAnsi="Arial" w:cs="Arial" w:eastAsia="Arial" w:hint="default"/>
                <w:sz w:val="18"/>
                <w:szCs w:val="18"/>
              </w:rPr>
            </w:pPr>
            <w:r>
              <w:rPr>
                <w:rFonts w:ascii="Arial"/>
                <w:w w:val="95"/>
                <w:sz w:val="18"/>
              </w:rPr>
              <w:t>60</w:t>
            </w:r>
            <w:r>
              <w:rPr>
                <w:rFonts w:ascii="Arial"/>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sz w:val="18"/>
              </w:rPr>
              <w:t>2.50%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8" w:right="0"/>
              <w:jc w:val="left"/>
              <w:rPr>
                <w:rFonts w:ascii="Arial" w:hAnsi="Arial" w:cs="Arial" w:eastAsia="Arial" w:hint="default"/>
                <w:sz w:val="18"/>
                <w:szCs w:val="18"/>
              </w:rPr>
            </w:pPr>
            <w:r>
              <w:rPr>
                <w:rFonts w:ascii="Arial"/>
                <w:sz w:val="18"/>
              </w:rPr>
              <w:t>31,942,07</w:t>
            </w:r>
          </w:p>
          <w:p>
            <w:pPr>
              <w:pStyle w:val="TableParagraph"/>
              <w:spacing w:line="240" w:lineRule="auto" w:before="105"/>
              <w:ind w:left="549" w:right="0"/>
              <w:jc w:val="left"/>
              <w:rPr>
                <w:rFonts w:ascii="Arial" w:hAnsi="Arial" w:cs="Arial" w:eastAsia="Arial" w:hint="default"/>
                <w:sz w:val="18"/>
                <w:szCs w:val="18"/>
              </w:rPr>
            </w:pPr>
            <w:r>
              <w:rPr>
                <w:rFonts w:ascii="Arial"/>
                <w:sz w:val="18"/>
              </w:rPr>
              <w:t>6.17</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 w:right="0"/>
              <w:jc w:val="left"/>
              <w:rPr>
                <w:rFonts w:ascii="Arial" w:hAnsi="Arial" w:cs="Arial" w:eastAsia="Arial" w:hint="default"/>
                <w:sz w:val="18"/>
                <w:szCs w:val="18"/>
              </w:rPr>
            </w:pPr>
            <w:r>
              <w:rPr>
                <w:rFonts w:ascii="Arial"/>
                <w:sz w:val="18"/>
              </w:rPr>
              <w:t>28,886,1</w:t>
            </w:r>
          </w:p>
          <w:p>
            <w:pPr>
              <w:pStyle w:val="TableParagraph"/>
              <w:spacing w:line="240" w:lineRule="auto" w:before="105"/>
              <w:ind w:left="279" w:right="0"/>
              <w:jc w:val="left"/>
              <w:rPr>
                <w:rFonts w:ascii="Arial" w:hAnsi="Arial" w:cs="Arial" w:eastAsia="Arial" w:hint="default"/>
                <w:sz w:val="18"/>
                <w:szCs w:val="18"/>
              </w:rPr>
            </w:pPr>
            <w:r>
              <w:rPr>
                <w:rFonts w:ascii="Arial"/>
                <w:sz w:val="18"/>
              </w:rPr>
              <w:t>08.35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Arial" w:hAnsi="Arial" w:cs="Arial" w:eastAsia="Arial" w:hint="default"/>
                <w:sz w:val="18"/>
                <w:szCs w:val="18"/>
              </w:rPr>
            </w:pPr>
            <w:r>
              <w:rPr>
                <w:rFonts w:ascii="Arial"/>
                <w:spacing w:val="-1"/>
                <w:sz w:val="18"/>
              </w:rPr>
              <w:t>57.90%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 w:right="0"/>
              <w:jc w:val="left"/>
              <w:rPr>
                <w:rFonts w:ascii="Arial" w:hAnsi="Arial" w:cs="Arial" w:eastAsia="Arial" w:hint="default"/>
                <w:sz w:val="18"/>
                <w:szCs w:val="18"/>
              </w:rPr>
            </w:pPr>
            <w:r>
              <w:rPr>
                <w:rFonts w:ascii="Arial"/>
                <w:sz w:val="18"/>
              </w:rPr>
              <w:t>27,272,2</w:t>
            </w:r>
          </w:p>
          <w:p>
            <w:pPr>
              <w:pStyle w:val="TableParagraph"/>
              <w:spacing w:line="240" w:lineRule="auto" w:before="105"/>
              <w:ind w:left="278" w:right="0"/>
              <w:jc w:val="left"/>
              <w:rPr>
                <w:rFonts w:ascii="Arial" w:hAnsi="Arial" w:cs="Arial" w:eastAsia="Arial" w:hint="default"/>
                <w:sz w:val="18"/>
                <w:szCs w:val="18"/>
              </w:rPr>
            </w:pPr>
            <w:r>
              <w:rPr>
                <w:rFonts w:ascii="Arial"/>
                <w:sz w:val="18"/>
              </w:rPr>
              <w:t>58.35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sz w:val="18"/>
              </w:rPr>
              <w:t>94.41%</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 w:right="0"/>
              <w:jc w:val="left"/>
              <w:rPr>
                <w:rFonts w:ascii="Arial" w:hAnsi="Arial" w:cs="Arial" w:eastAsia="Arial" w:hint="default"/>
                <w:sz w:val="18"/>
                <w:szCs w:val="18"/>
              </w:rPr>
            </w:pPr>
            <w:r>
              <w:rPr>
                <w:rFonts w:ascii="Arial"/>
                <w:sz w:val="18"/>
              </w:rPr>
              <w:t>1,613,85</w:t>
            </w:r>
          </w:p>
          <w:p>
            <w:pPr>
              <w:pStyle w:val="TableParagraph"/>
              <w:spacing w:line="240" w:lineRule="auto" w:before="105"/>
              <w:ind w:left="405" w:right="0"/>
              <w:jc w:val="left"/>
              <w:rPr>
                <w:rFonts w:ascii="Arial" w:hAnsi="Arial" w:cs="Arial" w:eastAsia="Arial" w:hint="default"/>
                <w:sz w:val="18"/>
                <w:szCs w:val="18"/>
              </w:rPr>
            </w:pPr>
            <w:r>
              <w:rPr>
                <w:rFonts w:ascii="Arial"/>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31,425</w:t>
            </w:r>
          </w:p>
          <w:p>
            <w:pPr>
              <w:pStyle w:val="TableParagraph"/>
              <w:spacing w:line="240" w:lineRule="auto" w:before="105"/>
              <w:ind w:right="21"/>
              <w:jc w:val="right"/>
              <w:rPr>
                <w:rFonts w:ascii="Arial" w:hAnsi="Arial" w:cs="Arial" w:eastAsia="Arial" w:hint="default"/>
                <w:sz w:val="18"/>
                <w:szCs w:val="18"/>
              </w:rPr>
            </w:pPr>
            <w:r>
              <w:rPr>
                <w:rFonts w:ascii="Arial"/>
                <w:spacing w:val="-1"/>
                <w:sz w:val="18"/>
              </w:rPr>
              <w:t>,064.1</w:t>
            </w:r>
          </w:p>
          <w:p>
            <w:pPr>
              <w:pStyle w:val="TableParagraph"/>
              <w:spacing w:line="240" w:lineRule="auto" w:before="105"/>
              <w:ind w:right="21"/>
              <w:jc w:val="right"/>
              <w:rPr>
                <w:rFonts w:ascii="Arial" w:hAnsi="Arial" w:cs="Arial" w:eastAsia="Arial" w:hint="default"/>
                <w:sz w:val="18"/>
                <w:szCs w:val="18"/>
              </w:rPr>
            </w:pPr>
            <w:r>
              <w:rPr>
                <w:rFonts w:ascii="Arial"/>
                <w:w w:val="99"/>
                <w:sz w:val="18"/>
              </w:rPr>
              <w:t>4</w:t>
            </w:r>
            <w:r>
              <w:rPr>
                <w:rFonts w:ascii="Arial"/>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96" w:right="0"/>
              <w:jc w:val="center"/>
              <w:rPr>
                <w:rFonts w:ascii="Arial" w:hAnsi="Arial" w:cs="Arial" w:eastAsia="Arial" w:hint="default"/>
                <w:sz w:val="18"/>
                <w:szCs w:val="18"/>
              </w:rPr>
            </w:pPr>
            <w:r>
              <w:rPr>
                <w:rFonts w:ascii="Arial"/>
                <w:sz w:val="18"/>
              </w:rPr>
              <w:t>48.96%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left"/>
              <w:rPr>
                <w:rFonts w:ascii="Arial" w:hAnsi="Arial" w:cs="Arial" w:eastAsia="Arial" w:hint="default"/>
                <w:sz w:val="18"/>
                <w:szCs w:val="18"/>
              </w:rPr>
            </w:pPr>
            <w:r>
              <w:rPr>
                <w:rFonts w:ascii="Arial"/>
                <w:sz w:val="18"/>
              </w:rPr>
              <w:t>29,088,6</w:t>
            </w:r>
          </w:p>
          <w:p>
            <w:pPr>
              <w:pStyle w:val="TableParagraph"/>
              <w:spacing w:line="240" w:lineRule="auto" w:before="105"/>
              <w:ind w:left="328" w:right="0"/>
              <w:jc w:val="left"/>
              <w:rPr>
                <w:rFonts w:ascii="Arial" w:hAnsi="Arial" w:cs="Arial" w:eastAsia="Arial" w:hint="default"/>
                <w:sz w:val="18"/>
                <w:szCs w:val="18"/>
              </w:rPr>
            </w:pPr>
            <w:r>
              <w:rPr>
                <w:rFonts w:ascii="Arial"/>
                <w:sz w:val="18"/>
              </w:rPr>
              <w:t>58.64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sz w:val="18"/>
              </w:rPr>
              <w:t>92.57%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18"/>
                <w:szCs w:val="18"/>
              </w:rPr>
            </w:pPr>
            <w:r>
              <w:rPr>
                <w:rFonts w:ascii="Arial"/>
                <w:spacing w:val="-1"/>
                <w:sz w:val="18"/>
              </w:rPr>
              <w:t>2,336,405.</w:t>
            </w:r>
          </w:p>
          <w:p>
            <w:pPr>
              <w:pStyle w:val="TableParagraph"/>
              <w:spacing w:line="240" w:lineRule="auto" w:before="105"/>
              <w:ind w:right="21"/>
              <w:jc w:val="right"/>
              <w:rPr>
                <w:rFonts w:ascii="Arial" w:hAnsi="Arial" w:cs="Arial" w:eastAsia="Arial" w:hint="default"/>
                <w:sz w:val="18"/>
                <w:szCs w:val="18"/>
              </w:rPr>
            </w:pPr>
            <w:r>
              <w:rPr>
                <w:rFonts w:ascii="Arial"/>
                <w:w w:val="95"/>
                <w:sz w:val="18"/>
              </w:rPr>
              <w:t>50</w:t>
            </w:r>
            <w:r>
              <w:rPr>
                <w:rFonts w:ascii="Arial"/>
                <w:sz w:val="18"/>
              </w:rPr>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0" w:right="0"/>
              <w:jc w:val="left"/>
              <w:rPr>
                <w:rFonts w:ascii="Arial" w:hAnsi="Arial" w:cs="Arial" w:eastAsia="Arial" w:hint="default"/>
                <w:sz w:val="18"/>
                <w:szCs w:val="18"/>
              </w:rPr>
            </w:pPr>
            <w:r>
              <w:rPr>
                <w:rFonts w:ascii="Arial"/>
                <w:sz w:val="18"/>
              </w:rPr>
              <w:t>49,888,9</w:t>
            </w:r>
          </w:p>
          <w:p>
            <w:pPr>
              <w:pStyle w:val="TableParagraph"/>
              <w:spacing w:line="240" w:lineRule="auto" w:before="105"/>
              <w:ind w:left="279" w:right="0"/>
              <w:jc w:val="left"/>
              <w:rPr>
                <w:rFonts w:ascii="Arial" w:hAnsi="Arial" w:cs="Arial" w:eastAsia="Arial" w:hint="default"/>
                <w:sz w:val="18"/>
                <w:szCs w:val="18"/>
              </w:rPr>
            </w:pPr>
            <w:r>
              <w:rPr>
                <w:rFonts w:ascii="Arial"/>
                <w:sz w:val="18"/>
              </w:rPr>
              <w:t>57.03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100.00</w:t>
            </w:r>
          </w:p>
          <w:p>
            <w:pPr>
              <w:pStyle w:val="TableParagraph"/>
              <w:spacing w:line="240" w:lineRule="auto" w:before="105"/>
              <w:ind w:right="22"/>
              <w:jc w:val="right"/>
              <w:rPr>
                <w:rFonts w:ascii="Arial" w:hAnsi="Arial" w:cs="Arial" w:eastAsia="Arial" w:hint="default"/>
                <w:sz w:val="18"/>
                <w:szCs w:val="18"/>
              </w:rPr>
            </w:pPr>
            <w:r>
              <w:rPr>
                <w:rFonts w:ascii="Arial"/>
                <w:w w:val="99"/>
                <w:sz w:val="18"/>
              </w:rPr>
              <w:t>%</w:t>
            </w:r>
            <w:r>
              <w:rPr>
                <w:rFonts w:ascii="Arial"/>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9" w:right="0"/>
              <w:jc w:val="left"/>
              <w:rPr>
                <w:rFonts w:ascii="Arial" w:hAnsi="Arial" w:cs="Arial" w:eastAsia="Arial" w:hint="default"/>
                <w:sz w:val="18"/>
                <w:szCs w:val="18"/>
              </w:rPr>
            </w:pPr>
            <w:r>
              <w:rPr>
                <w:rFonts w:ascii="Arial"/>
                <w:sz w:val="18"/>
              </w:rPr>
              <w:t>27,797,3</w:t>
            </w:r>
          </w:p>
          <w:p>
            <w:pPr>
              <w:pStyle w:val="TableParagraph"/>
              <w:spacing w:line="240" w:lineRule="auto" w:before="105"/>
              <w:ind w:left="278" w:right="0"/>
              <w:jc w:val="left"/>
              <w:rPr>
                <w:rFonts w:ascii="Arial" w:hAnsi="Arial" w:cs="Arial" w:eastAsia="Arial" w:hint="default"/>
                <w:sz w:val="18"/>
                <w:szCs w:val="18"/>
              </w:rPr>
            </w:pPr>
            <w:r>
              <w:rPr>
                <w:rFonts w:ascii="Arial"/>
                <w:sz w:val="18"/>
              </w:rPr>
              <w:t>29.57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sz w:val="18"/>
              </w:rPr>
              <w:t>55.72%</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7" w:right="0"/>
              <w:jc w:val="left"/>
              <w:rPr>
                <w:rFonts w:ascii="Arial" w:hAnsi="Arial" w:cs="Arial" w:eastAsia="Arial" w:hint="default"/>
                <w:sz w:val="18"/>
                <w:szCs w:val="18"/>
              </w:rPr>
            </w:pPr>
            <w:r>
              <w:rPr>
                <w:rFonts w:ascii="Arial"/>
                <w:sz w:val="18"/>
              </w:rPr>
              <w:t>22,091,6</w:t>
            </w:r>
          </w:p>
          <w:p>
            <w:pPr>
              <w:pStyle w:val="TableParagraph"/>
              <w:spacing w:line="240" w:lineRule="auto" w:before="105"/>
              <w:ind w:left="306" w:right="0"/>
              <w:jc w:val="left"/>
              <w:rPr>
                <w:rFonts w:ascii="Arial" w:hAnsi="Arial" w:cs="Arial" w:eastAsia="Arial" w:hint="default"/>
                <w:sz w:val="18"/>
                <w:szCs w:val="18"/>
              </w:rPr>
            </w:pPr>
            <w:r>
              <w:rPr>
                <w:rFonts w:ascii="Arial"/>
                <w:sz w:val="18"/>
              </w:rPr>
              <w:t>27.46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64,186</w:t>
            </w:r>
          </w:p>
          <w:p>
            <w:pPr>
              <w:pStyle w:val="TableParagraph"/>
              <w:spacing w:line="240" w:lineRule="auto" w:before="105"/>
              <w:ind w:right="21"/>
              <w:jc w:val="right"/>
              <w:rPr>
                <w:rFonts w:ascii="Arial" w:hAnsi="Arial" w:cs="Arial" w:eastAsia="Arial" w:hint="default"/>
                <w:sz w:val="18"/>
                <w:szCs w:val="18"/>
              </w:rPr>
            </w:pPr>
            <w:r>
              <w:rPr>
                <w:rFonts w:ascii="Arial"/>
                <w:spacing w:val="-1"/>
                <w:sz w:val="18"/>
              </w:rPr>
              <w:t>,167.9</w:t>
            </w:r>
          </w:p>
          <w:p>
            <w:pPr>
              <w:pStyle w:val="TableParagraph"/>
              <w:spacing w:line="240" w:lineRule="auto" w:before="105"/>
              <w:ind w:right="21"/>
              <w:jc w:val="right"/>
              <w:rPr>
                <w:rFonts w:ascii="Arial" w:hAnsi="Arial" w:cs="Arial" w:eastAsia="Arial" w:hint="default"/>
                <w:sz w:val="18"/>
                <w:szCs w:val="18"/>
              </w:rPr>
            </w:pPr>
            <w:r>
              <w:rPr>
                <w:rFonts w:ascii="Arial"/>
                <w:w w:val="99"/>
                <w:sz w:val="18"/>
              </w:rPr>
              <w:t>1</w:t>
            </w:r>
            <w:r>
              <w:rPr>
                <w:rFonts w:ascii="Arial"/>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100.00</w:t>
            </w:r>
          </w:p>
          <w:p>
            <w:pPr>
              <w:pStyle w:val="TableParagraph"/>
              <w:spacing w:line="240" w:lineRule="auto" w:before="105"/>
              <w:ind w:right="20"/>
              <w:jc w:val="right"/>
              <w:rPr>
                <w:rFonts w:ascii="Arial" w:hAnsi="Arial" w:cs="Arial" w:eastAsia="Arial" w:hint="default"/>
                <w:sz w:val="18"/>
                <w:szCs w:val="18"/>
              </w:rPr>
            </w:pPr>
            <w:r>
              <w:rPr>
                <w:rFonts w:ascii="Arial"/>
                <w:w w:val="99"/>
                <w:sz w:val="18"/>
              </w:rPr>
              <w:t>%</w:t>
            </w:r>
            <w:r>
              <w:rPr>
                <w:rFonts w:ascii="Arial"/>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9" w:right="0"/>
              <w:jc w:val="left"/>
              <w:rPr>
                <w:rFonts w:ascii="Arial" w:hAnsi="Arial" w:cs="Arial" w:eastAsia="Arial" w:hint="default"/>
                <w:sz w:val="18"/>
                <w:szCs w:val="18"/>
              </w:rPr>
            </w:pPr>
            <w:r>
              <w:rPr>
                <w:rFonts w:ascii="Arial"/>
                <w:sz w:val="18"/>
              </w:rPr>
              <w:t>29,907,6</w:t>
            </w:r>
          </w:p>
          <w:p>
            <w:pPr>
              <w:pStyle w:val="TableParagraph"/>
              <w:spacing w:line="240" w:lineRule="auto" w:before="105"/>
              <w:ind w:left="328" w:right="0"/>
              <w:jc w:val="left"/>
              <w:rPr>
                <w:rFonts w:ascii="Arial" w:hAnsi="Arial" w:cs="Arial" w:eastAsia="Arial" w:hint="default"/>
                <w:sz w:val="18"/>
                <w:szCs w:val="18"/>
              </w:rPr>
            </w:pPr>
            <w:r>
              <w:rPr>
                <w:rFonts w:ascii="Arial"/>
                <w:sz w:val="18"/>
              </w:rPr>
              <w:t>86.24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sz w:val="18"/>
              </w:rPr>
              <w:t>46.60%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8" w:right="0"/>
              <w:jc w:val="left"/>
              <w:rPr>
                <w:rFonts w:ascii="Arial" w:hAnsi="Arial" w:cs="Arial" w:eastAsia="Arial" w:hint="default"/>
                <w:sz w:val="18"/>
                <w:szCs w:val="18"/>
              </w:rPr>
            </w:pPr>
            <w:r>
              <w:rPr>
                <w:rFonts w:ascii="Arial"/>
                <w:sz w:val="18"/>
              </w:rPr>
              <w:t>34,278,48</w:t>
            </w:r>
          </w:p>
          <w:p>
            <w:pPr>
              <w:pStyle w:val="TableParagraph"/>
              <w:spacing w:line="240" w:lineRule="auto" w:before="105"/>
              <w:ind w:left="549" w:right="0"/>
              <w:jc w:val="left"/>
              <w:rPr>
                <w:rFonts w:ascii="Arial" w:hAnsi="Arial" w:cs="Arial" w:eastAsia="Arial" w:hint="default"/>
                <w:sz w:val="18"/>
                <w:szCs w:val="18"/>
              </w:rPr>
            </w:pPr>
            <w:r>
              <w:rPr>
                <w:rFonts w:ascii="Arial"/>
                <w:sz w:val="18"/>
              </w:rPr>
              <w:t>1.67</w:t>
            </w:r>
          </w:p>
        </w:tc>
      </w:tr>
    </w:tbl>
    <w:p>
      <w:pPr>
        <w:spacing w:line="240" w:lineRule="auto" w:before="7"/>
        <w:rPr>
          <w:rFonts w:ascii="宋体" w:hAnsi="宋体" w:cs="宋体" w:eastAsia="宋体" w:hint="default"/>
          <w:sz w:val="5"/>
          <w:szCs w:val="5"/>
        </w:rPr>
      </w:pPr>
    </w:p>
    <w:p>
      <w:pPr>
        <w:pStyle w:val="BodyText"/>
        <w:spacing w:line="240" w:lineRule="auto"/>
        <w:ind w:right="996"/>
        <w:jc w:val="left"/>
      </w:pPr>
      <w:r>
        <w:rPr/>
        <w:t>期末单项金额重大并单项计提坏账准备的应收账款：</w:t>
      </w:r>
    </w:p>
    <w:p>
      <w:pPr>
        <w:pStyle w:val="BodyText"/>
        <w:spacing w:line="240" w:lineRule="auto" w:before="157"/>
        <w:ind w:right="996"/>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2"/>
        </w:rPr>
        <w:t> </w:t>
      </w:r>
      <w:r>
        <w:rPr/>
        <w:t>不适用</w:t>
      </w:r>
    </w:p>
    <w:p>
      <w:pPr>
        <w:spacing w:line="240" w:lineRule="auto" w:before="5"/>
        <w:rPr>
          <w:rFonts w:ascii="宋体" w:hAnsi="宋体" w:cs="宋体" w:eastAsia="宋体" w:hint="default"/>
          <w:sz w:val="9"/>
          <w:szCs w:val="9"/>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21,002,848.68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525,071.22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2.50%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信用期内</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21,002,848.68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525,071.22</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Arial" w:hAnsi="Arial" w:cs="Arial" w:eastAsia="Arial" w:hint="default"/>
                <w:sz w:val="18"/>
                <w:szCs w:val="18"/>
              </w:rPr>
            </w:pPr>
            <w:r>
              <w:rPr>
                <w:rFonts w:ascii="Arial"/>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Arial" w:hAnsi="Arial" w:cs="Arial" w:eastAsia="Arial" w:hint="default"/>
                <w:sz w:val="18"/>
                <w:szCs w:val="18"/>
              </w:rPr>
            </w:pPr>
            <w:r>
              <w:rPr>
                <w:rFonts w:ascii="Arial"/>
                <w:sz w:val="18"/>
              </w:rPr>
              <w:t>--</w:t>
            </w:r>
          </w:p>
        </w:tc>
      </w:tr>
    </w:tbl>
    <w:p>
      <w:pPr>
        <w:spacing w:line="240" w:lineRule="auto" w:before="7"/>
        <w:rPr>
          <w:rFonts w:ascii="宋体" w:hAnsi="宋体" w:cs="宋体" w:eastAsia="宋体" w:hint="default"/>
          <w:sz w:val="5"/>
          <w:szCs w:val="5"/>
        </w:rPr>
      </w:pPr>
    </w:p>
    <w:p>
      <w:pPr>
        <w:pStyle w:val="BodyText"/>
        <w:spacing w:line="240" w:lineRule="auto"/>
        <w:ind w:right="996"/>
        <w:jc w:val="left"/>
      </w:pPr>
      <w:r>
        <w:rPr/>
        <w:t>组合中，按账龄分析法计提坏账准备的应收账款：</w:t>
      </w:r>
    </w:p>
    <w:p>
      <w:pPr>
        <w:pStyle w:val="BodyText"/>
        <w:spacing w:line="240" w:lineRule="auto" w:before="157"/>
        <w:ind w:right="996"/>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2"/>
        </w:rPr>
        <w:t> </w:t>
      </w:r>
      <w:r>
        <w:rPr/>
        <w:t>不适用</w:t>
      </w:r>
    </w:p>
    <w:p>
      <w:pPr>
        <w:spacing w:line="240" w:lineRule="auto" w:before="5"/>
        <w:rPr>
          <w:rFonts w:ascii="宋体" w:hAnsi="宋体" w:cs="宋体" w:eastAsia="宋体" w:hint="default"/>
          <w:sz w:val="9"/>
          <w:szCs w:val="9"/>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1,781,351.00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178,135.10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14,589.61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4,376.88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30.00%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842.74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421.37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50.00%</w:t>
            </w:r>
          </w:p>
        </w:tc>
      </w:tr>
      <w:tr>
        <w:trPr>
          <w:trHeight w:val="400"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27,089,325.00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27,089,325.00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100.00%</w:t>
            </w:r>
          </w:p>
        </w:tc>
      </w:tr>
    </w:tbl>
    <w:p>
      <w:pPr>
        <w:spacing w:after="0" w:line="240" w:lineRule="auto"/>
        <w:jc w:val="right"/>
        <w:rPr>
          <w:rFonts w:ascii="Arial" w:hAnsi="Arial" w:cs="Arial" w:eastAsia="Arial" w:hint="default"/>
          <w:sz w:val="18"/>
          <w:szCs w:val="18"/>
        </w:rPr>
        <w:sectPr>
          <w:type w:val="continuous"/>
          <w:pgSz w:w="11910" w:h="16840"/>
          <w:pgMar w:top="106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13" w:right="0"/>
              <w:jc w:val="left"/>
              <w:rPr>
                <w:rFonts w:ascii="Arial" w:hAnsi="Arial" w:cs="Arial" w:eastAsia="Arial" w:hint="default"/>
                <w:sz w:val="18"/>
                <w:szCs w:val="18"/>
              </w:rPr>
            </w:pPr>
            <w:r>
              <w:rPr>
                <w:rFonts w:ascii="Arial"/>
                <w:sz w:val="18"/>
              </w:rPr>
              <w:t>28,886,108.35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05" w:right="0"/>
              <w:jc w:val="left"/>
              <w:rPr>
                <w:rFonts w:ascii="Arial" w:hAnsi="Arial" w:cs="Arial" w:eastAsia="Arial" w:hint="default"/>
                <w:sz w:val="18"/>
                <w:szCs w:val="18"/>
              </w:rPr>
            </w:pPr>
            <w:r>
              <w:rPr>
                <w:rFonts w:ascii="Arial"/>
                <w:sz w:val="18"/>
              </w:rPr>
              <w:t>27,272,258.35</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5"/>
          <w:szCs w:val="5"/>
        </w:rPr>
      </w:pPr>
    </w:p>
    <w:p>
      <w:pPr>
        <w:pStyle w:val="BodyText"/>
        <w:spacing w:line="240" w:lineRule="auto"/>
        <w:ind w:right="996"/>
        <w:jc w:val="left"/>
      </w:pPr>
      <w:r>
        <w:rPr/>
        <w:t>组合中，采用余额百分比法计提坏账准备的应收账款：</w:t>
      </w:r>
    </w:p>
    <w:p>
      <w:pPr>
        <w:pStyle w:val="BodyText"/>
        <w:spacing w:line="240" w:lineRule="auto" w:before="157"/>
        <w:ind w:right="996"/>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2"/>
        </w:rPr>
        <w:t> </w:t>
      </w:r>
      <w:r>
        <w:rPr/>
        <w:t>不适用</w:t>
      </w:r>
    </w:p>
    <w:p>
      <w:pPr>
        <w:pStyle w:val="Heading4"/>
        <w:spacing w:line="240" w:lineRule="auto" w:before="142"/>
        <w:ind w:right="996"/>
        <w:jc w:val="left"/>
        <w:rPr>
          <w:b w:val="0"/>
          <w:bCs w:val="0"/>
        </w:rPr>
      </w:pPr>
      <w:r>
        <w:rPr>
          <w:rFonts w:ascii="Arial" w:hAnsi="Arial" w:cs="Arial" w:eastAsia="Arial" w:hint="default"/>
        </w:rPr>
        <w:t>2)</w:t>
      </w:r>
      <w:r>
        <w:rPr>
          <w:rFonts w:ascii="Arial" w:hAnsi="Arial" w:cs="Arial" w:eastAsia="Arial" w:hint="default"/>
          <w:spacing w:val="39"/>
        </w:rPr>
        <w:t> </w:t>
      </w:r>
      <w:r>
        <w:rPr/>
        <w:t>本期计提、收回或转回的坏账准备情况</w:t>
      </w:r>
      <w:r>
        <w:rPr>
          <w:b w:val="0"/>
          <w:bCs w:val="0"/>
        </w:rPr>
      </w:r>
    </w:p>
    <w:p>
      <w:pPr>
        <w:pStyle w:val="BodyText"/>
        <w:spacing w:line="240" w:lineRule="auto" w:before="142"/>
        <w:ind w:left="540" w:right="996"/>
        <w:jc w:val="left"/>
      </w:pPr>
      <w:r>
        <w:rPr/>
        <w:t>本期计提坏账准备金额</w:t>
      </w:r>
      <w:r>
        <w:rPr>
          <w:rFonts w:ascii="Arial" w:hAnsi="Arial" w:cs="Arial" w:eastAsia="Arial" w:hint="default"/>
        </w:rPr>
        <w:t>-302,292.69</w:t>
      </w:r>
      <w:r>
        <w:rPr/>
        <w:t>元；本期收回或转回坏账准备金额</w:t>
      </w:r>
      <w:r>
        <w:rPr>
          <w:rFonts w:ascii="Arial" w:hAnsi="Arial" w:cs="Arial" w:eastAsia="Arial" w:hint="default"/>
        </w:rPr>
        <w:t>294,687.93</w:t>
      </w:r>
      <w:r>
        <w:rPr/>
        <w:t>元。</w:t>
      </w:r>
    </w:p>
    <w:p>
      <w:pPr>
        <w:pStyle w:val="Heading4"/>
        <w:spacing w:line="240" w:lineRule="auto" w:before="142"/>
        <w:ind w:right="996"/>
        <w:jc w:val="left"/>
        <w:rPr>
          <w:b w:val="0"/>
          <w:bCs w:val="0"/>
        </w:rPr>
      </w:pPr>
      <w:r>
        <w:rPr>
          <w:rFonts w:ascii="Arial" w:hAnsi="Arial" w:cs="Arial" w:eastAsia="Arial" w:hint="default"/>
        </w:rPr>
        <w:t>3)</w:t>
      </w:r>
      <w:r>
        <w:rPr>
          <w:rFonts w:ascii="Arial" w:hAnsi="Arial" w:cs="Arial" w:eastAsia="Arial" w:hint="default"/>
          <w:spacing w:val="41"/>
        </w:rPr>
        <w:t> </w:t>
      </w:r>
      <w:r>
        <w:rPr/>
        <w:t>本期实际核销的应收账款情况</w:t>
      </w:r>
      <w:r>
        <w:rPr>
          <w:b w:val="0"/>
          <w:bCs w:val="0"/>
        </w:rPr>
      </w:r>
    </w:p>
    <w:p>
      <w:pPr>
        <w:spacing w:line="240" w:lineRule="auto" w:before="5"/>
        <w:rPr>
          <w:rFonts w:ascii="宋体" w:hAnsi="宋体" w:cs="宋体" w:eastAsia="宋体" w:hint="default"/>
          <w:b/>
          <w:bCs/>
          <w:sz w:val="9"/>
          <w:szCs w:val="9"/>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4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1,513,376.05</w:t>
            </w:r>
          </w:p>
        </w:tc>
      </w:tr>
    </w:tbl>
    <w:p>
      <w:pPr>
        <w:spacing w:line="240" w:lineRule="auto" w:before="6"/>
        <w:rPr>
          <w:rFonts w:ascii="宋体" w:hAnsi="宋体" w:cs="宋体" w:eastAsia="宋体" w:hint="default"/>
          <w:sz w:val="5"/>
          <w:szCs w:val="5"/>
        </w:rPr>
      </w:pPr>
    </w:p>
    <w:p>
      <w:pPr>
        <w:pStyle w:val="BodyText"/>
        <w:spacing w:line="240" w:lineRule="auto"/>
        <w:ind w:right="996"/>
        <w:jc w:val="left"/>
      </w:pPr>
      <w:r>
        <w:rPr/>
        <w:t>应收账款核销说明：</w:t>
      </w:r>
    </w:p>
    <w:p>
      <w:pPr>
        <w:pStyle w:val="BodyText"/>
        <w:spacing w:line="259" w:lineRule="auto" w:before="157"/>
        <w:ind w:right="996" w:firstLine="427"/>
        <w:jc w:val="left"/>
      </w:pPr>
      <w:r>
        <w:rPr>
          <w:rFonts w:ascii="Arial" w:hAnsi="Arial" w:cs="Arial" w:eastAsia="Arial" w:hint="default"/>
          <w:w w:val="95"/>
        </w:rPr>
        <w:t>2018</w:t>
      </w:r>
      <w:r>
        <w:rPr>
          <w:w w:val="95"/>
        </w:rPr>
        <w:t>年</w:t>
      </w:r>
      <w:r>
        <w:rPr>
          <w:rFonts w:ascii="Arial" w:hAnsi="Arial" w:cs="Arial" w:eastAsia="Arial" w:hint="default"/>
          <w:w w:val="95"/>
        </w:rPr>
        <w:t>12</w:t>
      </w:r>
      <w:r>
        <w:rPr>
          <w:w w:val="95"/>
        </w:rPr>
        <w:t>月</w:t>
      </w:r>
      <w:r>
        <w:rPr>
          <w:rFonts w:ascii="Arial" w:hAnsi="Arial" w:cs="Arial" w:eastAsia="Arial" w:hint="default"/>
          <w:w w:val="95"/>
        </w:rPr>
        <w:t>20</w:t>
      </w:r>
      <w:r>
        <w:rPr>
          <w:w w:val="95"/>
        </w:rPr>
        <w:t>日，公司召开的第六届董事会第三十八次会议审议通过了《关于坏账核销的议案》，</w:t>
      </w:r>
      <w:r>
        <w:rPr>
          <w:spacing w:val="-94"/>
          <w:w w:val="95"/>
        </w:rPr>
        <w:t> </w:t>
      </w:r>
      <w:r>
        <w:rPr>
          <w:spacing w:val="-94"/>
          <w:w w:val="95"/>
        </w:rPr>
      </w:r>
      <w:r>
        <w:rPr/>
        <w:t>核销了</w:t>
      </w:r>
      <w:r>
        <w:rPr>
          <w:rFonts w:ascii="Arial" w:hAnsi="Arial" w:cs="Arial" w:eastAsia="Arial" w:hint="default"/>
        </w:rPr>
        <w:t>17</w:t>
      </w:r>
      <w:r>
        <w:rPr/>
        <w:t>笔小额应收账款，合计</w:t>
      </w:r>
      <w:r>
        <w:rPr>
          <w:rFonts w:ascii="Arial" w:hAnsi="Arial" w:cs="Arial" w:eastAsia="Arial" w:hint="default"/>
        </w:rPr>
        <w:t>1,513,376.05</w:t>
      </w:r>
      <w:r>
        <w:rPr/>
        <w:t>元。</w:t>
      </w:r>
    </w:p>
    <w:p>
      <w:pPr>
        <w:spacing w:line="432" w:lineRule="exact" w:before="23"/>
        <w:ind w:left="540" w:right="996" w:hanging="428"/>
        <w:jc w:val="left"/>
        <w:rPr>
          <w:rFonts w:ascii="宋体" w:hAnsi="宋体" w:cs="宋体" w:eastAsia="宋体" w:hint="default"/>
          <w:sz w:val="21"/>
          <w:szCs w:val="21"/>
        </w:rPr>
      </w:pPr>
      <w:r>
        <w:rPr>
          <w:rFonts w:ascii="Arial" w:hAnsi="Arial" w:cs="Arial" w:eastAsia="Arial" w:hint="default"/>
          <w:b/>
          <w:bCs/>
          <w:sz w:val="21"/>
          <w:szCs w:val="21"/>
        </w:rPr>
        <w:t>4)</w:t>
      </w:r>
      <w:r>
        <w:rPr>
          <w:rFonts w:ascii="Arial" w:hAnsi="Arial" w:cs="Arial" w:eastAsia="Arial" w:hint="default"/>
          <w:b/>
          <w:bCs/>
          <w:spacing w:val="49"/>
          <w:sz w:val="21"/>
          <w:szCs w:val="21"/>
        </w:rPr>
        <w:t> </w:t>
      </w:r>
      <w:r>
        <w:rPr>
          <w:rFonts w:ascii="宋体" w:hAnsi="宋体" w:cs="宋体" w:eastAsia="宋体" w:hint="default"/>
          <w:b/>
          <w:bCs/>
          <w:sz w:val="21"/>
          <w:szCs w:val="21"/>
        </w:rPr>
        <w:t>按欠款方归集的期末余额前五名的应收账款情况</w:t>
      </w:r>
      <w:r>
        <w:rPr>
          <w:rFonts w:ascii="宋体" w:hAnsi="宋体" w:cs="宋体" w:eastAsia="宋体" w:hint="default"/>
          <w:b/>
          <w:bCs/>
          <w:w w:val="99"/>
          <w:sz w:val="21"/>
          <w:szCs w:val="21"/>
        </w:rPr>
        <w:t> </w:t>
      </w:r>
      <w:r>
        <w:rPr>
          <w:rFonts w:ascii="宋体" w:hAnsi="宋体" w:cs="宋体" w:eastAsia="宋体" w:hint="default"/>
          <w:w w:val="95"/>
          <w:sz w:val="21"/>
          <w:szCs w:val="21"/>
        </w:rPr>
        <w:t>本期按欠款方归集的期末余额前五名应收账款汇总金额</w:t>
      </w:r>
      <w:r>
        <w:rPr>
          <w:rFonts w:ascii="Arial" w:hAnsi="Arial" w:cs="Arial" w:eastAsia="Arial" w:hint="default"/>
          <w:w w:val="95"/>
          <w:sz w:val="21"/>
          <w:szCs w:val="21"/>
        </w:rPr>
        <w:t>31,491,643.16</w:t>
      </w:r>
      <w:r>
        <w:rPr>
          <w:rFonts w:ascii="宋体" w:hAnsi="宋体" w:cs="宋体" w:eastAsia="宋体" w:hint="default"/>
          <w:w w:val="95"/>
          <w:sz w:val="21"/>
          <w:szCs w:val="21"/>
        </w:rPr>
        <w:t>元，占应收账款期末余额合计</w:t>
      </w:r>
      <w:r>
        <w:rPr>
          <w:rFonts w:ascii="宋体" w:hAnsi="宋体" w:cs="宋体" w:eastAsia="宋体" w:hint="default"/>
          <w:sz w:val="21"/>
          <w:szCs w:val="21"/>
        </w:rPr>
      </w:r>
    </w:p>
    <w:p>
      <w:pPr>
        <w:pStyle w:val="BodyText"/>
        <w:spacing w:line="270" w:lineRule="exact" w:before="0"/>
        <w:ind w:right="996"/>
        <w:jc w:val="left"/>
      </w:pPr>
      <w:r>
        <w:rPr/>
        <w:t>数的比例</w:t>
      </w:r>
      <w:r>
        <w:rPr>
          <w:rFonts w:ascii="Arial" w:hAnsi="Arial" w:cs="Arial" w:eastAsia="Arial" w:hint="default"/>
        </w:rPr>
        <w:t>63.12%</w:t>
      </w:r>
      <w:r>
        <w:rPr/>
        <w:t>，相应计提的坏账准备期末余额汇总金额</w:t>
      </w:r>
      <w:r>
        <w:rPr>
          <w:rFonts w:ascii="Arial" w:hAnsi="Arial" w:cs="Arial" w:eastAsia="Arial" w:hint="default"/>
        </w:rPr>
        <w:t>9,410,649.80</w:t>
      </w:r>
      <w:r>
        <w:rPr/>
        <w:t>元。</w:t>
      </w:r>
    </w:p>
    <w:p>
      <w:pPr>
        <w:spacing w:line="240" w:lineRule="auto" w:before="11"/>
        <w:rPr>
          <w:rFonts w:ascii="宋体" w:hAnsi="宋体" w:cs="宋体" w:eastAsia="宋体" w:hint="default"/>
          <w:sz w:val="24"/>
          <w:szCs w:val="24"/>
        </w:rPr>
      </w:pPr>
    </w:p>
    <w:p>
      <w:pPr>
        <w:pStyle w:val="Heading4"/>
        <w:spacing w:line="240" w:lineRule="auto"/>
        <w:ind w:right="996"/>
        <w:jc w:val="left"/>
        <w:rPr>
          <w:b w:val="0"/>
          <w:bCs w:val="0"/>
        </w:rPr>
      </w:pPr>
      <w:bookmarkStart w:name="2、其他应收款" w:id="329"/>
      <w:bookmarkEnd w:id="329"/>
      <w:r>
        <w:rPr>
          <w:b w:val="0"/>
          <w:bCs w:val="0"/>
        </w:rPr>
      </w:r>
      <w:r>
        <w:rPr>
          <w:rFonts w:ascii="Arial" w:hAnsi="Arial" w:cs="Arial" w:eastAsia="Arial" w:hint="default"/>
        </w:rPr>
        <w:t>2</w:t>
      </w:r>
      <w:r>
        <w:rPr/>
        <w:t>、其他应收款</w:t>
      </w:r>
      <w:r>
        <w:rPr>
          <w:b w:val="0"/>
          <w:bCs w:val="0"/>
        </w:rPr>
      </w:r>
    </w:p>
    <w:p>
      <w:pPr>
        <w:spacing w:line="240" w:lineRule="auto" w:before="7"/>
        <w:rPr>
          <w:rFonts w:ascii="宋体" w:hAnsi="宋体" w:cs="宋体" w:eastAsia="宋体" w:hint="default"/>
          <w:b/>
          <w:bCs/>
          <w:sz w:val="26"/>
          <w:szCs w:val="26"/>
        </w:rPr>
      </w:pPr>
    </w:p>
    <w:p>
      <w:pPr>
        <w:spacing w:before="0"/>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1,044,938.00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420,608.00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149,258,019.88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3"/>
                <w:sz w:val="18"/>
              </w:rPr>
              <w:t>111,141,485.92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150,302,957.88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3"/>
                <w:sz w:val="18"/>
              </w:rPr>
              <w:t>111,562,093.92</w:t>
            </w:r>
          </w:p>
        </w:tc>
      </w:tr>
    </w:tbl>
    <w:p>
      <w:pPr>
        <w:spacing w:line="240" w:lineRule="auto" w:before="4"/>
        <w:rPr>
          <w:rFonts w:ascii="宋体" w:hAnsi="宋体" w:cs="宋体" w:eastAsia="宋体" w:hint="default"/>
          <w:sz w:val="19"/>
          <w:szCs w:val="19"/>
        </w:rPr>
      </w:pPr>
    </w:p>
    <w:p>
      <w:pPr>
        <w:pStyle w:val="Heading4"/>
        <w:spacing w:line="240" w:lineRule="auto" w:before="34"/>
        <w:ind w:right="996"/>
        <w:jc w:val="left"/>
        <w:rPr>
          <w:b w:val="0"/>
          <w:bCs w:val="0"/>
        </w:rPr>
      </w:pPr>
      <w:bookmarkStart w:name="（1）应收利息" w:id="330"/>
      <w:bookmarkEnd w:id="330"/>
      <w:r>
        <w:rPr>
          <w:b w:val="0"/>
          <w:bCs w:val="0"/>
        </w:rPr>
      </w:r>
      <w:r>
        <w:rPr/>
        <w:t>（</w:t>
      </w:r>
      <w:r>
        <w:rPr>
          <w:rFonts w:ascii="Arial" w:hAnsi="Arial" w:cs="Arial" w:eastAsia="Arial" w:hint="default"/>
        </w:rPr>
        <w:t>1</w:t>
      </w:r>
      <w:r>
        <w:rPr/>
        <w:t>）应收利息</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七天通知存款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1,044,938.00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420,608.00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1,044,938.00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420,608.00</w:t>
            </w:r>
          </w:p>
        </w:tc>
      </w:tr>
    </w:tbl>
    <w:p>
      <w:pPr>
        <w:spacing w:line="240" w:lineRule="auto" w:before="4"/>
        <w:rPr>
          <w:rFonts w:ascii="宋体" w:hAnsi="宋体" w:cs="宋体" w:eastAsia="宋体" w:hint="default"/>
          <w:sz w:val="19"/>
          <w:szCs w:val="19"/>
        </w:rPr>
      </w:pPr>
    </w:p>
    <w:p>
      <w:pPr>
        <w:pStyle w:val="Heading4"/>
        <w:spacing w:line="240" w:lineRule="auto" w:before="34"/>
        <w:ind w:right="996"/>
        <w:jc w:val="left"/>
        <w:rPr>
          <w:b w:val="0"/>
          <w:bCs w:val="0"/>
        </w:rPr>
      </w:pPr>
      <w:bookmarkStart w:name="（2）其他应收款" w:id="331"/>
      <w:bookmarkEnd w:id="331"/>
      <w:r>
        <w:rPr>
          <w:b w:val="0"/>
          <w:bCs w:val="0"/>
        </w:rPr>
      </w:r>
      <w:r>
        <w:rPr/>
        <w:t>（</w:t>
      </w:r>
      <w:r>
        <w:rPr>
          <w:rFonts w:ascii="Arial" w:hAnsi="Arial" w:cs="Arial" w:eastAsia="Arial" w:hint="default"/>
        </w:rPr>
        <w:t>2</w:t>
      </w:r>
      <w:r>
        <w:rPr/>
        <w:t>）其他应收款</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8" w:footer="978" w:top="1100" w:bottom="1160" w:left="1020" w:right="0"/>
        </w:sectPr>
      </w:pPr>
    </w:p>
    <w:p>
      <w:pPr>
        <w:pStyle w:val="Heading4"/>
        <w:spacing w:line="240" w:lineRule="auto" w:before="34"/>
        <w:ind w:right="-17"/>
        <w:jc w:val="left"/>
        <w:rPr>
          <w:b w:val="0"/>
          <w:bCs w:val="0"/>
        </w:rPr>
      </w:pPr>
      <w:r>
        <w:rPr>
          <w:rFonts w:ascii="Arial" w:hAnsi="Arial" w:cs="Arial" w:eastAsia="Arial" w:hint="default"/>
        </w:rPr>
        <w:t>1)</w:t>
      </w:r>
      <w:r>
        <w:rPr>
          <w:rFonts w:ascii="Arial" w:hAnsi="Arial" w:cs="Arial" w:eastAsia="Arial" w:hint="default"/>
          <w:spacing w:val="44"/>
        </w:rPr>
        <w:t> </w:t>
      </w:r>
      <w:r>
        <w:rPr/>
        <w:t>其他应收款分类披露</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3"/>
          <w:szCs w:val="13"/>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0"/>
          <w:cols w:num="2" w:equalWidth="0">
            <w:col w:w="2302" w:space="6527"/>
            <w:col w:w="2061"/>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3839"/>
        <w:gridCol w:w="4093"/>
      </w:tblGrid>
      <w:tr>
        <w:trPr>
          <w:trHeight w:val="400"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1020" w:right="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 w:right="0"/>
              <w:jc w:val="center"/>
              <w:rPr>
                <w:rFonts w:ascii="Arial" w:hAnsi="Arial" w:cs="Arial" w:eastAsia="Arial" w:hint="default"/>
                <w:sz w:val="18"/>
                <w:szCs w:val="18"/>
              </w:rPr>
            </w:pPr>
            <w:r>
              <w:rPr>
                <w:rFonts w:ascii="Arial"/>
                <w:sz w:val="18"/>
              </w:rPr>
              <w:t>153,569,</w:t>
            </w:r>
          </w:p>
          <w:p>
            <w:pPr>
              <w:pStyle w:val="TableParagraph"/>
              <w:spacing w:line="240" w:lineRule="auto" w:before="105"/>
              <w:ind w:left="156" w:right="0"/>
              <w:jc w:val="center"/>
              <w:rPr>
                <w:rFonts w:ascii="Arial" w:hAnsi="Arial" w:cs="Arial" w:eastAsia="Arial" w:hint="default"/>
                <w:sz w:val="18"/>
                <w:szCs w:val="18"/>
              </w:rPr>
            </w:pPr>
            <w:r>
              <w:rPr>
                <w:rFonts w:ascii="Arial"/>
                <w:sz w:val="18"/>
              </w:rPr>
              <w:t>351.50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100.00</w:t>
            </w:r>
          </w:p>
          <w:p>
            <w:pPr>
              <w:pStyle w:val="TableParagraph"/>
              <w:spacing w:line="240" w:lineRule="auto" w:before="105"/>
              <w:ind w:right="22"/>
              <w:jc w:val="right"/>
              <w:rPr>
                <w:rFonts w:ascii="Arial" w:hAnsi="Arial" w:cs="Arial" w:eastAsia="Arial" w:hint="default"/>
                <w:sz w:val="18"/>
                <w:szCs w:val="18"/>
              </w:rPr>
            </w:pPr>
            <w:r>
              <w:rPr>
                <w:rFonts w:ascii="Arial"/>
                <w:w w:val="99"/>
                <w:sz w:val="18"/>
              </w:rPr>
              <w:t>%</w:t>
            </w:r>
            <w:r>
              <w:rPr>
                <w:rFonts w:ascii="Arial"/>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Arial" w:hAnsi="Arial" w:cs="Arial" w:eastAsia="Arial" w:hint="default"/>
                <w:sz w:val="18"/>
                <w:szCs w:val="18"/>
              </w:rPr>
            </w:pPr>
            <w:r>
              <w:rPr>
                <w:rFonts w:ascii="Arial"/>
                <w:sz w:val="18"/>
              </w:rPr>
              <w:t>4,311,33</w:t>
            </w:r>
          </w:p>
          <w:p>
            <w:pPr>
              <w:pStyle w:val="TableParagraph"/>
              <w:spacing w:line="240" w:lineRule="auto" w:before="105"/>
              <w:ind w:left="379" w:right="0"/>
              <w:jc w:val="left"/>
              <w:rPr>
                <w:rFonts w:ascii="Arial" w:hAnsi="Arial" w:cs="Arial" w:eastAsia="Arial" w:hint="default"/>
                <w:sz w:val="18"/>
                <w:szCs w:val="18"/>
              </w:rPr>
            </w:pPr>
            <w:r>
              <w:rPr>
                <w:rFonts w:ascii="Arial"/>
                <w:sz w:val="18"/>
              </w:rPr>
              <w:t>1.62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sz w:val="18"/>
              </w:rPr>
              <w:t>2.81%</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center"/>
              <w:rPr>
                <w:rFonts w:ascii="Arial" w:hAnsi="Arial" w:cs="Arial" w:eastAsia="Arial" w:hint="default"/>
                <w:sz w:val="18"/>
                <w:szCs w:val="18"/>
              </w:rPr>
            </w:pPr>
            <w:r>
              <w:rPr>
                <w:rFonts w:ascii="Arial"/>
                <w:sz w:val="18"/>
              </w:rPr>
              <w:t>149,258,</w:t>
            </w:r>
          </w:p>
          <w:p>
            <w:pPr>
              <w:pStyle w:val="TableParagraph"/>
              <w:spacing w:line="240" w:lineRule="auto" w:before="105"/>
              <w:ind w:left="183" w:right="0"/>
              <w:jc w:val="center"/>
              <w:rPr>
                <w:rFonts w:ascii="Arial" w:hAnsi="Arial" w:cs="Arial" w:eastAsia="Arial" w:hint="default"/>
                <w:sz w:val="18"/>
                <w:szCs w:val="18"/>
              </w:rPr>
            </w:pPr>
            <w:r>
              <w:rPr>
                <w:rFonts w:ascii="Arial"/>
                <w:sz w:val="18"/>
              </w:rPr>
              <w:t>019.88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 w:right="0"/>
              <w:jc w:val="left"/>
              <w:rPr>
                <w:rFonts w:ascii="Arial" w:hAnsi="Arial" w:cs="Arial" w:eastAsia="Arial" w:hint="default"/>
                <w:sz w:val="18"/>
                <w:szCs w:val="18"/>
              </w:rPr>
            </w:pPr>
            <w:r>
              <w:rPr>
                <w:rFonts w:ascii="Arial"/>
                <w:spacing w:val="-3"/>
                <w:sz w:val="18"/>
              </w:rPr>
              <w:t>115,59</w:t>
            </w:r>
          </w:p>
          <w:p>
            <w:pPr>
              <w:pStyle w:val="TableParagraph"/>
              <w:spacing w:line="240" w:lineRule="auto" w:before="105"/>
              <w:ind w:left="120" w:right="0"/>
              <w:jc w:val="left"/>
              <w:rPr>
                <w:rFonts w:ascii="Arial" w:hAnsi="Arial" w:cs="Arial" w:eastAsia="Arial" w:hint="default"/>
                <w:sz w:val="18"/>
                <w:szCs w:val="18"/>
              </w:rPr>
            </w:pPr>
            <w:r>
              <w:rPr>
                <w:rFonts w:ascii="Arial"/>
                <w:sz w:val="18"/>
              </w:rPr>
              <w:t>7,309.</w:t>
            </w:r>
          </w:p>
          <w:p>
            <w:pPr>
              <w:pStyle w:val="TableParagraph"/>
              <w:spacing w:line="240" w:lineRule="auto" w:before="105"/>
              <w:ind w:left="420" w:right="0"/>
              <w:jc w:val="left"/>
              <w:rPr>
                <w:rFonts w:ascii="Arial" w:hAnsi="Arial" w:cs="Arial" w:eastAsia="Arial" w:hint="default"/>
                <w:sz w:val="18"/>
                <w:szCs w:val="18"/>
              </w:rPr>
            </w:pPr>
            <w:r>
              <w:rPr>
                <w:rFonts w:ascii="Arial"/>
                <w:sz w:val="18"/>
              </w:rPr>
              <w:t>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100.00</w:t>
            </w:r>
          </w:p>
          <w:p>
            <w:pPr>
              <w:pStyle w:val="TableParagraph"/>
              <w:spacing w:line="240" w:lineRule="auto" w:before="105"/>
              <w:ind w:right="20"/>
              <w:jc w:val="right"/>
              <w:rPr>
                <w:rFonts w:ascii="Arial" w:hAnsi="Arial" w:cs="Arial" w:eastAsia="Arial" w:hint="default"/>
                <w:sz w:val="18"/>
                <w:szCs w:val="18"/>
              </w:rPr>
            </w:pPr>
            <w:r>
              <w:rPr>
                <w:rFonts w:ascii="Arial"/>
                <w:w w:val="99"/>
                <w:sz w:val="18"/>
              </w:rPr>
              <w:t>%</w:t>
            </w:r>
            <w:r>
              <w:rPr>
                <w:rFonts w:ascii="Arial"/>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left"/>
              <w:rPr>
                <w:rFonts w:ascii="Arial" w:hAnsi="Arial" w:cs="Arial" w:eastAsia="Arial" w:hint="default"/>
                <w:sz w:val="18"/>
                <w:szCs w:val="18"/>
              </w:rPr>
            </w:pPr>
            <w:r>
              <w:rPr>
                <w:rFonts w:ascii="Arial"/>
                <w:sz w:val="18"/>
              </w:rPr>
              <w:t>4,455,82</w:t>
            </w:r>
          </w:p>
          <w:p>
            <w:pPr>
              <w:pStyle w:val="TableParagraph"/>
              <w:spacing w:line="240" w:lineRule="auto" w:before="105"/>
              <w:ind w:left="429" w:right="0"/>
              <w:jc w:val="left"/>
              <w:rPr>
                <w:rFonts w:ascii="Arial" w:hAnsi="Arial" w:cs="Arial" w:eastAsia="Arial" w:hint="default"/>
                <w:sz w:val="18"/>
                <w:szCs w:val="18"/>
              </w:rPr>
            </w:pPr>
            <w:r>
              <w:rPr>
                <w:rFonts w:ascii="Arial"/>
                <w:sz w:val="18"/>
              </w:rPr>
              <w:t>3.93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sz w:val="18"/>
              </w:rPr>
              <w:t>3.85%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 w:right="0"/>
              <w:jc w:val="left"/>
              <w:rPr>
                <w:rFonts w:ascii="Arial" w:hAnsi="Arial" w:cs="Arial" w:eastAsia="Arial" w:hint="default"/>
                <w:sz w:val="18"/>
                <w:szCs w:val="18"/>
              </w:rPr>
            </w:pPr>
            <w:r>
              <w:rPr>
                <w:rFonts w:ascii="Arial"/>
                <w:spacing w:val="-3"/>
                <w:sz w:val="18"/>
              </w:rPr>
              <w:t>111,141,48</w:t>
            </w:r>
          </w:p>
          <w:p>
            <w:pPr>
              <w:pStyle w:val="TableParagraph"/>
              <w:spacing w:line="240" w:lineRule="auto" w:before="105"/>
              <w:ind w:left="549" w:right="0"/>
              <w:jc w:val="left"/>
              <w:rPr>
                <w:rFonts w:ascii="Arial" w:hAnsi="Arial" w:cs="Arial" w:eastAsia="Arial" w:hint="default"/>
                <w:sz w:val="18"/>
                <w:szCs w:val="18"/>
              </w:rPr>
            </w:pPr>
            <w:r>
              <w:rPr>
                <w:rFonts w:ascii="Arial"/>
                <w:sz w:val="18"/>
              </w:rPr>
              <w:t>5.92</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 w:right="0"/>
              <w:jc w:val="center"/>
              <w:rPr>
                <w:rFonts w:ascii="Arial" w:hAnsi="Arial" w:cs="Arial" w:eastAsia="Arial" w:hint="default"/>
                <w:sz w:val="18"/>
                <w:szCs w:val="18"/>
              </w:rPr>
            </w:pPr>
            <w:r>
              <w:rPr>
                <w:rFonts w:ascii="Arial"/>
                <w:sz w:val="18"/>
              </w:rPr>
              <w:t>153,569,</w:t>
            </w:r>
          </w:p>
          <w:p>
            <w:pPr>
              <w:pStyle w:val="TableParagraph"/>
              <w:spacing w:line="240" w:lineRule="auto" w:before="105"/>
              <w:ind w:left="156" w:right="0"/>
              <w:jc w:val="center"/>
              <w:rPr>
                <w:rFonts w:ascii="Arial" w:hAnsi="Arial" w:cs="Arial" w:eastAsia="Arial" w:hint="default"/>
                <w:sz w:val="18"/>
                <w:szCs w:val="18"/>
              </w:rPr>
            </w:pPr>
            <w:r>
              <w:rPr>
                <w:rFonts w:ascii="Arial"/>
                <w:sz w:val="18"/>
              </w:rPr>
              <w:t>351.50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100.00</w:t>
            </w:r>
          </w:p>
          <w:p>
            <w:pPr>
              <w:pStyle w:val="TableParagraph"/>
              <w:spacing w:line="240" w:lineRule="auto" w:before="105"/>
              <w:ind w:right="22"/>
              <w:jc w:val="right"/>
              <w:rPr>
                <w:rFonts w:ascii="Arial" w:hAnsi="Arial" w:cs="Arial" w:eastAsia="Arial" w:hint="default"/>
                <w:sz w:val="18"/>
                <w:szCs w:val="18"/>
              </w:rPr>
            </w:pPr>
            <w:r>
              <w:rPr>
                <w:rFonts w:ascii="Arial"/>
                <w:w w:val="99"/>
                <w:sz w:val="18"/>
              </w:rPr>
              <w:t>%</w:t>
            </w:r>
            <w:r>
              <w:rPr>
                <w:rFonts w:ascii="Arial"/>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Arial" w:hAnsi="Arial" w:cs="Arial" w:eastAsia="Arial" w:hint="default"/>
                <w:sz w:val="18"/>
                <w:szCs w:val="18"/>
              </w:rPr>
            </w:pPr>
            <w:r>
              <w:rPr>
                <w:rFonts w:ascii="Arial"/>
                <w:sz w:val="18"/>
              </w:rPr>
              <w:t>4,311,33</w:t>
            </w:r>
          </w:p>
          <w:p>
            <w:pPr>
              <w:pStyle w:val="TableParagraph"/>
              <w:spacing w:line="240" w:lineRule="auto" w:before="105"/>
              <w:ind w:left="379" w:right="0"/>
              <w:jc w:val="left"/>
              <w:rPr>
                <w:rFonts w:ascii="Arial" w:hAnsi="Arial" w:cs="Arial" w:eastAsia="Arial" w:hint="default"/>
                <w:sz w:val="18"/>
                <w:szCs w:val="18"/>
              </w:rPr>
            </w:pPr>
            <w:r>
              <w:rPr>
                <w:rFonts w:ascii="Arial"/>
                <w:sz w:val="18"/>
              </w:rPr>
              <w:t>1.62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sz w:val="18"/>
              </w:rPr>
              <w:t>2.81%</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center"/>
              <w:rPr>
                <w:rFonts w:ascii="Arial" w:hAnsi="Arial" w:cs="Arial" w:eastAsia="Arial" w:hint="default"/>
                <w:sz w:val="18"/>
                <w:szCs w:val="18"/>
              </w:rPr>
            </w:pPr>
            <w:r>
              <w:rPr>
                <w:rFonts w:ascii="Arial"/>
                <w:sz w:val="18"/>
              </w:rPr>
              <w:t>149,258,</w:t>
            </w:r>
          </w:p>
          <w:p>
            <w:pPr>
              <w:pStyle w:val="TableParagraph"/>
              <w:spacing w:line="240" w:lineRule="auto" w:before="105"/>
              <w:ind w:left="183" w:right="0"/>
              <w:jc w:val="center"/>
              <w:rPr>
                <w:rFonts w:ascii="Arial" w:hAnsi="Arial" w:cs="Arial" w:eastAsia="Arial" w:hint="default"/>
                <w:sz w:val="18"/>
                <w:szCs w:val="18"/>
              </w:rPr>
            </w:pPr>
            <w:r>
              <w:rPr>
                <w:rFonts w:ascii="Arial"/>
                <w:sz w:val="18"/>
              </w:rPr>
              <w:t>019.88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 w:right="0"/>
              <w:jc w:val="left"/>
              <w:rPr>
                <w:rFonts w:ascii="Arial" w:hAnsi="Arial" w:cs="Arial" w:eastAsia="Arial" w:hint="default"/>
                <w:sz w:val="18"/>
                <w:szCs w:val="18"/>
              </w:rPr>
            </w:pPr>
            <w:r>
              <w:rPr>
                <w:rFonts w:ascii="Arial"/>
                <w:spacing w:val="-3"/>
                <w:sz w:val="18"/>
              </w:rPr>
              <w:t>115,59</w:t>
            </w:r>
          </w:p>
          <w:p>
            <w:pPr>
              <w:pStyle w:val="TableParagraph"/>
              <w:spacing w:line="240" w:lineRule="auto" w:before="105"/>
              <w:ind w:left="120" w:right="0"/>
              <w:jc w:val="left"/>
              <w:rPr>
                <w:rFonts w:ascii="Arial" w:hAnsi="Arial" w:cs="Arial" w:eastAsia="Arial" w:hint="default"/>
                <w:sz w:val="18"/>
                <w:szCs w:val="18"/>
              </w:rPr>
            </w:pPr>
            <w:r>
              <w:rPr>
                <w:rFonts w:ascii="Arial"/>
                <w:sz w:val="18"/>
              </w:rPr>
              <w:t>7,309.</w:t>
            </w:r>
          </w:p>
          <w:p>
            <w:pPr>
              <w:pStyle w:val="TableParagraph"/>
              <w:spacing w:line="240" w:lineRule="auto" w:before="105"/>
              <w:ind w:left="420" w:right="0"/>
              <w:jc w:val="left"/>
              <w:rPr>
                <w:rFonts w:ascii="Arial" w:hAnsi="Arial" w:cs="Arial" w:eastAsia="Arial" w:hint="default"/>
                <w:sz w:val="18"/>
                <w:szCs w:val="18"/>
              </w:rPr>
            </w:pPr>
            <w:r>
              <w:rPr>
                <w:rFonts w:ascii="Arial"/>
                <w:sz w:val="18"/>
              </w:rPr>
              <w:t>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100.00</w:t>
            </w:r>
          </w:p>
          <w:p>
            <w:pPr>
              <w:pStyle w:val="TableParagraph"/>
              <w:spacing w:line="240" w:lineRule="auto" w:before="105"/>
              <w:ind w:right="20"/>
              <w:jc w:val="right"/>
              <w:rPr>
                <w:rFonts w:ascii="Arial" w:hAnsi="Arial" w:cs="Arial" w:eastAsia="Arial" w:hint="default"/>
                <w:sz w:val="18"/>
                <w:szCs w:val="18"/>
              </w:rPr>
            </w:pPr>
            <w:r>
              <w:rPr>
                <w:rFonts w:ascii="Arial"/>
                <w:w w:val="99"/>
                <w:sz w:val="18"/>
              </w:rPr>
              <w:t>%</w:t>
            </w:r>
            <w:r>
              <w:rPr>
                <w:rFonts w:ascii="Arial"/>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Arial" w:hAnsi="Arial" w:cs="Arial" w:eastAsia="Arial" w:hint="default"/>
                <w:sz w:val="18"/>
                <w:szCs w:val="18"/>
              </w:rPr>
            </w:pPr>
            <w:r>
              <w:rPr>
                <w:rFonts w:ascii="Arial"/>
                <w:sz w:val="18"/>
              </w:rPr>
              <w:t>4,455,82</w:t>
            </w:r>
          </w:p>
          <w:p>
            <w:pPr>
              <w:pStyle w:val="TableParagraph"/>
              <w:spacing w:line="240" w:lineRule="auto" w:before="105"/>
              <w:ind w:left="429" w:right="0"/>
              <w:jc w:val="left"/>
              <w:rPr>
                <w:rFonts w:ascii="Arial" w:hAnsi="Arial" w:cs="Arial" w:eastAsia="Arial" w:hint="default"/>
                <w:sz w:val="18"/>
                <w:szCs w:val="18"/>
              </w:rPr>
            </w:pPr>
            <w:r>
              <w:rPr>
                <w:rFonts w:ascii="Arial"/>
                <w:sz w:val="18"/>
              </w:rPr>
              <w:t>3.93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sz w:val="18"/>
              </w:rPr>
              <w:t>3.85%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 w:right="0"/>
              <w:jc w:val="left"/>
              <w:rPr>
                <w:rFonts w:ascii="Arial" w:hAnsi="Arial" w:cs="Arial" w:eastAsia="Arial" w:hint="default"/>
                <w:sz w:val="18"/>
                <w:szCs w:val="18"/>
              </w:rPr>
            </w:pPr>
            <w:r>
              <w:rPr>
                <w:rFonts w:ascii="Arial"/>
                <w:spacing w:val="-3"/>
                <w:sz w:val="18"/>
              </w:rPr>
              <w:t>111,141,48</w:t>
            </w:r>
          </w:p>
          <w:p>
            <w:pPr>
              <w:pStyle w:val="TableParagraph"/>
              <w:spacing w:line="240" w:lineRule="auto" w:before="105"/>
              <w:ind w:left="549" w:right="0"/>
              <w:jc w:val="left"/>
              <w:rPr>
                <w:rFonts w:ascii="Arial" w:hAnsi="Arial" w:cs="Arial" w:eastAsia="Arial" w:hint="default"/>
                <w:sz w:val="18"/>
                <w:szCs w:val="18"/>
              </w:rPr>
            </w:pPr>
            <w:r>
              <w:rPr>
                <w:rFonts w:ascii="Arial"/>
                <w:sz w:val="18"/>
              </w:rPr>
              <w:t>5.92</w:t>
            </w:r>
          </w:p>
        </w:tc>
      </w:tr>
    </w:tbl>
    <w:p>
      <w:pPr>
        <w:spacing w:line="240" w:lineRule="auto" w:before="6"/>
        <w:rPr>
          <w:rFonts w:ascii="宋体" w:hAnsi="宋体" w:cs="宋体" w:eastAsia="宋体" w:hint="default"/>
          <w:sz w:val="5"/>
          <w:szCs w:val="5"/>
        </w:rPr>
      </w:pPr>
    </w:p>
    <w:p>
      <w:pPr>
        <w:pStyle w:val="BodyText"/>
        <w:spacing w:line="240" w:lineRule="auto"/>
        <w:ind w:right="996"/>
        <w:jc w:val="left"/>
      </w:pPr>
      <w:r>
        <w:rPr/>
        <w:t>期末单项金额重大并单项计提坏账准备的其他应收款：</w:t>
      </w:r>
    </w:p>
    <w:p>
      <w:pPr>
        <w:pStyle w:val="BodyText"/>
        <w:spacing w:line="357" w:lineRule="auto" w:before="157"/>
        <w:ind w:right="5474"/>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7"/>
        </w:rPr>
        <w:t> </w:t>
      </w:r>
      <w:r>
        <w:rPr/>
        <w:t>不适用</w:t>
      </w:r>
      <w:r>
        <w:rPr>
          <w:w w:val="99"/>
        </w:rPr>
        <w:t> </w:t>
      </w:r>
      <w:r>
        <w:rPr>
          <w:w w:val="95"/>
        </w:rPr>
        <w:t>组合中，按账龄分析法计提坏账准备的其他应收款：</w:t>
      </w:r>
      <w:r>
        <w:rPr/>
      </w:r>
    </w:p>
    <w:p>
      <w:pPr>
        <w:pStyle w:val="BodyText"/>
        <w:spacing w:line="240" w:lineRule="auto" w:before="54"/>
        <w:ind w:right="996"/>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2"/>
        </w:rPr>
        <w:t> </w:t>
      </w:r>
      <w:r>
        <w:rPr/>
        <w:t>不适用</w:t>
      </w:r>
    </w:p>
    <w:p>
      <w:pPr>
        <w:spacing w:line="240" w:lineRule="auto" w:before="5"/>
        <w:rPr>
          <w:rFonts w:ascii="宋体" w:hAnsi="宋体" w:cs="宋体" w:eastAsia="宋体" w:hint="default"/>
          <w:sz w:val="9"/>
          <w:szCs w:val="9"/>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Arial" w:hAnsi="Arial" w:cs="Arial" w:eastAsia="Arial" w:hint="default"/>
                <w:sz w:val="18"/>
                <w:szCs w:val="18"/>
              </w:rPr>
            </w:pPr>
            <w:r>
              <w:rPr>
                <w:rFonts w:ascii="Arial"/>
                <w:spacing w:val="-1"/>
                <w:sz w:val="18"/>
              </w:rPr>
              <w:t>26,153.85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1,307.69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4,512,000.00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451,200.00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10.00%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1,000.00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Arial" w:hAnsi="Arial" w:cs="Arial" w:eastAsia="Arial" w:hint="default"/>
                <w:sz w:val="18"/>
                <w:szCs w:val="18"/>
              </w:rPr>
            </w:pPr>
            <w:r>
              <w:rPr>
                <w:rFonts w:ascii="Arial"/>
                <w:spacing w:val="-1"/>
                <w:sz w:val="18"/>
              </w:rPr>
              <w:t>300.00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30.00%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3,858,523.93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3,858,523.93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8,397,677.78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2"/>
                <w:sz w:val="18"/>
              </w:rPr>
              <w:t>4,311,331.62</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5"/>
          <w:szCs w:val="5"/>
        </w:rPr>
      </w:pPr>
    </w:p>
    <w:p>
      <w:pPr>
        <w:pStyle w:val="BodyText"/>
        <w:spacing w:line="240" w:lineRule="auto"/>
        <w:ind w:right="996"/>
        <w:jc w:val="left"/>
      </w:pPr>
      <w:r>
        <w:rPr/>
        <w:t>组合中，采用其他方法计提坏账准备的其他应收款：</w:t>
      </w:r>
    </w:p>
    <w:p>
      <w:pPr>
        <w:pStyle w:val="BodyText"/>
        <w:spacing w:line="430" w:lineRule="atLeast" w:before="17"/>
        <w:ind w:left="540" w:right="996" w:hanging="428"/>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r>
        <w:rPr>
          <w:w w:val="99"/>
        </w:rPr>
        <w:t> </w:t>
      </w:r>
      <w:r>
        <w:rPr>
          <w:w w:val="95"/>
        </w:rPr>
        <w:t>根据公司信用风险特征组合计提坏账准备的方法，备用金及押金期末余额</w:t>
      </w:r>
      <w:r>
        <w:rPr>
          <w:rFonts w:ascii="Arial" w:hAnsi="Arial" w:cs="Arial" w:eastAsia="Arial" w:hint="default"/>
          <w:w w:val="95"/>
        </w:rPr>
        <w:t>408,471.33</w:t>
      </w:r>
      <w:r>
        <w:rPr>
          <w:w w:val="95"/>
        </w:rPr>
        <w:t>元，不计提坏账</w:t>
      </w:r>
      <w:r>
        <w:rPr/>
      </w:r>
    </w:p>
    <w:p>
      <w:pPr>
        <w:pStyle w:val="BodyText"/>
        <w:spacing w:line="240" w:lineRule="auto" w:before="22"/>
        <w:ind w:right="996"/>
        <w:jc w:val="left"/>
      </w:pPr>
      <w:r>
        <w:rPr/>
        <w:t>准备；集团内借款及保证金余额为</w:t>
      </w:r>
      <w:r>
        <w:rPr>
          <w:rFonts w:ascii="Arial" w:hAnsi="Arial" w:cs="Arial" w:eastAsia="Arial" w:hint="default"/>
        </w:rPr>
        <w:t>144,763,202.39</w:t>
      </w:r>
      <w:r>
        <w:rPr/>
        <w:t>元，不计提坏账。</w:t>
      </w:r>
    </w:p>
    <w:p>
      <w:pPr>
        <w:spacing w:line="357" w:lineRule="auto" w:before="142"/>
        <w:ind w:left="540" w:right="996" w:hanging="428"/>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49"/>
          <w:sz w:val="21"/>
          <w:szCs w:val="21"/>
        </w:rPr>
        <w:t> </w:t>
      </w:r>
      <w:r>
        <w:rPr>
          <w:rFonts w:ascii="宋体" w:hAnsi="宋体" w:cs="宋体" w:eastAsia="宋体" w:hint="default"/>
          <w:b/>
          <w:bCs/>
          <w:sz w:val="21"/>
          <w:szCs w:val="21"/>
        </w:rPr>
        <w:t>本期计提、收回或转回的坏账准备情况</w:t>
      </w:r>
      <w:r>
        <w:rPr>
          <w:rFonts w:ascii="宋体" w:hAnsi="宋体" w:cs="宋体" w:eastAsia="宋体" w:hint="default"/>
          <w:b/>
          <w:bCs/>
          <w:w w:val="99"/>
          <w:sz w:val="21"/>
          <w:szCs w:val="21"/>
        </w:rPr>
        <w:t> </w:t>
      </w:r>
      <w:r>
        <w:rPr>
          <w:rFonts w:ascii="宋体" w:hAnsi="宋体" w:cs="宋体" w:eastAsia="宋体" w:hint="default"/>
          <w:w w:val="95"/>
          <w:sz w:val="21"/>
          <w:szCs w:val="21"/>
        </w:rPr>
        <w:t>本期计提坏账准备金额</w:t>
      </w:r>
      <w:r>
        <w:rPr>
          <w:rFonts w:ascii="Arial" w:hAnsi="Arial" w:cs="Arial" w:eastAsia="Arial" w:hint="default"/>
          <w:w w:val="95"/>
          <w:sz w:val="21"/>
          <w:szCs w:val="21"/>
        </w:rPr>
        <w:t>92,507.69</w:t>
      </w:r>
      <w:r>
        <w:rPr>
          <w:rFonts w:ascii="宋体" w:hAnsi="宋体" w:cs="宋体" w:eastAsia="宋体" w:hint="default"/>
          <w:w w:val="95"/>
          <w:sz w:val="21"/>
          <w:szCs w:val="21"/>
        </w:rPr>
        <w:t>元；本期收回或转回坏账准备金额</w:t>
      </w:r>
      <w:r>
        <w:rPr>
          <w:rFonts w:ascii="Arial" w:hAnsi="Arial" w:cs="Arial" w:eastAsia="Arial" w:hint="default"/>
          <w:w w:val="95"/>
          <w:sz w:val="21"/>
          <w:szCs w:val="21"/>
        </w:rPr>
        <w:t>0.00</w:t>
      </w:r>
      <w:r>
        <w:rPr>
          <w:rFonts w:ascii="宋体" w:hAnsi="宋体" w:cs="宋体" w:eastAsia="宋体" w:hint="default"/>
          <w:w w:val="95"/>
          <w:sz w:val="21"/>
          <w:szCs w:val="21"/>
        </w:rPr>
        <w:t>元。</w:t>
      </w:r>
      <w:r>
        <w:rPr>
          <w:rFonts w:ascii="宋体" w:hAnsi="宋体" w:cs="宋体" w:eastAsia="宋体" w:hint="default"/>
          <w:sz w:val="21"/>
          <w:szCs w:val="21"/>
        </w:rPr>
      </w:r>
    </w:p>
    <w:p>
      <w:pPr>
        <w:pStyle w:val="Heading4"/>
        <w:spacing w:line="240" w:lineRule="auto" w:before="27"/>
        <w:ind w:right="996"/>
        <w:jc w:val="left"/>
        <w:rPr>
          <w:b w:val="0"/>
          <w:bCs w:val="0"/>
        </w:rPr>
      </w:pPr>
      <w:r>
        <w:rPr>
          <w:rFonts w:ascii="Arial" w:hAnsi="Arial" w:cs="Arial" w:eastAsia="Arial" w:hint="default"/>
        </w:rPr>
        <w:t>3)</w:t>
      </w:r>
      <w:r>
        <w:rPr>
          <w:rFonts w:ascii="Arial" w:hAnsi="Arial" w:cs="Arial" w:eastAsia="Arial" w:hint="default"/>
          <w:spacing w:val="41"/>
        </w:rPr>
        <w:t> </w:t>
      </w:r>
      <w:r>
        <w:rPr/>
        <w:t>本期实际核销的其他应收款情况</w:t>
      </w:r>
      <w:r>
        <w:rPr>
          <w:b w:val="0"/>
          <w:bCs w:val="0"/>
        </w:rPr>
      </w:r>
    </w:p>
    <w:p>
      <w:pPr>
        <w:spacing w:before="167"/>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4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237,000.00</w:t>
            </w:r>
          </w:p>
        </w:tc>
      </w:tr>
    </w:tbl>
    <w:p>
      <w:pPr>
        <w:spacing w:line="240" w:lineRule="auto" w:before="6"/>
        <w:rPr>
          <w:rFonts w:ascii="宋体" w:hAnsi="宋体" w:cs="宋体" w:eastAsia="宋体" w:hint="default"/>
          <w:sz w:val="5"/>
          <w:szCs w:val="5"/>
        </w:rPr>
      </w:pPr>
    </w:p>
    <w:p>
      <w:pPr>
        <w:pStyle w:val="BodyText"/>
        <w:spacing w:line="240" w:lineRule="auto"/>
        <w:ind w:right="996"/>
        <w:jc w:val="left"/>
      </w:pPr>
      <w:r>
        <w:rPr/>
        <w:t>其他应收款核销说明：</w:t>
      </w:r>
    </w:p>
    <w:p>
      <w:pPr>
        <w:pStyle w:val="BodyText"/>
        <w:spacing w:line="259" w:lineRule="auto" w:before="157"/>
        <w:ind w:right="996" w:firstLine="420"/>
        <w:jc w:val="left"/>
      </w:pPr>
      <w:r>
        <w:rPr>
          <w:rFonts w:ascii="Arial" w:hAnsi="Arial" w:cs="Arial" w:eastAsia="Arial" w:hint="default"/>
          <w:w w:val="95"/>
        </w:rPr>
        <w:t>2018</w:t>
      </w:r>
      <w:r>
        <w:rPr>
          <w:w w:val="95"/>
        </w:rPr>
        <w:t>年</w:t>
      </w:r>
      <w:r>
        <w:rPr>
          <w:rFonts w:ascii="Arial" w:hAnsi="Arial" w:cs="Arial" w:eastAsia="Arial" w:hint="default"/>
          <w:w w:val="95"/>
        </w:rPr>
        <w:t>12</w:t>
      </w:r>
      <w:r>
        <w:rPr>
          <w:w w:val="95"/>
        </w:rPr>
        <w:t>月</w:t>
      </w:r>
      <w:r>
        <w:rPr>
          <w:rFonts w:ascii="Arial" w:hAnsi="Arial" w:cs="Arial" w:eastAsia="Arial" w:hint="default"/>
          <w:w w:val="95"/>
        </w:rPr>
        <w:t>20</w:t>
      </w:r>
      <w:r>
        <w:rPr>
          <w:w w:val="95"/>
        </w:rPr>
        <w:t>日，公司召开的第六届董事会第三十八次会议审议通过了《关于坏账核销的议案》，</w:t>
      </w:r>
      <w:r>
        <w:rPr>
          <w:spacing w:val="-85"/>
          <w:w w:val="95"/>
        </w:rPr>
        <w:t> </w:t>
      </w:r>
      <w:r>
        <w:rPr>
          <w:spacing w:val="-85"/>
          <w:w w:val="95"/>
        </w:rPr>
      </w:r>
      <w:r>
        <w:rPr/>
        <w:t>核销了</w:t>
      </w:r>
      <w:r>
        <w:rPr>
          <w:rFonts w:ascii="Arial" w:hAnsi="Arial" w:cs="Arial" w:eastAsia="Arial" w:hint="default"/>
        </w:rPr>
        <w:t>10</w:t>
      </w:r>
      <w:r>
        <w:rPr/>
        <w:t>笔小额其他应收款，合计</w:t>
      </w:r>
      <w:r>
        <w:rPr>
          <w:rFonts w:ascii="Arial" w:hAnsi="Arial" w:cs="Arial" w:eastAsia="Arial" w:hint="default"/>
        </w:rPr>
        <w:t>237,000.00</w:t>
      </w:r>
      <w:r>
        <w:rPr/>
        <w:t>元。</w:t>
      </w:r>
    </w:p>
    <w:p>
      <w:pPr>
        <w:spacing w:after="0" w:line="259" w:lineRule="auto"/>
        <w:jc w:val="left"/>
        <w:sectPr>
          <w:pgSz w:w="11910" w:h="16840"/>
          <w:pgMar w:header="878" w:footer="978" w:top="1100" w:bottom="1160" w:left="1020" w:right="0"/>
        </w:sectPr>
      </w:pPr>
    </w:p>
    <w:p>
      <w:pPr>
        <w:spacing w:line="240" w:lineRule="auto" w:before="12"/>
        <w:rPr>
          <w:rFonts w:ascii="宋体" w:hAnsi="宋体" w:cs="宋体" w:eastAsia="宋体" w:hint="default"/>
          <w:sz w:val="20"/>
          <w:szCs w:val="20"/>
        </w:rPr>
      </w:pPr>
    </w:p>
    <w:p>
      <w:pPr>
        <w:pStyle w:val="Heading4"/>
        <w:spacing w:line="240" w:lineRule="auto" w:before="34"/>
        <w:ind w:right="996"/>
        <w:jc w:val="left"/>
        <w:rPr>
          <w:b w:val="0"/>
          <w:bCs w:val="0"/>
        </w:rPr>
      </w:pPr>
      <w:r>
        <w:rPr>
          <w:rFonts w:ascii="Arial" w:hAnsi="Arial" w:cs="Arial" w:eastAsia="Arial" w:hint="default"/>
        </w:rPr>
        <w:t>4)</w:t>
      </w:r>
      <w:r>
        <w:rPr>
          <w:rFonts w:ascii="Arial" w:hAnsi="Arial" w:cs="Arial" w:eastAsia="Arial" w:hint="default"/>
          <w:spacing w:val="41"/>
        </w:rPr>
        <w:t> </w:t>
      </w:r>
      <w:r>
        <w:rPr/>
        <w:t>其他应收款按款项性质分类情况</w:t>
      </w:r>
      <w:r>
        <w:rPr>
          <w:b w:val="0"/>
          <w:bCs w:val="0"/>
        </w:rPr>
      </w:r>
    </w:p>
    <w:p>
      <w:pPr>
        <w:spacing w:line="240" w:lineRule="auto" w:before="5"/>
        <w:rPr>
          <w:rFonts w:ascii="宋体" w:hAnsi="宋体" w:cs="宋体" w:eastAsia="宋体" w:hint="default"/>
          <w:b/>
          <w:bCs/>
          <w:sz w:val="9"/>
          <w:szCs w:val="9"/>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3,525,523.93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3,697,923.93</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296,000.00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470,200.00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备用金及押金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408,471.33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2"/>
                <w:sz w:val="18"/>
              </w:rPr>
              <w:t>11,143.00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股票期权行权款</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38,891.30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集团内借款及保证金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144,763,202.39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105,763,202.39</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股权收购补偿款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4,500,000.00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5,000,000.00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76,153.85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615,949.23</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153,569,351.50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2"/>
                <w:sz w:val="18"/>
              </w:rPr>
              <w:t>115,597,309.85</w:t>
            </w:r>
          </w:p>
        </w:tc>
      </w:tr>
    </w:tbl>
    <w:p>
      <w:pPr>
        <w:spacing w:line="240" w:lineRule="auto" w:before="6"/>
        <w:rPr>
          <w:rFonts w:ascii="宋体" w:hAnsi="宋体" w:cs="宋体" w:eastAsia="宋体" w:hint="default"/>
          <w:sz w:val="5"/>
          <w:szCs w:val="5"/>
        </w:rPr>
      </w:pPr>
    </w:p>
    <w:p>
      <w:pPr>
        <w:pStyle w:val="Heading4"/>
        <w:spacing w:line="240" w:lineRule="auto" w:before="34"/>
        <w:ind w:right="996"/>
        <w:jc w:val="left"/>
        <w:rPr>
          <w:b w:val="0"/>
          <w:bCs w:val="0"/>
        </w:rPr>
      </w:pPr>
      <w:r>
        <w:rPr>
          <w:rFonts w:ascii="Arial" w:hAnsi="Arial" w:cs="Arial" w:eastAsia="Arial" w:hint="default"/>
        </w:rPr>
        <w:t>5)</w:t>
      </w:r>
      <w:r>
        <w:rPr>
          <w:rFonts w:ascii="Arial" w:hAnsi="Arial" w:cs="Arial" w:eastAsia="Arial" w:hint="default"/>
          <w:spacing w:val="40"/>
        </w:rPr>
        <w:t> </w:t>
      </w:r>
      <w:r>
        <w:rPr/>
        <w:t>按欠款方归集的期末余额前五名的其他应收款情况</w:t>
      </w:r>
      <w:r>
        <w:rPr>
          <w:b w:val="0"/>
          <w:bCs w:val="0"/>
        </w:rPr>
      </w:r>
    </w:p>
    <w:p>
      <w:pPr>
        <w:spacing w:line="240" w:lineRule="auto" w:before="5"/>
        <w:rPr>
          <w:rFonts w:ascii="宋体" w:hAnsi="宋体" w:cs="宋体" w:eastAsia="宋体" w:hint="default"/>
          <w:b/>
          <w:bCs/>
          <w:sz w:val="9"/>
          <w:szCs w:val="9"/>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77"/>
        <w:gridCol w:w="1559"/>
        <w:gridCol w:w="1418"/>
        <w:gridCol w:w="992"/>
        <w:gridCol w:w="1559"/>
        <w:gridCol w:w="1064"/>
      </w:tblGrid>
      <w:tr>
        <w:trPr>
          <w:trHeight w:val="714"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3" w:right="53"/>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56" w:right="76" w:hanging="180"/>
              <w:jc w:val="left"/>
              <w:rPr>
                <w:rFonts w:ascii="宋体" w:hAnsi="宋体" w:cs="宋体" w:eastAsia="宋体" w:hint="default"/>
                <w:sz w:val="18"/>
                <w:szCs w:val="18"/>
              </w:rPr>
            </w:pPr>
            <w:r>
              <w:rPr>
                <w:rFonts w:ascii="宋体" w:hAnsi="宋体" w:cs="宋体" w:eastAsia="宋体" w:hint="default"/>
                <w:sz w:val="18"/>
                <w:szCs w:val="18"/>
              </w:rPr>
              <w:t>坏账准备期 末余额</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北京华宇信息技术有限公司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集团内借款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75,941,410.96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年以内</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49.45%</w:t>
            </w: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华宇（大连）信息服务有限公司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集团内借款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48,500,000.00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年以内</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31.58%</w:t>
            </w: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北京亿信华辰软件有限责任公司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集团内借款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15,000,000.00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年以内</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9.77%</w:t>
            </w: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北京华宇信码技术有限公司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集团内借款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5,321,791.43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年以内</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3.47%</w:t>
            </w: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蒋延春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股权收购补偿款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4,500,000.00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2.93%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450,000.00</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Arial" w:hAnsi="Arial" w:cs="Arial" w:eastAsia="Arial" w:hint="default"/>
                <w:sz w:val="18"/>
                <w:szCs w:val="18"/>
              </w:rPr>
            </w:pPr>
            <w:r>
              <w:rPr>
                <w:rFonts w:ascii="Arial"/>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149,263,202.39</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Arial" w:hAnsi="Arial" w:cs="Arial" w:eastAsia="Arial" w:hint="default"/>
                <w:sz w:val="18"/>
                <w:szCs w:val="18"/>
              </w:rPr>
            </w:pPr>
            <w:r>
              <w:rPr>
                <w:rFonts w:ascii="Arial"/>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97.20%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450,000.00</w:t>
            </w:r>
          </w:p>
        </w:tc>
      </w:tr>
    </w:tbl>
    <w:p>
      <w:pPr>
        <w:spacing w:line="240" w:lineRule="auto" w:before="4"/>
        <w:rPr>
          <w:rFonts w:ascii="宋体" w:hAnsi="宋体" w:cs="宋体" w:eastAsia="宋体" w:hint="default"/>
          <w:sz w:val="19"/>
          <w:szCs w:val="19"/>
        </w:rPr>
      </w:pPr>
    </w:p>
    <w:p>
      <w:pPr>
        <w:pStyle w:val="Heading4"/>
        <w:spacing w:line="240" w:lineRule="auto" w:before="34"/>
        <w:ind w:right="996"/>
        <w:jc w:val="left"/>
        <w:rPr>
          <w:b w:val="0"/>
          <w:bCs w:val="0"/>
        </w:rPr>
      </w:pPr>
      <w:bookmarkStart w:name="3、长期股权投资" w:id="332"/>
      <w:bookmarkEnd w:id="332"/>
      <w:r>
        <w:rPr>
          <w:b w:val="0"/>
          <w:bCs w:val="0"/>
        </w:rPr>
      </w:r>
      <w:r>
        <w:rPr>
          <w:rFonts w:ascii="Arial" w:hAnsi="Arial" w:cs="Arial" w:eastAsia="Arial" w:hint="default"/>
        </w:rPr>
        <w:t>3</w:t>
      </w:r>
      <w:r>
        <w:rPr/>
        <w:t>、长期股权投资</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56"/>
        <w:gridCol w:w="1458"/>
        <w:gridCol w:w="776"/>
        <w:gridCol w:w="1458"/>
        <w:gridCol w:w="1458"/>
        <w:gridCol w:w="776"/>
        <w:gridCol w:w="1824"/>
      </w:tblGrid>
      <w:tr>
        <w:trPr>
          <w:trHeight w:val="402" w:hRule="exact"/>
        </w:trPr>
        <w:tc>
          <w:tcPr>
            <w:tcW w:w="18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5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56" w:type="dxa"/>
            <w:vMerge/>
            <w:tcBorders>
              <w:left w:val="single" w:sz="4" w:space="0" w:color="000000"/>
              <w:bottom w:val="single" w:sz="4" w:space="0" w:color="000000"/>
              <w:right w:val="single" w:sz="4" w:space="0" w:color="000000"/>
            </w:tcBorders>
            <w:shd w:val="clear" w:color="auto" w:fill="D2D2D2"/>
          </w:tcPr>
          <w:p>
            <w:pPr/>
          </w:p>
        </w:tc>
        <w:tc>
          <w:tcPr>
            <w:tcW w:w="1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 w:right="0"/>
              <w:jc w:val="center"/>
              <w:rPr>
                <w:rFonts w:ascii="Arial" w:hAnsi="Arial" w:cs="Arial" w:eastAsia="Arial" w:hint="default"/>
                <w:sz w:val="18"/>
                <w:szCs w:val="18"/>
              </w:rPr>
            </w:pPr>
            <w:r>
              <w:rPr>
                <w:rFonts w:ascii="Arial"/>
                <w:sz w:val="18"/>
              </w:rPr>
              <w:t>2,554,501,581.68</w:t>
            </w:r>
          </w:p>
        </w:tc>
        <w:tc>
          <w:tcPr>
            <w:tcW w:w="776"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 w:right="0"/>
              <w:jc w:val="center"/>
              <w:rPr>
                <w:rFonts w:ascii="Arial" w:hAnsi="Arial" w:cs="Arial" w:eastAsia="Arial" w:hint="default"/>
                <w:sz w:val="18"/>
                <w:szCs w:val="18"/>
              </w:rPr>
            </w:pPr>
            <w:r>
              <w:rPr>
                <w:rFonts w:ascii="Arial"/>
                <w:sz w:val="18"/>
              </w:rPr>
              <w:t>2,554,501,581.68</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2,518,972,667.33</w:t>
            </w:r>
          </w:p>
        </w:tc>
        <w:tc>
          <w:tcPr>
            <w:tcW w:w="776"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2,518,972,667.33</w:t>
            </w:r>
          </w:p>
        </w:tc>
      </w:tr>
      <w:tr>
        <w:trPr>
          <w:trHeight w:val="402" w:hRule="exact"/>
        </w:trPr>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45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44,153,586.61</w:t>
            </w:r>
          </w:p>
        </w:tc>
        <w:tc>
          <w:tcPr>
            <w:tcW w:w="776"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44,153,586.61</w:t>
            </w:r>
          </w:p>
        </w:tc>
      </w:tr>
      <w:tr>
        <w:trPr>
          <w:trHeight w:val="402" w:hRule="exact"/>
        </w:trPr>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 w:right="0"/>
              <w:jc w:val="center"/>
              <w:rPr>
                <w:rFonts w:ascii="Arial" w:hAnsi="Arial" w:cs="Arial" w:eastAsia="Arial" w:hint="default"/>
                <w:sz w:val="18"/>
                <w:szCs w:val="18"/>
              </w:rPr>
            </w:pPr>
            <w:r>
              <w:rPr>
                <w:rFonts w:ascii="Arial"/>
                <w:sz w:val="18"/>
              </w:rPr>
              <w:t>2,554,501,581.68</w:t>
            </w:r>
          </w:p>
        </w:tc>
        <w:tc>
          <w:tcPr>
            <w:tcW w:w="776"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 w:right="0"/>
              <w:jc w:val="center"/>
              <w:rPr>
                <w:rFonts w:ascii="Arial" w:hAnsi="Arial" w:cs="Arial" w:eastAsia="Arial" w:hint="default"/>
                <w:sz w:val="18"/>
                <w:szCs w:val="18"/>
              </w:rPr>
            </w:pPr>
            <w:r>
              <w:rPr>
                <w:rFonts w:ascii="Arial"/>
                <w:sz w:val="18"/>
              </w:rPr>
              <w:t>2,554,501,581.68</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2,563,126,253.94</w:t>
            </w:r>
          </w:p>
        </w:tc>
        <w:tc>
          <w:tcPr>
            <w:tcW w:w="776"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2,563,126,253.94</w:t>
            </w:r>
          </w:p>
        </w:tc>
      </w:tr>
    </w:tbl>
    <w:p>
      <w:pPr>
        <w:spacing w:line="240" w:lineRule="auto" w:before="5"/>
        <w:rPr>
          <w:rFonts w:ascii="宋体" w:hAnsi="宋体" w:cs="宋体" w:eastAsia="宋体" w:hint="default"/>
          <w:sz w:val="19"/>
          <w:szCs w:val="19"/>
        </w:rPr>
      </w:pPr>
    </w:p>
    <w:p>
      <w:pPr>
        <w:pStyle w:val="Heading4"/>
        <w:spacing w:line="240" w:lineRule="auto" w:before="34"/>
        <w:ind w:right="996"/>
        <w:jc w:val="left"/>
        <w:rPr>
          <w:b w:val="0"/>
          <w:bCs w:val="0"/>
        </w:rPr>
      </w:pPr>
      <w:bookmarkStart w:name="（1）对子公司投资" w:id="333"/>
      <w:bookmarkEnd w:id="333"/>
      <w:r>
        <w:rPr>
          <w:b w:val="0"/>
          <w:bCs w:val="0"/>
        </w:rPr>
      </w:r>
      <w:r>
        <w:rPr/>
        <w:t>（</w:t>
      </w:r>
      <w:r>
        <w:rPr>
          <w:rFonts w:ascii="Arial" w:hAnsi="Arial" w:cs="Arial" w:eastAsia="Arial" w:hint="default"/>
        </w:rPr>
        <w:t>1</w:t>
      </w:r>
      <w:r>
        <w:rPr/>
        <w:t>）对子公司投资</w:t>
      </w:r>
      <w:r>
        <w:rPr>
          <w:b w:val="0"/>
          <w:bCs w:val="0"/>
        </w:rPr>
      </w:r>
    </w:p>
    <w:p>
      <w:pPr>
        <w:spacing w:line="240" w:lineRule="auto" w:before="13"/>
        <w:rPr>
          <w:rFonts w:ascii="宋体" w:hAnsi="宋体" w:cs="宋体" w:eastAsia="宋体" w:hint="default"/>
          <w:b/>
          <w:bCs/>
          <w:sz w:val="22"/>
          <w:szCs w:val="22"/>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77"/>
        <w:gridCol w:w="1559"/>
        <w:gridCol w:w="1276"/>
        <w:gridCol w:w="992"/>
        <w:gridCol w:w="1564"/>
        <w:gridCol w:w="619"/>
        <w:gridCol w:w="613"/>
      </w:tblGrid>
      <w:tr>
        <w:trPr>
          <w:trHeight w:val="672"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1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4"/>
              <w:jc w:val="left"/>
              <w:rPr>
                <w:rFonts w:ascii="宋体" w:hAnsi="宋体" w:cs="宋体" w:eastAsia="宋体" w:hint="default"/>
                <w:sz w:val="18"/>
                <w:szCs w:val="18"/>
              </w:rPr>
            </w:pPr>
            <w:r>
              <w:rPr>
                <w:rFonts w:ascii="宋体" w:hAnsi="宋体" w:cs="宋体" w:eastAsia="宋体" w:hint="default"/>
                <w:sz w:val="18"/>
                <w:szCs w:val="18"/>
              </w:rPr>
              <w:t>本期计 提减值</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0" w:right="30"/>
              <w:jc w:val="left"/>
              <w:rPr>
                <w:rFonts w:ascii="宋体" w:hAnsi="宋体" w:cs="宋体" w:eastAsia="宋体" w:hint="default"/>
                <w:sz w:val="18"/>
                <w:szCs w:val="18"/>
              </w:rPr>
            </w:pPr>
            <w:r>
              <w:rPr>
                <w:rFonts w:ascii="宋体" w:hAnsi="宋体" w:cs="宋体" w:eastAsia="宋体" w:hint="default"/>
                <w:sz w:val="18"/>
                <w:szCs w:val="18"/>
              </w:rPr>
              <w:t>减值准 备期末</w:t>
            </w:r>
          </w:p>
        </w:tc>
      </w:tr>
    </w:tbl>
    <w:p>
      <w:pPr>
        <w:spacing w:after="0" w:line="316" w:lineRule="auto"/>
        <w:jc w:val="left"/>
        <w:rPr>
          <w:rFonts w:ascii="宋体" w:hAnsi="宋体" w:cs="宋体" w:eastAsia="宋体" w:hint="default"/>
          <w:sz w:val="18"/>
          <w:szCs w:val="18"/>
        </w:rPr>
        <w:sectPr>
          <w:footerReference w:type="default" r:id="rId47"/>
          <w:pgSz w:w="11910" w:h="16840"/>
          <w:pgMar w:footer="978" w:header="878" w:top="1100" w:bottom="1160" w:left="1020" w:right="0"/>
          <w:pgNumType w:start="17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977"/>
        <w:gridCol w:w="1559"/>
        <w:gridCol w:w="1276"/>
        <w:gridCol w:w="992"/>
        <w:gridCol w:w="1564"/>
        <w:gridCol w:w="619"/>
        <w:gridCol w:w="613"/>
      </w:tblGrid>
      <w:tr>
        <w:trPr>
          <w:trHeight w:val="362"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4"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余额</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北京亿信华辰软件有限责任公司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36,169,571.08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135,972.84</w:t>
            </w:r>
          </w:p>
        </w:tc>
        <w:tc>
          <w:tcPr>
            <w:tcW w:w="992"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36,305,543.92</w:t>
            </w:r>
          </w:p>
        </w:tc>
        <w:tc>
          <w:tcPr>
            <w:tcW w:w="619"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广州华宇信息技术有限公司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48,925,091.01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143,402.21</w:t>
            </w:r>
          </w:p>
        </w:tc>
        <w:tc>
          <w:tcPr>
            <w:tcW w:w="992"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49,068,493.22</w:t>
            </w:r>
          </w:p>
        </w:tc>
        <w:tc>
          <w:tcPr>
            <w:tcW w:w="619"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广州数字方舟信息技术有限公司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479,864.40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381,654.02</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98,210.38</w:t>
            </w:r>
          </w:p>
        </w:tc>
        <w:tc>
          <w:tcPr>
            <w:tcW w:w="619"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北京华宇信息技术有限公司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121,024,177.18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1,522,086.68</w:t>
            </w:r>
          </w:p>
        </w:tc>
        <w:tc>
          <w:tcPr>
            <w:tcW w:w="992"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122,546,263.86</w:t>
            </w:r>
          </w:p>
        </w:tc>
        <w:tc>
          <w:tcPr>
            <w:tcW w:w="619"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华宇金信（北京）软件有限公司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203,220,357.06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27,248,083.77</w:t>
            </w:r>
          </w:p>
        </w:tc>
        <w:tc>
          <w:tcPr>
            <w:tcW w:w="992"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230,468,440.83</w:t>
            </w:r>
          </w:p>
        </w:tc>
        <w:tc>
          <w:tcPr>
            <w:tcW w:w="619"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华宇金信（深圳）信息技术有限公司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16,305.99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8,229.33</w:t>
            </w:r>
          </w:p>
        </w:tc>
        <w:tc>
          <w:tcPr>
            <w:tcW w:w="992"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24,535.32</w:t>
            </w:r>
          </w:p>
        </w:tc>
        <w:tc>
          <w:tcPr>
            <w:tcW w:w="619"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华宇（大连）信息服务有限公司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122,139,207.09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243,493.76</w:t>
            </w:r>
          </w:p>
        </w:tc>
        <w:tc>
          <w:tcPr>
            <w:tcW w:w="992"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122,382,700.85</w:t>
            </w:r>
          </w:p>
        </w:tc>
        <w:tc>
          <w:tcPr>
            <w:tcW w:w="619"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北京华宇信码技术有限公司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6,120,000.00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6,120,000.00</w:t>
            </w:r>
          </w:p>
        </w:tc>
        <w:tc>
          <w:tcPr>
            <w:tcW w:w="619"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上海浦东华宇信息技术有限公司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152,714,566.76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273,826.32</w:t>
            </w:r>
          </w:p>
        </w:tc>
        <w:tc>
          <w:tcPr>
            <w:tcW w:w="992"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152,988,393.08</w:t>
            </w:r>
          </w:p>
        </w:tc>
        <w:tc>
          <w:tcPr>
            <w:tcW w:w="619"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北京万户网络技术有限公司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319,915,667.63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21,649.70</w:t>
            </w:r>
          </w:p>
        </w:tc>
        <w:tc>
          <w:tcPr>
            <w:tcW w:w="992"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319,937,317.33</w:t>
            </w:r>
          </w:p>
        </w:tc>
        <w:tc>
          <w:tcPr>
            <w:tcW w:w="619"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合肥万户网络技术有限公司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837,717.22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154,237.49</w:t>
            </w:r>
          </w:p>
        </w:tc>
        <w:tc>
          <w:tcPr>
            <w:tcW w:w="992"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991,954.71</w:t>
            </w:r>
          </w:p>
        </w:tc>
        <w:tc>
          <w:tcPr>
            <w:tcW w:w="619"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上海万户网络技术有限公司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213,885.24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44,282.52</w:t>
            </w:r>
          </w:p>
        </w:tc>
        <w:tc>
          <w:tcPr>
            <w:tcW w:w="992"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258,167.76</w:t>
            </w:r>
          </w:p>
        </w:tc>
        <w:tc>
          <w:tcPr>
            <w:tcW w:w="619"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北京华宇元典信息服务有限公司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12,446,256.67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2"/>
                <w:sz w:val="18"/>
              </w:rPr>
              <w:t>6,115,303.75</w:t>
            </w:r>
          </w:p>
        </w:tc>
        <w:tc>
          <w:tcPr>
            <w:tcW w:w="992"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18,561,560.42</w:t>
            </w:r>
          </w:p>
        </w:tc>
        <w:tc>
          <w:tcPr>
            <w:tcW w:w="619"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溯源云（北京）科技服务有限公司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6,750,000.00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6,750,000.00</w:t>
            </w:r>
          </w:p>
        </w:tc>
        <w:tc>
          <w:tcPr>
            <w:tcW w:w="619"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联奕科技有限公司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Arial" w:hAnsi="Arial" w:cs="Arial" w:eastAsia="Arial" w:hint="default"/>
                <w:sz w:val="18"/>
                <w:szCs w:val="18"/>
              </w:rPr>
            </w:pPr>
            <w:r>
              <w:rPr>
                <w:rFonts w:ascii="Arial"/>
                <w:spacing w:val="-1"/>
                <w:sz w:val="18"/>
              </w:rPr>
              <w:t>1,488,000,000.00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1"/>
                <w:sz w:val="18"/>
              </w:rPr>
              <w:t>1,488,000,000.00</w:t>
            </w:r>
          </w:p>
        </w:tc>
        <w:tc>
          <w:tcPr>
            <w:tcW w:w="619"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2,518,972,667.33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Arial" w:hAnsi="Arial" w:cs="Arial" w:eastAsia="Arial" w:hint="default"/>
                <w:sz w:val="18"/>
                <w:szCs w:val="18"/>
              </w:rPr>
            </w:pPr>
            <w:r>
              <w:rPr>
                <w:rFonts w:ascii="Arial"/>
                <w:spacing w:val="-1"/>
                <w:sz w:val="18"/>
              </w:rPr>
              <w:t>35,910,568.37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381,654.02</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Arial" w:hAnsi="Arial" w:cs="Arial" w:eastAsia="Arial" w:hint="default"/>
                <w:sz w:val="18"/>
                <w:szCs w:val="18"/>
              </w:rPr>
            </w:pPr>
            <w:r>
              <w:rPr>
                <w:rFonts w:ascii="Arial"/>
                <w:spacing w:val="-1"/>
                <w:sz w:val="18"/>
              </w:rPr>
              <w:t>2,554,501,581.68</w:t>
            </w:r>
          </w:p>
        </w:tc>
        <w:tc>
          <w:tcPr>
            <w:tcW w:w="619"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4"/>
        <w:spacing w:line="240" w:lineRule="auto" w:before="34"/>
        <w:ind w:right="996"/>
        <w:jc w:val="left"/>
        <w:rPr>
          <w:b w:val="0"/>
          <w:bCs w:val="0"/>
        </w:rPr>
      </w:pPr>
      <w:bookmarkStart w:name="（2）对联营、合营企业投资" w:id="334"/>
      <w:bookmarkEnd w:id="334"/>
      <w:r>
        <w:rPr>
          <w:b w:val="0"/>
          <w:bCs w:val="0"/>
        </w:rPr>
      </w:r>
      <w:r>
        <w:rPr/>
        <w:t>（</w:t>
      </w:r>
      <w:r>
        <w:rPr>
          <w:rFonts w:ascii="Arial" w:hAnsi="Arial" w:cs="Arial" w:eastAsia="Arial" w:hint="default"/>
        </w:rPr>
        <w:t>2</w:t>
      </w:r>
      <w:r>
        <w:rPr/>
        <w:t>）对联营、合营企业投资</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83"/>
        <w:gridCol w:w="1208"/>
        <w:gridCol w:w="396"/>
        <w:gridCol w:w="396"/>
        <w:gridCol w:w="1383"/>
        <w:gridCol w:w="610"/>
        <w:gridCol w:w="1116"/>
        <w:gridCol w:w="677"/>
        <w:gridCol w:w="597"/>
        <w:gridCol w:w="1388"/>
        <w:gridCol w:w="427"/>
        <w:gridCol w:w="419"/>
      </w:tblGrid>
      <w:tr>
        <w:trPr>
          <w:trHeight w:val="402" w:hRule="exact"/>
        </w:trPr>
        <w:tc>
          <w:tcPr>
            <w:tcW w:w="9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2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56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4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16" w:lineRule="auto"/>
              <w:ind w:left="28" w:right="26"/>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4" w:right="23"/>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1338" w:hRule="exact"/>
        </w:trPr>
        <w:tc>
          <w:tcPr>
            <w:tcW w:w="983" w:type="dxa"/>
            <w:vMerge/>
            <w:tcBorders>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02"/>
              <w:jc w:val="both"/>
              <w:rPr>
                <w:rFonts w:ascii="宋体" w:hAnsi="宋体" w:cs="宋体" w:eastAsia="宋体" w:hint="default"/>
                <w:sz w:val="18"/>
                <w:szCs w:val="18"/>
              </w:rPr>
            </w:pPr>
            <w:r>
              <w:rPr>
                <w:rFonts w:ascii="宋体" w:hAnsi="宋体" w:cs="宋体" w:eastAsia="宋体" w:hint="default"/>
                <w:sz w:val="18"/>
                <w:szCs w:val="18"/>
              </w:rPr>
              <w:t>追 加 投 资</w:t>
            </w:r>
          </w:p>
        </w:tc>
        <w:tc>
          <w:tcPr>
            <w:tcW w:w="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02"/>
              <w:jc w:val="both"/>
              <w:rPr>
                <w:rFonts w:ascii="宋体" w:hAnsi="宋体" w:cs="宋体" w:eastAsia="宋体" w:hint="default"/>
                <w:sz w:val="18"/>
                <w:szCs w:val="18"/>
              </w:rPr>
            </w:pPr>
            <w:r>
              <w:rPr>
                <w:rFonts w:ascii="宋体" w:hAnsi="宋体" w:cs="宋体" w:eastAsia="宋体" w:hint="default"/>
                <w:sz w:val="18"/>
                <w:szCs w:val="18"/>
              </w:rPr>
              <w:t>减 少 投 资</w:t>
            </w:r>
          </w:p>
        </w:tc>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325" w:right="54" w:hanging="269"/>
              <w:jc w:val="left"/>
              <w:rPr>
                <w:rFonts w:ascii="宋体" w:hAnsi="宋体" w:cs="宋体" w:eastAsia="宋体" w:hint="default"/>
                <w:sz w:val="18"/>
                <w:szCs w:val="18"/>
              </w:rPr>
            </w:pPr>
            <w:r>
              <w:rPr>
                <w:rFonts w:ascii="宋体" w:hAnsi="宋体" w:cs="宋体" w:eastAsia="宋体" w:hint="default"/>
                <w:sz w:val="18"/>
                <w:szCs w:val="18"/>
              </w:rPr>
              <w:t>权益法下确认的 投资损益</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9" w:right="28"/>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1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463" w:right="100" w:hanging="360"/>
              <w:jc w:val="left"/>
              <w:rPr>
                <w:rFonts w:ascii="宋体" w:hAnsi="宋体" w:cs="宋体" w:eastAsia="宋体" w:hint="default"/>
                <w:sz w:val="18"/>
                <w:szCs w:val="18"/>
              </w:rPr>
            </w:pPr>
            <w:r>
              <w:rPr>
                <w:rFonts w:ascii="宋体" w:hAnsi="宋体" w:cs="宋体" w:eastAsia="宋体" w:hint="default"/>
                <w:sz w:val="18"/>
                <w:szCs w:val="18"/>
              </w:rPr>
              <w:t>其他权益变 动</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2" w:right="6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4" w:right="21"/>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427" w:type="dxa"/>
            <w:vMerge/>
            <w:tcBorders>
              <w:left w:val="single" w:sz="4" w:space="0" w:color="000000"/>
              <w:bottom w:val="single" w:sz="4" w:space="0" w:color="000000"/>
              <w:right w:val="single" w:sz="4" w:space="0" w:color="000000"/>
            </w:tcBorders>
            <w:shd w:val="clear" w:color="auto" w:fill="D2D2D2"/>
          </w:tcPr>
          <w:p>
            <w:pPr/>
          </w:p>
        </w:tc>
        <w:tc>
          <w:tcPr>
            <w:tcW w:w="41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60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60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8"/>
              <w:jc w:val="both"/>
              <w:rPr>
                <w:rFonts w:ascii="宋体" w:hAnsi="宋体" w:cs="宋体" w:eastAsia="宋体" w:hint="default"/>
                <w:sz w:val="18"/>
                <w:szCs w:val="18"/>
              </w:rPr>
            </w:pPr>
            <w:r>
              <w:rPr>
                <w:rFonts w:ascii="宋体" w:hAnsi="宋体" w:cs="宋体" w:eastAsia="宋体" w:hint="default"/>
                <w:sz w:val="18"/>
                <w:szCs w:val="18"/>
              </w:rPr>
              <w:t>深圳市捷视 飞通科技股 份有限公司</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 w:right="0"/>
              <w:jc w:val="center"/>
              <w:rPr>
                <w:rFonts w:ascii="Arial" w:hAnsi="Arial" w:cs="Arial" w:eastAsia="Arial" w:hint="default"/>
                <w:sz w:val="18"/>
                <w:szCs w:val="18"/>
              </w:rPr>
            </w:pPr>
            <w:r>
              <w:rPr>
                <w:rFonts w:ascii="Arial"/>
                <w:sz w:val="18"/>
              </w:rPr>
              <w:t>44,153,586.61</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Arial" w:hAnsi="Arial" w:cs="Arial" w:eastAsia="Arial" w:hint="default"/>
                <w:sz w:val="18"/>
                <w:szCs w:val="18"/>
              </w:rPr>
            </w:pPr>
            <w:r>
              <w:rPr>
                <w:rFonts w:ascii="Arial"/>
                <w:spacing w:val="-1"/>
                <w:sz w:val="18"/>
              </w:rPr>
              <w:t>-2,392,479.08</w:t>
            </w:r>
          </w:p>
        </w:tc>
        <w:tc>
          <w:tcPr>
            <w:tcW w:w="61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1,302,387.77</w:t>
            </w:r>
          </w:p>
        </w:tc>
        <w:tc>
          <w:tcPr>
            <w:tcW w:w="677"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Arial" w:hAnsi="Arial" w:cs="Arial" w:eastAsia="Arial" w:hint="default"/>
                <w:sz w:val="18"/>
                <w:szCs w:val="18"/>
              </w:rPr>
            </w:pPr>
            <w:r>
              <w:rPr>
                <w:rFonts w:ascii="Arial"/>
                <w:spacing w:val="-1"/>
                <w:sz w:val="18"/>
              </w:rPr>
              <w:t>-43,063,495.30</w:t>
            </w:r>
          </w:p>
        </w:tc>
        <w:tc>
          <w:tcPr>
            <w:tcW w:w="427"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 w:right="0"/>
              <w:jc w:val="center"/>
              <w:rPr>
                <w:rFonts w:ascii="Arial" w:hAnsi="Arial" w:cs="Arial" w:eastAsia="Arial" w:hint="default"/>
                <w:sz w:val="18"/>
                <w:szCs w:val="18"/>
              </w:rPr>
            </w:pPr>
            <w:r>
              <w:rPr>
                <w:rFonts w:ascii="Arial"/>
                <w:sz w:val="18"/>
              </w:rPr>
              <w:t>44,153,586.61</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Arial" w:hAnsi="Arial" w:cs="Arial" w:eastAsia="Arial" w:hint="default"/>
                <w:sz w:val="18"/>
                <w:szCs w:val="18"/>
              </w:rPr>
            </w:pPr>
            <w:r>
              <w:rPr>
                <w:rFonts w:ascii="Arial"/>
                <w:spacing w:val="-1"/>
                <w:sz w:val="18"/>
              </w:rPr>
              <w:t>-2,392,479.08</w:t>
            </w:r>
          </w:p>
        </w:tc>
        <w:tc>
          <w:tcPr>
            <w:tcW w:w="61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1,302,387.77</w:t>
            </w:r>
          </w:p>
        </w:tc>
        <w:tc>
          <w:tcPr>
            <w:tcW w:w="677"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-43,063,495.30</w:t>
            </w:r>
          </w:p>
        </w:tc>
        <w:tc>
          <w:tcPr>
            <w:tcW w:w="427"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Arial" w:hAnsi="Arial" w:cs="Arial" w:eastAsia="Arial" w:hint="default"/>
                <w:sz w:val="18"/>
                <w:szCs w:val="18"/>
              </w:rPr>
            </w:pPr>
            <w:r>
              <w:rPr>
                <w:rFonts w:ascii="Arial"/>
                <w:sz w:val="18"/>
              </w:rPr>
              <w:t>44,153,586.61</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Arial" w:hAnsi="Arial" w:cs="Arial" w:eastAsia="Arial" w:hint="default"/>
                <w:sz w:val="18"/>
                <w:szCs w:val="18"/>
              </w:rPr>
            </w:pPr>
            <w:r>
              <w:rPr>
                <w:rFonts w:ascii="Arial"/>
                <w:spacing w:val="-1"/>
                <w:sz w:val="18"/>
              </w:rPr>
              <w:t>-2,392,479.08</w:t>
            </w:r>
          </w:p>
        </w:tc>
        <w:tc>
          <w:tcPr>
            <w:tcW w:w="61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1,302,387.77</w:t>
            </w:r>
          </w:p>
        </w:tc>
        <w:tc>
          <w:tcPr>
            <w:tcW w:w="677" w:type="dxa"/>
            <w:tcBorders>
              <w:top w:val="single" w:sz="4" w:space="0" w:color="000000"/>
              <w:left w:val="single" w:sz="4" w:space="0" w:color="000000"/>
              <w:bottom w:val="single" w:sz="4" w:space="0" w:color="000000"/>
              <w:right w:val="single" w:sz="4" w:space="0" w:color="000000"/>
            </w:tcBorders>
          </w:tcPr>
          <w:p>
            <w:pPr/>
          </w:p>
        </w:tc>
        <w:tc>
          <w:tcPr>
            <w:tcW w:w="59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-43,063,495.30</w:t>
            </w:r>
          </w:p>
        </w:tc>
        <w:tc>
          <w:tcPr>
            <w:tcW w:w="427"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5"/>
          <w:szCs w:val="5"/>
        </w:rPr>
      </w:pPr>
    </w:p>
    <w:p>
      <w:pPr>
        <w:pStyle w:val="BodyText"/>
        <w:spacing w:line="240" w:lineRule="auto"/>
        <w:ind w:right="996"/>
        <w:jc w:val="left"/>
      </w:pPr>
      <w:r>
        <w:rPr/>
        <w:t>其他说明：</w:t>
      </w:r>
    </w:p>
    <w:p>
      <w:pPr>
        <w:pStyle w:val="BodyText"/>
        <w:spacing w:line="240" w:lineRule="auto" w:before="157"/>
        <w:ind w:left="540" w:right="996"/>
        <w:jc w:val="left"/>
      </w:pPr>
      <w:r>
        <w:rPr/>
        <w:t>详见本附注七</w:t>
      </w:r>
      <w:r>
        <w:rPr>
          <w:rFonts w:ascii="Arial" w:hAnsi="Arial" w:cs="Arial" w:eastAsia="Arial" w:hint="default"/>
        </w:rPr>
        <w:t>-8</w:t>
      </w:r>
      <w:r>
        <w:rPr/>
        <w:t>、长期股权投资。</w:t>
      </w:r>
    </w:p>
    <w:p>
      <w:pPr>
        <w:spacing w:after="0" w:line="240" w:lineRule="auto"/>
        <w:jc w:val="left"/>
        <w:sectPr>
          <w:pgSz w:w="11910" w:h="16840"/>
          <w:pgMar w:header="878" w:footer="978" w:top="1100" w:bottom="1160" w:left="1020" w:right="0"/>
        </w:sectPr>
      </w:pPr>
    </w:p>
    <w:p>
      <w:pPr>
        <w:spacing w:line="240" w:lineRule="auto" w:before="12"/>
        <w:rPr>
          <w:rFonts w:ascii="宋体" w:hAnsi="宋体" w:cs="宋体" w:eastAsia="宋体" w:hint="default"/>
          <w:sz w:val="20"/>
          <w:szCs w:val="20"/>
        </w:rPr>
      </w:pPr>
    </w:p>
    <w:p>
      <w:pPr>
        <w:pStyle w:val="Heading4"/>
        <w:spacing w:line="240" w:lineRule="auto" w:before="34"/>
        <w:ind w:right="996"/>
        <w:jc w:val="left"/>
        <w:rPr>
          <w:b w:val="0"/>
          <w:bCs w:val="0"/>
        </w:rPr>
      </w:pPr>
      <w:bookmarkStart w:name="4、营业收入和营业成本" w:id="335"/>
      <w:bookmarkEnd w:id="335"/>
      <w:r>
        <w:rPr>
          <w:b w:val="0"/>
          <w:bCs w:val="0"/>
        </w:rPr>
      </w:r>
      <w:r>
        <w:rPr>
          <w:rFonts w:ascii="Arial" w:hAnsi="Arial" w:cs="Arial" w:eastAsia="Arial" w:hint="default"/>
        </w:rPr>
        <w:t>4</w:t>
      </w:r>
      <w:r>
        <w:rPr/>
        <w:t>、营业收入和营业成本</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0"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0"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61,643,781.43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30,172.41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0" w:right="0"/>
              <w:jc w:val="left"/>
              <w:rPr>
                <w:rFonts w:ascii="Arial" w:hAnsi="Arial" w:cs="Arial" w:eastAsia="Arial" w:hint="default"/>
                <w:sz w:val="18"/>
                <w:szCs w:val="18"/>
              </w:rPr>
            </w:pPr>
            <w:r>
              <w:rPr>
                <w:rFonts w:ascii="Arial"/>
                <w:sz w:val="18"/>
              </w:rPr>
              <w:t>83,839,378.36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9" w:right="0"/>
              <w:jc w:val="left"/>
              <w:rPr>
                <w:rFonts w:ascii="Arial" w:hAnsi="Arial" w:cs="Arial" w:eastAsia="Arial" w:hint="default"/>
                <w:sz w:val="18"/>
                <w:szCs w:val="18"/>
              </w:rPr>
            </w:pPr>
            <w:r>
              <w:rPr>
                <w:rFonts w:ascii="Arial"/>
                <w:sz w:val="18"/>
              </w:rPr>
              <w:t>19,705,693.97</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61,643,781.43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30,172.41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0" w:right="0"/>
              <w:jc w:val="left"/>
              <w:rPr>
                <w:rFonts w:ascii="Arial" w:hAnsi="Arial" w:cs="Arial" w:eastAsia="Arial" w:hint="default"/>
                <w:sz w:val="18"/>
                <w:szCs w:val="18"/>
              </w:rPr>
            </w:pPr>
            <w:r>
              <w:rPr>
                <w:rFonts w:ascii="Arial"/>
                <w:sz w:val="18"/>
              </w:rPr>
              <w:t>83,839,378.36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9" w:right="0"/>
              <w:jc w:val="left"/>
              <w:rPr>
                <w:rFonts w:ascii="Arial" w:hAnsi="Arial" w:cs="Arial" w:eastAsia="Arial" w:hint="default"/>
                <w:sz w:val="18"/>
                <w:szCs w:val="18"/>
              </w:rPr>
            </w:pPr>
            <w:r>
              <w:rPr>
                <w:rFonts w:ascii="Arial"/>
                <w:sz w:val="18"/>
              </w:rPr>
              <w:t>19,705,693.97</w:t>
            </w:r>
          </w:p>
        </w:tc>
      </w:tr>
    </w:tbl>
    <w:p>
      <w:pPr>
        <w:spacing w:line="240" w:lineRule="auto" w:before="3"/>
        <w:rPr>
          <w:rFonts w:ascii="宋体" w:hAnsi="宋体" w:cs="宋体" w:eastAsia="宋体" w:hint="default"/>
          <w:sz w:val="19"/>
          <w:szCs w:val="19"/>
        </w:rPr>
      </w:pPr>
    </w:p>
    <w:p>
      <w:pPr>
        <w:pStyle w:val="Heading4"/>
        <w:spacing w:line="240" w:lineRule="auto" w:before="34"/>
        <w:ind w:right="996"/>
        <w:jc w:val="left"/>
        <w:rPr>
          <w:b w:val="0"/>
          <w:bCs w:val="0"/>
        </w:rPr>
      </w:pPr>
      <w:bookmarkStart w:name="5、投资收益" w:id="336"/>
      <w:bookmarkEnd w:id="336"/>
      <w:r>
        <w:rPr>
          <w:b w:val="0"/>
          <w:bCs w:val="0"/>
        </w:rPr>
      </w:r>
      <w:r>
        <w:rPr>
          <w:rFonts w:ascii="Arial" w:hAnsi="Arial" w:cs="Arial" w:eastAsia="Arial" w:hint="default"/>
        </w:rPr>
        <w:t>5</w:t>
      </w:r>
      <w:r>
        <w:rPr/>
        <w:t>、投资收益</w:t>
      </w:r>
      <w:r>
        <w:rPr>
          <w:b w:val="0"/>
          <w:bCs w:val="0"/>
        </w:rPr>
      </w:r>
    </w:p>
    <w:p>
      <w:pPr>
        <w:spacing w:line="240" w:lineRule="auto" w:before="2"/>
        <w:rPr>
          <w:rFonts w:ascii="宋体" w:hAnsi="宋体" w:cs="宋体" w:eastAsia="宋体" w:hint="default"/>
          <w:b/>
          <w:bCs/>
          <w:sz w:val="23"/>
          <w:szCs w:val="23"/>
        </w:rPr>
      </w:pPr>
    </w:p>
    <w:p>
      <w:pPr>
        <w:spacing w:before="4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362"/>
        <w:gridCol w:w="2603"/>
        <w:gridCol w:w="2604"/>
      </w:tblGrid>
      <w:tr>
        <w:trPr>
          <w:trHeight w:val="402"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100,000,000.00</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6,000,000.00</w:t>
            </w:r>
          </w:p>
        </w:tc>
      </w:tr>
      <w:tr>
        <w:trPr>
          <w:trHeight w:val="402"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sz w:val="18"/>
              </w:rPr>
              <w:t>-2,392,479.08</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877,182.63</w:t>
            </w:r>
          </w:p>
        </w:tc>
      </w:tr>
      <w:tr>
        <w:trPr>
          <w:trHeight w:val="402"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长期股权投资转为可供出售金融资产产生的投资收益</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38,834,507.09</w:t>
            </w:r>
          </w:p>
        </w:tc>
        <w:tc>
          <w:tcPr>
            <w:tcW w:w="26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136,442,028.01</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6,877,182.63</w:t>
            </w:r>
          </w:p>
        </w:tc>
      </w:tr>
    </w:tbl>
    <w:p>
      <w:pPr>
        <w:spacing w:line="240" w:lineRule="auto" w:before="1"/>
        <w:rPr>
          <w:rFonts w:ascii="宋体" w:hAnsi="宋体" w:cs="宋体" w:eastAsia="宋体" w:hint="default"/>
          <w:sz w:val="18"/>
          <w:szCs w:val="18"/>
        </w:rPr>
      </w:pPr>
    </w:p>
    <w:p>
      <w:pPr>
        <w:pStyle w:val="Heading2"/>
        <w:spacing w:line="240" w:lineRule="auto"/>
        <w:ind w:right="996"/>
        <w:jc w:val="left"/>
        <w:rPr>
          <w:b w:val="0"/>
          <w:bCs w:val="0"/>
        </w:rPr>
      </w:pPr>
      <w:bookmarkStart w:name="十六、补充资料" w:id="337"/>
      <w:bookmarkEnd w:id="337"/>
      <w:r>
        <w:rPr>
          <w:b w:val="0"/>
          <w:bCs w:val="0"/>
        </w:rPr>
      </w:r>
      <w:r>
        <w:rPr/>
        <w:t>十六、补充资料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96"/>
        <w:jc w:val="left"/>
        <w:rPr>
          <w:b w:val="0"/>
          <w:bCs w:val="0"/>
        </w:rPr>
      </w:pPr>
      <w:bookmarkStart w:name="1、当期非经常性损益明细表" w:id="338"/>
      <w:bookmarkEnd w:id="338"/>
      <w:r>
        <w:rPr>
          <w:b w:val="0"/>
          <w:bCs w:val="0"/>
        </w:rPr>
      </w:r>
      <w:r>
        <w:rPr>
          <w:rFonts w:ascii="Arial" w:hAnsi="Arial" w:cs="Arial" w:eastAsia="Arial" w:hint="default"/>
        </w:rPr>
        <w:t>1</w:t>
      </w:r>
      <w:r>
        <w:rPr/>
        <w:t>、当期非经常性损益明细表</w:t>
      </w:r>
      <w:r>
        <w:rPr>
          <w:b w:val="0"/>
          <w:bCs w:val="0"/>
        </w:rPr>
      </w:r>
    </w:p>
    <w:p>
      <w:pPr>
        <w:spacing w:line="240" w:lineRule="auto" w:before="2"/>
        <w:rPr>
          <w:rFonts w:ascii="宋体" w:hAnsi="宋体" w:cs="宋体" w:eastAsia="宋体" w:hint="default"/>
          <w:b/>
          <w:bCs/>
          <w:sz w:val="23"/>
          <w:szCs w:val="23"/>
        </w:rPr>
      </w:pPr>
    </w:p>
    <w:p>
      <w:pPr>
        <w:spacing w:before="44"/>
        <w:ind w:left="112" w:right="996" w:firstLine="0"/>
        <w:jc w:val="left"/>
        <w:rPr>
          <w:rFonts w:ascii="宋体" w:hAnsi="宋体" w:cs="宋体" w:eastAsia="宋体" w:hint="default"/>
          <w:sz w:val="18"/>
          <w:szCs w:val="18"/>
        </w:rPr>
      </w:pPr>
      <w:r>
        <w:rPr>
          <w:rFonts w:ascii="Arial" w:hAnsi="Arial" w:cs="Arial" w:eastAsia="Arial" w:hint="default"/>
          <w:sz w:val="18"/>
          <w:szCs w:val="18"/>
        </w:rPr>
        <w:t>√  </w:t>
      </w:r>
      <w:r>
        <w:rPr>
          <w:rFonts w:ascii="宋体" w:hAnsi="宋体" w:cs="宋体" w:eastAsia="宋体" w:hint="default"/>
          <w:sz w:val="18"/>
          <w:szCs w:val="18"/>
        </w:rPr>
        <w:t>适用 </w:t>
      </w:r>
      <w:r>
        <w:rPr>
          <w:rFonts w:ascii="Arial" w:hAnsi="Arial" w:cs="Arial" w:eastAsia="Arial" w:hint="default"/>
          <w:sz w:val="18"/>
          <w:szCs w:val="18"/>
        </w:rPr>
        <w:t>□</w:t>
      </w:r>
      <w:r>
        <w:rPr>
          <w:rFonts w:ascii="Arial" w:hAnsi="Arial" w:cs="Arial" w:eastAsia="Arial" w:hint="default"/>
          <w:spacing w:val="27"/>
          <w:sz w:val="18"/>
          <w:szCs w:val="18"/>
        </w:rPr>
        <w:t> </w:t>
      </w:r>
      <w:r>
        <w:rPr>
          <w:rFonts w:ascii="宋体" w:hAnsi="宋体" w:cs="宋体" w:eastAsia="宋体" w:hint="default"/>
          <w:sz w:val="18"/>
          <w:szCs w:val="18"/>
        </w:rPr>
        <w:t>不适用</w:t>
      </w:r>
    </w:p>
    <w:p>
      <w:pPr>
        <w:spacing w:before="104"/>
        <w:ind w:left="0" w:right="1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62"/>
        <w:gridCol w:w="1984"/>
        <w:gridCol w:w="2623"/>
      </w:tblGrid>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Arial" w:hAnsi="Arial" w:cs="Arial" w:eastAsia="Arial" w:hint="default"/>
                <w:sz w:val="18"/>
                <w:szCs w:val="18"/>
              </w:rPr>
            </w:pPr>
            <w:r>
              <w:rPr>
                <w:rFonts w:ascii="Arial"/>
                <w:spacing w:val="-2"/>
                <w:sz w:val="18"/>
              </w:rPr>
              <w:t>-681,110.44</w:t>
            </w: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 一标准定额或定量享受的政府补助除外）</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18"/>
                <w:szCs w:val="18"/>
              </w:rPr>
            </w:pPr>
            <w:r>
              <w:rPr>
                <w:rFonts w:ascii="Arial"/>
                <w:spacing w:val="-1"/>
                <w:sz w:val="18"/>
              </w:rPr>
              <w:t>14,201,747.37</w:t>
            </w: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294,687.93</w:t>
            </w: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Arial" w:hAnsi="Arial" w:cs="Arial" w:eastAsia="Arial" w:hint="default"/>
                <w:sz w:val="18"/>
                <w:szCs w:val="18"/>
              </w:rPr>
            </w:pPr>
            <w:r>
              <w:rPr>
                <w:rFonts w:ascii="Arial"/>
                <w:spacing w:val="-2"/>
                <w:sz w:val="18"/>
              </w:rPr>
              <w:t>-10,669,211.40</w:t>
            </w: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787,304.33</w:t>
            </w: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长期股权投资转为可供出售金融资产产生的投资收益</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38,834,507.09</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投资捷视飞通形成的投资收益</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745,350.02</w:t>
            </w: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134,876.89</w:t>
            </w: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Arial" w:hAnsi="Arial" w:cs="Arial" w:eastAsia="Arial" w:hint="default"/>
                <w:sz w:val="18"/>
                <w:szCs w:val="18"/>
              </w:rPr>
            </w:pPr>
            <w:r>
              <w:rPr>
                <w:rFonts w:ascii="Arial"/>
                <w:spacing w:val="-1"/>
                <w:sz w:val="18"/>
              </w:rPr>
              <w:t>41,887,697.97</w:t>
            </w:r>
          </w:p>
        </w:tc>
        <w:tc>
          <w:tcPr>
            <w:tcW w:w="2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Arial" w:hAnsi="Arial" w:cs="Arial" w:eastAsia="Arial" w:hint="default"/>
                <w:sz w:val="18"/>
                <w:szCs w:val="18"/>
              </w:rPr>
            </w:pPr>
            <w:r>
              <w:rPr>
                <w:rFonts w:ascii="Arial"/>
                <w:sz w:val="18"/>
              </w:rPr>
              <w:t>--</w:t>
            </w:r>
          </w:p>
        </w:tc>
      </w:tr>
    </w:tbl>
    <w:p>
      <w:pPr>
        <w:spacing w:line="240" w:lineRule="auto" w:before="7"/>
        <w:rPr>
          <w:rFonts w:ascii="宋体" w:hAnsi="宋体" w:cs="宋体" w:eastAsia="宋体" w:hint="default"/>
          <w:sz w:val="5"/>
          <w:szCs w:val="5"/>
        </w:rPr>
      </w:pPr>
    </w:p>
    <w:p>
      <w:pPr>
        <w:pStyle w:val="BodyText"/>
        <w:spacing w:line="240" w:lineRule="auto"/>
        <w:ind w:right="996"/>
        <w:jc w:val="left"/>
      </w:pPr>
      <w:r>
        <w:rPr/>
        <w:t>对公司根据《公开发行证券的公司信息披露解释性公告第</w:t>
      </w:r>
      <w:r>
        <w:rPr>
          <w:spacing w:val="-81"/>
        </w:rPr>
        <w:t> </w:t>
      </w:r>
      <w:r>
        <w:rPr>
          <w:rFonts w:ascii="Arial" w:hAnsi="Arial" w:cs="Arial" w:eastAsia="Arial" w:hint="default"/>
        </w:rPr>
        <w:t>1</w:t>
      </w:r>
      <w:r>
        <w:rPr>
          <w:rFonts w:ascii="Arial" w:hAnsi="Arial" w:cs="Arial" w:eastAsia="Arial" w:hint="default"/>
          <w:spacing w:val="-36"/>
        </w:rPr>
        <w:t> </w:t>
      </w:r>
      <w:r>
        <w:rPr/>
        <w:t>号</w:t>
      </w:r>
      <w:r>
        <w:rPr>
          <w:rFonts w:ascii="Arial" w:hAnsi="Arial" w:cs="Arial" w:eastAsia="Arial" w:hint="default"/>
        </w:rPr>
        <w:t>——</w:t>
      </w:r>
      <w:r>
        <w:rPr/>
        <w:t>非经常性损益》定义界定的非经常性损</w:t>
      </w:r>
    </w:p>
    <w:p>
      <w:pPr>
        <w:pStyle w:val="BodyText"/>
        <w:spacing w:line="259" w:lineRule="auto" w:before="22"/>
        <w:ind w:right="1128"/>
        <w:jc w:val="left"/>
      </w:pPr>
      <w:r>
        <w:rPr/>
        <w:t>益项目，以及把《公开发行证券的公司信息披露解释性公告第</w:t>
      </w:r>
      <w:r>
        <w:rPr>
          <w:spacing w:val="-76"/>
        </w:rPr>
        <w:t> </w:t>
      </w:r>
      <w:r>
        <w:rPr>
          <w:rFonts w:ascii="Arial" w:hAnsi="Arial" w:cs="Arial" w:eastAsia="Arial" w:hint="default"/>
        </w:rPr>
        <w:t>1</w:t>
      </w:r>
      <w:r>
        <w:rPr>
          <w:rFonts w:ascii="Arial" w:hAnsi="Arial" w:cs="Arial" w:eastAsia="Arial" w:hint="default"/>
          <w:spacing w:val="-29"/>
        </w:rPr>
        <w:t> </w:t>
      </w:r>
      <w:r>
        <w:rPr/>
        <w:t>号</w:t>
      </w:r>
      <w:r>
        <w:rPr>
          <w:rFonts w:ascii="Arial" w:hAnsi="Arial" w:cs="Arial" w:eastAsia="Arial" w:hint="default"/>
        </w:rPr>
        <w:t>——</w:t>
      </w:r>
      <w:r>
        <w:rPr/>
        <w:t>非经常性损益》中列举的非经常性</w:t>
      </w:r>
      <w:r>
        <w:rPr>
          <w:w w:val="99"/>
        </w:rPr>
        <w:t> </w:t>
      </w:r>
      <w:r>
        <w:rPr/>
        <w:t>损益项目界定为经常性损益的项目，应说明原因。</w:t>
      </w:r>
    </w:p>
    <w:p>
      <w:pPr>
        <w:pStyle w:val="BodyText"/>
        <w:spacing w:line="240" w:lineRule="auto" w:before="140"/>
        <w:ind w:right="996"/>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2"/>
        </w:rPr>
        <w:t> </w:t>
      </w:r>
      <w:r>
        <w:rPr/>
        <w:t>不适用</w:t>
      </w:r>
    </w:p>
    <w:p>
      <w:pPr>
        <w:spacing w:after="0" w:line="240" w:lineRule="auto"/>
        <w:jc w:val="left"/>
        <w:sectPr>
          <w:pgSz w:w="11910" w:h="16840"/>
          <w:pgMar w:header="878" w:footer="978" w:top="1100" w:bottom="1160" w:left="1020" w:right="0"/>
        </w:sectPr>
      </w:pPr>
    </w:p>
    <w:p>
      <w:pPr>
        <w:spacing w:line="240" w:lineRule="auto" w:before="12"/>
        <w:rPr>
          <w:rFonts w:ascii="宋体" w:hAnsi="宋体" w:cs="宋体" w:eastAsia="宋体" w:hint="default"/>
          <w:sz w:val="20"/>
          <w:szCs w:val="20"/>
        </w:rPr>
      </w:pPr>
    </w:p>
    <w:p>
      <w:pPr>
        <w:pStyle w:val="Heading4"/>
        <w:spacing w:line="240" w:lineRule="auto" w:before="34"/>
        <w:ind w:right="996"/>
        <w:jc w:val="left"/>
        <w:rPr>
          <w:b w:val="0"/>
          <w:bCs w:val="0"/>
        </w:rPr>
      </w:pPr>
      <w:bookmarkStart w:name="2、净资产收益率及每股收益" w:id="339"/>
      <w:bookmarkEnd w:id="339"/>
      <w:r>
        <w:rPr>
          <w:b w:val="0"/>
          <w:bCs w:val="0"/>
        </w:rPr>
      </w:r>
      <w:r>
        <w:rPr>
          <w:rFonts w:ascii="Arial" w:hAnsi="Arial" w:cs="Arial" w:eastAsia="Arial"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362"/>
        <w:gridCol w:w="1380"/>
        <w:gridCol w:w="1913"/>
        <w:gridCol w:w="1913"/>
      </w:tblGrid>
      <w:tr>
        <w:trPr>
          <w:trHeight w:val="402" w:hRule="exact"/>
        </w:trPr>
        <w:tc>
          <w:tcPr>
            <w:tcW w:w="43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3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415" w:right="53" w:hanging="360"/>
              <w:jc w:val="left"/>
              <w:rPr>
                <w:rFonts w:ascii="宋体" w:hAnsi="宋体" w:cs="宋体" w:eastAsia="宋体" w:hint="default"/>
                <w:sz w:val="18"/>
                <w:szCs w:val="18"/>
              </w:rPr>
            </w:pPr>
            <w:r>
              <w:rPr>
                <w:rFonts w:ascii="宋体" w:hAnsi="宋体" w:cs="宋体" w:eastAsia="宋体" w:hint="default"/>
                <w:sz w:val="18"/>
                <w:szCs w:val="18"/>
              </w:rPr>
              <w:t>加权平均净资产 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4362" w:type="dxa"/>
            <w:vMerge/>
            <w:tcBorders>
              <w:left w:val="single" w:sz="4" w:space="0" w:color="000000"/>
              <w:bottom w:val="single" w:sz="4" w:space="0" w:color="000000"/>
              <w:right w:val="single" w:sz="4" w:space="0" w:color="000000"/>
            </w:tcBorders>
            <w:shd w:val="clear" w:color="auto" w:fill="D2D2D2"/>
          </w:tcPr>
          <w:p>
            <w:pPr/>
          </w:p>
        </w:tc>
        <w:tc>
          <w:tcPr>
            <w:tcW w:w="1380"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4"/>
              <w:jc w:val="right"/>
              <w:rPr>
                <w:rFonts w:ascii="宋体" w:hAnsi="宋体" w:cs="宋体" w:eastAsia="宋体" w:hint="default"/>
                <w:sz w:val="18"/>
                <w:szCs w:val="18"/>
              </w:rPr>
            </w:pPr>
            <w:r>
              <w:rPr>
                <w:rFonts w:ascii="宋体" w:hAnsi="宋体" w:cs="宋体" w:eastAsia="宋体" w:hint="default"/>
                <w:w w:val="95"/>
                <w:sz w:val="18"/>
                <w:szCs w:val="18"/>
              </w:rPr>
              <w:t>基本每股收益（元</w:t>
            </w:r>
            <w:r>
              <w:rPr>
                <w:rFonts w:ascii="Arial" w:hAnsi="Arial" w:cs="Arial" w:eastAsia="Arial" w:hint="default"/>
                <w:w w:val="95"/>
                <w:sz w:val="18"/>
                <w:szCs w:val="18"/>
              </w:rPr>
              <w:t>/</w:t>
            </w:r>
            <w:r>
              <w:rPr>
                <w:rFonts w:ascii="宋体" w:hAnsi="宋体" w:cs="宋体" w:eastAsia="宋体" w:hint="default"/>
                <w:w w:val="95"/>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4"/>
              <w:jc w:val="right"/>
              <w:rPr>
                <w:rFonts w:ascii="宋体" w:hAnsi="宋体" w:cs="宋体" w:eastAsia="宋体" w:hint="default"/>
                <w:sz w:val="18"/>
                <w:szCs w:val="18"/>
              </w:rPr>
            </w:pPr>
            <w:r>
              <w:rPr>
                <w:rFonts w:ascii="宋体" w:hAnsi="宋体" w:cs="宋体" w:eastAsia="宋体" w:hint="default"/>
                <w:w w:val="95"/>
                <w:sz w:val="18"/>
                <w:szCs w:val="18"/>
              </w:rPr>
              <w:t>稀释每股收益（元</w:t>
            </w:r>
            <w:r>
              <w:rPr>
                <w:rFonts w:ascii="Arial" w:hAnsi="Arial" w:cs="Arial" w:eastAsia="Arial" w:hint="default"/>
                <w:w w:val="95"/>
                <w:sz w:val="18"/>
                <w:szCs w:val="18"/>
              </w:rPr>
              <w:t>/</w:t>
            </w:r>
            <w:r>
              <w:rPr>
                <w:rFonts w:ascii="宋体" w:hAnsi="宋体" w:cs="宋体" w:eastAsia="宋体" w:hint="default"/>
                <w:w w:val="95"/>
                <w:sz w:val="18"/>
                <w:szCs w:val="18"/>
              </w:rPr>
              <w:t>股）</w:t>
            </w:r>
          </w:p>
        </w:tc>
      </w:tr>
      <w:tr>
        <w:trPr>
          <w:trHeight w:val="402"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12.49%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0.67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0.67</w:t>
            </w:r>
          </w:p>
        </w:tc>
      </w:tr>
      <w:tr>
        <w:trPr>
          <w:trHeight w:val="402"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Arial" w:hAnsi="Arial" w:cs="Arial" w:eastAsia="Arial" w:hint="default"/>
                <w:sz w:val="18"/>
                <w:szCs w:val="18"/>
              </w:rPr>
            </w:pPr>
            <w:r>
              <w:rPr>
                <w:rFonts w:ascii="Arial"/>
                <w:spacing w:val="-3"/>
                <w:sz w:val="18"/>
              </w:rPr>
              <w:t>11.43%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0.62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Arial" w:hAnsi="Arial" w:cs="Arial" w:eastAsia="Arial" w:hint="default"/>
                <w:sz w:val="18"/>
                <w:szCs w:val="18"/>
              </w:rPr>
            </w:pPr>
            <w:r>
              <w:rPr>
                <w:rFonts w:ascii="Arial"/>
                <w:spacing w:val="-1"/>
                <w:sz w:val="18"/>
              </w:rPr>
              <w:t>0.61</w:t>
            </w:r>
          </w:p>
        </w:tc>
      </w:tr>
    </w:tbl>
    <w:p>
      <w:pPr>
        <w:spacing w:after="0" w:line="240" w:lineRule="auto"/>
        <w:jc w:val="right"/>
        <w:rPr>
          <w:rFonts w:ascii="Arial" w:hAnsi="Arial" w:cs="Arial" w:eastAsia="Arial" w:hint="default"/>
          <w:sz w:val="18"/>
          <w:szCs w:val="18"/>
        </w:rPr>
        <w:sectPr>
          <w:pgSz w:w="11910" w:h="16840"/>
          <w:pgMar w:header="878" w:footer="978" w:top="1100" w:bottom="116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pStyle w:val="Heading1"/>
        <w:spacing w:line="240" w:lineRule="auto"/>
        <w:ind w:left="3247" w:right="996"/>
        <w:jc w:val="left"/>
        <w:rPr>
          <w:rFonts w:ascii="宋体" w:hAnsi="宋体" w:cs="宋体" w:eastAsia="宋体" w:hint="default"/>
          <w:b w:val="0"/>
          <w:bCs w:val="0"/>
        </w:rPr>
      </w:pPr>
      <w:bookmarkStart w:name="第十二节 备查文件目录" w:id="340"/>
      <w:bookmarkEnd w:id="340"/>
      <w:r>
        <w:rPr>
          <w:b w:val="0"/>
          <w:bCs w:val="0"/>
        </w:rPr>
      </w:r>
      <w:bookmarkStart w:name="_bookmark10" w:id="341"/>
      <w:bookmarkEnd w:id="341"/>
      <w:r>
        <w:rPr>
          <w:b w:val="0"/>
          <w:bCs w:val="0"/>
        </w:rPr>
      </w:r>
      <w:r>
        <w:rPr>
          <w:rFonts w:ascii="宋体" w:hAnsi="宋体" w:cs="宋体" w:eastAsia="宋体" w:hint="default"/>
        </w:rPr>
        <w:t>第十二节</w:t>
      </w:r>
      <w:r>
        <w:rPr>
          <w:rFonts w:ascii="宋体" w:hAnsi="宋体" w:cs="宋体" w:eastAsia="宋体" w:hint="default"/>
          <w:spacing w:val="-10"/>
        </w:rPr>
        <w:t> </w:t>
      </w:r>
      <w:r>
        <w:rPr>
          <w:rFonts w:ascii="宋体" w:hAnsi="宋体" w:cs="宋体" w:eastAsia="宋体" w:hint="default"/>
        </w:rPr>
        <w:t>备查文件目录</w:t>
      </w:r>
      <w:r>
        <w:rPr>
          <w:rFonts w:ascii="宋体" w:hAnsi="宋体" w:cs="宋体" w:eastAsia="宋体" w:hint="default"/>
          <w:b w:val="0"/>
          <w:bCs w:val="0"/>
        </w:rPr>
      </w:r>
    </w:p>
    <w:p>
      <w:pPr>
        <w:spacing w:line="240" w:lineRule="auto" w:before="10"/>
        <w:rPr>
          <w:rFonts w:ascii="宋体" w:hAnsi="宋体" w:cs="宋体" w:eastAsia="宋体" w:hint="default"/>
          <w:b/>
          <w:bCs/>
          <w:sz w:val="38"/>
          <w:szCs w:val="38"/>
        </w:rPr>
      </w:pPr>
    </w:p>
    <w:p>
      <w:pPr>
        <w:pStyle w:val="Heading3"/>
        <w:spacing w:line="240" w:lineRule="auto"/>
        <w:ind w:left="592" w:right="996"/>
        <w:jc w:val="left"/>
      </w:pPr>
      <w:r>
        <w:rPr>
          <w:spacing w:val="-3"/>
        </w:rPr>
        <w:t>（一）载有法定代表人、主管会计工作负责人及会计机构负责人签名并盖章的会计报表。</w:t>
      </w:r>
    </w:p>
    <w:p>
      <w:pPr>
        <w:pStyle w:val="Heading3"/>
        <w:spacing w:line="240" w:lineRule="auto" w:before="154"/>
        <w:ind w:left="592" w:right="996"/>
        <w:jc w:val="left"/>
      </w:pPr>
      <w:r>
        <w:rPr/>
        <w:t>（二）载有会计师事务所盖章、注册会计师签名并盖章的审计报告原件。</w:t>
      </w:r>
    </w:p>
    <w:p>
      <w:pPr>
        <w:pStyle w:val="Heading3"/>
        <w:spacing w:line="312" w:lineRule="exact" w:before="184"/>
        <w:ind w:right="996" w:firstLine="480"/>
        <w:jc w:val="left"/>
      </w:pPr>
      <w:r>
        <w:rPr/>
        <w:t>（三）报告期内在中国证监会指定报纸上公开披露过的所有公司文件的正本及公告的原 稿。</w:t>
      </w:r>
    </w:p>
    <w:p>
      <w:pPr>
        <w:pStyle w:val="Heading3"/>
        <w:spacing w:line="240" w:lineRule="auto" w:before="125"/>
        <w:ind w:left="592" w:right="996"/>
        <w:jc w:val="left"/>
      </w:pPr>
      <w:r>
        <w:rPr/>
        <w:t>（四）载有法定代表人签名的</w:t>
      </w:r>
      <w:r>
        <w:rPr>
          <w:rFonts w:ascii="Arial" w:hAnsi="Arial" w:cs="Arial" w:eastAsia="Arial" w:hint="default"/>
        </w:rPr>
        <w:t>2018</w:t>
      </w:r>
      <w:r>
        <w:rPr/>
        <w:t>年年度报告文本原件。</w:t>
      </w:r>
    </w:p>
    <w:p>
      <w:pPr>
        <w:pStyle w:val="Heading3"/>
        <w:spacing w:line="240" w:lineRule="auto" w:before="137"/>
        <w:ind w:left="592" w:right="996"/>
        <w:jc w:val="left"/>
      </w:pPr>
      <w:r>
        <w:rPr/>
        <w:t>（五）以上备查文件的备置地点：公司董事会办公室。</w:t>
      </w:r>
    </w:p>
    <w:sectPr>
      <w:pgSz w:w="11910" w:h="16840"/>
      <w:pgMar w:header="878" w:footer="978" w:top="1100" w:bottom="1160" w:left="10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63128" type="#_x0000_t75" stroked="false">
          <v:imagedata r:id="rId1" o:title=""/>
        </v:shape>
      </w:pict>
    </w:r>
    <w:r>
      <w:rPr/>
      <w:pict>
        <v:shape style="position:absolute;margin-left:533.119995pt;margin-top:795.687988pt;width:6.5pt;height:11pt;mso-position-horizontal-relative:page;mso-position-vertical-relative:page;z-index:-8631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62672" type="#_x0000_t75" stroked="false">
          <v:imagedata r:id="rId1" o:title=""/>
        </v:shape>
      </w:pict>
    </w:r>
    <w:r>
      <w:rPr/>
      <w:pict>
        <v:shape style="position:absolute;margin-left:527.559021pt;margin-top:782.007935pt;width:13.1pt;height:11pt;mso-position-horizontal-relative:page;mso-position-vertical-relative:page;z-index:-862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23877pt;margin-top:570.411133pt;width:42.066597pt;height:18.946025pt;mso-position-horizontal-relative:page;mso-position-vertical-relative:page;z-index:-862600" type="#_x0000_t75" stroked="false">
          <v:imagedata r:id="rId1" o:title=""/>
        </v:shape>
      </w:pict>
    </w:r>
    <w:r>
      <w:rPr/>
      <w:pict>
        <v:shape style="position:absolute;margin-left:758.919006pt;margin-top:535.407898pt;width:13.1pt;height:11pt;mso-position-horizontal-relative:page;mso-position-vertical-relative:page;z-index:-8625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44</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23877pt;margin-top:570.411133pt;width:42.066597pt;height:18.946025pt;mso-position-horizontal-relative:page;mso-position-vertical-relative:page;z-index:-862552" type="#_x0000_t75" stroked="false">
          <v:imagedata r:id="rId1" o:title=""/>
        </v:shape>
      </w:pict>
    </w:r>
    <w:r>
      <w:rPr/>
      <w:pict>
        <v:shape style="position:absolute;margin-left:758.919006pt;margin-top:535.407898pt;width:13.1pt;height:11pt;mso-position-horizontal-relative:page;mso-position-vertical-relative:page;z-index:-8625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62456" type="#_x0000_t75" stroked="false">
          <v:imagedata r:id="rId1" o:title=""/>
        </v:shape>
      </w:pict>
    </w:r>
    <w:r>
      <w:rPr/>
      <w:pict>
        <v:shape style="position:absolute;margin-left:527.559021pt;margin-top:782.007935pt;width:13.1pt;height:11pt;mso-position-horizontal-relative:page;mso-position-vertical-relative:page;z-index:-862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53</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62408" type="#_x0000_t75" stroked="false">
          <v:imagedata r:id="rId1" o:title=""/>
        </v:shape>
      </w:pict>
    </w:r>
    <w:r>
      <w:rPr/>
      <w:pict>
        <v:shape style="position:absolute;margin-left:527.559021pt;margin-top:782.007935pt;width:13.1pt;height:11pt;mso-position-horizontal-relative:page;mso-position-vertical-relative:page;z-index:-862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62360" type="#_x0000_t75" stroked="false">
          <v:imagedata r:id="rId1" o:title=""/>
        </v:shape>
      </w:pict>
    </w:r>
    <w:r>
      <w:rPr/>
      <w:pict>
        <v:shape style="position:absolute;margin-left:527.559021pt;margin-top:782.007935pt;width:13.1pt;height:11pt;mso-position-horizontal-relative:page;mso-position-vertical-relative:page;z-index:-862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62312" type="#_x0000_t75" stroked="false">
          <v:imagedata r:id="rId1" o:title=""/>
        </v:shape>
      </w:pict>
    </w:r>
    <w:r>
      <w:rPr/>
      <w:pict>
        <v:shape style="position:absolute;margin-left:527.559021pt;margin-top:782.007935pt;width:13.1pt;height:11pt;mso-position-horizontal-relative:page;mso-position-vertical-relative:page;z-index:-862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62264" type="#_x0000_t75" stroked="false">
          <v:imagedata r:id="rId1" o:title=""/>
        </v:shape>
      </w:pict>
    </w:r>
    <w:r>
      <w:rPr/>
      <w:pict>
        <v:shape style="position:absolute;margin-left:527.559021pt;margin-top:782.007935pt;width:13.1pt;height:11pt;mso-position-horizontal-relative:page;mso-position-vertical-relative:page;z-index:-862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23877pt;margin-top:570.411133pt;width:42.066597pt;height:18.946025pt;mso-position-horizontal-relative:page;mso-position-vertical-relative:page;z-index:-862192" type="#_x0000_t75" stroked="false">
          <v:imagedata r:id="rId1" o:title=""/>
        </v:shape>
      </w:pict>
    </w:r>
    <w:r>
      <w:rPr/>
      <w:pict>
        <v:shape style="position:absolute;margin-left:758.919006pt;margin-top:535.407898pt;width:13.1pt;height:11pt;mso-position-horizontal-relative:page;mso-position-vertical-relative:page;z-index:-8621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98</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23877pt;margin-top:570.411133pt;width:42.066597pt;height:18.946025pt;mso-position-horizontal-relative:page;mso-position-vertical-relative:page;z-index:-862096" type="#_x0000_t75" stroked="false">
          <v:imagedata r:id="rId1" o:title=""/>
        </v:shape>
      </w:pict>
    </w:r>
    <w:r>
      <w:rPr/>
      <w:pict>
        <v:shape style="position:absolute;margin-left:754.359009pt;margin-top:535.407898pt;width:17.5pt;height:11pt;mso-position-horizontal-relative:page;mso-position-vertical-relative:page;z-index:-862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63080" type="#_x0000_t75" stroked="false">
          <v:imagedata r:id="rId1" o:title=""/>
        </v:shape>
      </w:pict>
    </w:r>
    <w:r>
      <w:rPr/>
      <w:pict>
        <v:shape style="position:absolute;margin-left:532.119995pt;margin-top:782.007935pt;width:8.5pt;height:11pt;mso-position-horizontal-relative:page;mso-position-vertical-relative:page;z-index:-8630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61976" type="#_x0000_t75" stroked="false">
          <v:imagedata r:id="rId1" o:title=""/>
        </v:shape>
      </w:pict>
    </w:r>
    <w:r>
      <w:rPr/>
      <w:pict>
        <v:shape style="position:absolute;margin-left:523.119995pt;margin-top:782.007935pt;width:17.5pt;height:11pt;mso-position-horizontal-relative:page;mso-position-vertical-relative:page;z-index:-861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105</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61928" type="#_x0000_t75" stroked="false">
          <v:imagedata r:id="rId1" o:title=""/>
        </v:shape>
      </w:pict>
    </w:r>
    <w:r>
      <w:rPr/>
      <w:pict>
        <v:shape style="position:absolute;margin-left:523.479980pt;margin-top:782.007935pt;width:17.4pt;height:11pt;mso-position-horizontal-relative:page;mso-position-vertical-relative:page;z-index:-861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61880" type="#_x0000_t75" stroked="false">
          <v:imagedata r:id="rId1" o:title=""/>
        </v:shape>
      </w:pict>
    </w:r>
    <w:r>
      <w:rPr/>
      <w:pict>
        <v:shape style="position:absolute;margin-left:523.119995pt;margin-top:782.007935pt;width:17.5pt;height:11pt;mso-position-horizontal-relative:page;mso-position-vertical-relative:page;z-index:-861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61832" type="#_x0000_t75" stroked="false">
          <v:imagedata r:id="rId1" o:title=""/>
        </v:shape>
      </w:pict>
    </w:r>
    <w:r>
      <w:rPr/>
      <w:pict>
        <v:shape style="position:absolute;margin-left:523.119995pt;margin-top:782.007935pt;width:17.5pt;height:11pt;mso-position-horizontal-relative:page;mso-position-vertical-relative:page;z-index:-861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61784" type="#_x0000_t75" stroked="false">
          <v:imagedata r:id="rId1" o:title=""/>
        </v:shape>
      </w:pict>
    </w:r>
    <w:r>
      <w:rPr/>
      <w:pict>
        <v:shape style="position:absolute;margin-left:523.119995pt;margin-top:782.007935pt;width:17.5pt;height:11pt;mso-position-horizontal-relative:page;mso-position-vertical-relative:page;z-index:-8617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61736" type="#_x0000_t75" stroked="false">
          <v:imagedata r:id="rId1" o:title=""/>
        </v:shape>
      </w:pict>
    </w:r>
    <w:r>
      <w:rPr/>
      <w:pict>
        <v:shape style="position:absolute;margin-left:523.119995pt;margin-top:782.007935pt;width:17.5pt;height:11pt;mso-position-horizontal-relative:page;mso-position-vertical-relative:page;z-index:-8617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61688" type="#_x0000_t75" stroked="false">
          <v:imagedata r:id="rId1" o:title=""/>
        </v:shape>
      </w:pict>
    </w:r>
    <w:r>
      <w:rPr/>
      <w:pict>
        <v:shape style="position:absolute;margin-left:523.119995pt;margin-top:782.007935pt;width:17.5pt;height:11pt;mso-position-horizontal-relative:page;mso-position-vertical-relative:page;z-index:-8616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160</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61640" type="#_x0000_t75" stroked="false">
          <v:imagedata r:id="rId1" o:title=""/>
        </v:shape>
      </w:pict>
    </w:r>
    <w:r>
      <w:rPr/>
      <w:pict>
        <v:shape style="position:absolute;margin-left:523.119995pt;margin-top:782.007935pt;width:17.5pt;height:11pt;mso-position-horizontal-relative:page;mso-position-vertical-relative:page;z-index:-8616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63032" type="#_x0000_t75" stroked="false">
          <v:imagedata r:id="rId1" o:title=""/>
        </v:shape>
      </w:pict>
    </w:r>
    <w:r>
      <w:rPr/>
      <w:pict>
        <v:shape style="position:absolute;margin-left:527.559021pt;margin-top:782.007935pt;width:13.2pt;height:11pt;mso-position-horizontal-relative:page;mso-position-vertical-relative:page;z-index:-8630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62984" type="#_x0000_t75" stroked="false">
          <v:imagedata r:id="rId1" o:title=""/>
        </v:shape>
      </w:pict>
    </w:r>
    <w:r>
      <w:rPr/>
      <w:pict>
        <v:shape style="position:absolute;margin-left:527.559021pt;margin-top:782.007935pt;width:13.1pt;height:11pt;mso-position-horizontal-relative:page;mso-position-vertical-relative:page;z-index:-8629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62936" type="#_x0000_t75" stroked="false">
          <v:imagedata r:id="rId1" o:title=""/>
        </v:shape>
      </w:pict>
    </w:r>
    <w:r>
      <w:rPr/>
      <w:pict>
        <v:shape style="position:absolute;margin-left:527.559021pt;margin-top:782.007935pt;width:13.1pt;height:11pt;mso-position-horizontal-relative:page;mso-position-vertical-relative:page;z-index:-8629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23877pt;margin-top:570.411133pt;width:42.066597pt;height:18.946025pt;mso-position-horizontal-relative:page;mso-position-vertical-relative:page;z-index:-862816" type="#_x0000_t75" stroked="false">
          <v:imagedata r:id="rId1" o:title=""/>
        </v:shape>
      </w:pict>
    </w:r>
    <w:r>
      <w:rPr/>
      <w:pict>
        <v:shape style="position:absolute;margin-left:758.919006pt;margin-top:535.407898pt;width:13.1pt;height:11pt;mso-position-horizontal-relative:page;mso-position-vertical-relative:page;z-index:-862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33</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62720" type="#_x0000_t75" stroked="false">
          <v:imagedata r:id="rId1" o:title=""/>
        </v:shape>
      </w:pict>
    </w:r>
    <w:r>
      <w:rPr/>
      <w:pict>
        <v:shape style="position:absolute;margin-left:527.559021pt;margin-top:782.007935pt;width:13.1pt;height:11pt;mso-position-horizontal-relative:page;mso-position-vertical-relative:page;z-index:-862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119995pt;margin-top:36.315651pt;width:195.45pt;height:11.5pt;mso-position-horizontal-relative:page;mso-position-vertical-relative:page;z-index:-8631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北京华宇软件股份有限公司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359009pt;margin-top:42.915611pt;width:195.6pt;height:11.5pt;mso-position-horizontal-relative:page;mso-position-vertical-relative:page;z-index:-8620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北京华宇软件股份有限公司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55.560024pt;width:481.9pt;height:.1pt;mso-position-horizontal-relative:page;mso-position-vertical-relative:page;z-index:-862024" coordorigin="1134,1111" coordsize="9638,2">
          <v:shape style="position:absolute;left:1134;top:1111;width:9638;height:2" coordorigin="1134,1111" coordsize="9638,0" path="m1134,1111l10772,1111e" filled="false" stroked="true" strokeweight=".72pt" strokecolor="#000000">
            <v:path arrowok="t"/>
          </v:shape>
          <w10:wrap type="none"/>
        </v:group>
      </w:pict>
    </w:r>
    <w:r>
      <w:rPr/>
      <w:pict>
        <v:shape style="position:absolute;margin-left:344.119995pt;margin-top:42.915649pt;width:195.45pt;height:11.5pt;mso-position-horizontal-relative:page;mso-position-vertical-relative:page;z-index:-8620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北京华宇软件股份有限公司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6.700001pt;margin-top:55.560024pt;width:481.9pt;height:.1pt;mso-position-horizontal-relative:page;mso-position-vertical-relative:page;z-index:-862888" coordorigin="1134,1111" coordsize="9638,2">
          <v:shape style="position:absolute;left:1134;top:1111;width:9638;height:2" coordorigin="1134,1111" coordsize="9638,0" path="m1134,1111l10772,1111e" filled="false" stroked="true" strokeweight=".72pt" strokecolor="#000000">
            <v:path arrowok="t"/>
          </v:shape>
          <w10:wrap type="none"/>
        </v:group>
      </w:pict>
    </w:r>
    <w:r>
      <w:rPr/>
      <w:pict>
        <v:shape style="position:absolute;margin-left:344.119995pt;margin-top:42.915649pt;width:195.45pt;height:11.5pt;mso-position-horizontal-relative:page;mso-position-vertical-relative:page;z-index:-8628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北京华宇软件股份有限公司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359009pt;margin-top:42.915611pt;width:195.6pt;height:11.5pt;mso-position-horizontal-relative:page;mso-position-vertical-relative:page;z-index:-8628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北京华宇软件股份有限公司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55.560024pt;width:481.9pt;height:.1pt;mso-position-horizontal-relative:page;mso-position-vertical-relative:page;z-index:-862768" coordorigin="1134,1111" coordsize="9638,2">
          <v:shape style="position:absolute;left:1134;top:1111;width:9638;height:2" coordorigin="1134,1111" coordsize="9638,0" path="m1134,1111l10772,1111e" filled="false" stroked="true" strokeweight=".72pt" strokecolor="#000000">
            <v:path arrowok="t"/>
          </v:shape>
          <w10:wrap type="none"/>
        </v:group>
      </w:pict>
    </w:r>
    <w:r>
      <w:rPr/>
      <w:pict>
        <v:shape style="position:absolute;margin-left:344.119995pt;margin-top:42.915649pt;width:195.45pt;height:11.5pt;mso-position-horizontal-relative:page;mso-position-vertical-relative:page;z-index:-8627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北京华宇软件股份有限公司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359009pt;margin-top:42.915611pt;width:195.6pt;height:11.5pt;mso-position-horizontal-relative:page;mso-position-vertical-relative:page;z-index:-8626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北京华宇软件股份有限公司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55.560024pt;width:481.9pt;height:.1pt;mso-position-horizontal-relative:page;mso-position-vertical-relative:page;z-index:-862504" coordorigin="1134,1111" coordsize="9638,2">
          <v:shape style="position:absolute;left:1134;top:1111;width:9638;height:2" coordorigin="1134,1111" coordsize="9638,0" path="m1134,1111l10772,1111e" filled="false" stroked="true" strokeweight=".72pt" strokecolor="#000000">
            <v:path arrowok="t"/>
          </v:shape>
          <w10:wrap type="none"/>
        </v:group>
      </w:pict>
    </w:r>
    <w:r>
      <w:rPr/>
      <w:pict>
        <v:shape style="position:absolute;margin-left:344.119995pt;margin-top:42.915649pt;width:195.45pt;height:11.5pt;mso-position-horizontal-relative:page;mso-position-vertical-relative:page;z-index:-8624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北京华宇软件股份有限公司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359009pt;margin-top:42.915611pt;width:195.6pt;height:11.5pt;mso-position-horizontal-relative:page;mso-position-vertical-relative:page;z-index:-8622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北京华宇软件股份有限公司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359009pt;margin-top:42.915611pt;width:195.6pt;height:27.1pt;mso-position-horizontal-relative:page;mso-position-vertical-relative:page;z-index:-862144" type="#_x0000_t202" filled="false" stroked="false">
          <v:textbox inset="0,0,0,0">
            <w:txbxContent>
              <w:p>
                <w:pPr>
                  <w:spacing w:line="214" w:lineRule="exact" w:before="0"/>
                  <w:ind w:left="0" w:right="18" w:firstLine="0"/>
                  <w:jc w:val="right"/>
                  <w:rPr>
                    <w:rFonts w:ascii="宋体" w:hAnsi="宋体" w:cs="宋体" w:eastAsia="宋体" w:hint="default"/>
                    <w:sz w:val="18"/>
                    <w:szCs w:val="18"/>
                  </w:rPr>
                </w:pPr>
                <w:r>
                  <w:rPr>
                    <w:rFonts w:ascii="宋体" w:hAnsi="宋体" w:cs="宋体" w:eastAsia="宋体" w:hint="default"/>
                    <w:sz w:val="18"/>
                    <w:szCs w:val="18"/>
                  </w:rPr>
                  <w:t>北京华宇软件股份有限公司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before="72"/>
                  <w:ind w:left="0" w:right="116" w:firstLine="0"/>
                  <w:jc w:val="right"/>
                  <w:rPr>
                    <w:rFonts w:ascii="宋体" w:hAnsi="宋体" w:cs="宋体" w:eastAsia="宋体" w:hint="default"/>
                    <w:sz w:val="18"/>
                    <w:szCs w:val="18"/>
                  </w:rPr>
                </w:pPr>
                <w:r>
                  <w:rPr>
                    <w:rFonts w:ascii="宋体" w:hAnsi="宋体" w:cs="宋体" w:eastAsia="宋体" w:hint="default"/>
                    <w:sz w:val="18"/>
                    <w:szCs w:val="18"/>
                  </w:rPr>
                  <w:t>单位：元</w:t>
                </w:r>
              </w:p>
            </w:txbxContent>
          </v:textbox>
          <w10:wrap type="none"/>
        </v:shape>
      </w:pict>
    </w:r>
    <w:r>
      <w:rPr/>
      <w:pict>
        <v:shape style="position:absolute;margin-left:71pt;margin-top:58.995613pt;width:38pt;height:11pt;mso-position-horizontal-relative:page;mso-position-vertical-relative:page;z-index:-8621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89"/>
      <w:ind w:left="112"/>
    </w:pPr>
    <w:rPr>
      <w:rFonts w:ascii="微软雅黑" w:hAnsi="微软雅黑" w:eastAsia="微软雅黑"/>
      <w:b/>
      <w:bCs/>
      <w:sz w:val="24"/>
      <w:szCs w:val="24"/>
    </w:rPr>
  </w:style>
  <w:style w:styleId="BodyText" w:type="paragraph">
    <w:name w:val="Body Text"/>
    <w:basedOn w:val="Normal"/>
    <w:uiPriority w:val="1"/>
    <w:qFormat/>
    <w:pPr>
      <w:spacing w:before="34"/>
      <w:ind w:left="112"/>
    </w:pPr>
    <w:rPr>
      <w:rFonts w:ascii="宋体" w:hAnsi="宋体" w:eastAsia="宋体"/>
      <w:sz w:val="21"/>
      <w:szCs w:val="21"/>
    </w:rPr>
  </w:style>
  <w:style w:styleId="Heading1" w:type="paragraph">
    <w:name w:val="Heading 1"/>
    <w:basedOn w:val="Normal"/>
    <w:uiPriority w:val="1"/>
    <w:qFormat/>
    <w:pPr>
      <w:ind w:left="2742"/>
      <w:outlineLvl w:val="1"/>
    </w:pPr>
    <w:rPr>
      <w:rFonts w:ascii="微软雅黑" w:hAnsi="微软雅黑" w:eastAsia="微软雅黑"/>
      <w:b/>
      <w:bCs/>
      <w:sz w:val="32"/>
      <w:szCs w:val="32"/>
    </w:rPr>
  </w:style>
  <w:style w:styleId="Heading2" w:type="paragraph">
    <w:name w:val="Heading 2"/>
    <w:basedOn w:val="Normal"/>
    <w:uiPriority w:val="1"/>
    <w:qFormat/>
    <w:pPr>
      <w:spacing w:before="26"/>
      <w:ind w:left="112"/>
      <w:outlineLvl w:val="2"/>
    </w:pPr>
    <w:rPr>
      <w:rFonts w:ascii="宋体" w:hAnsi="宋体" w:eastAsia="宋体"/>
      <w:b/>
      <w:bCs/>
      <w:sz w:val="24"/>
      <w:szCs w:val="24"/>
    </w:rPr>
  </w:style>
  <w:style w:styleId="Heading3" w:type="paragraph">
    <w:name w:val="Heading 3"/>
    <w:basedOn w:val="Normal"/>
    <w:uiPriority w:val="1"/>
    <w:qFormat/>
    <w:pPr>
      <w:ind w:left="112"/>
      <w:outlineLvl w:val="3"/>
    </w:pPr>
    <w:rPr>
      <w:rFonts w:ascii="宋体" w:hAnsi="宋体" w:eastAsia="宋体"/>
      <w:sz w:val="24"/>
      <w:szCs w:val="24"/>
    </w:rPr>
  </w:style>
  <w:style w:styleId="Heading4" w:type="paragraph">
    <w:name w:val="Heading 4"/>
    <w:basedOn w:val="Normal"/>
    <w:uiPriority w:val="1"/>
    <w:qFormat/>
    <w:pPr>
      <w:ind w:left="112"/>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thunisoft.com/" TargetMode="External"/><Relationship Id="rId9" Type="http://schemas.openxmlformats.org/officeDocument/2006/relationships/hyperlink" Target="mailto:IR@thunisoft.com" TargetMode="External"/><Relationship Id="rId10" Type="http://schemas.openxmlformats.org/officeDocument/2006/relationships/hyperlink" Target="http://www.cninfo.com.cn/" TargetMode="Externa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eader" Target="header2.xml"/><Relationship Id="rId15" Type="http://schemas.openxmlformats.org/officeDocument/2006/relationships/footer" Target="footer6.xml"/><Relationship Id="rId16" Type="http://schemas.openxmlformats.org/officeDocument/2006/relationships/image" Target="media/image1.jpeg"/><Relationship Id="rId17" Type="http://schemas.openxmlformats.org/officeDocument/2006/relationships/header" Target="header3.xml"/><Relationship Id="rId18" Type="http://schemas.openxmlformats.org/officeDocument/2006/relationships/footer" Target="footer7.xml"/><Relationship Id="rId19" Type="http://schemas.openxmlformats.org/officeDocument/2006/relationships/header" Target="header4.xml"/><Relationship Id="rId20" Type="http://schemas.openxmlformats.org/officeDocument/2006/relationships/footer" Target="footer8.xml"/><Relationship Id="rId21" Type="http://schemas.openxmlformats.org/officeDocument/2006/relationships/header" Target="header5.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header" Target="header6.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header" Target="header7.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image" Target="media/image2.jpeg"/><Relationship Id="rId31" Type="http://schemas.openxmlformats.org/officeDocument/2006/relationships/footer" Target="footer15.xml"/><Relationship Id="rId32" Type="http://schemas.openxmlformats.org/officeDocument/2006/relationships/footer" Target="footer16.xml"/><Relationship Id="rId33" Type="http://schemas.openxmlformats.org/officeDocument/2006/relationships/footer" Target="footer17.xml"/><Relationship Id="rId34" Type="http://schemas.openxmlformats.org/officeDocument/2006/relationships/header" Target="header8.xml"/><Relationship Id="rId35" Type="http://schemas.openxmlformats.org/officeDocument/2006/relationships/footer" Target="footer18.xml"/><Relationship Id="rId36" Type="http://schemas.openxmlformats.org/officeDocument/2006/relationships/header" Target="header9.xml"/><Relationship Id="rId37" Type="http://schemas.openxmlformats.org/officeDocument/2006/relationships/footer" Target="footer19.xml"/><Relationship Id="rId38" Type="http://schemas.openxmlformats.org/officeDocument/2006/relationships/header" Target="header10.xml"/><Relationship Id="rId39" Type="http://schemas.openxmlformats.org/officeDocument/2006/relationships/header" Target="header11.xml"/><Relationship Id="rId40" Type="http://schemas.openxmlformats.org/officeDocument/2006/relationships/footer" Target="footer20.xml"/><Relationship Id="rId41" Type="http://schemas.openxmlformats.org/officeDocument/2006/relationships/footer" Target="footer21.xml"/><Relationship Id="rId42" Type="http://schemas.openxmlformats.org/officeDocument/2006/relationships/footer" Target="footer22.xml"/><Relationship Id="rId43" Type="http://schemas.openxmlformats.org/officeDocument/2006/relationships/footer" Target="footer23.xml"/><Relationship Id="rId44" Type="http://schemas.openxmlformats.org/officeDocument/2006/relationships/footer" Target="footer24.xml"/><Relationship Id="rId45" Type="http://schemas.openxmlformats.org/officeDocument/2006/relationships/footer" Target="footer25.xml"/><Relationship Id="rId46" Type="http://schemas.openxmlformats.org/officeDocument/2006/relationships/footer" Target="footer26.xml"/><Relationship Id="rId47" Type="http://schemas.openxmlformats.org/officeDocument/2006/relationships/footer" Target="footer27.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21.xml.rels><?xml version="1.0" encoding="UTF-8" standalone="yes"?>
<Relationships xmlns="http://schemas.openxmlformats.org/package/2006/relationships"><Relationship Id="rId1" Type="http://schemas.openxmlformats.org/officeDocument/2006/relationships/image" Target="media/image1.jpeg"/></Relationships>

</file>

<file path=word/_rels/footer22.xml.rels><?xml version="1.0" encoding="UTF-8" standalone="yes"?>
<Relationships xmlns="http://schemas.openxmlformats.org/package/2006/relationships"><Relationship Id="rId1" Type="http://schemas.openxmlformats.org/officeDocument/2006/relationships/image" Target="media/image1.jpeg"/></Relationships>

</file>

<file path=word/_rels/footer23.xml.rels><?xml version="1.0" encoding="UTF-8" standalone="yes"?>
<Relationships xmlns="http://schemas.openxmlformats.org/package/2006/relationships"><Relationship Id="rId1" Type="http://schemas.openxmlformats.org/officeDocument/2006/relationships/image" Target="media/image1.jpeg"/></Relationships>

</file>

<file path=word/_rels/footer24.xml.rels><?xml version="1.0" encoding="UTF-8" standalone="yes"?>
<Relationships xmlns="http://schemas.openxmlformats.org/package/2006/relationships"><Relationship Id="rId1" Type="http://schemas.openxmlformats.org/officeDocument/2006/relationships/image" Target="media/image1.jpeg"/></Relationships>

</file>

<file path=word/_rels/footer25.xml.rels><?xml version="1.0" encoding="UTF-8" standalone="yes"?>
<Relationships xmlns="http://schemas.openxmlformats.org/package/2006/relationships"><Relationship Id="rId1" Type="http://schemas.openxmlformats.org/officeDocument/2006/relationships/image" Target="media/image1.jpeg"/></Relationships>

</file>

<file path=word/_rels/footer26.xml.rels><?xml version="1.0" encoding="UTF-8" standalone="yes"?>
<Relationships xmlns="http://schemas.openxmlformats.org/package/2006/relationships"><Relationship Id="rId1" Type="http://schemas.openxmlformats.org/officeDocument/2006/relationships/image" Target="media/image1.jpeg"/></Relationships>

</file>

<file path=word/_rels/footer27.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huayu</dc:creator>
  <dcterms:created xsi:type="dcterms:W3CDTF">2020-05-05T04:00:40Z</dcterms:created>
  <dcterms:modified xsi:type="dcterms:W3CDTF">2020-05-05T04:00:40Z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2019-04-26T00:00:00Z</vt:filetime>
  </property>
  <property fmtid="{D5CDD505-2E9C-101B-9397-08002B2CF9AE}" pid="3" name="Creator">
    <vt:lpwstr>WPS 文字</vt:lpwstr>
  </property>
  <property fmtid="{D5CDD505-2E9C-101B-9397-08002B2CF9AE}" pid="4" name="LastSaved">
    <vt:filetime>2020-05-04T00:00:00Z</vt:filetime>
  </property>
</Properties>
</file>