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47" w:right="3762" w:firstLine="0"/>
        <w:jc w:val="center"/>
        <w:rPr>
          <w:rFonts w:ascii="宋体" w:hAnsi="宋体" w:cs="宋体" w:eastAsia="宋体" w:hint="default"/>
          <w:sz w:val="36"/>
          <w:szCs w:val="36"/>
        </w:rPr>
      </w:pPr>
      <w:r>
        <w:rPr/>
        <w:pict>
          <v:group style="position:absolute;margin-left:56.700001pt;margin-top:-84.896545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2pt" strokecolor="#000000">
              <v:path arrowok="t"/>
            </v:shape>
            <w10:wrap type="none"/>
          </v:group>
        </w:pict>
      </w:r>
      <w:r>
        <w:rPr>
          <w:rFonts w:ascii="宋体" w:hAnsi="宋体" w:cs="宋体" w:eastAsia="宋体" w:hint="default"/>
          <w:b/>
          <w:bCs/>
          <w:sz w:val="36"/>
          <w:szCs w:val="36"/>
        </w:rPr>
        <w:t>北京华宇软件股份有限公司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45" w:right="3762" w:firstLine="0"/>
        <w:jc w:val="center"/>
        <w:rPr>
          <w:rFonts w:ascii="宋体" w:hAnsi="宋体" w:cs="宋体" w:eastAsia="宋体" w:hint="default"/>
          <w:sz w:val="32"/>
          <w:szCs w:val="32"/>
        </w:rPr>
      </w:pPr>
      <w:r>
        <w:rPr>
          <w:rFonts w:ascii="Arial" w:hAnsi="Arial" w:cs="Arial" w:eastAsia="Arial" w:hint="default"/>
          <w:b/>
          <w:bCs/>
          <w:sz w:val="32"/>
          <w:szCs w:val="32"/>
        </w:rPr>
        <w:t>2019</w:t>
      </w:r>
      <w:r>
        <w:rPr>
          <w:rFonts w:ascii="Arial" w:hAnsi="Arial" w:cs="Arial" w:eastAsia="Arial" w:hint="default"/>
          <w:b/>
          <w:bCs/>
          <w:spacing w:val="-1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40"/>
          <w:szCs w:val="40"/>
        </w:rPr>
      </w:pPr>
    </w:p>
    <w:p>
      <w:pPr>
        <w:spacing w:before="0"/>
        <w:ind w:left="2747" w:right="3762" w:firstLine="0"/>
        <w:jc w:val="center"/>
        <w:rPr>
          <w:rFonts w:ascii="宋体" w:hAnsi="宋体" w:cs="宋体" w:eastAsia="宋体" w:hint="default"/>
          <w:sz w:val="32"/>
          <w:szCs w:val="32"/>
        </w:rPr>
      </w:pPr>
      <w:r>
        <w:rPr>
          <w:rFonts w:ascii="Arial" w:hAnsi="Arial" w:cs="Arial" w:eastAsia="Arial" w:hint="default"/>
          <w:b/>
          <w:bCs/>
          <w:sz w:val="32"/>
          <w:szCs w:val="32"/>
        </w:rPr>
        <w:t>2020</w:t>
      </w:r>
      <w:r>
        <w:rPr>
          <w:rFonts w:ascii="Arial" w:hAnsi="Arial" w:cs="Arial" w:eastAsia="Arial" w:hint="default"/>
          <w:b/>
          <w:bCs/>
          <w:spacing w:val="-1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Arial" w:hAnsi="Arial" w:cs="Arial" w:eastAsia="Arial" w:hint="default"/>
          <w:b/>
          <w:bCs/>
          <w:sz w:val="32"/>
          <w:szCs w:val="32"/>
        </w:rPr>
        <w:t>03</w:t>
      </w:r>
      <w:r>
        <w:rPr>
          <w:rFonts w:ascii="Arial" w:hAnsi="Arial" w:cs="Arial" w:eastAsia="Arial" w:hint="default"/>
          <w:b/>
          <w:bCs/>
          <w:spacing w:val="-1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1016" w:top="1060" w:bottom="120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1"/>
        <w:spacing w:line="439" w:lineRule="exact"/>
        <w:ind w:left="2772" w:right="996"/>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0"/>
        </w:rPr>
        <w:t> </w:t>
      </w:r>
      <w:r>
        <w:rPr/>
        <w:t>重要提示、目录和释义</w:t>
      </w:r>
      <w:r>
        <w:rPr>
          <w:b w:val="0"/>
          <w:bCs w:val="0"/>
        </w:rPr>
      </w:r>
    </w:p>
    <w:p>
      <w:pPr>
        <w:spacing w:line="240" w:lineRule="auto" w:before="12"/>
        <w:rPr>
          <w:rFonts w:ascii="微软雅黑" w:hAnsi="微软雅黑" w:cs="微软雅黑" w:eastAsia="微软雅黑" w:hint="default"/>
          <w:b/>
          <w:bCs/>
          <w:sz w:val="28"/>
          <w:szCs w:val="28"/>
        </w:rPr>
      </w:pPr>
    </w:p>
    <w:p>
      <w:pPr>
        <w:pStyle w:val="Heading3"/>
        <w:spacing w:line="300" w:lineRule="auto"/>
        <w:ind w:right="996"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283" w:lineRule="auto" w:before="170"/>
        <w:ind w:right="996" w:firstLine="480"/>
        <w:jc w:val="left"/>
      </w:pPr>
      <w:r>
        <w:rPr>
          <w:spacing w:val="2"/>
        </w:rPr>
        <w:t>公司负责人邵学、主管会计工作负责人王琰及会计机构负责人</w:t>
      </w:r>
      <w:r>
        <w:rPr>
          <w:rFonts w:ascii="Arial" w:hAnsi="Arial" w:cs="Arial" w:eastAsia="Arial" w:hint="default"/>
          <w:spacing w:val="2"/>
        </w:rPr>
        <w:t>(</w:t>
      </w:r>
      <w:r>
        <w:rPr>
          <w:spacing w:val="2"/>
        </w:rPr>
        <w:t>会计主管人员</w:t>
      </w:r>
      <w:r>
        <w:rPr>
          <w:rFonts w:ascii="Arial" w:hAnsi="Arial" w:cs="Arial" w:eastAsia="Arial" w:hint="default"/>
          <w:spacing w:val="2"/>
        </w:rPr>
        <w:t>)</w:t>
      </w:r>
      <w:r>
        <w:rPr>
          <w:spacing w:val="2"/>
        </w:rPr>
        <w:t>张绪梅声</w:t>
      </w:r>
      <w:r>
        <w:rPr/>
        <w:t> 明：保证年度报告中财务报告的真实、准确、完整。</w:t>
      </w:r>
    </w:p>
    <w:p>
      <w:pPr>
        <w:pStyle w:val="Heading3"/>
        <w:spacing w:line="240" w:lineRule="auto" w:before="187"/>
        <w:ind w:left="592" w:right="996"/>
        <w:jc w:val="left"/>
      </w:pPr>
      <w:r>
        <w:rPr/>
        <w:t>所有董事均已出席了审议本报告的董事会会议。</w:t>
      </w:r>
    </w:p>
    <w:p>
      <w:pPr>
        <w:spacing w:after="0" w:line="240" w:lineRule="auto"/>
        <w:jc w:val="left"/>
        <w:sectPr>
          <w:footerReference w:type="default" r:id="rId7"/>
          <w:pgSz w:w="11910" w:h="16840"/>
          <w:pgMar w:footer="1016" w:header="746" w:top="1060" w:bottom="1200" w:left="1020" w:right="0"/>
          <w:pgNumType w:start="2"/>
        </w:sectPr>
      </w:pPr>
    </w:p>
    <w:p>
      <w:pPr>
        <w:spacing w:line="240" w:lineRule="auto" w:before="10"/>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09"/>
        <w:ind w:right="996"/>
        <w:jc w:val="left"/>
        <w:rPr>
          <w:rFonts w:ascii="微软雅黑" w:hAnsi="微软雅黑" w:cs="微软雅黑" w:eastAsia="微软雅黑" w:hint="default"/>
          <w:b w:val="0"/>
          <w:bCs w:val="0"/>
        </w:rPr>
      </w:pPr>
      <w:r>
        <w:rPr>
          <w:rFonts w:ascii="微软雅黑" w:hAnsi="微软雅黑" w:cs="微软雅黑" w:eastAsia="微软雅黑" w:hint="default"/>
        </w:rPr>
        <w:t>重要提示：</w:t>
      </w:r>
      <w:r>
        <w:rPr>
          <w:rFonts w:ascii="微软雅黑" w:hAnsi="微软雅黑" w:cs="微软雅黑" w:eastAsia="微软雅黑" w:hint="default"/>
          <w:b w:val="0"/>
          <w:bCs w:val="0"/>
        </w:rPr>
      </w:r>
    </w:p>
    <w:p>
      <w:pPr>
        <w:spacing w:line="240" w:lineRule="auto" w:before="16"/>
        <w:rPr>
          <w:rFonts w:ascii="微软雅黑" w:hAnsi="微软雅黑" w:cs="微软雅黑" w:eastAsia="微软雅黑" w:hint="default"/>
          <w:b/>
          <w:bCs/>
          <w:sz w:val="13"/>
          <w:szCs w:val="13"/>
        </w:rPr>
      </w:pPr>
    </w:p>
    <w:p>
      <w:pPr>
        <w:pStyle w:val="Heading3"/>
        <w:spacing w:line="273" w:lineRule="auto"/>
        <w:ind w:left="592" w:right="996" w:hanging="480"/>
        <w:jc w:val="left"/>
      </w:pPr>
      <w:r>
        <w:rPr/>
        <w:t>对年度报告涉及未来计划等前瞻性陈述的风险提示 公司敬请投资者注意：本年度报告可能涉及未来计划等前瞻性陈述，该等计划并不构成</w:t>
      </w:r>
    </w:p>
    <w:p>
      <w:pPr>
        <w:pStyle w:val="Heading3"/>
        <w:spacing w:line="273" w:lineRule="auto" w:before="12"/>
        <w:ind w:right="996"/>
        <w:jc w:val="left"/>
      </w:pPr>
      <w:r>
        <w:rPr/>
        <w:t>公司对投资者的实质承诺，投资者及相关人士均应对此保持足够的风险意识，并且应当理解</w:t>
      </w:r>
      <w:r>
        <w:rPr>
          <w:spacing w:val="-89"/>
        </w:rPr>
        <w:t> </w:t>
      </w:r>
      <w:r>
        <w:rPr>
          <w:spacing w:val="-89"/>
        </w:rPr>
      </w:r>
      <w:r>
        <w:rPr/>
        <w:t>计划、预测与承诺之间的差异。</w:t>
      </w:r>
    </w:p>
    <w:p>
      <w:pPr>
        <w:pStyle w:val="Heading3"/>
        <w:spacing w:line="240" w:lineRule="auto" w:before="12"/>
        <w:ind w:left="592" w:right="996"/>
        <w:jc w:val="left"/>
      </w:pPr>
      <w:r>
        <w:rPr>
          <w:rFonts w:ascii="Arial" w:hAnsi="Arial" w:cs="Arial" w:eastAsia="Arial" w:hint="default"/>
        </w:rPr>
        <w:t>1</w:t>
      </w:r>
      <w:r>
        <w:rPr/>
        <w:t>、经济环境风险</w:t>
      </w:r>
    </w:p>
    <w:p>
      <w:pPr>
        <w:pStyle w:val="Heading3"/>
        <w:spacing w:line="271" w:lineRule="auto" w:before="29"/>
        <w:ind w:right="996" w:firstLine="480"/>
        <w:jc w:val="left"/>
      </w:pPr>
      <w:r>
        <w:rPr>
          <w:rFonts w:ascii="Arial" w:hAnsi="Arial" w:cs="Arial" w:eastAsia="Arial" w:hint="default"/>
        </w:rPr>
        <w:t>2019</w:t>
      </w:r>
      <w:r>
        <w:rPr>
          <w:rFonts w:ascii="Arial" w:hAnsi="Arial" w:cs="Arial" w:eastAsia="Arial" w:hint="default"/>
          <w:spacing w:val="-8"/>
        </w:rPr>
        <w:t> </w:t>
      </w:r>
      <w:r>
        <w:rPr/>
        <w:t>年，多边主义和单边主义之争更加尖锐，大国博弈明显升温，世界经济持续低迷； 我国正处在转变发展方式、优化经济结构、转换增长动力的攻关期，结构性、体制性、周期</w:t>
      </w:r>
      <w:r>
        <w:rPr>
          <w:spacing w:val="-89"/>
        </w:rPr>
        <w:t> </w:t>
      </w:r>
      <w:r>
        <w:rPr>
          <w:spacing w:val="-89"/>
        </w:rPr>
      </w:r>
      <w:r>
        <w:rPr/>
        <w:t>性问题相互交织，经济下行压力加大。发达国家在工业互联网、智能制造、人工智能、大数</w:t>
      </w:r>
      <w:r>
        <w:rPr>
          <w:spacing w:val="-89"/>
        </w:rPr>
        <w:t> </w:t>
      </w:r>
      <w:r>
        <w:rPr>
          <w:spacing w:val="-89"/>
        </w:rPr>
      </w:r>
      <w:r>
        <w:rPr/>
        <w:t>据等领域加速战略布局，抢占未来发展主导权，给我国软件和信息技术服务业跨越发展带来</w:t>
      </w:r>
      <w:r>
        <w:rPr>
          <w:spacing w:val="-89"/>
        </w:rPr>
        <w:t> </w:t>
      </w:r>
      <w:r>
        <w:rPr>
          <w:spacing w:val="-89"/>
        </w:rPr>
      </w:r>
      <w:r>
        <w:rPr>
          <w:spacing w:val="-6"/>
        </w:rPr>
        <w:t>深刻影响。我国加快新旧发展动能接续转换，深入开展“互联网</w:t>
      </w:r>
      <w:r>
        <w:rPr>
          <w:rFonts w:ascii="Arial" w:hAnsi="Arial" w:cs="Arial" w:eastAsia="Arial" w:hint="default"/>
          <w:spacing w:val="-6"/>
        </w:rPr>
        <w:t>+</w:t>
      </w:r>
      <w:r>
        <w:rPr>
          <w:spacing w:val="-6"/>
        </w:rPr>
        <w:t>”行动，实行包容审慎监管，</w:t>
      </w:r>
      <w:r>
        <w:rPr>
          <w:spacing w:val="-90"/>
        </w:rPr>
        <w:t> </w:t>
      </w:r>
      <w:r>
        <w:rPr>
          <w:spacing w:val="-90"/>
        </w:rPr>
      </w:r>
      <w:r>
        <w:rPr/>
        <w:t>推动大数据、云计算、物联网广泛应用，新兴产业蓬勃发展，传统产业深刻重塑。针对制约</w:t>
      </w:r>
      <w:r>
        <w:rPr>
          <w:spacing w:val="-89"/>
        </w:rPr>
        <w:t> </w:t>
      </w:r>
      <w:r>
        <w:rPr>
          <w:spacing w:val="-89"/>
        </w:rPr>
      </w:r>
      <w:r>
        <w:rPr/>
        <w:t>产业发展的各项问题，国家正积极部署新举措：金融供给侧结构性改革将继续深化；支持民</w:t>
      </w:r>
      <w:r>
        <w:rPr>
          <w:spacing w:val="-89"/>
        </w:rPr>
        <w:t> </w:t>
      </w:r>
      <w:r>
        <w:rPr>
          <w:spacing w:val="-89"/>
        </w:rPr>
      </w:r>
      <w:r>
        <w:rPr/>
        <w:t>营经济发展，发挥市场在资源配置中的决定性作用；同时国家积极推进科技创新，增强核心</w:t>
      </w:r>
      <w:r>
        <w:rPr>
          <w:spacing w:val="-89"/>
        </w:rPr>
        <w:t> </w:t>
      </w:r>
      <w:r>
        <w:rPr>
          <w:spacing w:val="-89"/>
        </w:rPr>
      </w:r>
      <w:r>
        <w:rPr/>
        <w:t>竞争力，加快推进新旧动能转换。面对经济环境可能存在的问题和变化，公司积极响应国家</w:t>
      </w:r>
      <w:r>
        <w:rPr>
          <w:spacing w:val="-89"/>
        </w:rPr>
        <w:t> </w:t>
      </w:r>
      <w:r>
        <w:rPr>
          <w:spacing w:val="-89"/>
        </w:rPr>
      </w:r>
      <w:r>
        <w:rPr/>
        <w:t>稳定增长的号召，紧抓科技政策带来的优势，积极拓展市场，提升公司盈利能力。公司将持</w:t>
      </w:r>
      <w:r>
        <w:rPr>
          <w:spacing w:val="-89"/>
        </w:rPr>
        <w:t> </w:t>
      </w:r>
      <w:r>
        <w:rPr>
          <w:spacing w:val="-89"/>
        </w:rPr>
      </w:r>
      <w:r>
        <w:rPr/>
        <w:t>续增加自主研发投入，鼓励科技创新，努力提高产品竞争力及公司核心竞争力，提高公司的</w:t>
      </w:r>
      <w:r>
        <w:rPr>
          <w:spacing w:val="-89"/>
        </w:rPr>
        <w:t> </w:t>
      </w:r>
      <w:r>
        <w:rPr>
          <w:spacing w:val="-89"/>
        </w:rPr>
      </w:r>
      <w:r>
        <w:rPr/>
        <w:t>抗风险能力。</w:t>
      </w:r>
    </w:p>
    <w:p>
      <w:pPr>
        <w:pStyle w:val="Heading3"/>
        <w:spacing w:line="261" w:lineRule="auto" w:before="12"/>
        <w:ind w:left="592" w:right="996"/>
        <w:jc w:val="left"/>
      </w:pPr>
      <w:r>
        <w:rPr>
          <w:rFonts w:ascii="Arial" w:hAnsi="Arial" w:cs="Arial" w:eastAsia="Arial" w:hint="default"/>
        </w:rPr>
        <w:t>2</w:t>
      </w:r>
      <w:r>
        <w:rPr/>
        <w:t>、行业政策风险 </w:t>
      </w:r>
      <w:r>
        <w:rPr>
          <w:spacing w:val="-3"/>
        </w:rPr>
        <w:t>我国大力推动软件行业、电子政务等行业发展，政府部门先后颁布财税、投融资、研发、</w:t>
      </w:r>
    </w:p>
    <w:p>
      <w:pPr>
        <w:pStyle w:val="Heading3"/>
        <w:spacing w:line="273" w:lineRule="auto" w:before="22"/>
        <w:ind w:right="996"/>
        <w:jc w:val="left"/>
      </w:pPr>
      <w:r>
        <w:rPr>
          <w:spacing w:val="-2"/>
        </w:rPr>
        <w:t>知识产权等多项扶持政策，为行业发展提供强有力的政策支持、营造良好的发展环境。目前，</w:t>
      </w:r>
      <w:r>
        <w:rPr/>
        <w:t> 我国统一完整的国家电子政务网络基本形成，网络安全审查、信息安全等级保护等制度不断</w:t>
      </w:r>
      <w:r>
        <w:rPr>
          <w:spacing w:val="-89"/>
        </w:rPr>
        <w:t> </w:t>
      </w:r>
      <w:r>
        <w:rPr>
          <w:spacing w:val="-89"/>
        </w:rPr>
      </w:r>
      <w:r>
        <w:rPr/>
        <w:t>完善，网络空间日益清朗。根据“十三五”对国家信息化的规划，在今后一段时期内，我国</w:t>
      </w:r>
      <w:r>
        <w:rPr>
          <w:spacing w:val="-89"/>
        </w:rPr>
        <w:t> </w:t>
      </w:r>
      <w:r>
        <w:rPr>
          <w:spacing w:val="-89"/>
        </w:rPr>
      </w:r>
      <w:r>
        <w:rPr/>
        <w:t>信息化还将处于一个持续发展期。发展过程中存在的问题，需要通过政策规范的有效引导，</w:t>
      </w:r>
      <w:r>
        <w:rPr>
          <w:spacing w:val="-89"/>
        </w:rPr>
        <w:t> </w:t>
      </w:r>
      <w:r>
        <w:rPr>
          <w:spacing w:val="-89"/>
        </w:rPr>
      </w:r>
      <w:r>
        <w:rPr/>
        <w:t>逐步解决。如果未来国家产业政策出现重大变动，对软件和信息技术服务行业的产业政策发</w:t>
      </w:r>
      <w:r>
        <w:rPr>
          <w:spacing w:val="-89"/>
        </w:rPr>
        <w:t> </w:t>
      </w:r>
      <w:r>
        <w:rPr>
          <w:spacing w:val="-89"/>
        </w:rPr>
      </w:r>
      <w:r>
        <w:rPr/>
        <w:t>生不利变化，将可能导致公司的市场环境和发展空间发生变化，给公司经营带来风险。公司</w:t>
      </w:r>
      <w:r>
        <w:rPr>
          <w:spacing w:val="-89"/>
        </w:rPr>
        <w:t> </w:t>
      </w:r>
      <w:r>
        <w:rPr>
          <w:spacing w:val="-89"/>
        </w:rPr>
      </w:r>
      <w:r>
        <w:rPr/>
        <w:t>会积极把握政策动向，持续提升自身管理水平及风险抵抗能力，提高公司市场竞争力。</w:t>
      </w:r>
    </w:p>
    <w:p>
      <w:pPr>
        <w:pStyle w:val="Heading3"/>
        <w:spacing w:line="259" w:lineRule="auto" w:before="12"/>
        <w:ind w:left="592" w:right="996"/>
        <w:jc w:val="left"/>
      </w:pPr>
      <w:r>
        <w:rPr>
          <w:rFonts w:ascii="Arial" w:hAnsi="Arial" w:cs="Arial" w:eastAsia="Arial" w:hint="default"/>
        </w:rPr>
        <w:t>3</w:t>
      </w:r>
      <w:r>
        <w:rPr/>
        <w:t>、技术风险 我国信息化发展中还存在一些突出短板，主要是技术产业生态系统不完善、信息资源开</w:t>
      </w:r>
    </w:p>
    <w:p>
      <w:pPr>
        <w:pStyle w:val="Heading3"/>
        <w:spacing w:line="273" w:lineRule="auto" w:before="26"/>
        <w:ind w:right="996"/>
        <w:jc w:val="left"/>
      </w:pPr>
      <w:r>
        <w:rPr/>
        <w:t>发利用和公共数据开放共享水平不高、网络空间安全面临严峻挑战等。信息技术更新换代较</w:t>
      </w:r>
      <w:r>
        <w:rPr>
          <w:spacing w:val="-89"/>
        </w:rPr>
        <w:t> </w:t>
      </w:r>
      <w:r>
        <w:rPr>
          <w:spacing w:val="-89"/>
        </w:rPr>
      </w:r>
      <w:r>
        <w:rPr/>
        <w:t>快，由于外部环境的不确定性，技术创新本身的复杂性，可能会导致达不到预期目标。公司</w:t>
      </w:r>
      <w:r>
        <w:rPr>
          <w:spacing w:val="-89"/>
        </w:rPr>
        <w:t> </w:t>
      </w:r>
      <w:r>
        <w:rPr>
          <w:spacing w:val="-89"/>
        </w:rPr>
      </w:r>
      <w:r>
        <w:rPr>
          <w:spacing w:val="-2"/>
        </w:rPr>
        <w:t>会不断完善技术研发、技术创新体系，逐步提高自主创新能力，同时紧跟行业技术发展趋势，</w:t>
      </w:r>
      <w:r>
        <w:rPr/>
        <w:t> 把握产品和技术研发方向，让技术研发面向市场，及时根据市场变化和客户需求推出新产品</w:t>
      </w:r>
      <w:r>
        <w:rPr>
          <w:spacing w:val="-89"/>
        </w:rPr>
        <w:t> </w:t>
      </w:r>
      <w:r>
        <w:rPr>
          <w:spacing w:val="-89"/>
        </w:rPr>
      </w:r>
      <w:r>
        <w:rPr/>
        <w:t>和解决方案，保障技术的创新性和领先性，持续提高公司的市场竞争力。</w:t>
      </w:r>
    </w:p>
    <w:p>
      <w:pPr>
        <w:pStyle w:val="Heading3"/>
        <w:spacing w:line="261" w:lineRule="auto" w:before="10"/>
        <w:ind w:left="592" w:right="996"/>
        <w:jc w:val="left"/>
      </w:pPr>
      <w:r>
        <w:rPr>
          <w:rFonts w:ascii="Arial" w:hAnsi="Arial" w:cs="Arial" w:eastAsia="Arial" w:hint="default"/>
        </w:rPr>
        <w:t>4</w:t>
      </w:r>
      <w:r>
        <w:rPr/>
        <w:t>、管理风险 近几年公司的业务规模不断拓展，业务范围也不断扩大，组织结构日益复杂，一定程度</w:t>
      </w:r>
    </w:p>
    <w:p>
      <w:pPr>
        <w:pStyle w:val="Heading3"/>
        <w:spacing w:line="240" w:lineRule="auto" w:before="22"/>
        <w:ind w:right="996"/>
        <w:jc w:val="left"/>
      </w:pPr>
      <w:r>
        <w:rPr/>
        <w:t>上加大了公司经营决策和控制风险的难度，对公司的管理提出了更高的要求。目前公司持续</w:t>
      </w:r>
    </w:p>
    <w:p>
      <w:pPr>
        <w:spacing w:after="0" w:line="240" w:lineRule="auto"/>
        <w:jc w:val="left"/>
        <w:sectPr>
          <w:pgSz w:w="11910" w:h="16840"/>
          <w:pgMar w:header="746" w:footer="1016" w:top="1060" w:bottom="1200" w:left="1020" w:right="0"/>
        </w:sectPr>
      </w:pPr>
    </w:p>
    <w:p>
      <w:pPr>
        <w:spacing w:line="240" w:lineRule="auto" w:before="3"/>
        <w:rPr>
          <w:rFonts w:ascii="宋体" w:hAnsi="宋体" w:cs="宋体" w:eastAsia="宋体" w:hint="default"/>
          <w:sz w:val="25"/>
          <w:szCs w:val="25"/>
        </w:rPr>
      </w:pPr>
    </w:p>
    <w:p>
      <w:pPr>
        <w:pStyle w:val="Heading3"/>
        <w:spacing w:line="271" w:lineRule="auto" w:before="26"/>
        <w:ind w:right="1132"/>
        <w:jc w:val="both"/>
      </w:pPr>
      <w:r>
        <w:rPr/>
        <w:t>健全治理体系，完善法人治理结构，优化公司治理制度，参照国际领先的“</w:t>
      </w:r>
      <w:r>
        <w:rPr>
          <w:rFonts w:ascii="Arial" w:hAnsi="Arial" w:cs="Arial" w:eastAsia="Arial" w:hint="default"/>
        </w:rPr>
        <w:t>ESG</w:t>
      </w:r>
      <w:r>
        <w:rPr/>
        <w:t>”评价体系</w:t>
      </w:r>
      <w:r>
        <w:rPr>
          <w:spacing w:val="-113"/>
        </w:rPr>
        <w:t> </w:t>
      </w:r>
      <w:r>
        <w:rPr/>
        <w:t>持续提升公司治理水平，有效推进制度落实运行，确保管理权责清晰、决策高效。此外，公</w:t>
      </w:r>
      <w:r>
        <w:rPr>
          <w:spacing w:val="-89"/>
        </w:rPr>
        <w:t> </w:t>
      </w:r>
      <w:r>
        <w:rPr>
          <w:spacing w:val="-89"/>
        </w:rPr>
      </w:r>
      <w:r>
        <w:rPr/>
        <w:t>司还注重人才的选拔、考评、晋升、激励和培养，防止关键人才流失。公司会继续提升管理</w:t>
      </w:r>
      <w:r>
        <w:rPr>
          <w:spacing w:val="-89"/>
        </w:rPr>
        <w:t> </w:t>
      </w:r>
      <w:r>
        <w:rPr>
          <w:spacing w:val="-89"/>
        </w:rPr>
      </w:r>
      <w:r>
        <w:rPr/>
        <w:t>团队的管理能力和业务能力，规范公司运作体系，加强内部控制，强化各项决策的科学性，</w:t>
      </w:r>
      <w:r>
        <w:rPr>
          <w:spacing w:val="-89"/>
        </w:rPr>
        <w:t> </w:t>
      </w:r>
      <w:r>
        <w:rPr>
          <w:spacing w:val="-89"/>
        </w:rPr>
      </w:r>
      <w:r>
        <w:rPr/>
        <w:t>促进公司的机制创新和管理升级。</w:t>
      </w:r>
    </w:p>
    <w:p>
      <w:pPr>
        <w:pStyle w:val="Heading3"/>
        <w:spacing w:line="259" w:lineRule="auto" w:before="14"/>
        <w:ind w:left="592" w:right="996"/>
        <w:jc w:val="left"/>
      </w:pPr>
      <w:r>
        <w:rPr>
          <w:rFonts w:ascii="Arial" w:hAnsi="Arial" w:cs="Arial" w:eastAsia="Arial" w:hint="default"/>
        </w:rPr>
        <w:t>5</w:t>
      </w:r>
      <w:r>
        <w:rPr/>
        <w:t>、业务拓展风险 公司加快大数据、人工智能等新技术的研究和落地，持续创新应用软件和解决方案，不</w:t>
      </w:r>
    </w:p>
    <w:p>
      <w:pPr>
        <w:pStyle w:val="Heading3"/>
        <w:spacing w:line="273" w:lineRule="auto" w:before="26"/>
        <w:ind w:right="996"/>
        <w:jc w:val="left"/>
      </w:pPr>
      <w:r>
        <w:rPr/>
        <w:t>断深耕优势市场的同时持续布局和拓展新兴市场。围绕公司战略，公司也会通过对外投资、</w:t>
      </w:r>
      <w:r>
        <w:rPr>
          <w:spacing w:val="-89"/>
        </w:rPr>
        <w:t> </w:t>
      </w:r>
      <w:r>
        <w:rPr>
          <w:spacing w:val="-89"/>
        </w:rPr>
      </w:r>
      <w:r>
        <w:rPr>
          <w:spacing w:val="-2"/>
        </w:rPr>
        <w:t>并购等方式开拓业务，进行前瞻性业务布局。业务的持续拓展对公司集团化管理、文化认同、</w:t>
      </w:r>
      <w:r>
        <w:rPr/>
        <w:t> 业务协同以及风险控制提出更高要求。公司将继续坚持稳健的业务发展策略，有效整合公司</w:t>
      </w:r>
      <w:r>
        <w:rPr>
          <w:spacing w:val="-89"/>
        </w:rPr>
        <w:t> </w:t>
      </w:r>
      <w:r>
        <w:rPr>
          <w:spacing w:val="-89"/>
        </w:rPr>
      </w:r>
      <w:r>
        <w:rPr>
          <w:spacing w:val="-2"/>
        </w:rPr>
        <w:t>技术、产品和业务资源，积极开展在战略、市场和产品层面的合作，促进公司产生协同效应，</w:t>
      </w:r>
      <w:r>
        <w:rPr/>
        <w:t> 实现规模经济和优势互补。同时公司将加强风险控制，明确自身战略目标，建立科学风险管</w:t>
      </w:r>
      <w:r>
        <w:rPr>
          <w:spacing w:val="-89"/>
        </w:rPr>
        <w:t> </w:t>
      </w:r>
      <w:r>
        <w:rPr>
          <w:spacing w:val="-89"/>
        </w:rPr>
      </w:r>
      <w:r>
        <w:rPr/>
        <w:t>理机制，提升公司整体优势，不断强化市场领先地位，以防范业务扩张带来的风险，保证公</w:t>
      </w:r>
      <w:r>
        <w:rPr>
          <w:spacing w:val="-89"/>
        </w:rPr>
        <w:t> </w:t>
      </w:r>
      <w:r>
        <w:rPr>
          <w:spacing w:val="-89"/>
        </w:rPr>
      </w:r>
      <w:r>
        <w:rPr/>
        <w:t>司业务持续、健康、高效的成长。</w:t>
      </w:r>
    </w:p>
    <w:p>
      <w:pPr>
        <w:pStyle w:val="Heading3"/>
        <w:spacing w:line="240" w:lineRule="auto" w:before="10"/>
        <w:ind w:left="592" w:right="996"/>
        <w:jc w:val="left"/>
        <w:rPr>
          <w:rFonts w:ascii="Arial" w:hAnsi="Arial" w:cs="Arial" w:eastAsia="Arial" w:hint="default"/>
        </w:rPr>
      </w:pPr>
      <w:r>
        <w:rPr/>
        <w:t>公司</w:t>
      </w:r>
      <w:r>
        <w:rPr>
          <w:spacing w:val="2"/>
        </w:rPr>
        <w:t>经</w:t>
      </w:r>
      <w:r>
        <w:rPr/>
        <w:t>本次董事会</w:t>
      </w:r>
      <w:r>
        <w:rPr>
          <w:spacing w:val="2"/>
        </w:rPr>
        <w:t>审</w:t>
      </w:r>
      <w:r>
        <w:rPr/>
        <w:t>议通过的</w:t>
      </w:r>
      <w:r>
        <w:rPr>
          <w:spacing w:val="2"/>
        </w:rPr>
        <w:t>利</w:t>
      </w:r>
      <w:r>
        <w:rPr/>
        <w:t>润分配预案</w:t>
      </w:r>
      <w:r>
        <w:rPr>
          <w:spacing w:val="2"/>
        </w:rPr>
        <w:t>为</w:t>
      </w:r>
      <w:r>
        <w:rPr>
          <w:spacing w:val="-120"/>
        </w:rPr>
        <w:t>：</w:t>
      </w:r>
      <w:r>
        <w:rPr/>
        <w:t>以</w:t>
      </w:r>
      <w:r>
        <w:rPr>
          <w:spacing w:val="-63"/>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9</w:t>
      </w:r>
      <w:r>
        <w:rPr>
          <w:rFonts w:ascii="Arial" w:hAnsi="Arial" w:cs="Arial" w:eastAsia="Arial" w:hint="default"/>
          <w:spacing w:val="-11"/>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9"/>
        </w:rPr>
        <w:t> </w:t>
      </w:r>
      <w:r>
        <w:rPr/>
        <w:t>月</w:t>
      </w:r>
      <w:r>
        <w:rPr>
          <w:spacing w:val="-65"/>
        </w:rPr>
        <w:t> </w:t>
      </w:r>
      <w:r>
        <w:rPr>
          <w:rFonts w:ascii="Arial" w:hAnsi="Arial" w:cs="Arial" w:eastAsia="Arial" w:hint="default"/>
          <w:w w:val="99"/>
        </w:rPr>
        <w:t>31</w:t>
      </w:r>
      <w:r>
        <w:rPr>
          <w:rFonts w:ascii="Arial" w:hAnsi="Arial" w:cs="Arial" w:eastAsia="Arial" w:hint="default"/>
          <w:spacing w:val="-11"/>
        </w:rPr>
        <w:t> </w:t>
      </w:r>
      <w:r>
        <w:rPr/>
        <w:t>日</w:t>
      </w:r>
      <w:r>
        <w:rPr>
          <w:spacing w:val="2"/>
        </w:rPr>
        <w:t>股</w:t>
      </w:r>
      <w:r>
        <w:rPr/>
        <w:t>本</w:t>
      </w:r>
      <w:r>
        <w:rPr>
          <w:spacing w:val="-65"/>
        </w:rPr>
        <w:t> </w:t>
      </w:r>
      <w:r>
        <w:rPr>
          <w:rFonts w:ascii="Arial" w:hAnsi="Arial" w:cs="Arial" w:eastAsia="Arial" w:hint="default"/>
          <w:w w:val="99"/>
        </w:rPr>
        <w:t>80</w:t>
      </w:r>
      <w:r>
        <w:rPr>
          <w:rFonts w:ascii="Arial" w:hAnsi="Arial" w:cs="Arial" w:eastAsia="Arial" w:hint="default"/>
          <w:spacing w:val="-2"/>
          <w:w w:val="99"/>
        </w:rPr>
        <w:t>9</w:t>
      </w:r>
      <w:r>
        <w:rPr>
          <w:rFonts w:ascii="Arial" w:hAnsi="Arial" w:cs="Arial" w:eastAsia="Arial" w:hint="default"/>
          <w:w w:val="99"/>
        </w:rPr>
        <w:t>,</w:t>
      </w:r>
      <w:r>
        <w:rPr>
          <w:rFonts w:ascii="Arial" w:hAnsi="Arial" w:cs="Arial" w:eastAsia="Arial" w:hint="default"/>
          <w:w w:val="99"/>
        </w:rPr>
        <w:t>3</w:t>
      </w:r>
      <w:r>
        <w:rPr>
          <w:rFonts w:ascii="Arial" w:hAnsi="Arial" w:cs="Arial" w:eastAsia="Arial" w:hint="default"/>
          <w:spacing w:val="-2"/>
          <w:w w:val="99"/>
        </w:rPr>
        <w:t>9</w:t>
      </w:r>
      <w:r>
        <w:rPr>
          <w:rFonts w:ascii="Arial" w:hAnsi="Arial" w:cs="Arial" w:eastAsia="Arial" w:hint="default"/>
          <w:w w:val="99"/>
        </w:rPr>
        <w:t>0</w:t>
      </w:r>
      <w:r>
        <w:rPr>
          <w:rFonts w:ascii="Arial" w:hAnsi="Arial" w:cs="Arial" w:eastAsia="Arial" w:hint="default"/>
          <w:w w:val="99"/>
        </w:rPr>
        <w:t>,</w:t>
      </w:r>
      <w:r>
        <w:rPr>
          <w:rFonts w:ascii="Arial" w:hAnsi="Arial" w:cs="Arial" w:eastAsia="Arial" w:hint="default"/>
          <w:spacing w:val="-2"/>
          <w:w w:val="99"/>
        </w:rPr>
        <w:t>7</w:t>
      </w:r>
      <w:r>
        <w:rPr>
          <w:rFonts w:ascii="Arial" w:hAnsi="Arial" w:cs="Arial" w:eastAsia="Arial" w:hint="default"/>
          <w:spacing w:val="1"/>
          <w:w w:val="99"/>
        </w:rPr>
        <w:t>2</w:t>
      </w:r>
      <w:r>
        <w:rPr>
          <w:rFonts w:ascii="Arial" w:hAnsi="Arial" w:cs="Arial" w:eastAsia="Arial" w:hint="default"/>
          <w:w w:val="99"/>
        </w:rPr>
        <w:t>3</w:t>
      </w:r>
      <w:r>
        <w:rPr>
          <w:rFonts w:ascii="Arial" w:hAnsi="Arial" w:cs="Arial" w:eastAsia="Arial" w:hint="default"/>
        </w:rPr>
      </w:r>
    </w:p>
    <w:p>
      <w:pPr>
        <w:pStyle w:val="Heading3"/>
        <w:spacing w:line="240" w:lineRule="auto" w:before="26"/>
        <w:ind w:right="996"/>
        <w:jc w:val="left"/>
      </w:pPr>
      <w:r>
        <w:rPr/>
        <w:t>股为基数，向全体股东每</w:t>
      </w:r>
      <w:r>
        <w:rPr>
          <w:spacing w:val="-61"/>
        </w:rPr>
        <w:t> </w:t>
      </w:r>
      <w:r>
        <w:rPr>
          <w:rFonts w:ascii="Arial" w:hAnsi="Arial" w:cs="Arial" w:eastAsia="Arial" w:hint="default"/>
        </w:rPr>
        <w:t>10</w:t>
      </w:r>
      <w:r>
        <w:rPr>
          <w:rFonts w:ascii="Arial" w:hAnsi="Arial" w:cs="Arial" w:eastAsia="Arial" w:hint="default"/>
          <w:spacing w:val="-10"/>
        </w:rPr>
        <w:t> </w:t>
      </w:r>
      <w:r>
        <w:rPr/>
        <w:t>股派发现金红利</w:t>
      </w:r>
      <w:r>
        <w:rPr>
          <w:spacing w:val="-61"/>
        </w:rPr>
        <w:t> </w:t>
      </w:r>
      <w:r>
        <w:rPr>
          <w:rFonts w:ascii="Arial" w:hAnsi="Arial" w:cs="Arial" w:eastAsia="Arial" w:hint="default"/>
        </w:rPr>
        <w:t>0.72</w:t>
      </w:r>
      <w:r>
        <w:rPr>
          <w:rFonts w:ascii="Arial" w:hAnsi="Arial" w:cs="Arial" w:eastAsia="Arial" w:hint="default"/>
          <w:spacing w:val="-10"/>
        </w:rPr>
        <w:t> </w:t>
      </w:r>
      <w:r>
        <w:rPr/>
        <w:t>元（含税）。</w:t>
      </w:r>
    </w:p>
    <w:p>
      <w:pPr>
        <w:spacing w:after="0" w:line="240" w:lineRule="auto"/>
        <w:jc w:val="left"/>
        <w:sectPr>
          <w:pgSz w:w="11910" w:h="16840"/>
          <w:pgMar w:header="746" w:footer="1016" w:top="106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483" w:lineRule="exact" w:before="0"/>
        <w:ind w:left="2741" w:right="3762"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12"/>
        <w:rPr>
          <w:rFonts w:ascii="微软雅黑" w:hAnsi="微软雅黑" w:cs="微软雅黑" w:eastAsia="微软雅黑" w:hint="default"/>
          <w:b/>
          <w:bCs/>
          <w:sz w:val="52"/>
          <w:szCs w:val="5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Arial" w:hAnsi="Arial" w:cs="Arial" w:eastAsia="Arial" w:hint="default"/>
              <w:b w:val="0"/>
              <w:bCs w:val="0"/>
            </w:rPr>
          </w:pPr>
          <w:r>
            <w:fldChar w:fldCharType="begin"/>
          </w:r>
          <w:r>
            <w:instrText>TOC \o "1-1" \h \z \u </w:instrText>
          </w:r>
          <w:r>
            <w:fldChar w:fldCharType="separate"/>
          </w:r>
          <w:hyperlink w:history="true" w:anchor="_bookmark0">
            <w:r>
              <w:rPr/>
              <w:t>第一节</w:t>
            </w:r>
            <w:r>
              <w:rPr>
                <w:spacing w:val="48"/>
              </w:rPr>
              <w:t> </w:t>
            </w:r>
            <w:r>
              <w:rPr/>
              <w:t>重要提示、目录和释义</w:t>
            </w:r>
            <w:r>
              <w:rPr>
                <w:rFonts w:ascii="Times New Roman" w:hAnsi="Times New Roman" w:cs="Times New Roman" w:eastAsia="Times New Roman" w:hint="default"/>
                <w:b w:val="0"/>
                <w:bCs w:val="0"/>
              </w:rPr>
              <w:tab/>
            </w:r>
            <w:r>
              <w:rPr>
                <w:rFonts w:ascii="Arial" w:hAnsi="Arial" w:cs="Arial" w:eastAsia="Arial" w:hint="default"/>
              </w:rPr>
              <w:t>2</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bookmark1">
            <w:r>
              <w:rPr/>
              <w:t>第三节</w:t>
            </w:r>
            <w:r>
              <w:rPr>
                <w:spacing w:val="48"/>
              </w:rPr>
              <w:t> </w:t>
            </w:r>
            <w:r>
              <w:rPr/>
              <w:t>公司业务概要</w:t>
            </w:r>
            <w:r>
              <w:rPr>
                <w:rFonts w:ascii="Times New Roman" w:hAnsi="Times New Roman" w:cs="Times New Roman" w:eastAsia="Times New Roman" w:hint="default"/>
                <w:b w:val="0"/>
                <w:bCs w:val="0"/>
              </w:rPr>
              <w:tab/>
            </w:r>
            <w:r>
              <w:rPr>
                <w:rFonts w:ascii="Arial" w:hAnsi="Arial" w:cs="Arial" w:eastAsia="Arial" w:hint="default"/>
                <w:spacing w:val="-6"/>
              </w:rPr>
              <w:t>11</w:t>
            </w:r>
            <w:r>
              <w:rPr>
                <w:rFonts w:ascii="Arial" w:hAnsi="Arial" w:cs="Arial" w:eastAsia="Arial" w:hint="default"/>
                <w:b w:val="0"/>
                <w:bCs w:val="0"/>
                <w:spacing w:val="-6"/>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2">
            <w:r>
              <w:rPr/>
              <w:t>第四节</w:t>
            </w:r>
            <w:r>
              <w:rPr>
                <w:spacing w:val="48"/>
              </w:rPr>
              <w:t> </w:t>
            </w:r>
            <w:r>
              <w:rPr/>
              <w:t>经营情况讨论与分析</w:t>
            </w:r>
            <w:r>
              <w:rPr>
                <w:rFonts w:ascii="Times New Roman" w:hAnsi="Times New Roman" w:cs="Times New Roman" w:eastAsia="Times New Roman" w:hint="default"/>
                <w:b w:val="0"/>
                <w:bCs w:val="0"/>
              </w:rPr>
              <w:tab/>
            </w:r>
            <w:r>
              <w:rPr>
                <w:rFonts w:ascii="Arial" w:hAnsi="Arial" w:cs="Arial" w:eastAsia="Arial" w:hint="default"/>
              </w:rPr>
              <w:t>21</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3">
            <w:r>
              <w:rPr/>
              <w:t>第五节</w:t>
            </w:r>
            <w:r>
              <w:rPr>
                <w:spacing w:val="48"/>
              </w:rPr>
              <w:t> </w:t>
            </w:r>
            <w:r>
              <w:rPr/>
              <w:t>重要事项</w:t>
            </w:r>
            <w:r>
              <w:rPr>
                <w:rFonts w:ascii="Times New Roman" w:hAnsi="Times New Roman" w:cs="Times New Roman" w:eastAsia="Times New Roman" w:hint="default"/>
                <w:b w:val="0"/>
                <w:bCs w:val="0"/>
              </w:rPr>
              <w:tab/>
            </w:r>
            <w:r>
              <w:rPr>
                <w:rFonts w:ascii="Arial" w:hAnsi="Arial" w:cs="Arial" w:eastAsia="Arial" w:hint="default"/>
              </w:rPr>
              <w:t>47</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4">
            <w:r>
              <w:rPr/>
              <w:t>第六节</w:t>
            </w:r>
            <w:r>
              <w:rPr>
                <w:spacing w:val="48"/>
              </w:rPr>
              <w:t> </w:t>
            </w:r>
            <w:r>
              <w:rPr/>
              <w:t>股份变动及股东情况</w:t>
            </w:r>
            <w:r>
              <w:rPr>
                <w:rFonts w:ascii="Times New Roman" w:hAnsi="Times New Roman" w:cs="Times New Roman" w:eastAsia="Times New Roman" w:hint="default"/>
                <w:b w:val="0"/>
                <w:bCs w:val="0"/>
              </w:rPr>
              <w:tab/>
            </w:r>
            <w:r>
              <w:rPr>
                <w:rFonts w:ascii="Arial" w:hAnsi="Arial" w:cs="Arial" w:eastAsia="Arial" w:hint="default"/>
              </w:rPr>
              <w:t>67</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5">
            <w:r>
              <w:rPr/>
              <w:t>第八节</w:t>
            </w:r>
            <w:r>
              <w:rPr>
                <w:spacing w:val="48"/>
              </w:rPr>
              <w:t> </w:t>
            </w:r>
            <w:r>
              <w:rPr/>
              <w:t>可转换公司债券相关情况</w:t>
            </w:r>
            <w:r>
              <w:rPr>
                <w:rFonts w:ascii="Times New Roman" w:hAnsi="Times New Roman" w:cs="Times New Roman" w:eastAsia="Times New Roman" w:hint="default"/>
                <w:b w:val="0"/>
                <w:bCs w:val="0"/>
              </w:rPr>
              <w:tab/>
            </w:r>
            <w:r>
              <w:rPr>
                <w:rFonts w:ascii="Arial" w:hAnsi="Arial" w:cs="Arial" w:eastAsia="Arial" w:hint="default"/>
              </w:rPr>
              <w:t>75</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6">
            <w:r>
              <w:rPr/>
              <w:t>第九节</w:t>
            </w:r>
            <w:r>
              <w:rPr>
                <w:spacing w:val="48"/>
              </w:rPr>
              <w:t> </w:t>
            </w:r>
            <w:r>
              <w:rPr/>
              <w:t>董事、监事、高级管理人员和员工情况</w:t>
            </w:r>
            <w:r>
              <w:rPr>
                <w:rFonts w:ascii="Times New Roman" w:hAnsi="Times New Roman" w:cs="Times New Roman" w:eastAsia="Times New Roman" w:hint="default"/>
                <w:b w:val="0"/>
                <w:bCs w:val="0"/>
              </w:rPr>
              <w:tab/>
            </w:r>
            <w:r>
              <w:rPr>
                <w:rFonts w:ascii="Arial" w:hAnsi="Arial" w:cs="Arial" w:eastAsia="Arial" w:hint="default"/>
              </w:rPr>
              <w:t>76</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7">
            <w:r>
              <w:rPr/>
              <w:t>第十节</w:t>
            </w:r>
            <w:r>
              <w:rPr>
                <w:spacing w:val="48"/>
              </w:rPr>
              <w:t> </w:t>
            </w:r>
            <w:r>
              <w:rPr/>
              <w:t>公司治理</w:t>
            </w:r>
            <w:r>
              <w:rPr>
                <w:rFonts w:ascii="Times New Roman" w:hAnsi="Times New Roman" w:cs="Times New Roman" w:eastAsia="Times New Roman" w:hint="default"/>
                <w:b w:val="0"/>
                <w:bCs w:val="0"/>
              </w:rPr>
              <w:tab/>
            </w:r>
            <w:r>
              <w:rPr>
                <w:rFonts w:ascii="Arial" w:hAnsi="Arial" w:cs="Arial" w:eastAsia="Arial" w:hint="default"/>
              </w:rPr>
              <w:t>83</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8">
            <w:r>
              <w:rPr/>
              <w:t>第十二节财务报告</w:t>
            </w:r>
            <w:r>
              <w:rPr>
                <w:rFonts w:ascii="Times New Roman" w:hAnsi="Times New Roman" w:cs="Times New Roman" w:eastAsia="Times New Roman" w:hint="default"/>
                <w:b w:val="0"/>
                <w:bCs w:val="0"/>
              </w:rPr>
              <w:tab/>
            </w:r>
            <w:r>
              <w:rPr>
                <w:rFonts w:ascii="Arial" w:hAnsi="Arial" w:cs="Arial" w:eastAsia="Arial" w:hint="default"/>
              </w:rPr>
              <w:t>89</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9">
            <w:r>
              <w:rPr/>
              <w:t>第十三节备查文件目录</w:t>
            </w:r>
            <w:r>
              <w:rPr>
                <w:rFonts w:ascii="Times New Roman" w:hAnsi="Times New Roman" w:cs="Times New Roman" w:eastAsia="Times New Roman" w:hint="default"/>
                <w:b w:val="0"/>
                <w:bCs w:val="0"/>
              </w:rPr>
              <w:tab/>
            </w:r>
            <w:r>
              <w:rPr>
                <w:rFonts w:ascii="Arial" w:hAnsi="Arial" w:cs="Arial" w:eastAsia="Arial" w:hint="default"/>
              </w:rPr>
              <w:t>207</w:t>
            </w:r>
            <w:r>
              <w:rPr>
                <w:rFonts w:ascii="Arial" w:hAnsi="Arial" w:cs="Arial" w:eastAsia="Arial" w:hint="default"/>
                <w:b w:val="0"/>
                <w:bCs w:val="0"/>
              </w:rPr>
            </w:r>
          </w:hyperlink>
        </w:p>
        <w:p>
          <w:pPr/>
          <w:r>
            <w:fldChar w:fldCharType="end"/>
          </w:r>
        </w:p>
      </w:sdtContent>
    </w:sdt>
    <w:p>
      <w:pPr>
        <w:spacing w:after="0"/>
        <w:sectPr>
          <w:pgSz w:w="11910" w:h="16840"/>
          <w:pgMar w:header="746" w:footer="1016" w:top="1060" w:bottom="1200" w:left="1020" w:right="0"/>
        </w:sectPr>
      </w:pPr>
    </w:p>
    <w:p>
      <w:pPr>
        <w:spacing w:before="861"/>
        <w:ind w:left="4713" w:right="5613"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2101"/>
        <w:gridCol w:w="606"/>
        <w:gridCol w:w="6862"/>
      </w:tblGrid>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华宇软件</w:t>
            </w:r>
            <w:r>
              <w:rPr>
                <w:rFonts w:ascii="Arial" w:hAnsi="Arial" w:cs="Arial" w:eastAsia="Arial" w:hint="default"/>
                <w:sz w:val="21"/>
                <w:szCs w:val="21"/>
              </w:rPr>
              <w:t>/</w:t>
            </w:r>
            <w:r>
              <w:rPr>
                <w:rFonts w:ascii="宋体" w:hAnsi="宋体" w:cs="宋体" w:eastAsia="宋体" w:hint="default"/>
                <w:sz w:val="21"/>
                <w:szCs w:val="21"/>
              </w:rPr>
              <w:t>华宇</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北京华宇信息技术有限公司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亿信华辰</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北京亿信华辰软件有限公司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广州华宇</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广州华宇信息技术有限公司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华宇金信（北京）软件有限公司，原“航宇金信（北京）软件有限公司”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大连华宇</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捷视飞通</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深圳市捷视飞通科技股份有限公司，原“深圳市捷视飞通科技有限公司”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浦东华宇</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上海浦东华宇信息技术有限公司，原“上海浦东中软科技发展有限公司”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万户网络</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北京万户网络技术有限公司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华宇元典</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北京华宇元典信息服务有限公司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溯源云</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溯源云（北京）科技服务有限公司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联奕科技</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联奕科技有限公司，原“联奕科技股份有限公司”</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数字方舟</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广州数字方舟信息技术股份有限公司</w:t>
            </w:r>
          </w:p>
        </w:tc>
      </w:tr>
    </w:tbl>
    <w:p>
      <w:pPr>
        <w:spacing w:after="0" w:line="240" w:lineRule="auto"/>
        <w:jc w:val="left"/>
        <w:rPr>
          <w:rFonts w:ascii="宋体" w:hAnsi="宋体" w:cs="宋体" w:eastAsia="宋体" w:hint="default"/>
          <w:sz w:val="21"/>
          <w:szCs w:val="21"/>
        </w:rPr>
        <w:sectPr>
          <w:pgSz w:w="11910" w:h="16840"/>
          <w:pgMar w:header="746" w:footer="1016" w:top="1060" w:bottom="1200" w:left="900" w:right="0"/>
        </w:sectPr>
      </w:pP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7"/>
          <w:szCs w:val="27"/>
        </w:rPr>
      </w:pPr>
    </w:p>
    <w:p>
      <w:pPr>
        <w:spacing w:line="439" w:lineRule="exact" w:before="0"/>
        <w:ind w:left="2733" w:right="1154" w:firstLine="0"/>
        <w:jc w:val="left"/>
        <w:rPr>
          <w:rFonts w:ascii="微软雅黑" w:hAnsi="微软雅黑" w:cs="微软雅黑" w:eastAsia="微软雅黑" w:hint="default"/>
          <w:sz w:val="32"/>
          <w:szCs w:val="32"/>
        </w:rPr>
      </w:pPr>
      <w:bookmarkStart w:name="第二节 公司简介和主要财务指标" w:id="3"/>
      <w:bookmarkEnd w:id="3"/>
      <w:r>
        <w:rPr/>
      </w:r>
      <w:r>
        <w:rPr>
          <w:rFonts w:ascii="微软雅黑" w:hAnsi="微软雅黑" w:cs="微软雅黑" w:eastAsia="微软雅黑" w:hint="default"/>
          <w:b/>
          <w:bCs/>
          <w:sz w:val="32"/>
          <w:szCs w:val="32"/>
        </w:rPr>
        <w:t>第二节</w:t>
      </w:r>
      <w:r>
        <w:rPr>
          <w:rFonts w:ascii="微软雅黑" w:hAnsi="微软雅黑" w:cs="微软雅黑" w:eastAsia="微软雅黑" w:hint="default"/>
          <w:b/>
          <w:bCs/>
          <w:spacing w:val="57"/>
          <w:sz w:val="32"/>
          <w:szCs w:val="32"/>
        </w:rPr>
        <w:t> </w:t>
      </w:r>
      <w:r>
        <w:rPr>
          <w:rFonts w:ascii="微软雅黑" w:hAnsi="微软雅黑" w:cs="微软雅黑" w:eastAsia="微软雅黑" w:hint="default"/>
          <w:b/>
          <w:bCs/>
          <w:sz w:val="32"/>
          <w:szCs w:val="32"/>
        </w:rPr>
        <w:t>公司简介和主要财务指标</w:t>
      </w:r>
      <w:r>
        <w:rPr>
          <w:rFonts w:ascii="微软雅黑" w:hAnsi="微软雅黑" w:cs="微软雅黑" w:eastAsia="微软雅黑" w:hint="default"/>
          <w:sz w:val="32"/>
          <w:szCs w:val="32"/>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left="232" w:right="1154"/>
        <w:jc w:val="left"/>
        <w:rPr>
          <w:b w:val="0"/>
          <w:bCs w:val="0"/>
        </w:rPr>
      </w:pPr>
      <w:bookmarkStart w:name="一、公司信息" w:id="4"/>
      <w:bookmarkEnd w:id="4"/>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2889"/>
        <w:gridCol w:w="2348"/>
        <w:gridCol w:w="2156"/>
        <w:gridCol w:w="2176"/>
      </w:tblGrid>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华宇软件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300271</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Arial" w:hAnsi="Arial" w:cs="Arial" w:eastAsia="Arial" w:hint="default"/>
                <w:sz w:val="21"/>
                <w:szCs w:val="21"/>
              </w:rPr>
            </w:pPr>
            <w:r>
              <w:rPr>
                <w:rFonts w:ascii="Arial"/>
                <w:sz w:val="21"/>
              </w:rPr>
              <w:t>Beijing Thunisoft Co.,</w:t>
            </w:r>
            <w:r>
              <w:rPr>
                <w:rFonts w:ascii="Arial"/>
                <w:spacing w:val="-14"/>
                <w:sz w:val="21"/>
              </w:rPr>
              <w:t> </w:t>
            </w:r>
            <w:r>
              <w:rPr>
                <w:rFonts w:ascii="Arial"/>
                <w:sz w:val="21"/>
              </w:rPr>
              <w:t>Ltd.</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Thunisoft</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层</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Arial" w:hAnsi="Arial" w:cs="Arial" w:eastAsia="Arial" w:hint="default"/>
                <w:sz w:val="21"/>
                <w:szCs w:val="21"/>
              </w:rPr>
            </w:pPr>
            <w:r>
              <w:rPr>
                <w:rFonts w:ascii="Arial"/>
                <w:sz w:val="21"/>
              </w:rPr>
              <w:t>100084</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层</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Arial" w:hAnsi="Arial" w:cs="Arial" w:eastAsia="Arial" w:hint="default"/>
                <w:sz w:val="21"/>
                <w:szCs w:val="21"/>
              </w:rPr>
            </w:pPr>
            <w:r>
              <w:rPr>
                <w:rFonts w:ascii="Arial"/>
                <w:sz w:val="21"/>
              </w:rPr>
              <w:t>100084</w:t>
            </w:r>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hyperlink r:id="rId8">
              <w:r>
                <w:rPr>
                  <w:rFonts w:ascii="Arial"/>
                  <w:sz w:val="21"/>
                </w:rPr>
                <w:t>http://www.thunisoft.cn/</w:t>
              </w:r>
            </w:hyperlink>
          </w:p>
        </w:tc>
      </w:tr>
      <w:tr>
        <w:trPr>
          <w:trHeight w:val="402" w:hRule="exact"/>
        </w:trPr>
        <w:tc>
          <w:tcPr>
            <w:tcW w:w="2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left="232" w:right="115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2459"/>
        <w:gridCol w:w="3559"/>
        <w:gridCol w:w="3551"/>
      </w:tblGrid>
      <w:tr>
        <w:trPr>
          <w:trHeight w:val="402"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4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韦光宇</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遇晗</w:t>
            </w:r>
          </w:p>
        </w:tc>
      </w:tr>
      <w:tr>
        <w:trPr>
          <w:trHeight w:val="714"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103" w:right="102"/>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72"/>
                <w:sz w:val="21"/>
                <w:szCs w:val="21"/>
              </w:rPr>
              <w:t> </w:t>
            </w:r>
            <w:r>
              <w:rPr>
                <w:rFonts w:ascii="Arial" w:hAnsi="Arial" w:cs="Arial" w:eastAsia="Arial" w:hint="default"/>
                <w:sz w:val="21"/>
                <w:szCs w:val="21"/>
              </w:rPr>
              <w:t>1</w:t>
            </w:r>
            <w:r>
              <w:rPr>
                <w:rFonts w:ascii="Arial" w:hAnsi="Arial" w:cs="Arial" w:eastAsia="Arial" w:hint="default"/>
                <w:spacing w:val="-24"/>
                <w:sz w:val="21"/>
                <w:szCs w:val="21"/>
              </w:rPr>
              <w:t> </w:t>
            </w:r>
            <w:r>
              <w:rPr>
                <w:rFonts w:ascii="宋体" w:hAnsi="宋体" w:cs="宋体" w:eastAsia="宋体" w:hint="default"/>
                <w:sz w:val="21"/>
                <w:szCs w:val="21"/>
              </w:rPr>
              <w:t>号院清华</w:t>
            </w:r>
            <w:r>
              <w:rPr>
                <w:rFonts w:ascii="宋体" w:hAnsi="宋体" w:cs="宋体" w:eastAsia="宋体" w:hint="default"/>
                <w:w w:val="99"/>
                <w:sz w:val="21"/>
                <w:szCs w:val="21"/>
              </w:rPr>
              <w:t> </w:t>
            </w:r>
            <w:r>
              <w:rPr>
                <w:rFonts w:ascii="宋体" w:hAnsi="宋体" w:cs="宋体" w:eastAsia="宋体" w:hint="default"/>
                <w:sz w:val="21"/>
                <w:szCs w:val="21"/>
              </w:rPr>
              <w:t>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103" w:right="104"/>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76"/>
                <w:sz w:val="21"/>
                <w:szCs w:val="21"/>
              </w:rPr>
              <w:t> </w:t>
            </w:r>
            <w:r>
              <w:rPr>
                <w:rFonts w:ascii="Arial" w:hAnsi="Arial" w:cs="Arial" w:eastAsia="Arial" w:hint="default"/>
                <w:sz w:val="21"/>
                <w:szCs w:val="21"/>
              </w:rPr>
              <w:t>1</w:t>
            </w:r>
            <w:r>
              <w:rPr>
                <w:rFonts w:ascii="Arial" w:hAnsi="Arial" w:cs="Arial" w:eastAsia="Arial" w:hint="default"/>
                <w:spacing w:val="-29"/>
                <w:sz w:val="21"/>
                <w:szCs w:val="21"/>
              </w:rPr>
              <w:t> </w:t>
            </w:r>
            <w:r>
              <w:rPr>
                <w:rFonts w:ascii="宋体" w:hAnsi="宋体" w:cs="宋体" w:eastAsia="宋体" w:hint="default"/>
                <w:sz w:val="21"/>
                <w:szCs w:val="21"/>
              </w:rPr>
              <w:t>号院清华</w:t>
            </w:r>
            <w:r>
              <w:rPr>
                <w:rFonts w:ascii="宋体" w:hAnsi="宋体" w:cs="宋体" w:eastAsia="宋体" w:hint="default"/>
                <w:w w:val="99"/>
                <w:sz w:val="21"/>
                <w:szCs w:val="21"/>
              </w:rPr>
              <w:t> </w:t>
            </w:r>
            <w:r>
              <w:rPr>
                <w:rFonts w:ascii="宋体" w:hAnsi="宋体" w:cs="宋体" w:eastAsia="宋体" w:hint="default"/>
                <w:sz w:val="21"/>
                <w:szCs w:val="21"/>
              </w:rPr>
              <w:t>科技园科技大厦</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层</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010-82150085</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r>
              <w:rPr>
                <w:rFonts w:ascii="Arial"/>
                <w:sz w:val="21"/>
              </w:rPr>
              <w:t>010-82150085</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r>
              <w:rPr>
                <w:rFonts w:ascii="Arial"/>
                <w:sz w:val="21"/>
              </w:rPr>
              <w:t>010-82150616</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r>
              <w:rPr>
                <w:rFonts w:ascii="Arial"/>
                <w:sz w:val="21"/>
              </w:rPr>
              <w:t>010-82150616</w:t>
            </w:r>
          </w:p>
        </w:tc>
      </w:tr>
      <w:tr>
        <w:trPr>
          <w:trHeight w:val="402"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hyperlink r:id="rId9">
              <w:r>
                <w:rPr>
                  <w:rFonts w:ascii="Arial"/>
                  <w:sz w:val="21"/>
                </w:rPr>
                <w:t>IR@thunisoft.com</w:t>
              </w:r>
            </w:hyperlink>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232" w:right="115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4389"/>
        <w:gridCol w:w="5179"/>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2"/>
        <w:rPr>
          <w:rFonts w:ascii="宋体" w:hAnsi="宋体" w:cs="宋体" w:eastAsia="宋体" w:hint="default"/>
          <w:b/>
          <w:bCs/>
          <w:sz w:val="18"/>
          <w:szCs w:val="18"/>
        </w:rPr>
      </w:pPr>
    </w:p>
    <w:p>
      <w:pPr>
        <w:spacing w:line="468" w:lineRule="auto" w:before="26"/>
        <w:ind w:left="232" w:right="8114" w:firstLine="0"/>
        <w:jc w:val="left"/>
        <w:rPr>
          <w:rFonts w:ascii="宋体" w:hAnsi="宋体" w:cs="宋体" w:eastAsia="宋体" w:hint="default"/>
          <w:sz w:val="24"/>
          <w:szCs w:val="24"/>
        </w:rPr>
      </w:pPr>
      <w:bookmarkStart w:name="四、其他有关资料" w:id="7"/>
      <w:bookmarkEnd w:id="7"/>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after="0" w:line="468" w:lineRule="auto"/>
        <w:jc w:val="left"/>
        <w:rPr>
          <w:rFonts w:ascii="宋体" w:hAnsi="宋体" w:cs="宋体" w:eastAsia="宋体" w:hint="default"/>
          <w:sz w:val="24"/>
          <w:szCs w:val="24"/>
        </w:rPr>
        <w:sectPr>
          <w:pgSz w:w="11910" w:h="16840"/>
          <w:pgMar w:header="746" w:footer="1016" w:top="1060" w:bottom="1200" w:left="900" w:right="0"/>
        </w:sectPr>
      </w:pPr>
    </w:p>
    <w:p>
      <w:pPr>
        <w:spacing w:line="240" w:lineRule="auto" w:before="5"/>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475"/>
        <w:gridCol w:w="7093"/>
      </w:tblGrid>
      <w:tr>
        <w:trPr>
          <w:trHeight w:val="402" w:hRule="exact"/>
        </w:trPr>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7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7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Arial" w:hAnsi="Arial" w:cs="Arial" w:eastAsia="Arial" w:hint="default"/>
                <w:sz w:val="21"/>
                <w:szCs w:val="21"/>
              </w:rPr>
            </w:pPr>
            <w:r>
              <w:rPr>
                <w:rFonts w:ascii="宋体" w:hAnsi="宋体" w:cs="宋体" w:eastAsia="宋体" w:hint="default"/>
                <w:sz w:val="21"/>
                <w:szCs w:val="21"/>
              </w:rPr>
              <w:t>北京市海淀区西四环中路 </w:t>
            </w:r>
            <w:r>
              <w:rPr>
                <w:rFonts w:ascii="Arial" w:hAnsi="Arial" w:cs="Arial" w:eastAsia="Arial" w:hint="default"/>
                <w:sz w:val="21"/>
                <w:szCs w:val="21"/>
              </w:rPr>
              <w:t>16  </w:t>
            </w:r>
            <w:r>
              <w:rPr>
                <w:rFonts w:ascii="宋体" w:hAnsi="宋体" w:cs="宋体" w:eastAsia="宋体" w:hint="default"/>
                <w:sz w:val="21"/>
                <w:szCs w:val="21"/>
              </w:rPr>
              <w:t>号院 </w:t>
            </w:r>
            <w:r>
              <w:rPr>
                <w:rFonts w:ascii="Arial" w:hAnsi="Arial" w:cs="Arial" w:eastAsia="Arial" w:hint="default"/>
                <w:sz w:val="21"/>
                <w:szCs w:val="21"/>
              </w:rPr>
              <w:t>7  </w:t>
            </w:r>
            <w:r>
              <w:rPr>
                <w:rFonts w:ascii="宋体" w:hAnsi="宋体" w:cs="宋体" w:eastAsia="宋体" w:hint="default"/>
                <w:sz w:val="21"/>
                <w:szCs w:val="21"/>
              </w:rPr>
              <w:t>号楼</w:t>
            </w:r>
            <w:r>
              <w:rPr>
                <w:rFonts w:ascii="宋体" w:hAnsi="宋体" w:cs="宋体" w:eastAsia="宋体" w:hint="default"/>
                <w:spacing w:val="-33"/>
                <w:sz w:val="21"/>
                <w:szCs w:val="21"/>
              </w:rPr>
              <w:t> </w:t>
            </w:r>
            <w:r>
              <w:rPr>
                <w:rFonts w:ascii="Arial" w:hAnsi="Arial" w:cs="Arial" w:eastAsia="Arial" w:hint="default"/>
                <w:spacing w:val="-4"/>
                <w:sz w:val="21"/>
                <w:szCs w:val="21"/>
              </w:rPr>
              <w:t>1101</w:t>
            </w:r>
          </w:p>
        </w:tc>
      </w:tr>
      <w:tr>
        <w:trPr>
          <w:trHeight w:val="402" w:hRule="exact"/>
        </w:trPr>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7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宋春磊、詹连君</w:t>
            </w:r>
          </w:p>
        </w:tc>
      </w:tr>
    </w:tbl>
    <w:p>
      <w:pPr>
        <w:pStyle w:val="Heading3"/>
        <w:spacing w:line="240" w:lineRule="auto" w:before="2"/>
        <w:ind w:left="232" w:right="1154"/>
        <w:jc w:val="left"/>
      </w:pPr>
      <w:r>
        <w:rPr/>
        <w:t>公司聘请的报告期内履行持续督导职责的保荐机构</w:t>
      </w:r>
    </w:p>
    <w:p>
      <w:pPr>
        <w:pStyle w:val="Heading3"/>
        <w:spacing w:line="240" w:lineRule="auto" w:before="38"/>
        <w:ind w:left="232" w:right="1154"/>
        <w:jc w:val="left"/>
      </w:pPr>
      <w:r>
        <w:rPr>
          <w:rFonts w:ascii="Arial" w:hAnsi="Arial" w:cs="Arial" w:eastAsia="Arial" w:hint="default"/>
        </w:rPr>
        <w:t>√  </w:t>
      </w:r>
      <w:r>
        <w:rPr/>
        <w:t>适用 □</w:t>
      </w:r>
      <w:r>
        <w:rPr>
          <w:spacing w:val="-14"/>
        </w:rPr>
        <w:t> </w:t>
      </w:r>
      <w:r>
        <w:rPr/>
        <w:t>不适用</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475"/>
        <w:gridCol w:w="3232"/>
        <w:gridCol w:w="1773"/>
        <w:gridCol w:w="2088"/>
      </w:tblGrid>
      <w:tr>
        <w:trPr>
          <w:trHeight w:val="402" w:hRule="exact"/>
        </w:trPr>
        <w:tc>
          <w:tcPr>
            <w:tcW w:w="2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01"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771"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46"/>
              <w:jc w:val="right"/>
              <w:rPr>
                <w:rFonts w:ascii="宋体" w:hAnsi="宋体" w:cs="宋体" w:eastAsia="宋体" w:hint="default"/>
                <w:sz w:val="21"/>
                <w:szCs w:val="21"/>
              </w:rPr>
            </w:pPr>
            <w:r>
              <w:rPr>
                <w:rFonts w:ascii="宋体" w:hAnsi="宋体" w:cs="宋体" w:eastAsia="宋体" w:hint="default"/>
                <w:w w:val="95"/>
                <w:sz w:val="21"/>
                <w:szCs w:val="21"/>
              </w:rPr>
              <w:t>保荐代表人姓名</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08"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4"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民生证券股份有限公司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Arial" w:hAnsi="Arial" w:cs="Arial" w:eastAsia="Arial" w:hint="default"/>
                <w:sz w:val="21"/>
                <w:szCs w:val="21"/>
              </w:rPr>
            </w:pPr>
            <w:r>
              <w:rPr>
                <w:rFonts w:ascii="宋体" w:hAnsi="宋体" w:cs="宋体" w:eastAsia="宋体" w:hint="default"/>
                <w:sz w:val="21"/>
                <w:szCs w:val="21"/>
              </w:rPr>
              <w:t>北京市东城区建国门内大街</w:t>
            </w:r>
            <w:r>
              <w:rPr>
                <w:rFonts w:ascii="宋体" w:hAnsi="宋体" w:cs="宋体" w:eastAsia="宋体" w:hint="default"/>
                <w:spacing w:val="-59"/>
                <w:sz w:val="21"/>
                <w:szCs w:val="21"/>
              </w:rPr>
              <w:t> </w:t>
            </w:r>
            <w:r>
              <w:rPr>
                <w:rFonts w:ascii="Arial" w:hAnsi="Arial" w:cs="Arial" w:eastAsia="Arial" w:hint="default"/>
                <w:sz w:val="21"/>
                <w:szCs w:val="21"/>
              </w:rPr>
              <w:t>28</w:t>
            </w:r>
          </w:p>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号民生金融中心</w:t>
            </w:r>
            <w:r>
              <w:rPr>
                <w:rFonts w:ascii="宋体" w:hAnsi="宋体" w:cs="宋体" w:eastAsia="宋体" w:hint="default"/>
                <w:spacing w:val="-53"/>
                <w:sz w:val="21"/>
                <w:szCs w:val="21"/>
              </w:rPr>
              <w:t> </w:t>
            </w:r>
            <w:r>
              <w:rPr>
                <w:rFonts w:ascii="Arial" w:hAnsi="Arial" w:cs="Arial" w:eastAsia="Arial" w:hint="default"/>
                <w:sz w:val="21"/>
                <w:szCs w:val="21"/>
              </w:rPr>
              <w:t>A</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16-18</w:t>
            </w:r>
            <w:r>
              <w:rPr>
                <w:rFonts w:ascii="Arial" w:hAnsi="Arial" w:cs="Arial" w:eastAsia="Arial" w:hint="default"/>
                <w:spacing w:val="-8"/>
                <w:sz w:val="21"/>
                <w:szCs w:val="21"/>
              </w:rPr>
              <w:t> </w:t>
            </w:r>
            <w:r>
              <w:rPr>
                <w:rFonts w:ascii="宋体" w:hAnsi="宋体" w:cs="宋体" w:eastAsia="宋体" w:hint="default"/>
                <w:sz w:val="21"/>
                <w:szCs w:val="21"/>
              </w:rPr>
              <w:t>层</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9"/>
              <w:jc w:val="right"/>
              <w:rPr>
                <w:rFonts w:ascii="宋体" w:hAnsi="宋体" w:cs="宋体" w:eastAsia="宋体" w:hint="default"/>
                <w:sz w:val="21"/>
                <w:szCs w:val="21"/>
              </w:rPr>
            </w:pPr>
            <w:r>
              <w:rPr>
                <w:rFonts w:ascii="宋体" w:hAnsi="宋体" w:cs="宋体" w:eastAsia="宋体" w:hint="default"/>
                <w:w w:val="95"/>
                <w:sz w:val="21"/>
                <w:szCs w:val="21"/>
              </w:rPr>
              <w:t>谢国敏，曹倩华</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4</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24</w:t>
            </w:r>
            <w:r>
              <w:rPr>
                <w:rFonts w:ascii="Arial" w:hAnsi="Arial" w:cs="Arial" w:eastAsia="Arial" w:hint="default"/>
                <w:spacing w:val="-4"/>
                <w:sz w:val="21"/>
                <w:szCs w:val="21"/>
              </w:rPr>
              <w:t> </w:t>
            </w:r>
            <w:r>
              <w:rPr>
                <w:rFonts w:ascii="宋体" w:hAnsi="宋体" w:cs="宋体" w:eastAsia="宋体" w:hint="default"/>
                <w:sz w:val="21"/>
                <w:szCs w:val="21"/>
              </w:rPr>
              <w:t>日</w:t>
            </w:r>
          </w:p>
          <w:p>
            <w:pPr>
              <w:pStyle w:val="TableParagraph"/>
              <w:spacing w:line="240" w:lineRule="auto" w:before="22"/>
              <w:ind w:left="103" w:right="0"/>
              <w:jc w:val="left"/>
              <w:rPr>
                <w:rFonts w:ascii="宋体" w:hAnsi="宋体" w:cs="宋体" w:eastAsia="宋体" w:hint="default"/>
                <w:sz w:val="21"/>
                <w:szCs w:val="21"/>
              </w:rPr>
            </w:pPr>
            <w:r>
              <w:rPr>
                <w:rFonts w:ascii="Arial" w:hAnsi="Arial" w:cs="Arial" w:eastAsia="Arial" w:hint="default"/>
                <w:sz w:val="21"/>
                <w:szCs w:val="21"/>
              </w:rPr>
              <w:t>-2021</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12</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Arial" w:hAnsi="Arial" w:cs="Arial" w:eastAsia="Arial" w:hint="default"/>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r>
    </w:tbl>
    <w:p>
      <w:pPr>
        <w:pStyle w:val="Heading3"/>
        <w:spacing w:line="240" w:lineRule="auto" w:before="2"/>
        <w:ind w:left="232" w:right="1154"/>
        <w:jc w:val="left"/>
      </w:pPr>
      <w:r>
        <w:rPr/>
        <w:t>公司聘请的报告期内履行持续督导职责的财务顾问</w:t>
      </w:r>
    </w:p>
    <w:p>
      <w:pPr>
        <w:spacing w:line="444" w:lineRule="auto" w:before="38"/>
        <w:ind w:left="232" w:right="6899"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五、主要会计数据和财务指标" w:id="8"/>
      <w:bookmarkEnd w:id="8"/>
      <w:r>
        <w:rPr>
          <w:rFonts w:ascii="宋体" w:hAnsi="宋体" w:cs="宋体" w:eastAsia="宋体" w:hint="default"/>
          <w:w w:val="99"/>
          <w:sz w:val="24"/>
          <w:szCs w:val="24"/>
        </w:rPr>
      </w:r>
      <w:r>
        <w:rPr>
          <w:rFonts w:ascii="宋体" w:hAnsi="宋体" w:cs="宋体" w:eastAsia="宋体" w:hint="default"/>
          <w:b/>
          <w:bCs/>
          <w:sz w:val="24"/>
          <w:szCs w:val="24"/>
        </w:rPr>
        <w:t>五、主要会计数据和财务指标</w:t>
      </w:r>
      <w:r>
        <w:rPr>
          <w:rFonts w:ascii="宋体" w:hAnsi="宋体" w:cs="宋体" w:eastAsia="宋体" w:hint="default"/>
          <w:sz w:val="24"/>
          <w:szCs w:val="24"/>
        </w:rPr>
      </w:r>
    </w:p>
    <w:p>
      <w:pPr>
        <w:pStyle w:val="Heading3"/>
        <w:spacing w:line="240" w:lineRule="auto" w:before="94"/>
        <w:ind w:left="232" w:right="1154"/>
        <w:jc w:val="left"/>
      </w:pPr>
      <w:r>
        <w:rPr/>
        <w:t>公司是否需追溯调整或重述以前年度会计数据</w:t>
      </w:r>
    </w:p>
    <w:p>
      <w:pPr>
        <w:pStyle w:val="Heading3"/>
        <w:spacing w:line="240" w:lineRule="auto" w:before="38"/>
        <w:ind w:left="232" w:right="1154"/>
        <w:jc w:val="left"/>
      </w:pPr>
      <w:r>
        <w:rPr>
          <w:rFonts w:ascii="Arial" w:hAnsi="Arial" w:cs="Arial" w:eastAsia="Arial" w:hint="default"/>
        </w:rPr>
        <w:t>□  </w:t>
      </w:r>
      <w:r>
        <w:rPr/>
        <w:t>是 √</w:t>
      </w:r>
      <w:r>
        <w:rPr>
          <w:spacing w:val="-15"/>
        </w:rPr>
        <w:t> </w:t>
      </w:r>
      <w:r>
        <w:rPr/>
        <w:t>否</w:t>
      </w:r>
    </w:p>
    <w:p>
      <w:pPr>
        <w:spacing w:line="240" w:lineRule="auto" w:before="6"/>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401"/>
        <w:gridCol w:w="1950"/>
        <w:gridCol w:w="1932"/>
        <w:gridCol w:w="1387"/>
        <w:gridCol w:w="1899"/>
      </w:tblGrid>
      <w:tr>
        <w:trPr>
          <w:trHeight w:val="714"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605"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59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77" w:right="163" w:hanging="315"/>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w w:val="99"/>
                <w:sz w:val="21"/>
                <w:szCs w:val="21"/>
              </w:rPr>
              <w:t> </w:t>
            </w:r>
            <w:r>
              <w:rPr>
                <w:rFonts w:ascii="宋体" w:hAnsi="宋体" w:cs="宋体" w:eastAsia="宋体" w:hint="default"/>
                <w:sz w:val="21"/>
                <w:szCs w:val="21"/>
              </w:rPr>
              <w:t>增减</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580"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402"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3"/>
              <w:jc w:val="right"/>
              <w:rPr>
                <w:rFonts w:ascii="Arial" w:hAnsi="Arial" w:cs="Arial" w:eastAsia="Arial" w:hint="default"/>
                <w:sz w:val="21"/>
                <w:szCs w:val="21"/>
              </w:rPr>
            </w:pPr>
            <w:r>
              <w:rPr>
                <w:rFonts w:ascii="Arial"/>
                <w:w w:val="95"/>
                <w:sz w:val="21"/>
              </w:rPr>
              <w:t>3,510,147,949.37</w:t>
            </w:r>
            <w:r>
              <w:rPr>
                <w:rFonts w:ascii="Arial"/>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3"/>
              <w:jc w:val="right"/>
              <w:rPr>
                <w:rFonts w:ascii="Arial" w:hAnsi="Arial" w:cs="Arial" w:eastAsia="Arial" w:hint="default"/>
                <w:sz w:val="21"/>
                <w:szCs w:val="21"/>
              </w:rPr>
            </w:pPr>
            <w:r>
              <w:rPr>
                <w:rFonts w:ascii="Arial"/>
                <w:w w:val="95"/>
                <w:sz w:val="21"/>
              </w:rPr>
              <w:t>2,708,496,168.56</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29.60%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1"/>
              <w:jc w:val="right"/>
              <w:rPr>
                <w:rFonts w:ascii="Arial" w:hAnsi="Arial" w:cs="Arial" w:eastAsia="Arial" w:hint="default"/>
                <w:sz w:val="21"/>
                <w:szCs w:val="21"/>
              </w:rPr>
            </w:pPr>
            <w:r>
              <w:rPr>
                <w:rFonts w:ascii="Arial"/>
                <w:w w:val="95"/>
                <w:sz w:val="21"/>
              </w:rPr>
              <w:t>2,338,145,133.75</w:t>
            </w:r>
            <w:r>
              <w:rPr>
                <w:rFonts w:ascii="Arial"/>
                <w:sz w:val="21"/>
              </w:rPr>
            </w:r>
          </w:p>
        </w:tc>
      </w:tr>
      <w:tr>
        <w:trPr>
          <w:trHeight w:val="714"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2" w:right="189"/>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w w:val="99"/>
                <w:sz w:val="21"/>
                <w:szCs w:val="21"/>
              </w:rPr>
              <w:t> </w:t>
            </w:r>
            <w:r>
              <w:rPr>
                <w:rFonts w:ascii="宋体" w:hAnsi="宋体" w:cs="宋体" w:eastAsia="宋体" w:hint="default"/>
                <w:sz w:val="21"/>
                <w:szCs w:val="21"/>
              </w:rPr>
              <w:t>净利润（元）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580,389,850.75</w:t>
            </w:r>
            <w:r>
              <w:rPr>
                <w:rFonts w:ascii="Arial"/>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497,708,243.20</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16.61%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381,166,148.13</w:t>
            </w:r>
            <w:r>
              <w:rPr>
                <w:rFonts w:ascii="Arial"/>
                <w:sz w:val="21"/>
              </w:rPr>
            </w:r>
          </w:p>
        </w:tc>
      </w:tr>
      <w:tr>
        <w:trPr>
          <w:trHeight w:val="1026"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2" w:right="189"/>
              <w:jc w:val="both"/>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w w:val="99"/>
                <w:sz w:val="21"/>
                <w:szCs w:val="21"/>
              </w:rPr>
              <w:t> </w:t>
            </w:r>
            <w:r>
              <w:rPr>
                <w:rFonts w:ascii="宋体" w:hAnsi="宋体" w:cs="宋体" w:eastAsia="宋体" w:hint="default"/>
                <w:sz w:val="21"/>
                <w:szCs w:val="21"/>
              </w:rPr>
              <w:t>扣除非经常性损益的净</w:t>
            </w:r>
            <w:r>
              <w:rPr>
                <w:rFonts w:ascii="宋体" w:hAnsi="宋体" w:cs="宋体" w:eastAsia="宋体" w:hint="default"/>
                <w:w w:val="99"/>
                <w:sz w:val="21"/>
                <w:szCs w:val="21"/>
              </w:rPr>
              <w:t> </w:t>
            </w:r>
            <w:r>
              <w:rPr>
                <w:rFonts w:ascii="宋体" w:hAnsi="宋体" w:cs="宋体" w:eastAsia="宋体" w:hint="default"/>
                <w:sz w:val="21"/>
                <w:szCs w:val="21"/>
              </w:rPr>
              <w:t>利润（元）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3"/>
              <w:jc w:val="right"/>
              <w:rPr>
                <w:rFonts w:ascii="Arial" w:hAnsi="Arial" w:cs="Arial" w:eastAsia="Arial" w:hint="default"/>
                <w:sz w:val="21"/>
                <w:szCs w:val="21"/>
              </w:rPr>
            </w:pPr>
            <w:r>
              <w:rPr>
                <w:rFonts w:ascii="Arial"/>
                <w:w w:val="95"/>
                <w:sz w:val="21"/>
              </w:rPr>
              <w:t>558,024,131.77</w:t>
            </w:r>
            <w:r>
              <w:rPr>
                <w:rFonts w:ascii="Arial"/>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3"/>
              <w:jc w:val="right"/>
              <w:rPr>
                <w:rFonts w:ascii="Arial" w:hAnsi="Arial" w:cs="Arial" w:eastAsia="Arial" w:hint="default"/>
                <w:sz w:val="21"/>
                <w:szCs w:val="21"/>
              </w:rPr>
            </w:pPr>
            <w:r>
              <w:rPr>
                <w:rFonts w:ascii="Arial"/>
                <w:w w:val="95"/>
                <w:sz w:val="21"/>
              </w:rPr>
              <w:t>455,820,545.23</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22.42%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3"/>
              <w:jc w:val="right"/>
              <w:rPr>
                <w:rFonts w:ascii="Arial" w:hAnsi="Arial" w:cs="Arial" w:eastAsia="Arial" w:hint="default"/>
                <w:sz w:val="21"/>
                <w:szCs w:val="21"/>
              </w:rPr>
            </w:pPr>
            <w:r>
              <w:rPr>
                <w:rFonts w:ascii="Arial"/>
                <w:w w:val="95"/>
                <w:sz w:val="21"/>
              </w:rPr>
              <w:t>375,472,664.45</w:t>
            </w:r>
            <w:r>
              <w:rPr>
                <w:rFonts w:ascii="Arial"/>
                <w:sz w:val="21"/>
              </w:rPr>
            </w:r>
          </w:p>
        </w:tc>
      </w:tr>
      <w:tr>
        <w:trPr>
          <w:trHeight w:val="714"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2" w:right="189"/>
              <w:jc w:val="left"/>
              <w:rPr>
                <w:rFonts w:ascii="宋体" w:hAnsi="宋体" w:cs="宋体" w:eastAsia="宋体" w:hint="default"/>
                <w:sz w:val="21"/>
                <w:szCs w:val="21"/>
              </w:rPr>
            </w:pPr>
            <w:r>
              <w:rPr>
                <w:rFonts w:ascii="宋体" w:hAnsi="宋体" w:cs="宋体" w:eastAsia="宋体" w:hint="default"/>
                <w:sz w:val="21"/>
                <w:szCs w:val="21"/>
              </w:rPr>
              <w:t>经营活动产生的现金流</w:t>
            </w:r>
            <w:r>
              <w:rPr>
                <w:rFonts w:ascii="宋体" w:hAnsi="宋体" w:cs="宋体" w:eastAsia="宋体" w:hint="default"/>
                <w:w w:val="99"/>
                <w:sz w:val="21"/>
                <w:szCs w:val="21"/>
              </w:rPr>
              <w:t> </w:t>
            </w:r>
            <w:r>
              <w:rPr>
                <w:rFonts w:ascii="宋体" w:hAnsi="宋体" w:cs="宋体" w:eastAsia="宋体" w:hint="default"/>
                <w:sz w:val="21"/>
                <w:szCs w:val="21"/>
              </w:rPr>
              <w:t>量净额（元）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473,107,685.53</w:t>
            </w:r>
            <w:r>
              <w:rPr>
                <w:rFonts w:ascii="Arial"/>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320,161,309.58</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47.77%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491,523,303.34</w:t>
            </w:r>
            <w:r>
              <w:rPr>
                <w:rFonts w:ascii="Arial"/>
                <w:sz w:val="21"/>
              </w:rPr>
            </w:r>
          </w:p>
        </w:tc>
      </w:tr>
      <w:tr>
        <w:trPr>
          <w:trHeight w:val="402"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0.74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0.67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10.45%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0.58</w:t>
            </w:r>
          </w:p>
        </w:tc>
      </w:tr>
      <w:tr>
        <w:trPr>
          <w:trHeight w:val="402"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0.73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0.67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8.96%</w:t>
            </w:r>
            <w:r>
              <w:rPr>
                <w:rFonts w:ascii="Arial"/>
                <w:sz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0.57</w:t>
            </w:r>
          </w:p>
        </w:tc>
      </w:tr>
      <w:tr>
        <w:trPr>
          <w:trHeight w:val="460"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21"/>
                <w:szCs w:val="21"/>
              </w:rPr>
            </w:pPr>
            <w:r>
              <w:rPr>
                <w:rFonts w:ascii="Arial"/>
                <w:spacing w:val="-3"/>
                <w:w w:val="95"/>
                <w:sz w:val="21"/>
              </w:rPr>
              <w:t>11.07%</w:t>
            </w:r>
            <w:r>
              <w:rPr>
                <w:rFonts w:ascii="Arial"/>
                <w:spacing w:val="-3"/>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21"/>
                <w:szCs w:val="21"/>
              </w:rPr>
            </w:pPr>
            <w:r>
              <w:rPr>
                <w:rFonts w:ascii="Arial"/>
                <w:spacing w:val="-1"/>
                <w:sz w:val="21"/>
              </w:rPr>
              <w:t>12.49%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Arial" w:hAnsi="Arial" w:cs="Arial" w:eastAsia="Arial" w:hint="default"/>
                <w:sz w:val="21"/>
                <w:szCs w:val="21"/>
              </w:rPr>
            </w:pPr>
            <w:r>
              <w:rPr>
                <w:rFonts w:ascii="Arial"/>
                <w:w w:val="95"/>
                <w:sz w:val="21"/>
              </w:rPr>
              <w:t>-1.42%</w:t>
            </w:r>
            <w:r>
              <w:rPr>
                <w:rFonts w:ascii="Arial"/>
                <w:sz w:val="21"/>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21"/>
                <w:szCs w:val="21"/>
              </w:rPr>
            </w:pPr>
            <w:r>
              <w:rPr>
                <w:rFonts w:ascii="Arial"/>
                <w:spacing w:val="-1"/>
                <w:sz w:val="21"/>
              </w:rPr>
              <w:t>16.33%</w:t>
            </w:r>
          </w:p>
        </w:tc>
      </w:tr>
      <w:tr>
        <w:trPr>
          <w:trHeight w:val="714"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500"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491"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2"/>
                <w:sz w:val="21"/>
                <w:szCs w:val="21"/>
              </w:rPr>
              <w:t> </w:t>
            </w:r>
            <w:r>
              <w:rPr>
                <w:rFonts w:ascii="宋体" w:hAnsi="宋体" w:cs="宋体" w:eastAsia="宋体" w:hint="default"/>
                <w:sz w:val="21"/>
                <w:szCs w:val="21"/>
              </w:rPr>
              <w:t>年末</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8" w:right="163" w:hanging="106"/>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w w:val="99"/>
                <w:sz w:val="21"/>
                <w:szCs w:val="21"/>
              </w:rPr>
              <w:t> </w:t>
            </w:r>
            <w:r>
              <w:rPr>
                <w:rFonts w:ascii="宋体" w:hAnsi="宋体" w:cs="宋体" w:eastAsia="宋体" w:hint="default"/>
                <w:sz w:val="21"/>
                <w:szCs w:val="21"/>
              </w:rPr>
              <w:t>年末增减</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475"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9"/>
                <w:sz w:val="21"/>
                <w:szCs w:val="21"/>
              </w:rPr>
              <w:t> </w:t>
            </w:r>
            <w:r>
              <w:rPr>
                <w:rFonts w:ascii="宋体" w:hAnsi="宋体" w:cs="宋体" w:eastAsia="宋体" w:hint="default"/>
                <w:sz w:val="21"/>
                <w:szCs w:val="21"/>
              </w:rPr>
              <w:t>年末</w:t>
            </w:r>
          </w:p>
        </w:tc>
      </w:tr>
      <w:tr>
        <w:trPr>
          <w:trHeight w:val="402"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spacing w:val="-1"/>
                <w:w w:val="95"/>
                <w:sz w:val="21"/>
              </w:rPr>
              <w:t>7,309,976,311.98</w:t>
            </w:r>
            <w:r>
              <w:rPr>
                <w:rFonts w:ascii="Arial"/>
                <w:spacing w:val="-1"/>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5,830,781,979.36</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25.37%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1"/>
              <w:jc w:val="right"/>
              <w:rPr>
                <w:rFonts w:ascii="Arial" w:hAnsi="Arial" w:cs="Arial" w:eastAsia="Arial" w:hint="default"/>
                <w:sz w:val="21"/>
                <w:szCs w:val="21"/>
              </w:rPr>
            </w:pPr>
            <w:r>
              <w:rPr>
                <w:rFonts w:ascii="Arial"/>
                <w:w w:val="95"/>
                <w:sz w:val="21"/>
              </w:rPr>
              <w:t>5,131,044,859.77</w:t>
            </w:r>
            <w:r>
              <w:rPr>
                <w:rFonts w:ascii="Arial"/>
                <w:sz w:val="21"/>
              </w:rPr>
            </w:r>
          </w:p>
        </w:tc>
      </w:tr>
      <w:tr>
        <w:trPr>
          <w:trHeight w:val="714" w:hRule="exact"/>
        </w:trPr>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2" w:right="189"/>
              <w:jc w:val="left"/>
              <w:rPr>
                <w:rFonts w:ascii="宋体" w:hAnsi="宋体" w:cs="宋体" w:eastAsia="宋体" w:hint="default"/>
                <w:sz w:val="21"/>
                <w:szCs w:val="21"/>
              </w:rPr>
            </w:pPr>
            <w:r>
              <w:rPr>
                <w:rFonts w:ascii="宋体" w:hAnsi="宋体" w:cs="宋体" w:eastAsia="宋体" w:hint="default"/>
                <w:sz w:val="21"/>
                <w:szCs w:val="21"/>
              </w:rPr>
              <w:t>归属于上市公司股东的</w:t>
            </w:r>
            <w:r>
              <w:rPr>
                <w:rFonts w:ascii="宋体" w:hAnsi="宋体" w:cs="宋体" w:eastAsia="宋体" w:hint="default"/>
                <w:w w:val="99"/>
                <w:sz w:val="21"/>
                <w:szCs w:val="21"/>
              </w:rPr>
              <w:t> </w:t>
            </w:r>
            <w:r>
              <w:rPr>
                <w:rFonts w:ascii="宋体" w:hAnsi="宋体" w:cs="宋体" w:eastAsia="宋体" w:hint="default"/>
                <w:sz w:val="21"/>
                <w:szCs w:val="21"/>
              </w:rPr>
              <w:t>净资产（元）</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5,936,685,096.33</w:t>
            </w:r>
            <w:r>
              <w:rPr>
                <w:rFonts w:ascii="Arial"/>
                <w:sz w:val="21"/>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4,248,149,615.39</w:t>
            </w:r>
            <w:r>
              <w:rPr>
                <w:rFonts w:ascii="Arial"/>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pacing w:val="-1"/>
                <w:sz w:val="21"/>
              </w:rPr>
              <w:t>39.75%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1"/>
              <w:jc w:val="right"/>
              <w:rPr>
                <w:rFonts w:ascii="Arial" w:hAnsi="Arial" w:cs="Arial" w:eastAsia="Arial" w:hint="default"/>
                <w:sz w:val="21"/>
                <w:szCs w:val="21"/>
              </w:rPr>
            </w:pPr>
            <w:r>
              <w:rPr>
                <w:rFonts w:ascii="Arial"/>
                <w:w w:val="95"/>
                <w:sz w:val="21"/>
              </w:rPr>
              <w:t>3,703,234,761.92</w:t>
            </w:r>
            <w:r>
              <w:rPr>
                <w:rFonts w:ascii="Arial"/>
                <w:sz w:val="21"/>
              </w:rPr>
            </w:r>
          </w:p>
        </w:tc>
      </w:tr>
    </w:tbl>
    <w:p>
      <w:pPr>
        <w:spacing w:line="240" w:lineRule="auto" w:before="3"/>
        <w:rPr>
          <w:rFonts w:ascii="宋体" w:hAnsi="宋体" w:cs="宋体" w:eastAsia="宋体" w:hint="default"/>
          <w:sz w:val="18"/>
          <w:szCs w:val="18"/>
        </w:rPr>
      </w:pPr>
    </w:p>
    <w:p>
      <w:pPr>
        <w:pStyle w:val="Heading2"/>
        <w:spacing w:line="240" w:lineRule="auto" w:before="26"/>
        <w:ind w:left="232" w:right="1154"/>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0" w:right="1135"/>
        <w:jc w:val="right"/>
      </w:pPr>
      <w:r>
        <w:rPr>
          <w:w w:val="95"/>
        </w:rPr>
        <w:t>单位：元</w:t>
      </w:r>
      <w:r>
        <w:rPr/>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289"/>
        <w:gridCol w:w="1894"/>
        <w:gridCol w:w="1743"/>
        <w:gridCol w:w="1707"/>
        <w:gridCol w:w="1936"/>
      </w:tblGrid>
      <w:tr>
        <w:trPr>
          <w:trHeight w:val="400"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523"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445"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428"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543" w:right="0"/>
              <w:jc w:val="left"/>
              <w:rPr>
                <w:rFonts w:ascii="宋体" w:hAnsi="宋体" w:cs="宋体" w:eastAsia="宋体" w:hint="default"/>
                <w:sz w:val="21"/>
                <w:szCs w:val="21"/>
              </w:rPr>
            </w:pPr>
            <w:r>
              <w:rPr>
                <w:rFonts w:ascii="宋体" w:hAnsi="宋体" w:cs="宋体" w:eastAsia="宋体" w:hint="default"/>
                <w:sz w:val="21"/>
                <w:szCs w:val="21"/>
              </w:rPr>
              <w:t>第四季度</w:t>
            </w:r>
          </w:p>
        </w:tc>
      </w:tr>
    </w:tbl>
    <w:p>
      <w:pPr>
        <w:spacing w:after="0" w:line="240" w:lineRule="auto"/>
        <w:jc w:val="left"/>
        <w:rPr>
          <w:rFonts w:ascii="宋体" w:hAnsi="宋体" w:cs="宋体" w:eastAsia="宋体" w:hint="default"/>
          <w:sz w:val="21"/>
          <w:szCs w:val="21"/>
        </w:rPr>
        <w:sectPr>
          <w:pgSz w:w="11910" w:h="16840"/>
          <w:pgMar w:header="746" w:footer="1016" w:top="1060" w:bottom="1200" w:left="900" w:right="0"/>
        </w:sectPr>
      </w:pPr>
    </w:p>
    <w:p>
      <w:pPr>
        <w:spacing w:line="240" w:lineRule="auto" w:before="5"/>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289"/>
        <w:gridCol w:w="1894"/>
        <w:gridCol w:w="1743"/>
        <w:gridCol w:w="1707"/>
        <w:gridCol w:w="1936"/>
      </w:tblGrid>
      <w:tr>
        <w:trPr>
          <w:trHeight w:val="402"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480,266,098.41</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893,252,386.87</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827,518,534.53</w:t>
            </w:r>
            <w:r>
              <w:rPr>
                <w:rFonts w:ascii="Arial"/>
                <w:sz w:val="21"/>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spacing w:val="-1"/>
                <w:w w:val="95"/>
                <w:sz w:val="21"/>
              </w:rPr>
              <w:t>1,309,110,929.56</w:t>
            </w:r>
            <w:r>
              <w:rPr>
                <w:rFonts w:ascii="Arial"/>
                <w:spacing w:val="-1"/>
                <w:sz w:val="21"/>
              </w:rPr>
            </w:r>
          </w:p>
        </w:tc>
      </w:tr>
      <w:tr>
        <w:trPr>
          <w:trHeight w:val="714"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102" w:right="285"/>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59,915,597.28</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21"/>
                <w:szCs w:val="21"/>
              </w:rPr>
            </w:pPr>
            <w:r>
              <w:rPr>
                <w:rFonts w:ascii="Arial"/>
                <w:w w:val="95"/>
                <w:sz w:val="21"/>
              </w:rPr>
              <w:t>168,160,752.99</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21"/>
                <w:szCs w:val="21"/>
              </w:rPr>
            </w:pPr>
            <w:r>
              <w:rPr>
                <w:rFonts w:ascii="Arial"/>
                <w:w w:val="95"/>
                <w:sz w:val="21"/>
              </w:rPr>
              <w:t>106,925,403.99</w:t>
            </w:r>
            <w:r>
              <w:rPr>
                <w:rFonts w:ascii="Arial"/>
                <w:sz w:val="21"/>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245,388,096.49</w:t>
            </w:r>
            <w:r>
              <w:rPr>
                <w:rFonts w:ascii="Arial"/>
                <w:sz w:val="21"/>
              </w:rPr>
            </w:r>
          </w:p>
        </w:tc>
      </w:tr>
      <w:tr>
        <w:trPr>
          <w:trHeight w:val="1026"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2" w:right="285"/>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99"/>
                <w:sz w:val="21"/>
                <w:szCs w:val="21"/>
              </w:rPr>
              <w:t> </w:t>
            </w:r>
            <w:r>
              <w:rPr>
                <w:rFonts w:ascii="宋体" w:hAnsi="宋体" w:cs="宋体" w:eastAsia="宋体" w:hint="default"/>
                <w:sz w:val="21"/>
                <w:szCs w:val="21"/>
              </w:rPr>
              <w:t>的扣除非经常性损益</w:t>
            </w:r>
            <w:r>
              <w:rPr>
                <w:rFonts w:ascii="宋体" w:hAnsi="宋体" w:cs="宋体" w:eastAsia="宋体" w:hint="default"/>
                <w:w w:val="99"/>
                <w:sz w:val="21"/>
                <w:szCs w:val="21"/>
              </w:rPr>
              <w:t> </w:t>
            </w:r>
            <w:r>
              <w:rPr>
                <w:rFonts w:ascii="宋体" w:hAnsi="宋体" w:cs="宋体" w:eastAsia="宋体" w:hint="default"/>
                <w:sz w:val="21"/>
                <w:szCs w:val="21"/>
              </w:rPr>
              <w:t>的净利润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5"/>
              <w:jc w:val="right"/>
              <w:rPr>
                <w:rFonts w:ascii="Arial" w:hAnsi="Arial" w:cs="Arial" w:eastAsia="Arial" w:hint="default"/>
                <w:sz w:val="21"/>
                <w:szCs w:val="21"/>
              </w:rPr>
            </w:pPr>
            <w:r>
              <w:rPr>
                <w:rFonts w:ascii="Arial"/>
                <w:w w:val="95"/>
                <w:sz w:val="21"/>
              </w:rPr>
              <w:t>60,427,288.92</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Arial" w:hAnsi="Arial" w:cs="Arial" w:eastAsia="Arial" w:hint="default"/>
                <w:sz w:val="21"/>
                <w:szCs w:val="21"/>
              </w:rPr>
            </w:pPr>
            <w:r>
              <w:rPr>
                <w:rFonts w:ascii="Arial"/>
                <w:w w:val="95"/>
                <w:sz w:val="21"/>
              </w:rPr>
              <w:t>162,334,372.34</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Arial" w:hAnsi="Arial" w:cs="Arial" w:eastAsia="Arial" w:hint="default"/>
                <w:sz w:val="21"/>
                <w:szCs w:val="21"/>
              </w:rPr>
            </w:pPr>
            <w:r>
              <w:rPr>
                <w:rFonts w:ascii="Arial"/>
                <w:w w:val="95"/>
                <w:sz w:val="21"/>
              </w:rPr>
              <w:t>100,774,709.53</w:t>
            </w:r>
            <w:r>
              <w:rPr>
                <w:rFonts w:ascii="Arial"/>
                <w:sz w:val="21"/>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3"/>
              <w:jc w:val="right"/>
              <w:rPr>
                <w:rFonts w:ascii="Arial" w:hAnsi="Arial" w:cs="Arial" w:eastAsia="Arial" w:hint="default"/>
                <w:sz w:val="21"/>
                <w:szCs w:val="21"/>
              </w:rPr>
            </w:pPr>
            <w:r>
              <w:rPr>
                <w:rFonts w:ascii="Arial"/>
                <w:w w:val="95"/>
                <w:sz w:val="21"/>
              </w:rPr>
              <w:t>234,487,760.98</w:t>
            </w:r>
            <w:r>
              <w:rPr>
                <w:rFonts w:ascii="Arial"/>
                <w:sz w:val="21"/>
              </w:rPr>
            </w:r>
          </w:p>
        </w:tc>
      </w:tr>
      <w:tr>
        <w:trPr>
          <w:trHeight w:val="714" w:hRule="exact"/>
        </w:trPr>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102" w:right="285"/>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w w:val="99"/>
                <w:sz w:val="21"/>
                <w:szCs w:val="21"/>
              </w:rPr>
              <w:t> </w:t>
            </w:r>
            <w:r>
              <w:rPr>
                <w:rFonts w:ascii="宋体" w:hAnsi="宋体" w:cs="宋体" w:eastAsia="宋体" w:hint="default"/>
                <w:sz w:val="21"/>
                <w:szCs w:val="21"/>
              </w:rPr>
              <w:t>流量净额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-564,977,244.32</w:t>
            </w:r>
            <w:r>
              <w:rPr>
                <w:rFonts w:ascii="Arial"/>
                <w:sz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21"/>
                <w:szCs w:val="21"/>
              </w:rPr>
            </w:pPr>
            <w:r>
              <w:rPr>
                <w:rFonts w:ascii="Arial"/>
                <w:w w:val="95"/>
                <w:sz w:val="21"/>
              </w:rPr>
              <w:t>-57,170,561.76</w:t>
            </w:r>
            <w:r>
              <w:rPr>
                <w:rFonts w:ascii="Arial"/>
                <w:sz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21"/>
                <w:szCs w:val="21"/>
              </w:rPr>
            </w:pPr>
            <w:r>
              <w:rPr>
                <w:rFonts w:ascii="Arial"/>
                <w:w w:val="95"/>
                <w:sz w:val="21"/>
              </w:rPr>
              <w:t>8,912,212.60</w:t>
            </w:r>
            <w:r>
              <w:rPr>
                <w:rFonts w:ascii="Arial"/>
                <w:sz w:val="21"/>
              </w:rPr>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1"/>
              <w:jc w:val="right"/>
              <w:rPr>
                <w:rFonts w:ascii="Arial" w:hAnsi="Arial" w:cs="Arial" w:eastAsia="Arial" w:hint="default"/>
                <w:sz w:val="21"/>
                <w:szCs w:val="21"/>
              </w:rPr>
            </w:pPr>
            <w:r>
              <w:rPr>
                <w:rFonts w:ascii="Arial"/>
                <w:w w:val="95"/>
                <w:sz w:val="21"/>
              </w:rPr>
              <w:t>1,086,343,279.01</w:t>
            </w:r>
            <w:r>
              <w:rPr>
                <w:rFonts w:ascii="Arial"/>
                <w:sz w:val="21"/>
              </w:rPr>
            </w:r>
          </w:p>
        </w:tc>
      </w:tr>
    </w:tbl>
    <w:p>
      <w:pPr>
        <w:pStyle w:val="Heading3"/>
        <w:spacing w:line="312" w:lineRule="exact" w:before="34"/>
        <w:ind w:left="232" w:right="1154"/>
        <w:jc w:val="left"/>
      </w:pPr>
      <w:r>
        <w:rPr/>
        <w:t>上述财务指标或其加总数是否与公司已披露季度报告、半年度报告相关财务指标存在重大差 异</w:t>
      </w:r>
    </w:p>
    <w:p>
      <w:pPr>
        <w:spacing w:line="444" w:lineRule="auto" w:before="7"/>
        <w:ind w:left="232" w:right="6899"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宋体" w:hAnsi="宋体" w:cs="宋体" w:eastAsia="宋体" w:hint="default"/>
          <w:spacing w:val="-15"/>
          <w:sz w:val="24"/>
          <w:szCs w:val="24"/>
        </w:rPr>
        <w:t> </w:t>
      </w:r>
      <w:r>
        <w:rPr>
          <w:rFonts w:ascii="宋体" w:hAnsi="宋体" w:cs="宋体" w:eastAsia="宋体" w:hint="default"/>
          <w:sz w:val="24"/>
          <w:szCs w:val="24"/>
        </w:rPr>
        <w:t>否</w:t>
      </w:r>
      <w:r>
        <w:rPr>
          <w:rFonts w:ascii="宋体" w:hAnsi="宋体" w:cs="宋体" w:eastAsia="宋体" w:hint="default"/>
          <w:w w:val="99"/>
          <w:sz w:val="24"/>
          <w:szCs w:val="24"/>
        </w:rPr>
        <w:t> </w:t>
      </w:r>
      <w:bookmarkStart w:name="七、境内外会计准则下会计数据差异" w:id="10"/>
      <w:bookmarkEnd w:id="10"/>
      <w:r>
        <w:rPr>
          <w:rFonts w:ascii="宋体" w:hAnsi="宋体" w:cs="宋体" w:eastAsia="宋体" w:hint="default"/>
          <w:w w:val="99"/>
          <w:sz w:val="24"/>
          <w:szCs w:val="24"/>
        </w:rPr>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96"/>
        <w:ind w:left="232" w:right="1154"/>
        <w:jc w:val="left"/>
        <w:rPr>
          <w:b w:val="0"/>
          <w:bCs w:val="0"/>
        </w:rPr>
      </w:pPr>
      <w:bookmarkStart w:name="1、同时按照国际会计准则与按照中国会计准则披露的财务报告中净利润和净资产差异情况" w:id="11"/>
      <w:bookmarkEnd w:id="11"/>
      <w:r>
        <w:rPr>
          <w:b w:val="0"/>
          <w:bCs w:val="0"/>
        </w:rPr>
      </w:r>
      <w:r>
        <w:rPr>
          <w:rFonts w:ascii="Arial" w:hAnsi="Arial" w:cs="Arial" w:eastAsia="Arial"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1"/>
          <w:szCs w:val="21"/>
        </w:rPr>
      </w:pPr>
    </w:p>
    <w:p>
      <w:pPr>
        <w:pStyle w:val="Heading3"/>
        <w:spacing w:line="247" w:lineRule="auto"/>
        <w:ind w:left="232" w:right="1154"/>
        <w:jc w:val="left"/>
      </w:pPr>
      <w:r>
        <w:rPr>
          <w:rFonts w:ascii="Arial" w:hAnsi="Arial" w:cs="Arial" w:eastAsia="Arial" w:hint="default"/>
        </w:rPr>
        <w:t>□ </w:t>
      </w:r>
      <w:r>
        <w:rPr/>
        <w:t>适用 √</w:t>
      </w:r>
      <w:r>
        <w:rPr>
          <w:spacing w:val="-15"/>
        </w:rPr>
        <w:t> </w:t>
      </w:r>
      <w:r>
        <w:rPr/>
        <w:t>不适用</w:t>
      </w:r>
      <w:r>
        <w:rPr>
          <w:w w:val="99"/>
        </w:rPr>
        <w:t> </w:t>
      </w:r>
      <w:r>
        <w:rPr/>
        <w:t>公司报告期不存在按照国际会计准则与按照中国会计准则披露的财务报告中净利润和净资产</w:t>
      </w:r>
      <w:r>
        <w:rPr>
          <w:w w:val="99"/>
        </w:rPr>
        <w:t> </w:t>
      </w:r>
      <w:r>
        <w:rPr/>
        <w:t>差异情况。</w:t>
      </w:r>
    </w:p>
    <w:p>
      <w:pPr>
        <w:spacing w:line="240" w:lineRule="auto" w:before="3"/>
        <w:rPr>
          <w:rFonts w:ascii="宋体" w:hAnsi="宋体" w:cs="宋体" w:eastAsia="宋体" w:hint="default"/>
          <w:sz w:val="22"/>
          <w:szCs w:val="22"/>
        </w:rPr>
      </w:pPr>
    </w:p>
    <w:p>
      <w:pPr>
        <w:pStyle w:val="Heading2"/>
        <w:spacing w:line="240" w:lineRule="auto"/>
        <w:ind w:left="232" w:right="1154"/>
        <w:jc w:val="left"/>
        <w:rPr>
          <w:b w:val="0"/>
          <w:bCs w:val="0"/>
        </w:rPr>
      </w:pPr>
      <w:bookmarkStart w:name="2、同时按照境外会计准则与按照中国会计准则披露的财务报告中净利润和净资产差异情况" w:id="12"/>
      <w:bookmarkEnd w:id="12"/>
      <w:r>
        <w:rPr>
          <w:b w:val="0"/>
          <w:bCs w:val="0"/>
        </w:rPr>
      </w:r>
      <w:r>
        <w:rPr>
          <w:rFonts w:ascii="Arial" w:hAnsi="Arial" w:cs="Arial" w:eastAsia="Arial"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1"/>
          <w:szCs w:val="21"/>
        </w:rPr>
      </w:pPr>
    </w:p>
    <w:p>
      <w:pPr>
        <w:pStyle w:val="Heading3"/>
        <w:spacing w:line="247" w:lineRule="auto"/>
        <w:ind w:left="232" w:right="1154"/>
        <w:jc w:val="left"/>
      </w:pPr>
      <w:r>
        <w:rPr>
          <w:rFonts w:ascii="Arial" w:hAnsi="Arial" w:cs="Arial" w:eastAsia="Arial" w:hint="default"/>
        </w:rPr>
        <w:t>□ </w:t>
      </w:r>
      <w:r>
        <w:rPr/>
        <w:t>适用 √</w:t>
      </w:r>
      <w:r>
        <w:rPr>
          <w:spacing w:val="-15"/>
        </w:rPr>
        <w:t> </w:t>
      </w:r>
      <w:r>
        <w:rPr/>
        <w:t>不适用</w:t>
      </w:r>
      <w:r>
        <w:rPr>
          <w:w w:val="99"/>
        </w:rPr>
        <w:t> </w:t>
      </w:r>
      <w:r>
        <w:rPr/>
        <w:t>公司报告期不存在按照境外会计准则与按照中国会计准则披露的财务报告中净利润和净资产</w:t>
      </w:r>
      <w:r>
        <w:rPr>
          <w:w w:val="99"/>
        </w:rPr>
        <w:t> </w:t>
      </w:r>
      <w:r>
        <w:rPr/>
        <w:t>差异情况。</w:t>
      </w:r>
    </w:p>
    <w:p>
      <w:pPr>
        <w:spacing w:line="240" w:lineRule="auto" w:before="3"/>
        <w:rPr>
          <w:rFonts w:ascii="宋体" w:hAnsi="宋体" w:cs="宋体" w:eastAsia="宋体" w:hint="default"/>
          <w:sz w:val="22"/>
          <w:szCs w:val="22"/>
        </w:rPr>
      </w:pPr>
    </w:p>
    <w:p>
      <w:pPr>
        <w:pStyle w:val="Heading2"/>
        <w:spacing w:line="240" w:lineRule="auto"/>
        <w:ind w:left="232" w:right="1154"/>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1016" w:top="1060" w:bottom="1200" w:left="900" w:right="0"/>
        </w:sectPr>
      </w:pPr>
    </w:p>
    <w:p>
      <w:pPr>
        <w:pStyle w:val="Heading3"/>
        <w:spacing w:line="240" w:lineRule="auto" w:before="26"/>
        <w:ind w:left="232" w:right="-19"/>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900" w:right="0"/>
          <w:cols w:num="2" w:equalWidth="0">
            <w:col w:w="2165" w:space="6753"/>
            <w:col w:w="2092"/>
          </w:cols>
        </w:sectPr>
      </w:pP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96"/>
        <w:gridCol w:w="1712"/>
        <w:gridCol w:w="1668"/>
        <w:gridCol w:w="1613"/>
        <w:gridCol w:w="1279"/>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76"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1"/>
                <w:sz w:val="21"/>
                <w:szCs w:val="21"/>
              </w:rPr>
              <w:t> </w:t>
            </w:r>
            <w:r>
              <w:rPr>
                <w:rFonts w:ascii="宋体" w:hAnsi="宋体" w:cs="宋体" w:eastAsia="宋体" w:hint="default"/>
                <w:sz w:val="21"/>
                <w:szCs w:val="21"/>
              </w:rPr>
              <w:t>年金额</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4"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1"/>
                <w:sz w:val="21"/>
                <w:szCs w:val="21"/>
              </w:rPr>
              <w:t> </w:t>
            </w:r>
            <w:r>
              <w:rPr>
                <w:rFonts w:ascii="宋体" w:hAnsi="宋体" w:cs="宋体" w:eastAsia="宋体" w:hint="default"/>
                <w:sz w:val="21"/>
                <w:szCs w:val="21"/>
              </w:rPr>
              <w:t>年金额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8"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1"/>
                <w:sz w:val="21"/>
                <w:szCs w:val="21"/>
              </w:rPr>
              <w:t> </w:t>
            </w:r>
            <w:r>
              <w:rPr>
                <w:rFonts w:ascii="宋体" w:hAnsi="宋体" w:cs="宋体" w:eastAsia="宋体" w:hint="default"/>
                <w:sz w:val="21"/>
                <w:szCs w:val="21"/>
              </w:rPr>
              <w:t>年金额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102" w:right="102"/>
              <w:jc w:val="left"/>
              <w:rPr>
                <w:rFonts w:ascii="宋体" w:hAnsi="宋体" w:cs="宋体" w:eastAsia="宋体" w:hint="default"/>
                <w:sz w:val="21"/>
                <w:szCs w:val="21"/>
              </w:rPr>
            </w:pPr>
            <w:r>
              <w:rPr>
                <w:rFonts w:ascii="宋体" w:hAnsi="宋体" w:cs="宋体" w:eastAsia="宋体" w:hint="default"/>
                <w:spacing w:val="-5"/>
                <w:sz w:val="21"/>
                <w:szCs w:val="21"/>
              </w:rPr>
              <w:t>非流动资产处置损益（包括已计提</w:t>
            </w:r>
            <w:r>
              <w:rPr>
                <w:rFonts w:ascii="宋体" w:hAnsi="宋体" w:cs="宋体" w:eastAsia="宋体" w:hint="default"/>
                <w:w w:val="99"/>
                <w:sz w:val="21"/>
                <w:szCs w:val="21"/>
              </w:rPr>
              <w:t> </w:t>
            </w:r>
            <w:r>
              <w:rPr>
                <w:rFonts w:ascii="宋体" w:hAnsi="宋体" w:cs="宋体" w:eastAsia="宋体" w:hint="default"/>
                <w:sz w:val="21"/>
                <w:szCs w:val="21"/>
              </w:rPr>
              <w:t>资产减值准备的冲销部分）</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621,094.05</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spacing w:val="-2"/>
                <w:sz w:val="21"/>
              </w:rPr>
              <w:t>-681,110.44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122,938.66</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2" w:right="32"/>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w:t>
            </w:r>
            <w:r>
              <w:rPr>
                <w:rFonts w:ascii="宋体" w:hAnsi="宋体" w:cs="宋体" w:eastAsia="宋体" w:hint="default"/>
                <w:w w:val="99"/>
                <w:sz w:val="21"/>
                <w:szCs w:val="21"/>
              </w:rPr>
              <w:t> </w:t>
            </w:r>
            <w:r>
              <w:rPr>
                <w:rFonts w:ascii="宋体" w:hAnsi="宋体" w:cs="宋体" w:eastAsia="宋体" w:hint="default"/>
                <w:spacing w:val="-5"/>
                <w:sz w:val="21"/>
                <w:szCs w:val="21"/>
              </w:rPr>
              <w:t>业务密切相关，按照国家统一标准</w:t>
            </w:r>
            <w:r>
              <w:rPr>
                <w:rFonts w:ascii="宋体" w:hAnsi="宋体" w:cs="宋体" w:eastAsia="宋体" w:hint="default"/>
                <w:w w:val="99"/>
                <w:sz w:val="21"/>
                <w:szCs w:val="21"/>
              </w:rPr>
              <w:t> </w:t>
            </w:r>
            <w:r>
              <w:rPr>
                <w:rFonts w:ascii="宋体" w:hAnsi="宋体" w:cs="宋体" w:eastAsia="宋体" w:hint="default"/>
                <w:sz w:val="21"/>
                <w:szCs w:val="21"/>
              </w:rPr>
              <w:t>定额或定量享受的政府补助除外）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5"/>
              <w:jc w:val="right"/>
              <w:rPr>
                <w:rFonts w:ascii="Arial" w:hAnsi="Arial" w:cs="Arial" w:eastAsia="Arial" w:hint="default"/>
                <w:sz w:val="21"/>
                <w:szCs w:val="21"/>
              </w:rPr>
            </w:pPr>
            <w:r>
              <w:rPr>
                <w:rFonts w:ascii="Arial"/>
                <w:w w:val="95"/>
                <w:sz w:val="21"/>
              </w:rPr>
              <w:t>38,076,396.54</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5"/>
              <w:jc w:val="right"/>
              <w:rPr>
                <w:rFonts w:ascii="Arial" w:hAnsi="Arial" w:cs="Arial" w:eastAsia="Arial" w:hint="default"/>
                <w:sz w:val="21"/>
                <w:szCs w:val="21"/>
              </w:rPr>
            </w:pPr>
            <w:r>
              <w:rPr>
                <w:rFonts w:ascii="Arial"/>
                <w:w w:val="95"/>
                <w:sz w:val="21"/>
              </w:rPr>
              <w:t>14,201,747.37</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5"/>
              <w:jc w:val="right"/>
              <w:rPr>
                <w:rFonts w:ascii="Arial" w:hAnsi="Arial" w:cs="Arial" w:eastAsia="Arial" w:hint="default"/>
                <w:sz w:val="21"/>
                <w:szCs w:val="21"/>
              </w:rPr>
            </w:pPr>
            <w:r>
              <w:rPr>
                <w:rFonts w:ascii="Arial"/>
                <w:w w:val="95"/>
                <w:sz w:val="21"/>
              </w:rPr>
              <w:t>15,815,965.30</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213,235.29</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2" w:right="102"/>
              <w:jc w:val="left"/>
              <w:rPr>
                <w:rFonts w:ascii="宋体" w:hAnsi="宋体" w:cs="宋体" w:eastAsia="宋体" w:hint="default"/>
                <w:sz w:val="21"/>
                <w:szCs w:val="21"/>
              </w:rPr>
            </w:pPr>
            <w:r>
              <w:rPr>
                <w:rFonts w:ascii="宋体" w:hAnsi="宋体" w:cs="宋体" w:eastAsia="宋体" w:hint="default"/>
                <w:spacing w:val="-5"/>
                <w:sz w:val="21"/>
                <w:szCs w:val="21"/>
              </w:rPr>
              <w:t>单独进行减值测试的应收款项、合</w:t>
            </w:r>
            <w:r>
              <w:rPr>
                <w:rFonts w:ascii="宋体" w:hAnsi="宋体" w:cs="宋体" w:eastAsia="宋体" w:hint="default"/>
                <w:w w:val="99"/>
                <w:sz w:val="21"/>
                <w:szCs w:val="21"/>
              </w:rPr>
              <w:t> </w:t>
            </w:r>
            <w:r>
              <w:rPr>
                <w:rFonts w:ascii="宋体" w:hAnsi="宋体" w:cs="宋体" w:eastAsia="宋体" w:hint="default"/>
                <w:sz w:val="21"/>
                <w:szCs w:val="21"/>
              </w:rPr>
              <w:t>同资产减值准备转回</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21"/>
                <w:szCs w:val="21"/>
              </w:rPr>
            </w:pPr>
            <w:r>
              <w:rPr>
                <w:rFonts w:ascii="Arial"/>
                <w:w w:val="95"/>
                <w:sz w:val="21"/>
              </w:rPr>
              <w:t>93,814.00</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294,687.93</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231,016.97</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102" w:right="244"/>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r>
              <w:rPr>
                <w:rFonts w:ascii="宋体" w:hAnsi="宋体" w:cs="宋体" w:eastAsia="宋体" w:hint="default"/>
                <w:w w:val="99"/>
                <w:sz w:val="21"/>
                <w:szCs w:val="21"/>
              </w:rPr>
              <w:t> </w:t>
            </w:r>
            <w:r>
              <w:rPr>
                <w:rFonts w:ascii="宋体" w:hAnsi="宋体" w:cs="宋体" w:eastAsia="宋体" w:hint="default"/>
                <w:sz w:val="21"/>
                <w:szCs w:val="21"/>
              </w:rPr>
              <w:t>入和支出</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21"/>
                <w:szCs w:val="21"/>
              </w:rPr>
            </w:pPr>
            <w:r>
              <w:rPr>
                <w:rFonts w:ascii="Arial"/>
                <w:w w:val="95"/>
                <w:sz w:val="21"/>
              </w:rPr>
              <w:t>-12,552,679.73</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21"/>
                <w:szCs w:val="21"/>
              </w:rPr>
            </w:pPr>
            <w:r>
              <w:rPr>
                <w:rFonts w:ascii="Arial"/>
                <w:spacing w:val="-1"/>
                <w:w w:val="95"/>
                <w:sz w:val="21"/>
              </w:rPr>
              <w:t>-10,669,211.40</w:t>
            </w:r>
            <w:r>
              <w:rPr>
                <w:rFonts w:ascii="Arial"/>
                <w:spacing w:val="-1"/>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-7,624,599.75</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900" w:right="0"/>
        </w:sectPr>
      </w:pPr>
    </w:p>
    <w:p>
      <w:pPr>
        <w:spacing w:line="240" w:lineRule="auto" w:before="5"/>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3296"/>
        <w:gridCol w:w="1712"/>
        <w:gridCol w:w="1668"/>
        <w:gridCol w:w="1613"/>
        <w:gridCol w:w="1279"/>
      </w:tblGrid>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02" w:right="244"/>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r>
              <w:rPr>
                <w:rFonts w:ascii="宋体" w:hAnsi="宋体" w:cs="宋体" w:eastAsia="宋体" w:hint="default"/>
                <w:w w:val="99"/>
                <w:sz w:val="21"/>
                <w:szCs w:val="21"/>
              </w:rPr>
              <w:t> </w:t>
            </w:r>
            <w:r>
              <w:rPr>
                <w:rFonts w:ascii="宋体" w:hAnsi="宋体" w:cs="宋体" w:eastAsia="宋体" w:hint="default"/>
                <w:sz w:val="21"/>
                <w:szCs w:val="21"/>
              </w:rPr>
              <w:t>益项目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1,301,948.54</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787,304.33</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102" w:right="244"/>
              <w:jc w:val="left"/>
              <w:rPr>
                <w:rFonts w:ascii="宋体" w:hAnsi="宋体" w:cs="宋体" w:eastAsia="宋体" w:hint="default"/>
                <w:sz w:val="21"/>
                <w:szCs w:val="21"/>
              </w:rPr>
            </w:pPr>
            <w:r>
              <w:rPr>
                <w:rFonts w:ascii="宋体" w:hAnsi="宋体" w:cs="宋体" w:eastAsia="宋体" w:hint="default"/>
                <w:sz w:val="21"/>
                <w:szCs w:val="21"/>
              </w:rPr>
              <w:t>长期股权投资转为可供出售金融</w:t>
            </w:r>
            <w:r>
              <w:rPr>
                <w:rFonts w:ascii="宋体" w:hAnsi="宋体" w:cs="宋体" w:eastAsia="宋体" w:hint="default"/>
                <w:w w:val="99"/>
                <w:sz w:val="21"/>
                <w:szCs w:val="21"/>
              </w:rPr>
              <w:t> </w:t>
            </w:r>
            <w:r>
              <w:rPr>
                <w:rFonts w:ascii="宋体" w:hAnsi="宋体" w:cs="宋体" w:eastAsia="宋体" w:hint="default"/>
                <w:sz w:val="21"/>
                <w:szCs w:val="21"/>
              </w:rPr>
              <w:t>资产产生的投资收益</w:t>
            </w:r>
          </w:p>
        </w:tc>
        <w:tc>
          <w:tcPr>
            <w:tcW w:w="171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21"/>
                <w:szCs w:val="21"/>
              </w:rPr>
            </w:pPr>
            <w:r>
              <w:rPr>
                <w:rFonts w:ascii="Arial"/>
                <w:w w:val="95"/>
                <w:sz w:val="21"/>
              </w:rPr>
              <w:t>38,834,507.09</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3,108,669.05</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745,350.02</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1,064,882.17</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2,279,420.66</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134,876.89</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1,786,955.33</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22,365,718.98</w:t>
            </w:r>
            <w:r>
              <w:rPr>
                <w:rFonts w:ascii="Arial"/>
                <w:sz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41,887,697.97</w:t>
            </w:r>
            <w:r>
              <w:rPr>
                <w:rFonts w:ascii="Arial"/>
                <w:sz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5,693,483.68</w:t>
            </w:r>
            <w:r>
              <w:rPr>
                <w:rFonts w:ascii="Arial"/>
                <w:sz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r>
    </w:tbl>
    <w:p>
      <w:pPr>
        <w:pStyle w:val="Heading3"/>
        <w:spacing w:line="240" w:lineRule="auto" w:before="26"/>
        <w:ind w:left="232" w:right="0"/>
        <w:jc w:val="left"/>
      </w:pPr>
      <w:r>
        <w:rPr/>
        <w:t>对公司根据《公开发行证券的公司信息披露解释性公告第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Heading3"/>
        <w:spacing w:line="259" w:lineRule="auto" w:before="26"/>
        <w:ind w:left="232" w:right="1139"/>
        <w:jc w:val="left"/>
      </w:pPr>
      <w:r>
        <w:rPr/>
        <w:t>的非经常性损益项目，以及把《公开发行证券的公司信息披露解释性公告第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Heading3"/>
        <w:spacing w:line="240" w:lineRule="auto" w:before="67"/>
        <w:ind w:left="232" w:right="1154"/>
        <w:jc w:val="left"/>
      </w:pPr>
      <w:r>
        <w:rPr>
          <w:rFonts w:ascii="Arial" w:hAnsi="Arial" w:cs="Arial" w:eastAsia="Arial" w:hint="default"/>
        </w:rPr>
        <w:t>□  </w:t>
      </w:r>
      <w:r>
        <w:rPr/>
        <w:t>适用 √</w:t>
      </w:r>
      <w:r>
        <w:rPr>
          <w:spacing w:val="-15"/>
        </w:rPr>
        <w:t> </w:t>
      </w:r>
      <w:r>
        <w:rPr/>
        <w:t>不适用</w:t>
      </w:r>
    </w:p>
    <w:p>
      <w:pPr>
        <w:pStyle w:val="Heading3"/>
        <w:spacing w:line="261" w:lineRule="auto" w:before="67"/>
        <w:ind w:left="232" w:right="1139"/>
        <w:jc w:val="left"/>
      </w:pPr>
      <w:r>
        <w:rPr/>
        <w:t>公司报告期不存在将根据《公开发行证券的公司信息披露解释性公告第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 益》定义、列举的非经常性损益项目界定为经常性损益的项目的情形。</w:t>
      </w:r>
    </w:p>
    <w:p>
      <w:pPr>
        <w:spacing w:after="0" w:line="261" w:lineRule="auto"/>
        <w:jc w:val="left"/>
        <w:sectPr>
          <w:footerReference w:type="default" r:id="rId11"/>
          <w:pgSz w:w="11910" w:h="16840"/>
          <w:pgMar w:footer="1016" w:header="746" w:top="1060" w:bottom="1200" w:left="90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spacing w:line="439" w:lineRule="exact"/>
        <w:ind w:left="3412" w:right="996"/>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2"/>
        </w:rPr>
        <w:t> </w:t>
      </w:r>
      <w:r>
        <w:rPr/>
        <w:t>公司业务概要</w:t>
      </w:r>
      <w:r>
        <w:rPr>
          <w:b w:val="0"/>
          <w:bCs w:val="0"/>
        </w:rPr>
      </w:r>
    </w:p>
    <w:p>
      <w:pPr>
        <w:spacing w:line="630" w:lineRule="atLeast" w:before="141"/>
        <w:ind w:left="592" w:right="996" w:hanging="480"/>
        <w:jc w:val="left"/>
        <w:rPr>
          <w:rFonts w:ascii="宋体" w:hAnsi="宋体" w:cs="宋体" w:eastAsia="宋体" w:hint="default"/>
          <w:sz w:val="24"/>
          <w:szCs w:val="24"/>
        </w:rPr>
      </w:pPr>
      <w:bookmarkStart w:name="一、报告期内公司从事的主要业务" w:id="16"/>
      <w:bookmarkEnd w:id="16"/>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伴随中国建设和改革的历史进程，软件服务业的发展持续加快。越来越多的客户承担日</w:t>
      </w:r>
    </w:p>
    <w:p>
      <w:pPr>
        <w:pStyle w:val="Heading3"/>
        <w:spacing w:line="273" w:lineRule="auto" w:before="46"/>
        <w:ind w:right="1132"/>
        <w:jc w:val="both"/>
      </w:pPr>
      <w:r>
        <w:rPr/>
        <w:t>益重要的社会服务职责，在业内竞争压力日趋激烈的背景下，需求侧更有动力和能力在业务</w:t>
      </w:r>
      <w:r>
        <w:rPr>
          <w:spacing w:val="-89"/>
        </w:rPr>
        <w:t> </w:t>
      </w:r>
      <w:r>
        <w:rPr>
          <w:spacing w:val="-89"/>
        </w:rPr>
      </w:r>
      <w:r>
        <w:rPr/>
        <w:t>应用和数据应用方面投入更大的力量。同时，以人工智能、大数据、云计算、信息技术应用</w:t>
      </w:r>
      <w:r>
        <w:rPr>
          <w:spacing w:val="-89"/>
        </w:rPr>
        <w:t> </w:t>
      </w:r>
      <w:r>
        <w:rPr>
          <w:spacing w:val="-89"/>
        </w:rPr>
      </w:r>
      <w:r>
        <w:rPr/>
        <w:t>创新（以下简称“信创”）等新技术为代表的技术发展，促进产品技术应用和业务价值等方</w:t>
      </w:r>
      <w:r>
        <w:rPr>
          <w:spacing w:val="-89"/>
        </w:rPr>
        <w:t> </w:t>
      </w:r>
      <w:r>
        <w:rPr>
          <w:spacing w:val="-89"/>
        </w:rPr>
      </w:r>
      <w:r>
        <w:rPr/>
        <w:t>面不断创新，加快了产业供给侧的发展。在此基础上，市场环境更加规范、成熟，也更有利</w:t>
      </w:r>
      <w:r>
        <w:rPr>
          <w:spacing w:val="-89"/>
        </w:rPr>
        <w:t> </w:t>
      </w:r>
      <w:r>
        <w:rPr>
          <w:spacing w:val="-89"/>
        </w:rPr>
      </w:r>
      <w:r>
        <w:rPr/>
        <w:t>于优秀软件企业的发展。</w:t>
      </w:r>
    </w:p>
    <w:p>
      <w:pPr>
        <w:pStyle w:val="Heading3"/>
        <w:spacing w:line="273" w:lineRule="auto" w:before="50"/>
        <w:ind w:right="1132" w:firstLine="480"/>
        <w:jc w:val="both"/>
      </w:pPr>
      <w:r>
        <w:rPr/>
        <w:t>作为致力于“帮助客户更好地服务社会”的软件服务企业，公司是国内法律科技市场的 领导企业，并在教育信息化、智慧政务等重要的软件服务市场占据了优势地位，也是领域内</w:t>
      </w:r>
      <w:r>
        <w:rPr>
          <w:spacing w:val="-89"/>
        </w:rPr>
        <w:t> </w:t>
      </w:r>
      <w:r>
        <w:rPr>
          <w:spacing w:val="-89"/>
        </w:rPr>
      </w:r>
      <w:r>
        <w:rPr/>
        <w:t>诸多重要技术应用的创新者和积极推动者。</w:t>
      </w:r>
    </w:p>
    <w:p>
      <w:pPr>
        <w:pStyle w:val="Heading3"/>
        <w:spacing w:line="273" w:lineRule="auto" w:before="50"/>
        <w:ind w:right="1130" w:firstLine="480"/>
        <w:jc w:val="both"/>
      </w:pPr>
      <w:r>
        <w:rPr/>
        <w:t>在法律科技领域，公司持续扩展和深化对法律相关机关单位、律师、企业等的覆盖和连 接，打通法律服务各环节的业务流转和数据交互。公司深耕“司法”环节（法院、检察院）</w:t>
      </w:r>
      <w:r>
        <w:rPr>
          <w:spacing w:val="-87"/>
        </w:rPr>
        <w:t> </w:t>
      </w:r>
      <w:r>
        <w:rPr>
          <w:spacing w:val="-87"/>
        </w:rPr>
      </w:r>
      <w:r>
        <w:rPr/>
        <w:t>和“执法”环节（公安、纪检监察、政法委、司法行政等）业务，在已规划的</w:t>
      </w:r>
      <w:r>
        <w:rPr>
          <w:spacing w:val="-51"/>
        </w:rPr>
        <w:t> </w:t>
      </w:r>
      <w:r>
        <w:rPr>
          <w:rFonts w:ascii="Arial" w:hAnsi="Arial" w:cs="Arial" w:eastAsia="Arial" w:hint="default"/>
          <w:spacing w:val="-6"/>
        </w:rPr>
        <w:t>110</w:t>
      </w:r>
      <w:r>
        <w:rPr>
          <w:rFonts w:ascii="Arial" w:hAnsi="Arial" w:cs="Arial" w:eastAsia="Arial" w:hint="default"/>
          <w:spacing w:val="-3"/>
        </w:rPr>
        <w:t> </w:t>
      </w:r>
      <w:r>
        <w:rPr/>
        <w:t>余个业务</w:t>
      </w:r>
    </w:p>
    <w:p>
      <w:pPr>
        <w:pStyle w:val="Heading3"/>
        <w:spacing w:line="271" w:lineRule="auto"/>
        <w:ind w:right="1129"/>
        <w:jc w:val="both"/>
      </w:pPr>
      <w:r>
        <w:rPr/>
        <w:t>应用场景中，公司已拥有</w:t>
      </w:r>
      <w:r>
        <w:rPr>
          <w:spacing w:val="-61"/>
        </w:rPr>
        <w:t> </w:t>
      </w:r>
      <w:r>
        <w:rPr>
          <w:rFonts w:ascii="Arial" w:hAnsi="Arial" w:cs="Arial" w:eastAsia="Arial" w:hint="default"/>
        </w:rPr>
        <w:t>200</w:t>
      </w:r>
      <w:r>
        <w:rPr>
          <w:rFonts w:ascii="Arial" w:hAnsi="Arial" w:cs="Arial" w:eastAsia="Arial" w:hint="default"/>
          <w:spacing w:val="-7"/>
        </w:rPr>
        <w:t> </w:t>
      </w:r>
      <w:r>
        <w:rPr/>
        <w:t>多款自主知识产权的软件产品。公司逐步延伸业务至“守法” 环节，打造法律业务智能辅助、风险和诉讼管理、内外部协作、情报分析等软件，服务六万</w:t>
      </w:r>
      <w:r>
        <w:rPr>
          <w:spacing w:val="-89"/>
        </w:rPr>
        <w:t> </w:t>
      </w:r>
      <w:r>
        <w:rPr>
          <w:spacing w:val="-89"/>
        </w:rPr>
      </w:r>
      <w:r>
        <w:rPr/>
        <w:t>余名律师，并从多个行业的头部企业开始逐步拓展企业客户；同时，围绕司法诉讼积极创新</w:t>
      </w:r>
      <w:r>
        <w:rPr>
          <w:spacing w:val="-89"/>
        </w:rPr>
        <w:t> </w:t>
      </w:r>
      <w:r>
        <w:rPr>
          <w:spacing w:val="-89"/>
        </w:rPr>
      </w:r>
      <w:r>
        <w:rPr/>
        <w:t>和拓展法律科技服务。公司持续丰富法律科技网络并构建“一体化法律服务平台”，布局未</w:t>
      </w:r>
      <w:r>
        <w:rPr>
          <w:spacing w:val="-89"/>
        </w:rPr>
        <w:t> </w:t>
      </w:r>
      <w:r>
        <w:rPr>
          <w:spacing w:val="-89"/>
        </w:rPr>
      </w:r>
      <w:r>
        <w:rPr/>
        <w:t>来法律科技生态，努力推进新时代法律服务。</w:t>
      </w:r>
    </w:p>
    <w:p>
      <w:pPr>
        <w:pStyle w:val="Heading3"/>
        <w:spacing w:line="268" w:lineRule="auto" w:before="53"/>
        <w:ind w:right="996" w:firstLine="480"/>
        <w:jc w:val="left"/>
      </w:pPr>
      <w:r>
        <w:rPr/>
        <w:t>在教育信息化领域，公司持续以应用软件产品和解决方案创新为核心市场驱动力，围绕 </w:t>
      </w:r>
      <w:r>
        <w:rPr>
          <w:spacing w:val="-2"/>
        </w:rPr>
        <w:t>高校的教学、科研、管理和服务等全场景，提供覆盖师生及管理者全生命周期的、一站式的、</w:t>
      </w:r>
      <w:r>
        <w:rPr/>
        <w:t> </w:t>
      </w:r>
      <w:r>
        <w:rPr>
          <w:spacing w:val="2"/>
        </w:rPr>
        <w:t>可个性化配置的产品及整体解决方案。公司拥有</w:t>
      </w:r>
      <w:r>
        <w:rPr>
          <w:spacing w:val="-52"/>
        </w:rPr>
        <w:t> </w:t>
      </w:r>
      <w:r>
        <w:rPr>
          <w:rFonts w:ascii="Arial" w:hAnsi="Arial" w:cs="Arial" w:eastAsia="Arial" w:hint="default"/>
        </w:rPr>
        <w:t>140 </w:t>
      </w:r>
      <w:r>
        <w:rPr>
          <w:spacing w:val="2"/>
        </w:rPr>
        <w:t>多项自主知识产权产品，累计为</w:t>
      </w:r>
      <w:r>
        <w:rPr>
          <w:spacing w:val="-54"/>
        </w:rPr>
        <w:t> </w:t>
      </w:r>
      <w:r>
        <w:rPr>
          <w:rFonts w:ascii="Arial" w:hAnsi="Arial" w:cs="Arial" w:eastAsia="Arial" w:hint="default"/>
        </w:rPr>
        <w:t>1000</w:t>
      </w:r>
      <w:r>
        <w:rPr>
          <w:rFonts w:ascii="Arial" w:hAnsi="Arial" w:cs="Arial" w:eastAsia="Arial" w:hint="default"/>
          <w:spacing w:val="-57"/>
        </w:rPr>
        <w:t> </w:t>
      </w:r>
      <w:r>
        <w:rPr>
          <w:rFonts w:ascii="Arial" w:hAnsi="Arial" w:cs="Arial" w:eastAsia="Arial" w:hint="default"/>
          <w:spacing w:val="-57"/>
        </w:rPr>
      </w:r>
      <w:r>
        <w:rPr/>
        <w:t>余所高校、</w:t>
      </w:r>
      <w:r>
        <w:rPr>
          <w:rFonts w:ascii="Arial" w:hAnsi="Arial" w:cs="Arial" w:eastAsia="Arial" w:hint="default"/>
        </w:rPr>
        <w:t>2000</w:t>
      </w:r>
      <w:r>
        <w:rPr>
          <w:rFonts w:ascii="Arial" w:hAnsi="Arial" w:cs="Arial" w:eastAsia="Arial" w:hint="default"/>
          <w:spacing w:val="-7"/>
        </w:rPr>
        <w:t> </w:t>
      </w:r>
      <w:r>
        <w:rPr/>
        <w:t>多万师生提供信息化服务，客户覆盖全国</w:t>
      </w:r>
      <w:r>
        <w:rPr>
          <w:spacing w:val="-61"/>
        </w:rPr>
        <w:t> </w:t>
      </w:r>
      <w:r>
        <w:rPr>
          <w:rFonts w:ascii="Arial" w:hAnsi="Arial" w:cs="Arial" w:eastAsia="Arial" w:hint="default"/>
        </w:rPr>
        <w:t>30</w:t>
      </w:r>
      <w:r>
        <w:rPr>
          <w:rFonts w:ascii="Arial" w:hAnsi="Arial" w:cs="Arial" w:eastAsia="Arial" w:hint="default"/>
          <w:spacing w:val="-10"/>
        </w:rPr>
        <w:t> </w:t>
      </w:r>
      <w:r>
        <w:rPr/>
        <w:t>个省（自治区、直辖市）。</w:t>
      </w:r>
    </w:p>
    <w:p>
      <w:pPr>
        <w:pStyle w:val="Heading3"/>
        <w:spacing w:line="271" w:lineRule="auto" w:before="35"/>
        <w:ind w:right="996" w:firstLine="480"/>
        <w:jc w:val="left"/>
      </w:pPr>
      <w:r>
        <w:rPr>
          <w:spacing w:val="2"/>
        </w:rPr>
        <w:t>在智慧政务领域，公司自</w:t>
      </w:r>
      <w:r>
        <w:rPr>
          <w:spacing w:val="-56"/>
        </w:rPr>
        <w:t> </w:t>
      </w:r>
      <w:r>
        <w:rPr>
          <w:rFonts w:ascii="Arial" w:hAnsi="Arial" w:cs="Arial" w:eastAsia="Arial" w:hint="default"/>
        </w:rPr>
        <w:t>2013</w:t>
      </w:r>
      <w:r>
        <w:rPr>
          <w:rFonts w:ascii="Arial" w:hAnsi="Arial" w:cs="Arial" w:eastAsia="Arial" w:hint="default"/>
          <w:spacing w:val="-2"/>
        </w:rPr>
        <w:t> </w:t>
      </w:r>
      <w:r>
        <w:rPr>
          <w:spacing w:val="2"/>
        </w:rPr>
        <w:t>年起参与电子公文标准编制与验证工作，参与电子公文</w:t>
      </w:r>
      <w:r>
        <w:rPr/>
        <w:t> </w:t>
      </w:r>
      <w:r>
        <w:rPr>
          <w:spacing w:val="-2"/>
        </w:rPr>
        <w:t>技术攻关，一直将信创技术作为公司重要发展战略。经过多年坚定的投入，公司在业务拓展、</w:t>
      </w:r>
      <w:r>
        <w:rPr/>
        <w:t> 技术能力等多方面处于业内领先地位。随着未来几年信创产业的加速发展，公司凭借在信创</w:t>
      </w:r>
      <w:r>
        <w:rPr>
          <w:spacing w:val="-89"/>
        </w:rPr>
        <w:t> </w:t>
      </w:r>
      <w:r>
        <w:rPr>
          <w:spacing w:val="-89"/>
        </w:rPr>
      </w:r>
      <w:r>
        <w:rPr/>
        <w:t>领域积累多年的技术、产品与实施经验，在法律科技等传统优势领域将更具竞争力，并将以</w:t>
      </w:r>
      <w:r>
        <w:rPr>
          <w:spacing w:val="-89"/>
        </w:rPr>
        <w:t> </w:t>
      </w:r>
      <w:r>
        <w:rPr>
          <w:spacing w:val="-89"/>
        </w:rPr>
      </w:r>
      <w:r>
        <w:rPr/>
        <w:t>此为契机，拓展新的电子政务细分领域，打开“智慧政务”业务板块的发展空间。</w:t>
      </w:r>
    </w:p>
    <w:p>
      <w:pPr>
        <w:pStyle w:val="Heading3"/>
        <w:spacing w:line="273" w:lineRule="auto" w:before="55"/>
        <w:ind w:right="996" w:firstLine="480"/>
        <w:jc w:val="left"/>
      </w:pPr>
      <w:r>
        <w:rPr/>
        <w:t>各业务具体发展情况详见“第四节经营情况分析与讨论”中“一、概述”及“二、主营 业务分析”。</w:t>
      </w:r>
    </w:p>
    <w:p>
      <w:pPr>
        <w:spacing w:after="0" w:line="273" w:lineRule="auto"/>
        <w:jc w:val="left"/>
        <w:sectPr>
          <w:pgSz w:w="11910" w:h="16840"/>
          <w:pgMar w:header="746" w:footer="1016" w:top="1060" w:bottom="120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0"/>
        <w:rPr>
          <w:rFonts w:ascii="宋体" w:hAnsi="宋体" w:cs="宋体" w:eastAsia="宋体" w:hint="default"/>
          <w:b/>
          <w:bCs/>
          <w:sz w:val="22"/>
          <w:szCs w:val="22"/>
        </w:rPr>
      </w:pPr>
    </w:p>
    <w:p>
      <w:pPr>
        <w:spacing w:line="446" w:lineRule="auto" w:before="0"/>
        <w:ind w:left="592" w:right="5714" w:hanging="480"/>
        <w:jc w:val="left"/>
        <w:rPr>
          <w:rFonts w:ascii="宋体" w:hAnsi="宋体" w:cs="宋体" w:eastAsia="宋体" w:hint="default"/>
          <w:sz w:val="24"/>
          <w:szCs w:val="24"/>
        </w:rPr>
      </w:pPr>
      <w:bookmarkStart w:name="1、主要资产重大变化情况" w:id="18"/>
      <w:bookmarkEnd w:id="18"/>
      <w:r>
        <w:rPr/>
      </w:r>
      <w:r>
        <w:rPr>
          <w:rFonts w:ascii="Arial" w:hAnsi="Arial" w:cs="Arial" w:eastAsia="Arial" w:hint="default"/>
          <w:b/>
          <w:bCs/>
          <w:sz w:val="24"/>
          <w:szCs w:val="24"/>
        </w:rPr>
        <w:t>1</w:t>
      </w:r>
      <w:r>
        <w:rPr>
          <w:rFonts w:ascii="宋体" w:hAnsi="宋体" w:cs="宋体" w:eastAsia="宋体" w:hint="default"/>
          <w:b/>
          <w:bCs/>
          <w:sz w:val="24"/>
          <w:szCs w:val="24"/>
        </w:rPr>
        <w:t>、主要资产重大变化情况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报告期内，公司主要资产无重大变化情况。</w:t>
      </w:r>
    </w:p>
    <w:p>
      <w:pPr>
        <w:pStyle w:val="Heading2"/>
        <w:spacing w:line="240" w:lineRule="auto" w:before="91"/>
        <w:ind w:right="0"/>
        <w:jc w:val="both"/>
        <w:rPr>
          <w:b w:val="0"/>
          <w:bCs w:val="0"/>
        </w:rPr>
      </w:pPr>
      <w:bookmarkStart w:name="2、主要境外资产情况" w:id="19"/>
      <w:bookmarkEnd w:id="19"/>
      <w:r>
        <w:rPr>
          <w:b w:val="0"/>
          <w:bCs w:val="0"/>
        </w:rPr>
      </w:r>
      <w:r>
        <w:rPr>
          <w:rFonts w:ascii="Arial" w:hAnsi="Arial" w:cs="Arial" w:eastAsia="Arial" w:hint="default"/>
        </w:rPr>
        <w:t>2</w:t>
      </w:r>
      <w:r>
        <w:rPr/>
        <w:t>、主要境外资产情况</w:t>
      </w:r>
      <w:r>
        <w:rPr>
          <w:b w:val="0"/>
          <w:bCs w:val="0"/>
        </w:rPr>
      </w:r>
    </w:p>
    <w:p>
      <w:pPr>
        <w:spacing w:line="240" w:lineRule="auto" w:before="6"/>
        <w:rPr>
          <w:rFonts w:ascii="宋体" w:hAnsi="宋体" w:cs="宋体" w:eastAsia="宋体" w:hint="default"/>
          <w:b/>
          <w:bCs/>
          <w:sz w:val="21"/>
          <w:szCs w:val="21"/>
        </w:rPr>
      </w:pPr>
    </w:p>
    <w:p>
      <w:pPr>
        <w:spacing w:line="444" w:lineRule="auto" w:before="0"/>
        <w:ind w:left="112" w:right="858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三、核心竞争力分析" w:id="20"/>
      <w:bookmarkEnd w:id="20"/>
      <w:r>
        <w:rPr>
          <w:rFonts w:ascii="宋体" w:hAnsi="宋体" w:cs="宋体" w:eastAsia="宋体" w:hint="default"/>
          <w:w w:val="99"/>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Heading3"/>
        <w:spacing w:line="273" w:lineRule="auto" w:before="118"/>
        <w:ind w:right="1132" w:firstLine="480"/>
        <w:jc w:val="both"/>
      </w:pPr>
      <w:r>
        <w:rPr/>
        <w:t>在各界支持下，公司坚持产业与行业专注，选择适合自身业务的成长策略和竞争策略， 形成持续积累；公司合理制定发展目标，整合协同业务资源，持续加强差异化竞争优势；公</w:t>
      </w:r>
      <w:r>
        <w:rPr>
          <w:spacing w:val="-89"/>
        </w:rPr>
        <w:t> </w:t>
      </w:r>
      <w:r>
        <w:rPr>
          <w:spacing w:val="-89"/>
        </w:rPr>
      </w:r>
      <w:r>
        <w:rPr/>
        <w:t>司长期健康发展带来战略纵深，持续提升战略投入能力和风险抵御能力。同时，公司通过完</w:t>
      </w:r>
      <w:r>
        <w:rPr>
          <w:spacing w:val="-89"/>
        </w:rPr>
        <w:t> </w:t>
      </w:r>
      <w:r>
        <w:rPr>
          <w:spacing w:val="-89"/>
        </w:rPr>
      </w:r>
      <w:r>
        <w:rPr/>
        <w:t>善治理结构、弘扬企业文化、打造行业品牌、精进企业经营，适应了发展环境、增强了发展</w:t>
      </w:r>
      <w:r>
        <w:rPr>
          <w:spacing w:val="-89"/>
        </w:rPr>
        <w:t> </w:t>
      </w:r>
      <w:r>
        <w:rPr>
          <w:spacing w:val="-89"/>
        </w:rPr>
      </w:r>
      <w:r>
        <w:rPr/>
        <w:t>动能、把握了发展机遇、降低了发展风险，保持了又好又快发展。</w:t>
      </w:r>
    </w:p>
    <w:p>
      <w:pPr>
        <w:pStyle w:val="Heading3"/>
        <w:spacing w:line="240" w:lineRule="auto" w:before="53"/>
        <w:ind w:left="592" w:right="996"/>
        <w:jc w:val="left"/>
      </w:pPr>
      <w:r>
        <w:rPr/>
        <w:t>公司的竞争优势，突出表现在以下几个主要方面：</w:t>
      </w:r>
    </w:p>
    <w:p>
      <w:pPr>
        <w:pStyle w:val="Heading3"/>
        <w:spacing w:line="290" w:lineRule="auto" w:before="82"/>
        <w:ind w:left="592" w:right="996"/>
        <w:jc w:val="left"/>
      </w:pPr>
      <w:r>
        <w:rPr/>
        <w:t>（</w:t>
      </w:r>
      <w:r>
        <w:rPr>
          <w:rFonts w:ascii="Arial" w:hAnsi="Arial" w:cs="Arial" w:eastAsia="Arial" w:hint="default"/>
        </w:rPr>
        <w:t>1</w:t>
      </w:r>
      <w:r>
        <w:rPr/>
        <w:t>）产品优势。 业务理解深入，核心产品应用效果好。产品的业务理解深入、功能实用灵活，软件的设</w:t>
      </w:r>
    </w:p>
    <w:p>
      <w:pPr>
        <w:pStyle w:val="Heading3"/>
        <w:spacing w:line="276" w:lineRule="auto"/>
        <w:ind w:right="996"/>
        <w:jc w:val="left"/>
      </w:pPr>
      <w:r>
        <w:rPr/>
        <w:t>计合理、完成度高、易用性强，为客户业务带来所需的应用效果和投资回报，帮助客户更好</w:t>
      </w:r>
      <w:r>
        <w:rPr>
          <w:spacing w:val="-89"/>
        </w:rPr>
        <w:t> </w:t>
      </w:r>
      <w:r>
        <w:rPr>
          <w:spacing w:val="-89"/>
        </w:rPr>
      </w:r>
      <w:r>
        <w:rPr/>
        <w:t>地服务社会，实现了社会效益和商业价值的相互促进。</w:t>
      </w:r>
    </w:p>
    <w:p>
      <w:pPr>
        <w:pStyle w:val="Heading3"/>
        <w:spacing w:line="273" w:lineRule="auto" w:before="48"/>
        <w:ind w:right="996" w:firstLine="480"/>
        <w:jc w:val="left"/>
      </w:pPr>
      <w:r>
        <w:rPr>
          <w:spacing w:val="-3"/>
        </w:rPr>
        <w:t>新技术赋能行业应用，产品快速迭代创新。一方面，公司准确把握市场需求和客户需要，</w:t>
      </w:r>
      <w:r>
        <w:rPr/>
        <w:t> 积极投入产品研发、应用创新、引领行业。另一方面，公司通过先进的产品研发管理体系和</w:t>
      </w:r>
      <w:r>
        <w:rPr>
          <w:spacing w:val="-89"/>
        </w:rPr>
        <w:t> </w:t>
      </w:r>
      <w:r>
        <w:rPr>
          <w:spacing w:val="-89"/>
        </w:rPr>
      </w:r>
      <w:r>
        <w:rPr/>
        <w:t>软件工程管理能力，充分发挥人力资源优势，合理运用先进技术，精益求精、推陈出新。</w:t>
      </w:r>
    </w:p>
    <w:p>
      <w:pPr>
        <w:pStyle w:val="Heading3"/>
        <w:spacing w:line="288" w:lineRule="auto" w:before="50"/>
        <w:ind w:left="592" w:right="996"/>
        <w:jc w:val="left"/>
      </w:pPr>
      <w:r>
        <w:rPr/>
        <w:t>（</w:t>
      </w:r>
      <w:r>
        <w:rPr>
          <w:rFonts w:ascii="Arial" w:hAnsi="Arial" w:cs="Arial" w:eastAsia="Arial" w:hint="default"/>
        </w:rPr>
        <w:t>2</w:t>
      </w:r>
      <w:r>
        <w:rPr/>
        <w:t>）服务优势。 客户服务体系完善，持续聚焦客户价值。服务完整覆盖了咨询、研发、集成、运营的系</w:t>
      </w:r>
    </w:p>
    <w:p>
      <w:pPr>
        <w:pStyle w:val="Heading3"/>
        <w:spacing w:line="273" w:lineRule="auto"/>
        <w:ind w:right="1132"/>
        <w:jc w:val="both"/>
      </w:pPr>
      <w:r>
        <w:rPr/>
        <w:t>统生命周期，建设了覆盖全国的综合服务体系，实现了本地化的高水平软件服务，擅长于向</w:t>
      </w:r>
      <w:r>
        <w:rPr>
          <w:spacing w:val="-89"/>
        </w:rPr>
        <w:t> </w:t>
      </w:r>
      <w:r>
        <w:rPr>
          <w:spacing w:val="-89"/>
        </w:rPr>
      </w:r>
      <w:r>
        <w:rPr/>
        <w:t>客户交付完整解决方案，积累了丰富的特大型应用总集成案例。服务人才、经验、管理体系</w:t>
      </w:r>
      <w:r>
        <w:rPr>
          <w:spacing w:val="-89"/>
        </w:rPr>
        <w:t> </w:t>
      </w:r>
      <w:r>
        <w:rPr>
          <w:spacing w:val="-89"/>
        </w:rPr>
      </w:r>
      <w:r>
        <w:rPr/>
        <w:t>等优势突出，长期保持良好的口碑和评价。</w:t>
      </w:r>
    </w:p>
    <w:p>
      <w:pPr>
        <w:pStyle w:val="Heading3"/>
        <w:spacing w:line="273" w:lineRule="auto" w:before="50"/>
        <w:ind w:right="1132" w:firstLine="480"/>
        <w:jc w:val="both"/>
      </w:pPr>
      <w:r>
        <w:rPr/>
        <w:t>服务管理体系先进。公司是国家信息技术服务标准化工作的主要推动者之一，一方面提 升了公司的服务品牌和市场地位，另一方面提高了营销与服务的效果、效率，促进了业务发</w:t>
      </w:r>
      <w:r>
        <w:rPr>
          <w:spacing w:val="-89"/>
        </w:rPr>
        <w:t> </w:t>
      </w:r>
      <w:r>
        <w:rPr>
          <w:spacing w:val="-89"/>
        </w:rPr>
      </w:r>
      <w:r>
        <w:rPr/>
        <w:t>展。</w:t>
      </w:r>
    </w:p>
    <w:p>
      <w:pPr>
        <w:pStyle w:val="Heading3"/>
        <w:spacing w:line="288" w:lineRule="auto" w:before="50"/>
        <w:ind w:left="592" w:right="996"/>
        <w:jc w:val="left"/>
      </w:pPr>
      <w:r>
        <w:rPr/>
        <w:t>（</w:t>
      </w:r>
      <w:r>
        <w:rPr>
          <w:rFonts w:ascii="Arial" w:hAnsi="Arial" w:cs="Arial" w:eastAsia="Arial" w:hint="default"/>
        </w:rPr>
        <w:t>3</w:t>
      </w:r>
      <w:r>
        <w:rPr/>
        <w:t>）技术优势。 公司准确把握产业发展方向，广泛开展交流合作，保持了较高的技术研发投入，技术体</w:t>
      </w:r>
    </w:p>
    <w:p>
      <w:pPr>
        <w:pStyle w:val="Heading3"/>
        <w:spacing w:line="273" w:lineRule="auto"/>
        <w:ind w:right="996"/>
        <w:jc w:val="left"/>
      </w:pPr>
      <w:r>
        <w:rPr/>
        <w:t>系合理、先进、完整。通过引进消化国际先进技术，建立健全完整的软件技术体系与系统技</w:t>
      </w:r>
      <w:r>
        <w:rPr>
          <w:spacing w:val="-89"/>
        </w:rPr>
        <w:t> </w:t>
      </w:r>
      <w:r>
        <w:rPr>
          <w:spacing w:val="-89"/>
        </w:rPr>
      </w:r>
      <w:r>
        <w:rPr/>
        <w:t>术体系，持续推进新技术的应用与创新，应用能力与工程能力整体达到了国内一流水平。</w:t>
      </w:r>
    </w:p>
    <w:p>
      <w:pPr>
        <w:pStyle w:val="Heading3"/>
        <w:spacing w:line="273" w:lineRule="auto" w:before="53"/>
        <w:ind w:right="1132" w:firstLine="480"/>
        <w:jc w:val="both"/>
      </w:pPr>
      <w:r>
        <w:rPr/>
        <w:t>公司在科技研究方面，以自主创新促进技术发展和业务发展。公司积极参与行业标准和 产业标准的研制和推广，提升应用能力与工程能力，扩大行业影响力；与多所高校及科研院</w:t>
      </w:r>
    </w:p>
    <w:p>
      <w:pPr>
        <w:spacing w:after="0" w:line="273" w:lineRule="auto"/>
        <w:jc w:val="both"/>
        <w:sectPr>
          <w:pgSz w:w="11910" w:h="16840"/>
          <w:pgMar w:header="746" w:footer="1016" w:top="1060" w:bottom="1200" w:left="1020" w:right="0"/>
        </w:sectPr>
      </w:pPr>
    </w:p>
    <w:p>
      <w:pPr>
        <w:spacing w:line="240" w:lineRule="auto" w:before="3"/>
        <w:rPr>
          <w:rFonts w:ascii="宋体" w:hAnsi="宋体" w:cs="宋体" w:eastAsia="宋体" w:hint="default"/>
          <w:sz w:val="25"/>
          <w:szCs w:val="25"/>
        </w:rPr>
      </w:pPr>
    </w:p>
    <w:p>
      <w:pPr>
        <w:pStyle w:val="Heading3"/>
        <w:spacing w:line="276" w:lineRule="auto" w:before="26"/>
        <w:ind w:left="132" w:right="996"/>
        <w:jc w:val="left"/>
      </w:pPr>
      <w:r>
        <w:rPr>
          <w:spacing w:val="-2"/>
        </w:rPr>
        <w:t>所开展产学研合作，共同承接国家重点研发计划；通过开展人才培养、成果转让、联合开发、</w:t>
      </w:r>
      <w:r>
        <w:rPr/>
        <w:t> 技术服务、共建创新平台等多种形式的科技合作，聚集行业精英，把握产业方向。</w:t>
      </w:r>
    </w:p>
    <w:p>
      <w:pPr>
        <w:pStyle w:val="Heading3"/>
        <w:spacing w:line="268" w:lineRule="auto" w:before="48"/>
        <w:ind w:left="132" w:right="1132" w:firstLine="480"/>
        <w:jc w:val="both"/>
      </w:pPr>
      <w:r>
        <w:rPr/>
        <w:t>目前公司在全国布局落地 </w:t>
      </w:r>
      <w:r>
        <w:rPr>
          <w:rFonts w:ascii="Arial" w:hAnsi="Arial" w:cs="Arial" w:eastAsia="Arial" w:hint="default"/>
        </w:rPr>
        <w:t>4 </w:t>
      </w:r>
      <w:r>
        <w:rPr/>
        <w:t>个研究院、</w:t>
      </w:r>
      <w:r>
        <w:rPr>
          <w:rFonts w:ascii="Arial" w:hAnsi="Arial" w:cs="Arial" w:eastAsia="Arial" w:hint="default"/>
        </w:rPr>
        <w:t>8</w:t>
      </w:r>
      <w:r>
        <w:rPr>
          <w:rFonts w:ascii="Arial" w:hAnsi="Arial" w:cs="Arial" w:eastAsia="Arial" w:hint="default"/>
          <w:spacing w:val="-20"/>
        </w:rPr>
        <w:t> </w:t>
      </w:r>
      <w:r>
        <w:rPr/>
        <w:t>个研发中心，软件研发质量可靠、本地化快速 响应、成本可控，保持了高效和相对充足的软件交付能力。基于网络应用平台、研发测试平</w:t>
      </w:r>
      <w:r>
        <w:rPr>
          <w:spacing w:val="-89"/>
        </w:rPr>
        <w:t> </w:t>
      </w:r>
      <w:r>
        <w:rPr>
          <w:spacing w:val="-89"/>
        </w:rPr>
      </w:r>
      <w:r>
        <w:rPr/>
        <w:t>台、大数据平台、非结构化数据应用等长期积累，公司在人工智能、私有云、业务中台、数</w:t>
      </w:r>
      <w:r>
        <w:rPr>
          <w:spacing w:val="-89"/>
        </w:rPr>
        <w:t> </w:t>
      </w:r>
      <w:r>
        <w:rPr>
          <w:spacing w:val="-89"/>
        </w:rPr>
      </w:r>
      <w:r>
        <w:rPr/>
        <w:t>据和智能中台、信创技术等应用创新领域保持了国内先进水平。</w:t>
      </w:r>
    </w:p>
    <w:p>
      <w:pPr>
        <w:pStyle w:val="Heading3"/>
        <w:spacing w:line="290" w:lineRule="auto" w:before="53"/>
        <w:ind w:left="612" w:right="996"/>
        <w:jc w:val="left"/>
      </w:pPr>
      <w:r>
        <w:rPr/>
        <w:t>（</w:t>
      </w:r>
      <w:r>
        <w:rPr>
          <w:rFonts w:ascii="Arial" w:hAnsi="Arial" w:cs="Arial" w:eastAsia="Arial" w:hint="default"/>
        </w:rPr>
        <w:t>4</w:t>
      </w:r>
      <w:r>
        <w:rPr/>
        <w:t>）人才优势。 公司实施面向发展的积极人才战略，有效组织人才培养与引进，公司形成了多渠道、多</w:t>
      </w:r>
    </w:p>
    <w:p>
      <w:pPr>
        <w:pStyle w:val="Heading3"/>
        <w:spacing w:line="273" w:lineRule="auto"/>
        <w:ind w:left="132" w:right="1132"/>
        <w:jc w:val="both"/>
      </w:pPr>
      <w:r>
        <w:rPr/>
        <w:t>平台、多维度的高端人才核心力量。公司作为所在细分行业的龙头企业，为优秀人才脱颖而</w:t>
      </w:r>
      <w:r>
        <w:rPr>
          <w:spacing w:val="-89"/>
        </w:rPr>
        <w:t> </w:t>
      </w:r>
      <w:r>
        <w:rPr>
          <w:spacing w:val="-89"/>
        </w:rPr>
      </w:r>
      <w:r>
        <w:rPr/>
        <w:t>出提供了多元化激励方式和施展才华的广阔舞台。在此基础上，有利于员工个人发展和软件</w:t>
      </w:r>
      <w:r>
        <w:rPr>
          <w:spacing w:val="-89"/>
        </w:rPr>
        <w:t> </w:t>
      </w:r>
      <w:r>
        <w:rPr>
          <w:spacing w:val="-89"/>
        </w:rPr>
      </w:r>
      <w:r>
        <w:rPr/>
        <w:t>业务成长的企业文化，为源源不断培养业务专家和技术专家提供了良好环境。</w:t>
      </w:r>
    </w:p>
    <w:p>
      <w:pPr>
        <w:pStyle w:val="Heading3"/>
        <w:spacing w:line="288" w:lineRule="auto" w:before="50"/>
        <w:ind w:left="612" w:right="996"/>
        <w:jc w:val="left"/>
      </w:pPr>
      <w:r>
        <w:rPr/>
        <w:t>（</w:t>
      </w:r>
      <w:r>
        <w:rPr>
          <w:rFonts w:ascii="Arial" w:hAnsi="Arial" w:cs="Arial" w:eastAsia="Arial" w:hint="default"/>
        </w:rPr>
        <w:t>5</w:t>
      </w:r>
      <w:r>
        <w:rPr/>
        <w:t>）市场优势。 公司是国内法律科技市场的领导企业，长期保持市场占有率的领先地位；公司在教育信</w:t>
      </w:r>
    </w:p>
    <w:p>
      <w:pPr>
        <w:pStyle w:val="Heading3"/>
        <w:spacing w:line="276" w:lineRule="auto"/>
        <w:ind w:left="132" w:right="1132"/>
        <w:jc w:val="both"/>
      </w:pPr>
      <w:r>
        <w:rPr/>
        <w:t>息化、智慧政务等重要的软件服务市场取得了领先优势。公司在所属行业内，长期积累了较</w:t>
      </w:r>
      <w:r>
        <w:rPr>
          <w:spacing w:val="-89"/>
        </w:rPr>
        <w:t> </w:t>
      </w:r>
      <w:r>
        <w:rPr>
          <w:spacing w:val="-89"/>
        </w:rPr>
      </w:r>
      <w:r>
        <w:rPr/>
        <w:t>高的品牌影响力和客户满意度，企业实力受到行业管理机构和产业研究机构的高度认可。</w:t>
      </w:r>
    </w:p>
    <w:p>
      <w:pPr>
        <w:pStyle w:val="Heading3"/>
        <w:spacing w:line="268" w:lineRule="auto" w:before="46"/>
        <w:ind w:left="132" w:right="996" w:firstLine="480"/>
        <w:jc w:val="left"/>
      </w:pPr>
      <w:r>
        <w:rPr>
          <w:spacing w:val="-3"/>
        </w:rPr>
        <w:t>十多年以来，公司经营业绩保持了持续、稳健的发展，发展速度显著高于行业平均水平，</w:t>
      </w:r>
      <w:r>
        <w:rPr/>
        <w:t> </w:t>
      </w:r>
      <w:r>
        <w:rPr>
          <w:spacing w:val="-4"/>
        </w:rPr>
        <w:t>为客户服务、业务拓展、研发创新提供了有力保障。公司自</w:t>
      </w:r>
      <w:r>
        <w:rPr>
          <w:spacing w:val="-53"/>
        </w:rPr>
        <w:t> </w:t>
      </w:r>
      <w:r>
        <w:rPr>
          <w:rFonts w:ascii="Arial" w:hAnsi="Arial" w:cs="Arial" w:eastAsia="Arial" w:hint="default"/>
          <w:spacing w:val="-4"/>
        </w:rPr>
        <w:t>2011</w:t>
      </w:r>
      <w:r>
        <w:rPr>
          <w:rFonts w:ascii="Arial" w:hAnsi="Arial" w:cs="Arial" w:eastAsia="Arial" w:hint="default"/>
          <w:spacing w:val="-6"/>
        </w:rPr>
        <w:t> </w:t>
      </w:r>
      <w:r>
        <w:rPr>
          <w:spacing w:val="-3"/>
        </w:rPr>
        <w:t>年上市以来，保持了年均近</w:t>
      </w:r>
      <w:r>
        <w:rPr>
          <w:spacing w:val="-108"/>
        </w:rPr>
        <w:t> </w:t>
      </w:r>
      <w:r>
        <w:rPr>
          <w:spacing w:val="-108"/>
        </w:rPr>
      </w:r>
      <w:r>
        <w:rPr>
          <w:rFonts w:ascii="Arial" w:hAnsi="Arial" w:cs="Arial" w:eastAsia="Arial" w:hint="default"/>
        </w:rPr>
        <w:t>30%</w:t>
      </w:r>
      <w:r>
        <w:rPr/>
        <w:t>的净利润复合增长率，在数千家</w:t>
      </w:r>
      <w:r>
        <w:rPr>
          <w:spacing w:val="-62"/>
        </w:rPr>
        <w:t> </w:t>
      </w:r>
      <w:r>
        <w:rPr>
          <w:rFonts w:ascii="Arial" w:hAnsi="Arial" w:cs="Arial" w:eastAsia="Arial" w:hint="default"/>
        </w:rPr>
        <w:t>A</w:t>
      </w:r>
      <w:r>
        <w:rPr>
          <w:rFonts w:ascii="Arial" w:hAnsi="Arial" w:cs="Arial" w:eastAsia="Arial" w:hint="default"/>
          <w:spacing w:val="-8"/>
        </w:rPr>
        <w:t> </w:t>
      </w:r>
      <w:r>
        <w:rPr/>
        <w:t>股上市公司中表现非常突出。</w:t>
      </w:r>
    </w:p>
    <w:p>
      <w:pPr>
        <w:pStyle w:val="Heading3"/>
        <w:spacing w:line="273" w:lineRule="auto" w:before="35"/>
        <w:ind w:left="132" w:right="1132" w:firstLine="480"/>
        <w:jc w:val="both"/>
      </w:pPr>
      <w:r>
        <w:rPr/>
        <w:t>综上所述，作为软件服务企业，公司的差异化战略得到了坚决执行、取得了应用成果。 在需求侧，客户业务的“新基建”是国家发展的重点，业务价值高，投入有保障，长期发展</w:t>
      </w:r>
      <w:r>
        <w:rPr>
          <w:spacing w:val="-89"/>
        </w:rPr>
        <w:t> </w:t>
      </w:r>
      <w:r>
        <w:rPr>
          <w:spacing w:val="-89"/>
        </w:rPr>
      </w:r>
      <w:r>
        <w:rPr/>
        <w:t>空间大。在供给侧，公司的软件服务竞争优势明显、盈利能力强。在竞争激烈的软件服务行</w:t>
      </w:r>
      <w:r>
        <w:rPr>
          <w:spacing w:val="-89"/>
        </w:rPr>
        <w:t> </w:t>
      </w:r>
      <w:r>
        <w:rPr>
          <w:spacing w:val="-89"/>
        </w:rPr>
      </w:r>
      <w:r>
        <w:rPr/>
        <w:t>业，公司取得这样的优势地位，深层次的驱动力离不开创新，而公司的综合优势也聚焦于创</w:t>
      </w:r>
      <w:r>
        <w:rPr>
          <w:spacing w:val="-89"/>
        </w:rPr>
        <w:t> </w:t>
      </w:r>
      <w:r>
        <w:rPr>
          <w:spacing w:val="-89"/>
        </w:rPr>
      </w:r>
      <w:r>
        <w:rPr/>
        <w:t>新。“围绕客户业务战略的发展需要，发挥产品、服务、技术、人才、市场等优势，推动客</w:t>
      </w:r>
      <w:r>
        <w:rPr>
          <w:spacing w:val="-89"/>
        </w:rPr>
        <w:t> </w:t>
      </w:r>
      <w:r>
        <w:rPr>
          <w:spacing w:val="-89"/>
        </w:rPr>
      </w:r>
      <w:r>
        <w:rPr/>
        <w:t>户业务应用创新，帮助客户更好服务社会，并从中获得合理的商业回报”，这就是公司的核</w:t>
      </w:r>
      <w:r>
        <w:rPr>
          <w:spacing w:val="-89"/>
        </w:rPr>
        <w:t> </w:t>
      </w:r>
      <w:r>
        <w:rPr>
          <w:spacing w:val="-89"/>
        </w:rPr>
      </w:r>
      <w:r>
        <w:rPr/>
        <w:t>心竞争力。</w:t>
      </w:r>
    </w:p>
    <w:p>
      <w:pPr>
        <w:pStyle w:val="Heading3"/>
        <w:spacing w:line="240" w:lineRule="auto" w:before="50"/>
        <w:ind w:left="612" w:right="996"/>
        <w:jc w:val="left"/>
        <w:rPr>
          <w:rFonts w:ascii="Arial" w:hAnsi="Arial" w:cs="Arial" w:eastAsia="Arial" w:hint="default"/>
        </w:rPr>
      </w:pPr>
      <w:r>
        <w:rPr/>
        <w:t>报告期内，新增软件著作权如下</w:t>
      </w:r>
      <w:r>
        <w:rPr>
          <w:rFonts w:ascii="Arial" w:hAnsi="Arial" w:cs="Arial" w:eastAsia="Arial" w:hint="default"/>
        </w:rPr>
        <w:t>:</w:t>
      </w:r>
    </w:p>
    <w:p>
      <w:pPr>
        <w:spacing w:line="240" w:lineRule="auto" w:before="2"/>
        <w:rPr>
          <w:rFonts w:ascii="Arial" w:hAnsi="Arial" w:cs="Arial" w:eastAsia="Arial"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b/>
                <w:bCs/>
                <w:sz w:val="21"/>
                <w:szCs w:val="21"/>
              </w:rPr>
              <w:t>版本</w:t>
            </w:r>
            <w:r>
              <w:rPr>
                <w:rFonts w:ascii="宋体" w:hAnsi="宋体" w:cs="宋体" w:eastAsia="宋体" w:hint="default"/>
                <w:sz w:val="21"/>
                <w:szCs w:val="21"/>
              </w:rPr>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惠民公共服务系统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3431318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可视化执法管理系统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3431313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日常监管与服务系统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3431384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食药安全分级管控系统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3431373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综合管理系统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3431378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2019/1/3</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医药信息共享管理系统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3460669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7" w:right="0"/>
              <w:jc w:val="center"/>
              <w:rPr>
                <w:rFonts w:ascii="Arial" w:hAnsi="Arial" w:cs="Arial" w:eastAsia="Arial" w:hint="default"/>
                <w:sz w:val="21"/>
                <w:szCs w:val="21"/>
              </w:rPr>
            </w:pPr>
            <w:r>
              <w:rPr>
                <w:rFonts w:ascii="Arial"/>
                <w:sz w:val="21"/>
              </w:rPr>
              <w:t>2019/1/11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华宇出庭示证软件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3458273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7" w:right="0"/>
              <w:jc w:val="center"/>
              <w:rPr>
                <w:rFonts w:ascii="Arial" w:hAnsi="Arial" w:cs="Arial" w:eastAsia="Arial" w:hint="default"/>
                <w:sz w:val="21"/>
                <w:szCs w:val="21"/>
              </w:rPr>
            </w:pPr>
            <w:r>
              <w:rPr>
                <w:rFonts w:ascii="Arial"/>
                <w:sz w:val="21"/>
              </w:rPr>
              <w:t>2019/1/11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食品安全追溯云平台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3481602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2019/1/17</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智能保全系统</w:t>
            </w:r>
            <w:r>
              <w:rPr>
                <w:rFonts w:ascii="Arial" w:hAnsi="Arial" w:cs="Arial" w:eastAsia="Arial" w:hint="default"/>
                <w:sz w:val="21"/>
                <w:szCs w:val="21"/>
              </w:rPr>
              <w:t>[</w:t>
            </w:r>
            <w:r>
              <w:rPr>
                <w:rFonts w:ascii="宋体" w:hAnsi="宋体" w:cs="宋体" w:eastAsia="宋体" w:hint="default"/>
                <w:sz w:val="21"/>
                <w:szCs w:val="21"/>
              </w:rPr>
              <w:t>简称：智能保全</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3478328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2019/1/17</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华宇服务总线软件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3478663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2019/1/17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华宇分析服务系统软件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3477967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2019/1/17</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华宇工作流引擎软件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3477991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2019/1/17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华宇消息总线软件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V1.3</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3477980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2019/1/17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食品药品安全保障云平台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3496069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应用商店管理系统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V1.2</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3515762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2019/1/25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智慧调解微信小程序软件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3511245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2019/1/25</w:t>
            </w:r>
          </w:p>
        </w:tc>
      </w:tr>
      <w:tr>
        <w:trPr>
          <w:trHeight w:val="75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8"/>
              <w:ind w:left="3" w:right="4"/>
              <w:jc w:val="left"/>
              <w:rPr>
                <w:rFonts w:ascii="Arial" w:hAnsi="Arial" w:cs="Arial" w:eastAsia="Arial" w:hint="default"/>
                <w:sz w:val="21"/>
                <w:szCs w:val="21"/>
              </w:rPr>
            </w:pPr>
            <w:r>
              <w:rPr>
                <w:rFonts w:ascii="宋体" w:hAnsi="宋体" w:cs="宋体" w:eastAsia="宋体" w:hint="default"/>
                <w:spacing w:val="-1"/>
                <w:w w:val="95"/>
                <w:sz w:val="21"/>
                <w:szCs w:val="21"/>
              </w:rPr>
              <w:t>智慧零售一站式大数据平台</w:t>
            </w:r>
            <w:r>
              <w:rPr>
                <w:rFonts w:ascii="Arial" w:hAnsi="Arial" w:cs="Arial" w:eastAsia="Arial" w:hint="default"/>
                <w:spacing w:val="-1"/>
                <w:w w:val="95"/>
                <w:sz w:val="21"/>
                <w:szCs w:val="21"/>
              </w:rPr>
              <w:t>[</w:t>
            </w:r>
            <w:r>
              <w:rPr>
                <w:rFonts w:ascii="宋体" w:hAnsi="宋体" w:cs="宋体" w:eastAsia="宋体" w:hint="default"/>
                <w:spacing w:val="-1"/>
                <w:w w:val="95"/>
                <w:sz w:val="21"/>
                <w:szCs w:val="21"/>
              </w:rPr>
              <w:t>简称：智慧零售</w:t>
            </w:r>
            <w:r>
              <w:rPr>
                <w:rFonts w:ascii="宋体" w:hAnsi="宋体" w:cs="宋体" w:eastAsia="宋体" w:hint="default"/>
                <w:spacing w:val="84"/>
                <w:w w:val="95"/>
                <w:sz w:val="21"/>
                <w:szCs w:val="21"/>
              </w:rPr>
              <w:t> </w:t>
            </w:r>
            <w:r>
              <w:rPr>
                <w:rFonts w:ascii="宋体" w:hAnsi="宋体" w:cs="宋体" w:eastAsia="宋体" w:hint="default"/>
                <w:spacing w:val="84"/>
                <w:w w:val="95"/>
                <w:sz w:val="21"/>
                <w:szCs w:val="21"/>
              </w:rPr>
            </w:r>
            <w:r>
              <w:rPr>
                <w:rFonts w:ascii="宋体" w:hAnsi="宋体" w:cs="宋体" w:eastAsia="宋体" w:hint="default"/>
                <w:sz w:val="21"/>
                <w:szCs w:val="21"/>
              </w:rPr>
              <w:t>大数据平台</w:t>
            </w:r>
            <w:r>
              <w:rPr>
                <w:rFonts w:ascii="Arial" w:hAnsi="Arial" w:cs="Arial" w:eastAsia="Arial" w:hint="default"/>
                <w:sz w:val="21"/>
                <w:szCs w:val="21"/>
              </w:rPr>
              <w:t>]</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3567068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万户财务共享平台软件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3572991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万户安全可靠协同办公平台软件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3572136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万户政务协同办公平台软件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pacing w:val="-3"/>
                <w:sz w:val="21"/>
              </w:rPr>
              <w:t>V11.5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3572130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2019/2/18</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万户政务微信平台软件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3572123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2019/2/18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万户教学管理软件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3572113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2019/2/18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万户医德医风管理软件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3572107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2019/2/18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明</w:t>
            </w:r>
            <w:r>
              <w:rPr>
                <w:rFonts w:ascii="Times New Roman" w:hAnsi="Times New Roman" w:cs="Times New Roman" w:eastAsia="Times New Roman" w:hint="default"/>
                <w:sz w:val="21"/>
                <w:szCs w:val="21"/>
              </w:rPr>
              <w:t>·</w:t>
            </w:r>
            <w:r>
              <w:rPr>
                <w:rFonts w:ascii="宋体" w:hAnsi="宋体" w:cs="宋体" w:eastAsia="宋体" w:hint="default"/>
                <w:sz w:val="21"/>
                <w:szCs w:val="21"/>
              </w:rPr>
              <w:t>药械化大数据分析平台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3574345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2019/2/19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联奕主数据管理软件</w:t>
            </w:r>
            <w:r>
              <w:rPr>
                <w:rFonts w:ascii="Arial" w:hAnsi="Arial" w:cs="Arial" w:eastAsia="Arial" w:hint="default"/>
                <w:sz w:val="21"/>
                <w:szCs w:val="21"/>
              </w:rPr>
              <w:t>V6.0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V6.0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3584518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2019/2/21</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联奕信息标准管理软件</w:t>
            </w:r>
            <w:r>
              <w:rPr>
                <w:rFonts w:ascii="Arial" w:hAnsi="Arial" w:cs="Arial" w:eastAsia="Arial" w:hint="default"/>
                <w:sz w:val="21"/>
                <w:szCs w:val="21"/>
              </w:rPr>
              <w:t>V6.0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V6.0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3594862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万户任务中心管理平台软件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3600406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万户知识文库管理平台软件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3600414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万户现代医院风险防控管理软件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3600422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2019/2/25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万户排班管理软件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3601462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2019/2/25</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万户集中中心管理平台软件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3601466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药品流通监督管理系统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3607338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华宇自动查控软件（简称：自动查控）</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3608287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2019/2/26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即时消息协作系统</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cocall]</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V5.0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3617000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2019/2/28</w:t>
            </w:r>
          </w:p>
        </w:tc>
      </w:tr>
      <w:tr>
        <w:trPr>
          <w:trHeight w:val="75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联奕微服务敏捷开发管理软件</w:t>
            </w:r>
            <w:r>
              <w:rPr>
                <w:rFonts w:ascii="Arial" w:hAnsi="Arial" w:cs="Arial" w:eastAsia="Arial" w:hint="default"/>
                <w:sz w:val="21"/>
                <w:szCs w:val="21"/>
              </w:rPr>
              <w:t>[</w:t>
            </w:r>
            <w:r>
              <w:rPr>
                <w:rFonts w:ascii="宋体" w:hAnsi="宋体" w:cs="宋体" w:eastAsia="宋体" w:hint="default"/>
                <w:sz w:val="21"/>
                <w:szCs w:val="21"/>
              </w:rPr>
              <w:t>简称：</w:t>
            </w:r>
          </w:p>
          <w:p>
            <w:pPr>
              <w:pStyle w:val="TableParagraph"/>
              <w:spacing w:line="240" w:lineRule="auto" w:before="118"/>
              <w:ind w:left="3" w:right="0"/>
              <w:jc w:val="left"/>
              <w:rPr>
                <w:rFonts w:ascii="Arial" w:hAnsi="Arial" w:cs="Arial" w:eastAsia="Arial" w:hint="default"/>
                <w:sz w:val="21"/>
                <w:szCs w:val="21"/>
              </w:rPr>
            </w:pPr>
            <w:r>
              <w:rPr>
                <w:rFonts w:ascii="Arial"/>
                <w:sz w:val="21"/>
              </w:rPr>
              <w:t>LYMADP]V1.0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3631383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2019/3/5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食品安全追溯云平台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3662412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2019/3/12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万户开发平台软件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3670862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2019/3/14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文书制作服务支撑系统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3682226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2019/3/19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督察督办系统软件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3687230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2019/3/20</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元典睿核平台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3703362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2019/3/26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安全可靠国产化协同办公系统软件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3703337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2019/3/26</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机关党建系统软件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3703560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2019/3/26</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华宇法官培训平台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3708459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2019/3/28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庭审质证辅助系统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V3.2</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4479306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2019/3/29</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刑事案情智能分析系统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V2.6</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3749002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2019/4/12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行政案情智能分析系统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3749011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2019/4/12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民事案情智能分析系统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V2.7</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3774433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2019/4/19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智慧调解钉钉</w:t>
            </w:r>
            <w:r>
              <w:rPr>
                <w:rFonts w:ascii="Arial" w:hAnsi="Arial" w:cs="Arial" w:eastAsia="Arial" w:hint="default"/>
                <w:sz w:val="21"/>
                <w:szCs w:val="21"/>
              </w:rPr>
              <w:t>E</w:t>
            </w:r>
            <w:r>
              <w:rPr>
                <w:rFonts w:ascii="宋体" w:hAnsi="宋体" w:cs="宋体" w:eastAsia="宋体" w:hint="default"/>
                <w:sz w:val="21"/>
                <w:szCs w:val="21"/>
              </w:rPr>
              <w:t>应用软件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3775550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2019/4/19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智能办案辅助系统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软著变补字第</w:t>
            </w:r>
            <w:r>
              <w:rPr>
                <w:rFonts w:ascii="Arial" w:hAnsi="Arial" w:cs="Arial" w:eastAsia="Arial" w:hint="default"/>
                <w:sz w:val="21"/>
                <w:szCs w:val="21"/>
              </w:rPr>
              <w:t>201907202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2019/4/22</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元典智库（新一代）平台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3802085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2019/4/24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万户医院运营管理平台软件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3890813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2019/5/16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应急指挥平台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3915549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2019/5/21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Arial" w:hAnsi="Arial" w:cs="Arial" w:eastAsia="Arial" w:hint="default"/>
                <w:sz w:val="21"/>
                <w:szCs w:val="21"/>
              </w:rPr>
              <w:t>TAS</w:t>
            </w:r>
            <w:r>
              <w:rPr>
                <w:rFonts w:ascii="宋体" w:hAnsi="宋体" w:cs="宋体" w:eastAsia="宋体" w:hint="default"/>
                <w:sz w:val="21"/>
                <w:szCs w:val="21"/>
              </w:rPr>
              <w:t>应用中间件软件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V2.8</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3930357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万户</w:t>
            </w:r>
            <w:r>
              <w:rPr>
                <w:rFonts w:ascii="Arial" w:hAnsi="Arial" w:cs="Arial" w:eastAsia="Arial" w:hint="default"/>
                <w:sz w:val="21"/>
                <w:szCs w:val="21"/>
              </w:rPr>
              <w:t>EVO</w:t>
            </w:r>
            <w:r>
              <w:rPr>
                <w:rFonts w:ascii="宋体" w:hAnsi="宋体" w:cs="宋体" w:eastAsia="宋体" w:hint="default"/>
                <w:sz w:val="21"/>
                <w:szCs w:val="21"/>
              </w:rPr>
              <w:t>移动办公软件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V12.4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3935082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万户</w:t>
            </w:r>
            <w:r>
              <w:rPr>
                <w:rFonts w:ascii="Arial" w:hAnsi="Arial" w:cs="Arial" w:eastAsia="Arial" w:hint="default"/>
                <w:sz w:val="21"/>
                <w:szCs w:val="21"/>
              </w:rPr>
              <w:t>ezOFFICE</w:t>
            </w:r>
            <w:r>
              <w:rPr>
                <w:rFonts w:ascii="宋体" w:hAnsi="宋体" w:cs="宋体" w:eastAsia="宋体" w:hint="default"/>
                <w:sz w:val="21"/>
                <w:szCs w:val="21"/>
              </w:rPr>
              <w:t>协同管理平台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V12.4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3935453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量刑工具软件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3941570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9"/>
              <w:ind w:left="3" w:right="35"/>
              <w:jc w:val="left"/>
              <w:rPr>
                <w:rFonts w:ascii="宋体" w:hAnsi="宋体" w:cs="宋体" w:eastAsia="宋体" w:hint="default"/>
                <w:sz w:val="21"/>
                <w:szCs w:val="21"/>
              </w:rPr>
            </w:pPr>
            <w:r>
              <w:rPr>
                <w:rFonts w:ascii="宋体" w:hAnsi="宋体" w:cs="宋体" w:eastAsia="宋体" w:hint="default"/>
                <w:sz w:val="21"/>
                <w:szCs w:val="21"/>
              </w:rPr>
              <w:t>船舶动态监控与船舶预报警辅助决策应用软</w:t>
            </w:r>
            <w:r>
              <w:rPr>
                <w:rFonts w:ascii="宋体" w:hAnsi="宋体" w:cs="宋体" w:eastAsia="宋体" w:hint="default"/>
                <w:w w:val="99"/>
                <w:sz w:val="21"/>
                <w:szCs w:val="21"/>
              </w:rPr>
              <w:t> </w:t>
            </w:r>
            <w:r>
              <w:rPr>
                <w:rFonts w:ascii="宋体" w:hAnsi="宋体" w:cs="宋体" w:eastAsia="宋体" w:hint="default"/>
                <w:sz w:val="21"/>
                <w:szCs w:val="21"/>
              </w:rPr>
              <w:t>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3938084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基于船舶位置的海上综合信息服务平台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3939841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船舶流量统计分析软件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3935014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信息播发系统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3939854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海事卫星任务调度管理系统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3939715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3" w:right="35"/>
              <w:jc w:val="left"/>
              <w:rPr>
                <w:rFonts w:ascii="宋体" w:hAnsi="宋体" w:cs="宋体" w:eastAsia="宋体" w:hint="default"/>
                <w:sz w:val="21"/>
                <w:szCs w:val="21"/>
              </w:rPr>
            </w:pPr>
            <w:r>
              <w:rPr>
                <w:rFonts w:ascii="宋体" w:hAnsi="宋体" w:cs="宋体" w:eastAsia="宋体" w:hint="default"/>
                <w:sz w:val="21"/>
                <w:szCs w:val="21"/>
              </w:rPr>
              <w:t>基于电子海图的客运船舶动态电子巡查监管</w:t>
            </w:r>
            <w:r>
              <w:rPr>
                <w:rFonts w:ascii="宋体" w:hAnsi="宋体" w:cs="宋体" w:eastAsia="宋体" w:hint="default"/>
                <w:w w:val="99"/>
                <w:sz w:val="21"/>
                <w:szCs w:val="21"/>
              </w:rPr>
              <w:t> </w:t>
            </w:r>
            <w:r>
              <w:rPr>
                <w:rFonts w:ascii="宋体" w:hAnsi="宋体" w:cs="宋体" w:eastAsia="宋体" w:hint="default"/>
                <w:sz w:val="21"/>
                <w:szCs w:val="21"/>
              </w:rPr>
              <w:t>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3935064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基于地理信息系统的应急现场综合处置系统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3939448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8"/>
              <w:ind w:left="3" w:right="35"/>
              <w:jc w:val="left"/>
              <w:rPr>
                <w:rFonts w:ascii="宋体" w:hAnsi="宋体" w:cs="宋体" w:eastAsia="宋体" w:hint="default"/>
                <w:sz w:val="21"/>
                <w:szCs w:val="21"/>
              </w:rPr>
            </w:pPr>
            <w:r>
              <w:rPr>
                <w:rFonts w:ascii="宋体" w:hAnsi="宋体" w:cs="宋体" w:eastAsia="宋体" w:hint="default"/>
                <w:sz w:val="21"/>
                <w:szCs w:val="21"/>
              </w:rPr>
              <w:t>交通运输服务监督电话信息发布内容管理系</w:t>
            </w:r>
            <w:r>
              <w:rPr>
                <w:rFonts w:ascii="宋体" w:hAnsi="宋体" w:cs="宋体" w:eastAsia="宋体" w:hint="default"/>
                <w:w w:val="99"/>
                <w:sz w:val="21"/>
                <w:szCs w:val="21"/>
              </w:rPr>
              <w:t> </w:t>
            </w:r>
            <w:r>
              <w:rPr>
                <w:rFonts w:ascii="宋体" w:hAnsi="宋体" w:cs="宋体" w:eastAsia="宋体" w:hint="default"/>
                <w:sz w:val="21"/>
                <w:szCs w:val="21"/>
              </w:rPr>
              <w:t>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3941012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2019/5/24</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9"/>
              <w:ind w:left="3" w:right="35"/>
              <w:jc w:val="left"/>
              <w:rPr>
                <w:rFonts w:ascii="宋体" w:hAnsi="宋体" w:cs="宋体" w:eastAsia="宋体" w:hint="default"/>
                <w:sz w:val="21"/>
                <w:szCs w:val="21"/>
              </w:rPr>
            </w:pPr>
            <w:r>
              <w:rPr>
                <w:rFonts w:ascii="宋体" w:hAnsi="宋体" w:cs="宋体" w:eastAsia="宋体" w:hint="default"/>
                <w:sz w:val="21"/>
                <w:szCs w:val="21"/>
              </w:rPr>
              <w:t>交通运输服务监督电话数据交换与信息共享</w:t>
            </w:r>
            <w:r>
              <w:rPr>
                <w:rFonts w:ascii="宋体" w:hAnsi="宋体" w:cs="宋体" w:eastAsia="宋体" w:hint="default"/>
                <w:w w:val="99"/>
                <w:sz w:val="21"/>
                <w:szCs w:val="21"/>
              </w:rPr>
              <w:t> </w:t>
            </w:r>
            <w:r>
              <w:rPr>
                <w:rFonts w:ascii="宋体" w:hAnsi="宋体" w:cs="宋体" w:eastAsia="宋体" w:hint="default"/>
                <w:sz w:val="21"/>
                <w:szCs w:val="21"/>
              </w:rPr>
              <w:t>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3941017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交通运输服务监督电话信息发布系统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3935475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交通运输服务监督电话决策分析系统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3939471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交通运输服务监督电话微信服务系统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3939737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设备维护质量管理平台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3939454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专用设备维护管理平台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3935022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通信设备维护管理平台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3939478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通信应急设障管理平台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3940160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2019/5/24</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海事</w:t>
            </w:r>
            <w:r>
              <w:rPr>
                <w:rFonts w:ascii="Arial" w:hAnsi="Arial" w:cs="Arial" w:eastAsia="Arial" w:hint="default"/>
                <w:sz w:val="21"/>
                <w:szCs w:val="21"/>
              </w:rPr>
              <w:t>AIS</w:t>
            </w:r>
            <w:r>
              <w:rPr>
                <w:rFonts w:ascii="宋体" w:hAnsi="宋体" w:cs="宋体" w:eastAsia="宋体" w:hint="default"/>
                <w:sz w:val="21"/>
                <w:szCs w:val="21"/>
              </w:rPr>
              <w:t>运维大数据保障平台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3939861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2019/5/24</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智能规范化量刑辅助系统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3947800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2019/5/27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阅卷工具软件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3942323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2019/5/27</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文书编写工具软件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3945672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2019/5/27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讯（询）问笔录工具软件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3982609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2019/6/3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羁押必要性审查案件线索管理系统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3998056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2019/6/5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语音合成云平台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4023091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2019/6/12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诊断评估管理系统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4043500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2019/6/17</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微调解微信小程序软件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4046692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2019/6/18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文书智能督察系统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软著变补字第</w:t>
            </w:r>
            <w:r>
              <w:rPr>
                <w:rFonts w:ascii="Arial" w:hAnsi="Arial" w:cs="Arial" w:eastAsia="Arial" w:hint="default"/>
                <w:sz w:val="21"/>
                <w:szCs w:val="21"/>
              </w:rPr>
              <w:t>201913839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2019/6/20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刑法注释工具系统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4479196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2019/6/26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Arial" w:hAnsi="Arial" w:cs="Arial" w:eastAsia="Arial" w:hint="default"/>
                <w:sz w:val="21"/>
                <w:szCs w:val="21"/>
              </w:rPr>
              <w:t>Eask</w:t>
            </w:r>
            <w:r>
              <w:rPr>
                <w:rFonts w:ascii="宋体" w:hAnsi="宋体" w:cs="宋体" w:eastAsia="宋体" w:hint="default"/>
                <w:sz w:val="21"/>
                <w:szCs w:val="21"/>
              </w:rPr>
              <w:t>智能数据问答平台</w:t>
            </w:r>
            <w:r>
              <w:rPr>
                <w:rFonts w:ascii="Arial" w:hAnsi="Arial" w:cs="Arial" w:eastAsia="Arial" w:hint="default"/>
                <w:sz w:val="21"/>
                <w:szCs w:val="21"/>
              </w:rPr>
              <w:t>[</w:t>
            </w:r>
            <w:r>
              <w:rPr>
                <w:rFonts w:ascii="宋体" w:hAnsi="宋体" w:cs="宋体" w:eastAsia="宋体" w:hint="default"/>
                <w:sz w:val="21"/>
                <w:szCs w:val="21"/>
              </w:rPr>
              <w:t>简称：智问</w:t>
            </w:r>
            <w:r>
              <w:rPr>
                <w:rFonts w:ascii="Arial" w:hAnsi="Arial" w:cs="Arial" w:eastAsia="Arial" w:hint="default"/>
                <w:sz w:val="21"/>
                <w:szCs w:val="21"/>
              </w:rPr>
              <w:t>]</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4078694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2019/6/26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睿通数据交换平台</w:t>
            </w:r>
            <w:r>
              <w:rPr>
                <w:rFonts w:ascii="Arial" w:hAnsi="Arial" w:cs="Arial" w:eastAsia="Arial" w:hint="default"/>
                <w:sz w:val="21"/>
                <w:szCs w:val="21"/>
              </w:rPr>
              <w:t>[</w:t>
            </w:r>
            <w:r>
              <w:rPr>
                <w:rFonts w:ascii="宋体" w:hAnsi="宋体" w:cs="宋体" w:eastAsia="宋体" w:hint="default"/>
                <w:sz w:val="21"/>
                <w:szCs w:val="21"/>
              </w:rPr>
              <w:t>简称：数据交换</w:t>
            </w:r>
            <w:r>
              <w:rPr>
                <w:rFonts w:ascii="Arial" w:hAnsi="Arial" w:cs="Arial" w:eastAsia="Arial" w:hint="default"/>
                <w:sz w:val="21"/>
                <w:szCs w:val="21"/>
              </w:rPr>
              <w:t>]</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4078708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2019/6/26</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华宇法院诉讼主动引导软件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4078329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2019/6/26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宋体" w:hAnsi="宋体" w:cs="宋体" w:eastAsia="宋体" w:hint="default"/>
                <w:sz w:val="21"/>
                <w:szCs w:val="21"/>
              </w:rPr>
              <w:t>华宇智能诉状软件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4081944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2019/6/27</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9"/>
              <w:ind w:left="3" w:right="35"/>
              <w:jc w:val="left"/>
              <w:rPr>
                <w:rFonts w:ascii="Arial" w:hAnsi="Arial" w:cs="Arial" w:eastAsia="Arial" w:hint="default"/>
                <w:sz w:val="21"/>
                <w:szCs w:val="21"/>
              </w:rPr>
            </w:pPr>
            <w:r>
              <w:rPr>
                <w:rFonts w:ascii="宋体" w:hAnsi="宋体" w:cs="宋体" w:eastAsia="宋体" w:hint="default"/>
                <w:sz w:val="21"/>
                <w:szCs w:val="21"/>
              </w:rPr>
              <w:t>华宇智能诉讼风险评估软件【简称：智能诉</w:t>
            </w:r>
            <w:r>
              <w:rPr>
                <w:rFonts w:ascii="宋体" w:hAnsi="宋体" w:cs="宋体" w:eastAsia="宋体" w:hint="default"/>
                <w:w w:val="99"/>
                <w:sz w:val="21"/>
                <w:szCs w:val="21"/>
              </w:rPr>
              <w:t> </w:t>
            </w:r>
            <w:r>
              <w:rPr>
                <w:rFonts w:ascii="宋体" w:hAnsi="宋体" w:cs="宋体" w:eastAsia="宋体" w:hint="default"/>
                <w:sz w:val="21"/>
                <w:szCs w:val="21"/>
              </w:rPr>
              <w:t>讼风险评估】</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4082424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2019/6/27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数据资产管理系统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4094029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2019/7/1</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大数据存储计算平台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4096350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拉链计算系统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4094113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实时计算系统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4094272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数据标准管理系统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4094021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数据质量管理系统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4096360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2019/7/1</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数据集成系统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4094219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2019/7/1</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19"/>
              <w:ind w:left="3" w:right="616"/>
              <w:jc w:val="left"/>
              <w:rPr>
                <w:rFonts w:ascii="Arial" w:hAnsi="Arial" w:cs="Arial" w:eastAsia="Arial" w:hint="default"/>
                <w:sz w:val="21"/>
                <w:szCs w:val="21"/>
              </w:rPr>
            </w:pPr>
            <w:r>
              <w:rPr>
                <w:rFonts w:ascii="Arial" w:hAnsi="Arial" w:cs="Arial" w:eastAsia="Arial" w:hint="default"/>
                <w:sz w:val="21"/>
                <w:szCs w:val="21"/>
              </w:rPr>
              <w:t>BI@Report</w:t>
            </w:r>
            <w:r>
              <w:rPr>
                <w:rFonts w:ascii="宋体" w:hAnsi="宋体" w:cs="宋体" w:eastAsia="宋体" w:hint="default"/>
                <w:sz w:val="21"/>
                <w:szCs w:val="21"/>
              </w:rPr>
              <w:t>数据分析展示平台</w:t>
            </w:r>
            <w:r>
              <w:rPr>
                <w:rFonts w:ascii="Arial" w:hAnsi="Arial" w:cs="Arial" w:eastAsia="Arial" w:hint="default"/>
                <w:sz w:val="21"/>
                <w:szCs w:val="21"/>
              </w:rPr>
              <w:t>[</w:t>
            </w:r>
            <w:r>
              <w:rPr>
                <w:rFonts w:ascii="宋体" w:hAnsi="宋体" w:cs="宋体" w:eastAsia="宋体" w:hint="default"/>
                <w:sz w:val="21"/>
                <w:szCs w:val="21"/>
              </w:rPr>
              <w:t>简称：</w:t>
            </w:r>
            <w:r>
              <w:rPr>
                <w:rFonts w:ascii="宋体" w:hAnsi="宋体" w:cs="宋体" w:eastAsia="宋体" w:hint="default"/>
                <w:w w:val="99"/>
                <w:sz w:val="21"/>
                <w:szCs w:val="21"/>
              </w:rPr>
              <w:t> </w:t>
            </w:r>
            <w:r>
              <w:rPr>
                <w:rFonts w:ascii="Arial" w:hAnsi="Arial" w:cs="Arial" w:eastAsia="Arial" w:hint="default"/>
                <w:sz w:val="21"/>
                <w:szCs w:val="21"/>
              </w:rPr>
              <w:t>BI@Report]</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V5.1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4101695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主数据融合系统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4097379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联奕大数据开放管理平台</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4105871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2019/7/3</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联奕数据治理平台软件</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4106094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联奕数据填报管理软件</w:t>
            </w:r>
            <w:r>
              <w:rPr>
                <w:rFonts w:ascii="Arial" w:hAnsi="Arial" w:cs="Arial" w:eastAsia="Arial" w:hint="default"/>
                <w:sz w:val="21"/>
                <w:szCs w:val="21"/>
              </w:rPr>
              <w:t>V3.0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4105861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2019/7/3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华宇金信区块链平台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4108919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法院案件线索分析系统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软著变补字第</w:t>
            </w:r>
            <w:r>
              <w:rPr>
                <w:rFonts w:ascii="Arial" w:hAnsi="Arial" w:cs="Arial" w:eastAsia="Arial" w:hint="default"/>
                <w:sz w:val="21"/>
                <w:szCs w:val="21"/>
              </w:rPr>
              <w:t>201915360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2019/7/5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诉讼保险一体化办理平台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4179258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2019/7/22</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智能检索系统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4183552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2019/7/23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定性量纪</w:t>
            </w:r>
            <w:r>
              <w:rPr>
                <w:rFonts w:ascii="Arial" w:hAnsi="Arial" w:cs="Arial" w:eastAsia="Arial" w:hint="default"/>
                <w:sz w:val="21"/>
                <w:szCs w:val="21"/>
              </w:rPr>
              <w:t>&amp;</w:t>
            </w:r>
            <w:r>
              <w:rPr>
                <w:rFonts w:ascii="宋体" w:hAnsi="宋体" w:cs="宋体" w:eastAsia="宋体" w:hint="default"/>
                <w:sz w:val="21"/>
                <w:szCs w:val="21"/>
              </w:rPr>
              <w:t>定罪参考系统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4183549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2019/7/23</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协同办公系统（安全可靠平台版）</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4182276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2019/7/23</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党风廉政建设责任制监督考核系统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4197309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2019/7/26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智能法官会议系统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V2.2</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4196344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2019/7/26</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检举举报智能自助终端系统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4203963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2019/7/29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破产债权全直播平台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4214757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2019/7/31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诉调通业务协同平台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4227797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2019/8/2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三重一大系统软件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4237630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2019/8/6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中国华电科工集团有限公司协同办公系统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4237511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2019/8/6</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联奕数据交换软件</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:DTS]V2.0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4234587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2019/8/6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教育矫正管理系统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4241703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2019/8/7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康复训练管理系统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4241715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2019/8/7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心理矫治管理系统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4241709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2019/8/7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华宇文档转换系统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4249465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2019/8/9</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狱务公共服务平台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4267674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2019/8/14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知识地图系统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4269235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2019/8/15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知识型辅助系统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4269356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2019/8/15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专门型知识服务平台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4269239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2019/8/15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破产管理人工作平台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4271881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2019/8/15</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破产债权管理平台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4269321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2019/8/15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九品法律平台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4273274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2019/8/16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互联网大数据分析平台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4281268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2019/8/19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区块链电子存证平台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4279280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2019/8/19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华宇区块链平台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4283668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2019/8/20</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华宇拼音输入法</w:t>
            </w:r>
            <w:r>
              <w:rPr>
                <w:rFonts w:ascii="Arial" w:hAnsi="Arial" w:cs="Arial" w:eastAsia="Arial" w:hint="default"/>
                <w:sz w:val="21"/>
                <w:szCs w:val="21"/>
              </w:rPr>
              <w:t>Linux</w:t>
            </w:r>
            <w:r>
              <w:rPr>
                <w:rFonts w:ascii="宋体" w:hAnsi="宋体" w:cs="宋体" w:eastAsia="宋体" w:hint="default"/>
                <w:sz w:val="21"/>
                <w:szCs w:val="21"/>
              </w:rPr>
              <w:t>版软件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4292532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2019/8/22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智慧司法云视频系统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4321235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2019/8/29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内网门户网站</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4334478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2019/9/3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值班管理系统软件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4342907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2019/9/4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组织人事系统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4343900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2019/9/4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市场监管相关行业大数据分析平台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4346034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2019/9/5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市场监管综合监管和执法一体化平台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4344610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2019/9/5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事中事后协同监管平台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4344615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2019/9/5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网络交易大数据分析平台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4348255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2019/9/5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药品流通监督管理系统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V2.6</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4349580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2019/9/6</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智慧政务办公业务一体化服务平台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软著登记第</w:t>
            </w:r>
            <w:r>
              <w:rPr>
                <w:rFonts w:ascii="Arial" w:hAnsi="Arial" w:cs="Arial" w:eastAsia="Arial" w:hint="default"/>
                <w:sz w:val="21"/>
                <w:szCs w:val="21"/>
              </w:rPr>
              <w:t>4334462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2019/9/8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网络交易监管系统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4358493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2019/9/9</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华宇智能审判流程系统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4364515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2019/9/10</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Arial" w:hAnsi="Arial" w:cs="Arial" w:eastAsia="Arial" w:hint="default"/>
                <w:sz w:val="21"/>
                <w:szCs w:val="21"/>
              </w:rPr>
              <w:t>RBI</w:t>
            </w:r>
            <w:r>
              <w:rPr>
                <w:rFonts w:ascii="宋体" w:hAnsi="宋体" w:cs="宋体" w:eastAsia="宋体" w:hint="default"/>
                <w:sz w:val="21"/>
                <w:szCs w:val="21"/>
              </w:rPr>
              <w:t>报表平台</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RBI]</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V5.1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4370199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2019/9/12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刑罚百科系统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V2.3</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4414667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2019/9/25</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诉服指导中心信息平台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4608334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2019/9/30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智慧执行辅助系统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4439986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2019/10/9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智慧执行系统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4444859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2019/10/10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法院诉讼费管理系统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4457517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2019/10/12</w:t>
            </w:r>
          </w:p>
        </w:tc>
      </w:tr>
      <w:tr>
        <w:trPr>
          <w:trHeight w:val="75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8"/>
              <w:ind w:left="3" w:right="35"/>
              <w:jc w:val="left"/>
              <w:rPr>
                <w:rFonts w:ascii="宋体" w:hAnsi="宋体" w:cs="宋体" w:eastAsia="宋体" w:hint="default"/>
                <w:sz w:val="21"/>
                <w:szCs w:val="21"/>
              </w:rPr>
            </w:pPr>
            <w:r>
              <w:rPr>
                <w:rFonts w:ascii="宋体" w:hAnsi="宋体" w:cs="宋体" w:eastAsia="宋体" w:hint="default"/>
                <w:sz w:val="21"/>
                <w:szCs w:val="21"/>
              </w:rPr>
              <w:t>基于国产化环境和微服务架构的业务开发平</w:t>
            </w:r>
            <w:r>
              <w:rPr>
                <w:rFonts w:ascii="宋体" w:hAnsi="宋体" w:cs="宋体" w:eastAsia="宋体" w:hint="default"/>
                <w:w w:val="99"/>
                <w:sz w:val="21"/>
                <w:szCs w:val="21"/>
              </w:rPr>
              <w:t> </w:t>
            </w:r>
            <w:r>
              <w:rPr>
                <w:rFonts w:ascii="宋体" w:hAnsi="宋体" w:cs="宋体" w:eastAsia="宋体" w:hint="default"/>
                <w:sz w:val="21"/>
                <w:szCs w:val="21"/>
              </w:rPr>
              <w:t>台软件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4465205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2019/10/15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宋体" w:hAnsi="宋体" w:cs="宋体" w:eastAsia="宋体" w:hint="default"/>
                <w:sz w:val="21"/>
                <w:szCs w:val="21"/>
              </w:rPr>
              <w:t>企业税务信息管理系统</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eTIMS]</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4497787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2019/10/24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智能办案辅助系统</w:t>
            </w:r>
            <w:r>
              <w:rPr>
                <w:rFonts w:ascii="Arial" w:hAnsi="Arial" w:cs="Arial" w:eastAsia="Arial" w:hint="default"/>
                <w:sz w:val="21"/>
                <w:szCs w:val="21"/>
              </w:rPr>
              <w:t>V2.1</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4504850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2019/10/25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申请执行人辅助系统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4513377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2019/10/28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多点触控审委会应用系统</w:t>
            </w:r>
            <w:r>
              <w:rPr>
                <w:rFonts w:ascii="Arial" w:hAnsi="Arial" w:cs="Arial" w:eastAsia="Arial" w:hint="default"/>
                <w:sz w:val="21"/>
                <w:szCs w:val="21"/>
              </w:rPr>
              <w:t>V4.7</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V4.7</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4515719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2019/10/29</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华宇</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Arial" w:hAnsi="Arial" w:cs="Arial" w:eastAsia="Arial" w:hint="default"/>
                <w:sz w:val="21"/>
                <w:szCs w:val="21"/>
              </w:rPr>
              <w:t>+</w:t>
            </w:r>
            <w:r>
              <w:rPr>
                <w:rFonts w:ascii="宋体" w:hAnsi="宋体" w:cs="宋体" w:eastAsia="宋体" w:hint="default"/>
                <w:sz w:val="21"/>
                <w:szCs w:val="21"/>
              </w:rPr>
              <w:t>监管</w:t>
            </w:r>
            <w:r>
              <w:rPr>
                <w:rFonts w:ascii="Times New Roman" w:hAnsi="Times New Roman" w:cs="Times New Roman" w:eastAsia="Times New Roman" w:hint="default"/>
                <w:sz w:val="21"/>
                <w:szCs w:val="21"/>
              </w:rPr>
              <w:t>”</w:t>
            </w:r>
            <w:r>
              <w:rPr>
                <w:rFonts w:ascii="宋体" w:hAnsi="宋体" w:cs="宋体" w:eastAsia="宋体" w:hint="default"/>
                <w:sz w:val="21"/>
                <w:szCs w:val="21"/>
              </w:rPr>
              <w:t>综合性管理平台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4520405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2019/10/30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华宇智慧监管应用系统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4519759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2019/10/30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律师接待服务系统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4523723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2019/10/31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联奕聚合式一卡通管理软件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4537938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5" w:right="0"/>
              <w:jc w:val="center"/>
              <w:rPr>
                <w:rFonts w:ascii="Arial" w:hAnsi="Arial" w:cs="Arial" w:eastAsia="Arial" w:hint="default"/>
                <w:sz w:val="21"/>
                <w:szCs w:val="21"/>
              </w:rPr>
            </w:pPr>
            <w:r>
              <w:rPr>
                <w:rFonts w:ascii="Arial"/>
                <w:sz w:val="21"/>
              </w:rPr>
              <w:t>2019/11/5</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华宇数据目录管理软件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4558579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 w:right="0"/>
              <w:jc w:val="center"/>
              <w:rPr>
                <w:rFonts w:ascii="Arial" w:hAnsi="Arial" w:cs="Arial" w:eastAsia="Arial" w:hint="default"/>
                <w:sz w:val="21"/>
                <w:szCs w:val="21"/>
              </w:rPr>
            </w:pPr>
            <w:r>
              <w:rPr>
                <w:rFonts w:ascii="Arial"/>
                <w:spacing w:val="-3"/>
                <w:sz w:val="21"/>
              </w:rPr>
              <w:t>2019/11/11</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智慧审判系统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软著变补字第</w:t>
            </w:r>
            <w:r>
              <w:rPr>
                <w:rFonts w:ascii="Arial" w:hAnsi="Arial" w:cs="Arial" w:eastAsia="Arial" w:hint="default"/>
                <w:sz w:val="21"/>
                <w:szCs w:val="21"/>
              </w:rPr>
              <w:t>201927092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云间视频云平台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4583220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2019/11/18</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宋体" w:hAnsi="宋体" w:cs="宋体" w:eastAsia="宋体" w:hint="default"/>
                <w:sz w:val="21"/>
                <w:szCs w:val="21"/>
              </w:rPr>
              <w:t>执行业务系统</w:t>
            </w:r>
            <w:r>
              <w:rPr>
                <w:rFonts w:ascii="Arial" w:hAnsi="Arial" w:cs="Arial" w:eastAsia="Arial" w:hint="default"/>
                <w:sz w:val="21"/>
                <w:szCs w:val="21"/>
              </w:rPr>
              <w:t>V2.1</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4594625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2019/11/19</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3" w:right="35"/>
              <w:jc w:val="left"/>
              <w:rPr>
                <w:rFonts w:ascii="宋体" w:hAnsi="宋体" w:cs="宋体" w:eastAsia="宋体" w:hint="default"/>
                <w:sz w:val="21"/>
                <w:szCs w:val="21"/>
              </w:rPr>
            </w:pPr>
            <w:r>
              <w:rPr>
                <w:rFonts w:ascii="宋体" w:hAnsi="宋体" w:cs="宋体" w:eastAsia="宋体" w:hint="default"/>
                <w:sz w:val="21"/>
                <w:szCs w:val="21"/>
              </w:rPr>
              <w:t>基于自主安全计算平台的公文智能排版与校</w:t>
            </w:r>
            <w:r>
              <w:rPr>
                <w:rFonts w:ascii="宋体" w:hAnsi="宋体" w:cs="宋体" w:eastAsia="宋体" w:hint="default"/>
                <w:w w:val="99"/>
                <w:sz w:val="21"/>
                <w:szCs w:val="21"/>
              </w:rPr>
              <w:t> </w:t>
            </w:r>
            <w:r>
              <w:rPr>
                <w:rFonts w:ascii="宋体" w:hAnsi="宋体" w:cs="宋体" w:eastAsia="宋体" w:hint="default"/>
                <w:sz w:val="21"/>
                <w:szCs w:val="21"/>
              </w:rPr>
              <w:t>对系统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4591726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2019/11/19</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联奕高校会议服务管理软件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4588689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联奕校园</w:t>
            </w:r>
            <w:r>
              <w:rPr>
                <w:rFonts w:ascii="Arial" w:hAnsi="Arial" w:cs="Arial" w:eastAsia="Arial" w:hint="default"/>
                <w:sz w:val="21"/>
                <w:szCs w:val="21"/>
              </w:rPr>
              <w:t>AI</w:t>
            </w:r>
            <w:r>
              <w:rPr>
                <w:rFonts w:ascii="宋体" w:hAnsi="宋体" w:cs="宋体" w:eastAsia="宋体" w:hint="default"/>
                <w:sz w:val="21"/>
                <w:szCs w:val="21"/>
              </w:rPr>
              <w:t>助手平台软件</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4588698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 w:right="0"/>
              <w:jc w:val="center"/>
              <w:rPr>
                <w:rFonts w:ascii="Arial" w:hAnsi="Arial" w:cs="Arial" w:eastAsia="Arial" w:hint="default"/>
                <w:sz w:val="21"/>
                <w:szCs w:val="21"/>
              </w:rPr>
            </w:pPr>
            <w:r>
              <w:rPr>
                <w:rFonts w:ascii="Arial"/>
                <w:sz w:val="21"/>
              </w:rPr>
              <w:t>2019/11/19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宋体" w:hAnsi="宋体" w:cs="宋体" w:eastAsia="宋体" w:hint="default"/>
                <w:sz w:val="21"/>
                <w:szCs w:val="21"/>
              </w:rPr>
              <w:t>联奕校园大脑应用分析管理软件</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4592870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2019/11/19</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7"/>
              <w:ind w:left="3" w:right="4"/>
              <w:jc w:val="left"/>
              <w:rPr>
                <w:rFonts w:ascii="Arial" w:hAnsi="Arial" w:cs="Arial" w:eastAsia="Arial" w:hint="default"/>
                <w:sz w:val="21"/>
                <w:szCs w:val="21"/>
              </w:rPr>
            </w:pPr>
            <w:r>
              <w:rPr>
                <w:rFonts w:ascii="宋体" w:hAnsi="宋体" w:cs="宋体" w:eastAsia="宋体" w:hint="default"/>
                <w:spacing w:val="-1"/>
                <w:w w:val="95"/>
                <w:sz w:val="21"/>
                <w:szCs w:val="21"/>
              </w:rPr>
              <w:t>华宇法律智能客服管理软件</w:t>
            </w:r>
            <w:r>
              <w:rPr>
                <w:rFonts w:ascii="Arial" w:hAnsi="Arial" w:cs="Arial" w:eastAsia="Arial" w:hint="default"/>
                <w:spacing w:val="-1"/>
                <w:w w:val="95"/>
                <w:sz w:val="21"/>
                <w:szCs w:val="21"/>
              </w:rPr>
              <w:t>[</w:t>
            </w:r>
            <w:r>
              <w:rPr>
                <w:rFonts w:ascii="宋体" w:hAnsi="宋体" w:cs="宋体" w:eastAsia="宋体" w:hint="default"/>
                <w:spacing w:val="-1"/>
                <w:w w:val="95"/>
                <w:sz w:val="21"/>
                <w:szCs w:val="21"/>
              </w:rPr>
              <w:t>简称：华宇法律</w:t>
            </w:r>
            <w:r>
              <w:rPr>
                <w:rFonts w:ascii="宋体" w:hAnsi="宋体" w:cs="宋体" w:eastAsia="宋体" w:hint="default"/>
                <w:spacing w:val="84"/>
                <w:w w:val="95"/>
                <w:sz w:val="21"/>
                <w:szCs w:val="21"/>
              </w:rPr>
              <w:t> </w:t>
            </w:r>
            <w:r>
              <w:rPr>
                <w:rFonts w:ascii="宋体" w:hAnsi="宋体" w:cs="宋体" w:eastAsia="宋体" w:hint="default"/>
                <w:spacing w:val="84"/>
                <w:w w:val="95"/>
                <w:sz w:val="21"/>
                <w:szCs w:val="21"/>
              </w:rPr>
            </w:r>
            <w:r>
              <w:rPr>
                <w:rFonts w:ascii="宋体" w:hAnsi="宋体" w:cs="宋体" w:eastAsia="宋体" w:hint="default"/>
                <w:sz w:val="21"/>
                <w:szCs w:val="21"/>
              </w:rPr>
              <w:t>智能客服</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4595006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2019/11/20</w:t>
            </w:r>
          </w:p>
        </w:tc>
      </w:tr>
      <w:tr>
        <w:trPr>
          <w:trHeight w:val="75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8"/>
              <w:ind w:left="3" w:right="4"/>
              <w:jc w:val="left"/>
              <w:rPr>
                <w:rFonts w:ascii="Arial" w:hAnsi="Arial" w:cs="Arial" w:eastAsia="Arial" w:hint="default"/>
                <w:sz w:val="21"/>
                <w:szCs w:val="21"/>
              </w:rPr>
            </w:pPr>
            <w:r>
              <w:rPr>
                <w:rFonts w:ascii="宋体" w:hAnsi="宋体" w:cs="宋体" w:eastAsia="宋体" w:hint="default"/>
                <w:spacing w:val="-1"/>
                <w:w w:val="95"/>
                <w:sz w:val="21"/>
                <w:szCs w:val="21"/>
              </w:rPr>
              <w:t>华宇工作流分布式引擎软件</w:t>
            </w:r>
            <w:r>
              <w:rPr>
                <w:rFonts w:ascii="Arial" w:hAnsi="Arial" w:cs="Arial" w:eastAsia="Arial" w:hint="default"/>
                <w:spacing w:val="-1"/>
                <w:w w:val="95"/>
                <w:sz w:val="21"/>
                <w:szCs w:val="21"/>
              </w:rPr>
              <w:t>[</w:t>
            </w:r>
            <w:r>
              <w:rPr>
                <w:rFonts w:ascii="宋体" w:hAnsi="宋体" w:cs="宋体" w:eastAsia="宋体" w:hint="default"/>
                <w:spacing w:val="-1"/>
                <w:w w:val="95"/>
                <w:sz w:val="21"/>
                <w:szCs w:val="21"/>
              </w:rPr>
              <w:t>简称：华宇工作</w:t>
            </w:r>
            <w:r>
              <w:rPr>
                <w:rFonts w:ascii="宋体" w:hAnsi="宋体" w:cs="宋体" w:eastAsia="宋体" w:hint="default"/>
                <w:spacing w:val="84"/>
                <w:w w:val="95"/>
                <w:sz w:val="21"/>
                <w:szCs w:val="21"/>
              </w:rPr>
              <w:t> </w:t>
            </w:r>
            <w:r>
              <w:rPr>
                <w:rFonts w:ascii="宋体" w:hAnsi="宋体" w:cs="宋体" w:eastAsia="宋体" w:hint="default"/>
                <w:spacing w:val="84"/>
                <w:w w:val="95"/>
                <w:sz w:val="21"/>
                <w:szCs w:val="21"/>
              </w:rPr>
            </w:r>
            <w:r>
              <w:rPr>
                <w:rFonts w:ascii="宋体" w:hAnsi="宋体" w:cs="宋体" w:eastAsia="宋体" w:hint="default"/>
                <w:sz w:val="21"/>
                <w:szCs w:val="21"/>
              </w:rPr>
              <w:t>流分布式引擎</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4595016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5" w:right="0"/>
              <w:jc w:val="center"/>
              <w:rPr>
                <w:rFonts w:ascii="Arial" w:hAnsi="Arial" w:cs="Arial" w:eastAsia="Arial" w:hint="default"/>
                <w:sz w:val="21"/>
                <w:szCs w:val="21"/>
              </w:rPr>
            </w:pPr>
            <w:r>
              <w:rPr>
                <w:rFonts w:ascii="Arial"/>
                <w:sz w:val="21"/>
              </w:rPr>
              <w:t>2019/11/20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晓督</w:t>
            </w:r>
            <w:r>
              <w:rPr>
                <w:rFonts w:ascii="Times New Roman" w:hAnsi="Times New Roman" w:cs="Times New Roman" w:eastAsia="Times New Roman" w:hint="default"/>
                <w:sz w:val="21"/>
                <w:szCs w:val="21"/>
              </w:rPr>
              <w:t>·</w:t>
            </w:r>
            <w:r>
              <w:rPr>
                <w:rFonts w:ascii="宋体" w:hAnsi="宋体" w:cs="宋体" w:eastAsia="宋体" w:hint="default"/>
                <w:sz w:val="21"/>
                <w:szCs w:val="21"/>
              </w:rPr>
              <w:t>智慧公诉辅助系统</w:t>
            </w:r>
            <w:r>
              <w:rPr>
                <w:rFonts w:ascii="Arial" w:hAnsi="Arial" w:cs="Arial" w:eastAsia="Arial" w:hint="default"/>
                <w:sz w:val="21"/>
                <w:szCs w:val="21"/>
              </w:rPr>
              <w:t>V2.2</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V2.2</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4601940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2019/11/21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智能会议管理系统</w:t>
            </w:r>
            <w:r>
              <w:rPr>
                <w:rFonts w:ascii="Arial" w:hAnsi="Arial" w:cs="Arial" w:eastAsia="Arial" w:hint="default"/>
                <w:sz w:val="21"/>
                <w:szCs w:val="21"/>
              </w:rPr>
              <w:t>V2.1</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4601946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 w:right="0"/>
              <w:jc w:val="center"/>
              <w:rPr>
                <w:rFonts w:ascii="Arial" w:hAnsi="Arial" w:cs="Arial" w:eastAsia="Arial" w:hint="default"/>
                <w:sz w:val="21"/>
                <w:szCs w:val="21"/>
              </w:rPr>
            </w:pPr>
            <w:r>
              <w:rPr>
                <w:rFonts w:ascii="Arial"/>
                <w:sz w:val="21"/>
              </w:rPr>
              <w:t>2019/11/21</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华宇运维监测管理软件</w:t>
            </w:r>
            <w:r>
              <w:rPr>
                <w:rFonts w:ascii="Arial" w:hAnsi="Arial" w:cs="Arial" w:eastAsia="Arial" w:hint="default"/>
                <w:sz w:val="21"/>
                <w:szCs w:val="21"/>
              </w:rPr>
              <w:t>V1.0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4604103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 w:right="0"/>
              <w:jc w:val="center"/>
              <w:rPr>
                <w:rFonts w:ascii="Arial" w:hAnsi="Arial" w:cs="Arial" w:eastAsia="Arial" w:hint="default"/>
                <w:sz w:val="21"/>
                <w:szCs w:val="21"/>
              </w:rPr>
            </w:pPr>
            <w:r>
              <w:rPr>
                <w:rFonts w:ascii="Arial"/>
                <w:sz w:val="21"/>
              </w:rPr>
              <w:t>2019/11/21</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绩效管理平台</w:t>
            </w:r>
            <w:r>
              <w:rPr>
                <w:rFonts w:ascii="Arial" w:hAnsi="Arial" w:cs="Arial" w:eastAsia="Arial" w:hint="default"/>
                <w:sz w:val="21"/>
                <w:szCs w:val="21"/>
              </w:rPr>
              <w:t>V3.1</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4609678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 w:right="0"/>
              <w:jc w:val="center"/>
              <w:rPr>
                <w:rFonts w:ascii="Arial" w:hAnsi="Arial" w:cs="Arial" w:eastAsia="Arial" w:hint="default"/>
                <w:sz w:val="21"/>
                <w:szCs w:val="21"/>
              </w:rPr>
            </w:pPr>
            <w:r>
              <w:rPr>
                <w:rFonts w:ascii="Arial"/>
                <w:sz w:val="21"/>
              </w:rPr>
              <w:t>2019/11/22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信息资源共享服务平台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4655643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 w:right="0"/>
              <w:jc w:val="center"/>
              <w:rPr>
                <w:rFonts w:ascii="Arial" w:hAnsi="Arial" w:cs="Arial" w:eastAsia="Arial" w:hint="default"/>
                <w:sz w:val="21"/>
                <w:szCs w:val="21"/>
              </w:rPr>
            </w:pPr>
            <w:r>
              <w:rPr>
                <w:rFonts w:ascii="Arial"/>
                <w:sz w:val="21"/>
              </w:rPr>
              <w:t>2019/11/29</w:t>
            </w:r>
          </w:p>
        </w:tc>
      </w:tr>
      <w:tr>
        <w:trPr>
          <w:trHeight w:val="392"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元典法务平台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4663005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5" w:right="0"/>
              <w:jc w:val="center"/>
              <w:rPr>
                <w:rFonts w:ascii="Arial" w:hAnsi="Arial" w:cs="Arial" w:eastAsia="Arial" w:hint="default"/>
                <w:sz w:val="21"/>
                <w:szCs w:val="21"/>
              </w:rPr>
            </w:pPr>
            <w:r>
              <w:rPr>
                <w:rFonts w:ascii="Arial"/>
                <w:sz w:val="21"/>
              </w:rPr>
              <w:t>2019/11/30</w:t>
            </w:r>
          </w:p>
        </w:tc>
      </w:tr>
    </w:tbl>
    <w:p>
      <w:pPr>
        <w:spacing w:after="0" w:line="240" w:lineRule="auto"/>
        <w:jc w:val="center"/>
        <w:rPr>
          <w:rFonts w:ascii="Arial" w:hAnsi="Arial" w:cs="Arial" w:eastAsia="Arial" w:hint="default"/>
          <w:sz w:val="21"/>
          <w:szCs w:val="21"/>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044"/>
        <w:gridCol w:w="638"/>
        <w:gridCol w:w="2728"/>
        <w:gridCol w:w="1276"/>
        <w:gridCol w:w="1417"/>
      </w:tblGrid>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业务协同服务平台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4667367</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Arial" w:hAnsi="Arial" w:cs="Arial" w:eastAsia="Arial" w:hint="default"/>
                <w:sz w:val="21"/>
                <w:szCs w:val="21"/>
              </w:rPr>
            </w:pPr>
            <w:r>
              <w:rPr>
                <w:rFonts w:ascii="Arial"/>
                <w:sz w:val="21"/>
              </w:rPr>
              <w:t>2019/11/30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智能诉状生成系统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4673248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2019/12/2</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旁听辅助系统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4670193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一人多案</w:t>
            </w:r>
            <w:r>
              <w:rPr>
                <w:rFonts w:ascii="Times New Roman" w:hAnsi="Times New Roman" w:cs="Times New Roman" w:eastAsia="Times New Roman" w:hint="default"/>
                <w:sz w:val="21"/>
                <w:szCs w:val="21"/>
              </w:rPr>
              <w:t>”</w:t>
            </w:r>
            <w:r>
              <w:rPr>
                <w:rFonts w:ascii="宋体" w:hAnsi="宋体" w:cs="宋体" w:eastAsia="宋体" w:hint="default"/>
                <w:sz w:val="21"/>
                <w:szCs w:val="21"/>
              </w:rPr>
              <w:t>关联预警与协同处置系统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4673373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2019/12/2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传输交换管理平台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4687990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2019/12/3</w:t>
            </w:r>
          </w:p>
        </w:tc>
      </w:tr>
      <w:tr>
        <w:trPr>
          <w:trHeight w:val="75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8"/>
              <w:ind w:left="3" w:right="1"/>
              <w:jc w:val="left"/>
              <w:rPr>
                <w:rFonts w:ascii="Arial" w:hAnsi="Arial" w:cs="Arial" w:eastAsia="Arial" w:hint="default"/>
                <w:sz w:val="21"/>
                <w:szCs w:val="21"/>
              </w:rPr>
            </w:pPr>
            <w:r>
              <w:rPr>
                <w:rFonts w:ascii="宋体" w:hAnsi="宋体" w:cs="宋体" w:eastAsia="宋体" w:hint="default"/>
                <w:w w:val="95"/>
                <w:sz w:val="21"/>
                <w:szCs w:val="21"/>
              </w:rPr>
              <w:t>华宇流媒体综合管理平台软件</w:t>
            </w:r>
            <w:r>
              <w:rPr>
                <w:rFonts w:ascii="Arial" w:hAnsi="Arial" w:cs="Arial" w:eastAsia="Arial" w:hint="default"/>
                <w:w w:val="95"/>
                <w:sz w:val="21"/>
                <w:szCs w:val="21"/>
              </w:rPr>
              <w:t>[</w:t>
            </w:r>
            <w:r>
              <w:rPr>
                <w:rFonts w:ascii="宋体" w:hAnsi="宋体" w:cs="宋体" w:eastAsia="宋体" w:hint="default"/>
                <w:w w:val="95"/>
                <w:sz w:val="21"/>
                <w:szCs w:val="21"/>
              </w:rPr>
              <w:t>简称：流媒体</w:t>
            </w:r>
            <w:r>
              <w:rPr>
                <w:rFonts w:ascii="宋体" w:hAnsi="宋体" w:cs="宋体" w:eastAsia="宋体" w:hint="default"/>
                <w:spacing w:val="67"/>
                <w:w w:val="95"/>
                <w:sz w:val="21"/>
                <w:szCs w:val="21"/>
              </w:rPr>
              <w:t> </w:t>
            </w:r>
            <w:r>
              <w:rPr>
                <w:rFonts w:ascii="宋体" w:hAnsi="宋体" w:cs="宋体" w:eastAsia="宋体" w:hint="default"/>
                <w:spacing w:val="67"/>
                <w:w w:val="95"/>
                <w:sz w:val="21"/>
                <w:szCs w:val="21"/>
              </w:rPr>
            </w:r>
            <w:r>
              <w:rPr>
                <w:rFonts w:ascii="宋体" w:hAnsi="宋体" w:cs="宋体" w:eastAsia="宋体" w:hint="default"/>
                <w:sz w:val="21"/>
                <w:szCs w:val="21"/>
              </w:rPr>
              <w:t>管理平台</w:t>
            </w:r>
            <w:r>
              <w:rPr>
                <w:rFonts w:ascii="Arial" w:hAnsi="Arial" w:cs="Arial" w:eastAsia="Arial" w:hint="default"/>
                <w:sz w:val="21"/>
                <w:szCs w:val="21"/>
              </w:rPr>
              <w:t>]V2.2</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V2.2</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4710561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2019/12/5</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人民法院协同综合服务平台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4720973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人民法院一体化便民服务综合应用平台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4720335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网上跨域立案系统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4719510</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1"/>
                <w:szCs w:val="21"/>
              </w:rPr>
            </w:pPr>
            <w:r>
              <w:rPr>
                <w:rFonts w:ascii="Arial"/>
                <w:sz w:val="21"/>
              </w:rPr>
              <w:t>2019/12/6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跨域立案法官工作平台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4719721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案件繁简智能分流系统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4719495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Arial" w:hAnsi="Arial" w:cs="Arial" w:eastAsia="Arial" w:hint="default"/>
                <w:sz w:val="21"/>
                <w:szCs w:val="21"/>
              </w:rPr>
            </w:pPr>
            <w:r>
              <w:rPr>
                <w:rFonts w:ascii="Arial"/>
                <w:sz w:val="21"/>
              </w:rPr>
              <w:t>2019/12/6</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审判流程信息公开评查与受控发布系统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4719503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21"/>
                <w:szCs w:val="21"/>
              </w:rPr>
            </w:pPr>
            <w:r>
              <w:rPr>
                <w:rFonts w:ascii="Arial"/>
                <w:sz w:val="21"/>
              </w:rPr>
              <w:t>2019/12/6</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智能审判综合分析系统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4736314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1"/>
                <w:szCs w:val="21"/>
              </w:rPr>
            </w:pPr>
            <w:r>
              <w:rPr>
                <w:rFonts w:ascii="Arial"/>
                <w:sz w:val="21"/>
              </w:rPr>
              <w:t>2019/12/9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云间视频云平台</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4743973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2019/12/10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智能访客系统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V2.4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4780351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2019/12/12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诉讼服务虚拟人物引导系统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V2.4</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4774519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2019/12/12</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自助式诉讼服务智能系统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V3.7</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4774183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2019/12/12</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华宇法律文书派送管理系统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4790241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华宇投资司法服务绿色通道</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4790123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检察院公诉案卡智能填录系统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4790232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检务公开综合服务平台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4790259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2019/12/13</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智慧检务项目资源信息共享平台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V1.0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4790259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2019/12/13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跨地域跨层级协同执行指挥系统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4801161</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2019/12/17</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Arial" w:hAnsi="Arial" w:cs="Arial" w:eastAsia="Arial" w:hint="default"/>
                <w:sz w:val="21"/>
                <w:szCs w:val="21"/>
              </w:rPr>
            </w:pPr>
            <w:r>
              <w:rPr>
                <w:rFonts w:ascii="宋体" w:hAnsi="宋体" w:cs="宋体" w:eastAsia="宋体" w:hint="default"/>
                <w:sz w:val="21"/>
                <w:szCs w:val="21"/>
              </w:rPr>
              <w:t>联奕智慧校园认证通软件</w:t>
            </w:r>
            <w:r>
              <w:rPr>
                <w:rFonts w:ascii="Arial" w:hAnsi="Arial" w:cs="Arial" w:eastAsia="Arial" w:hint="default"/>
                <w:sz w:val="21"/>
                <w:szCs w:val="21"/>
              </w:rPr>
              <w:t>V4.0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V4.0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4817453</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2019/12/19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联奕智慧校园应用支撑软件</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4818252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2019/12/19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联奕融合型门户软件</w:t>
            </w:r>
            <w:r>
              <w:rPr>
                <w:rFonts w:ascii="Arial" w:hAnsi="Arial" w:cs="Arial" w:eastAsia="Arial" w:hint="default"/>
                <w:sz w:val="21"/>
                <w:szCs w:val="21"/>
              </w:rPr>
              <w:t>V5.0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left"/>
              <w:rPr>
                <w:rFonts w:ascii="Arial" w:hAnsi="Arial" w:cs="Arial" w:eastAsia="Arial" w:hint="default"/>
                <w:sz w:val="21"/>
                <w:szCs w:val="21"/>
              </w:rPr>
            </w:pPr>
            <w:r>
              <w:rPr>
                <w:rFonts w:ascii="Arial"/>
                <w:sz w:val="21"/>
              </w:rPr>
              <w:t>V5.0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4817446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 w:right="0"/>
              <w:jc w:val="center"/>
              <w:rPr>
                <w:rFonts w:ascii="Arial" w:hAnsi="Arial" w:cs="Arial" w:eastAsia="Arial" w:hint="default"/>
                <w:sz w:val="21"/>
                <w:szCs w:val="21"/>
              </w:rPr>
            </w:pPr>
            <w:r>
              <w:rPr>
                <w:rFonts w:ascii="Arial"/>
                <w:sz w:val="21"/>
              </w:rPr>
              <w:t>2019/12/19</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联奕教学质量评教与智能分析软件</w:t>
            </w:r>
            <w:r>
              <w:rPr>
                <w:rFonts w:ascii="Arial" w:hAnsi="Arial" w:cs="Arial" w:eastAsia="Arial" w:hint="default"/>
                <w:sz w:val="21"/>
                <w:szCs w:val="21"/>
              </w:rPr>
              <w:t>V2.0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4822444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2019/12/19</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Arial" w:hAnsi="Arial" w:cs="Arial" w:eastAsia="Arial" w:hint="default"/>
                <w:sz w:val="21"/>
                <w:szCs w:val="21"/>
              </w:rPr>
            </w:pPr>
            <w:r>
              <w:rPr>
                <w:rFonts w:ascii="宋体" w:hAnsi="宋体" w:cs="宋体" w:eastAsia="宋体" w:hint="default"/>
                <w:sz w:val="21"/>
                <w:szCs w:val="21"/>
              </w:rPr>
              <w:t>联奕通用事务中心管理软件</w:t>
            </w:r>
            <w:r>
              <w:rPr>
                <w:rFonts w:ascii="Arial" w:hAnsi="Arial" w:cs="Arial" w:eastAsia="Arial" w:hint="default"/>
                <w:sz w:val="21"/>
                <w:szCs w:val="21"/>
              </w:rPr>
              <w:t>V5.0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left"/>
              <w:rPr>
                <w:rFonts w:ascii="Arial" w:hAnsi="Arial" w:cs="Arial" w:eastAsia="Arial" w:hint="default"/>
                <w:sz w:val="21"/>
                <w:szCs w:val="21"/>
              </w:rPr>
            </w:pPr>
            <w:r>
              <w:rPr>
                <w:rFonts w:ascii="Arial"/>
                <w:sz w:val="21"/>
              </w:rPr>
              <w:t>V5.0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4823655</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 w:right="0"/>
              <w:jc w:val="center"/>
              <w:rPr>
                <w:rFonts w:ascii="Arial" w:hAnsi="Arial" w:cs="Arial" w:eastAsia="Arial" w:hint="default"/>
                <w:sz w:val="21"/>
                <w:szCs w:val="21"/>
              </w:rPr>
            </w:pPr>
            <w:r>
              <w:rPr>
                <w:rFonts w:ascii="Arial"/>
                <w:sz w:val="21"/>
              </w:rPr>
              <w:t>2019/12/20</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Arial" w:hAnsi="Arial" w:cs="Arial" w:eastAsia="Arial" w:hint="default"/>
                <w:sz w:val="21"/>
                <w:szCs w:val="21"/>
              </w:rPr>
            </w:pPr>
            <w:r>
              <w:rPr>
                <w:rFonts w:ascii="宋体" w:hAnsi="宋体" w:cs="宋体" w:eastAsia="宋体" w:hint="default"/>
                <w:sz w:val="21"/>
                <w:szCs w:val="21"/>
              </w:rPr>
              <w:t>联奕高校事务宝软件</w:t>
            </w:r>
            <w:r>
              <w:rPr>
                <w:rFonts w:ascii="Arial" w:hAnsi="Arial" w:cs="Arial" w:eastAsia="Arial" w:hint="default"/>
                <w:sz w:val="21"/>
                <w:szCs w:val="21"/>
              </w:rPr>
              <w:t>V3.0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4833166</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2019/12/23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Arial" w:hAnsi="Arial" w:cs="Arial" w:eastAsia="Arial" w:hint="default"/>
                <w:sz w:val="21"/>
                <w:szCs w:val="21"/>
              </w:rPr>
            </w:pPr>
            <w:r>
              <w:rPr>
                <w:rFonts w:ascii="宋体" w:hAnsi="宋体" w:cs="宋体" w:eastAsia="宋体" w:hint="default"/>
                <w:sz w:val="21"/>
                <w:szCs w:val="21"/>
              </w:rPr>
              <w:t>联奕智慧后勤综合服务软件</w:t>
            </w:r>
            <w:r>
              <w:rPr>
                <w:rFonts w:ascii="Arial" w:hAnsi="Arial" w:cs="Arial" w:eastAsia="Arial" w:hint="default"/>
                <w:sz w:val="21"/>
                <w:szCs w:val="21"/>
              </w:rPr>
              <w:t>V5.0</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V5.0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4833119</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2019/12/23</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嵌入式全高清庭审集控系统</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V2.1</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4843318</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2019/12/24</w:t>
            </w:r>
          </w:p>
        </w:tc>
      </w:tr>
      <w:tr>
        <w:trPr>
          <w:trHeight w:val="393"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网络系统监控软件</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left"/>
              <w:rPr>
                <w:rFonts w:ascii="Arial" w:hAnsi="Arial" w:cs="Arial" w:eastAsia="Arial" w:hint="default"/>
                <w:sz w:val="21"/>
                <w:szCs w:val="21"/>
              </w:rPr>
            </w:pPr>
            <w:r>
              <w:rPr>
                <w:rFonts w:ascii="Arial"/>
                <w:sz w:val="21"/>
              </w:rPr>
              <w:t>V3.0</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4843302</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Arial" w:hAnsi="Arial" w:cs="Arial" w:eastAsia="Arial" w:hint="default"/>
                <w:sz w:val="21"/>
                <w:szCs w:val="21"/>
              </w:rPr>
            </w:pPr>
            <w:r>
              <w:rPr>
                <w:rFonts w:ascii="Arial"/>
                <w:sz w:val="21"/>
              </w:rPr>
              <w:t>2019/12/24</w:t>
            </w:r>
          </w:p>
        </w:tc>
      </w:tr>
      <w:tr>
        <w:trPr>
          <w:trHeight w:val="394" w:hRule="exact"/>
        </w:trPr>
        <w:tc>
          <w:tcPr>
            <w:tcW w:w="4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电子政务运维服务支撑平台</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left"/>
              <w:rPr>
                <w:rFonts w:ascii="Arial" w:hAnsi="Arial" w:cs="Arial" w:eastAsia="Arial" w:hint="default"/>
                <w:sz w:val="21"/>
                <w:szCs w:val="21"/>
              </w:rPr>
            </w:pPr>
            <w:r>
              <w:rPr>
                <w:rFonts w:ascii="Arial"/>
                <w:sz w:val="21"/>
              </w:rPr>
              <w:t>V2.5</w:t>
            </w:r>
          </w:p>
        </w:tc>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4843314</w:t>
            </w:r>
            <w:r>
              <w:rPr>
                <w:rFonts w:ascii="宋体" w:hAnsi="宋体" w:cs="宋体" w:eastAsia="宋体" w:hint="default"/>
                <w:sz w:val="21"/>
                <w:szCs w:val="21"/>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 w:right="0"/>
              <w:jc w:val="center"/>
              <w:rPr>
                <w:rFonts w:ascii="Arial" w:hAnsi="Arial" w:cs="Arial" w:eastAsia="Arial" w:hint="default"/>
                <w:sz w:val="21"/>
                <w:szCs w:val="21"/>
              </w:rPr>
            </w:pPr>
            <w:r>
              <w:rPr>
                <w:rFonts w:ascii="Arial"/>
                <w:sz w:val="21"/>
              </w:rPr>
              <w:t>2019/12/24</w:t>
            </w:r>
          </w:p>
        </w:tc>
      </w:tr>
    </w:tbl>
    <w:p>
      <w:pPr>
        <w:pStyle w:val="Heading3"/>
        <w:spacing w:line="318" w:lineRule="exact"/>
        <w:ind w:left="612" w:right="996"/>
        <w:jc w:val="left"/>
        <w:rPr>
          <w:rFonts w:ascii="Arial" w:hAnsi="Arial" w:cs="Arial" w:eastAsia="Arial" w:hint="default"/>
        </w:rPr>
      </w:pPr>
      <w:r>
        <w:rPr/>
        <w:t>报告期内，新增专利如下</w:t>
      </w:r>
      <w:r>
        <w:rPr>
          <w:rFonts w:ascii="Arial" w:hAnsi="Arial" w:cs="Arial" w:eastAsia="Arial" w:hint="default"/>
        </w:rPr>
        <w:t>:</w:t>
      </w:r>
    </w:p>
    <w:p>
      <w:pPr>
        <w:spacing w:after="0" w:line="318" w:lineRule="exact"/>
        <w:jc w:val="left"/>
        <w:rPr>
          <w:rFonts w:ascii="Arial" w:hAnsi="Arial" w:cs="Arial" w:eastAsia="Arial" w:hint="default"/>
        </w:rPr>
        <w:sectPr>
          <w:pgSz w:w="11910" w:h="16840"/>
          <w:pgMar w:header="746" w:footer="1016" w:top="1060" w:bottom="120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808"/>
        <w:gridCol w:w="1012"/>
        <w:gridCol w:w="2007"/>
        <w:gridCol w:w="1276"/>
        <w:gridCol w:w="708"/>
        <w:gridCol w:w="1203"/>
      </w:tblGrid>
      <w:tr>
        <w:trPr>
          <w:trHeight w:val="394"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专利类型</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有效期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专利权人</w:t>
            </w:r>
          </w:p>
        </w:tc>
      </w:tr>
      <w:tr>
        <w:trPr>
          <w:trHeight w:val="394"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图像纠偏方法和装置、设备及存储介质</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Arial" w:hAnsi="Arial" w:cs="Arial" w:eastAsia="Arial" w:hint="default"/>
                <w:sz w:val="21"/>
                <w:szCs w:val="21"/>
              </w:rPr>
            </w:pPr>
            <w:r>
              <w:rPr>
                <w:rFonts w:ascii="Arial"/>
                <w:sz w:val="21"/>
              </w:rPr>
              <w:t>CN201910202982.5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Arial" w:hAnsi="Arial" w:cs="Arial" w:eastAsia="Arial" w:hint="default"/>
                <w:sz w:val="21"/>
                <w:szCs w:val="21"/>
              </w:rPr>
            </w:pPr>
            <w:r>
              <w:rPr>
                <w:rFonts w:ascii="Arial"/>
                <w:sz w:val="21"/>
              </w:rPr>
              <w:t>2019/3/18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实审</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华宇信息</w:t>
            </w:r>
          </w:p>
        </w:tc>
      </w:tr>
      <w:tr>
        <w:trPr>
          <w:trHeight w:val="393"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21"/>
                <w:szCs w:val="21"/>
              </w:rPr>
            </w:pPr>
            <w:r>
              <w:rPr>
                <w:rFonts w:ascii="宋体" w:hAnsi="宋体" w:cs="宋体" w:eastAsia="宋体" w:hint="default"/>
                <w:sz w:val="21"/>
                <w:szCs w:val="21"/>
              </w:rPr>
              <w:t>视频证据展示方法、展示装置和电子设备</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Arial" w:hAnsi="Arial" w:cs="Arial" w:eastAsia="Arial" w:hint="default"/>
                <w:sz w:val="21"/>
                <w:szCs w:val="21"/>
              </w:rPr>
            </w:pPr>
            <w:r>
              <w:rPr>
                <w:rFonts w:ascii="Arial"/>
                <w:sz w:val="21"/>
              </w:rPr>
              <w:t>CN201910310421.7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left"/>
              <w:rPr>
                <w:rFonts w:ascii="Arial" w:hAnsi="Arial" w:cs="Arial" w:eastAsia="Arial" w:hint="default"/>
                <w:sz w:val="21"/>
                <w:szCs w:val="21"/>
              </w:rPr>
            </w:pPr>
            <w:r>
              <w:rPr>
                <w:rFonts w:ascii="Arial"/>
                <w:sz w:val="21"/>
              </w:rPr>
              <w:t>2019/4/17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实审</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华宇信息</w:t>
            </w:r>
          </w:p>
        </w:tc>
      </w:tr>
      <w:tr>
        <w:trPr>
          <w:trHeight w:val="753"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9"/>
              <w:ind w:left="3" w:right="10"/>
              <w:jc w:val="left"/>
              <w:rPr>
                <w:rFonts w:ascii="宋体" w:hAnsi="宋体" w:cs="宋体" w:eastAsia="宋体" w:hint="default"/>
                <w:sz w:val="21"/>
                <w:szCs w:val="21"/>
              </w:rPr>
            </w:pPr>
            <w:r>
              <w:rPr>
                <w:rFonts w:ascii="宋体" w:hAnsi="宋体" w:cs="宋体" w:eastAsia="宋体" w:hint="default"/>
                <w:sz w:val="21"/>
                <w:szCs w:val="21"/>
              </w:rPr>
              <w:t>基于网页的图像编辑方法、图像编辑装置</w:t>
            </w:r>
            <w:r>
              <w:rPr>
                <w:rFonts w:ascii="宋体" w:hAnsi="宋体" w:cs="宋体" w:eastAsia="宋体" w:hint="default"/>
                <w:w w:val="99"/>
                <w:sz w:val="21"/>
                <w:szCs w:val="21"/>
              </w:rPr>
              <w:t> </w:t>
            </w:r>
            <w:r>
              <w:rPr>
                <w:rFonts w:ascii="宋体" w:hAnsi="宋体" w:cs="宋体" w:eastAsia="宋体" w:hint="default"/>
                <w:sz w:val="21"/>
                <w:szCs w:val="21"/>
              </w:rPr>
              <w:t>和电子设备</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CN201910308307.0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2019/4/17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实审</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华宇信息</w:t>
            </w:r>
          </w:p>
        </w:tc>
      </w:tr>
      <w:tr>
        <w:trPr>
          <w:trHeight w:val="394"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left"/>
              <w:rPr>
                <w:rFonts w:ascii="宋体" w:hAnsi="宋体" w:cs="宋体" w:eastAsia="宋体" w:hint="default"/>
                <w:sz w:val="21"/>
                <w:szCs w:val="21"/>
              </w:rPr>
            </w:pPr>
            <w:r>
              <w:rPr>
                <w:rFonts w:ascii="宋体" w:hAnsi="宋体" w:cs="宋体" w:eastAsia="宋体" w:hint="default"/>
                <w:sz w:val="21"/>
                <w:szCs w:val="21"/>
              </w:rPr>
              <w:t>区块链联盟链的区块数据存储系统及方法</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CN201910392888.0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2019/5/13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21"/>
                <w:szCs w:val="21"/>
              </w:rPr>
            </w:pPr>
            <w:r>
              <w:rPr>
                <w:rFonts w:ascii="宋体" w:hAnsi="宋体" w:cs="宋体" w:eastAsia="宋体" w:hint="default"/>
                <w:sz w:val="21"/>
                <w:szCs w:val="21"/>
              </w:rPr>
              <w:t>实审</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21"/>
                <w:szCs w:val="21"/>
              </w:rPr>
            </w:pPr>
            <w:r>
              <w:rPr>
                <w:rFonts w:ascii="宋体" w:hAnsi="宋体" w:cs="宋体" w:eastAsia="宋体" w:hint="default"/>
                <w:sz w:val="21"/>
                <w:szCs w:val="21"/>
              </w:rPr>
              <w:t>华宇金信</w:t>
            </w:r>
          </w:p>
        </w:tc>
      </w:tr>
      <w:tr>
        <w:trPr>
          <w:trHeight w:val="752"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3" w:right="10"/>
              <w:jc w:val="left"/>
              <w:rPr>
                <w:rFonts w:ascii="宋体" w:hAnsi="宋体" w:cs="宋体" w:eastAsia="宋体" w:hint="default"/>
                <w:sz w:val="21"/>
                <w:szCs w:val="21"/>
              </w:rPr>
            </w:pPr>
            <w:r>
              <w:rPr>
                <w:rFonts w:ascii="宋体" w:hAnsi="宋体" w:cs="宋体" w:eastAsia="宋体" w:hint="default"/>
                <w:sz w:val="21"/>
                <w:szCs w:val="21"/>
              </w:rPr>
              <w:t>基于轮廓提取的表格识别方法和装置、设</w:t>
            </w:r>
            <w:r>
              <w:rPr>
                <w:rFonts w:ascii="宋体" w:hAnsi="宋体" w:cs="宋体" w:eastAsia="宋体" w:hint="default"/>
                <w:w w:val="99"/>
                <w:sz w:val="21"/>
                <w:szCs w:val="21"/>
              </w:rPr>
              <w:t> </w:t>
            </w:r>
            <w:r>
              <w:rPr>
                <w:rFonts w:ascii="宋体" w:hAnsi="宋体" w:cs="宋体" w:eastAsia="宋体" w:hint="default"/>
                <w:sz w:val="21"/>
                <w:szCs w:val="21"/>
              </w:rPr>
              <w:t>备及存储介质</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CN201910481627.6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Arial" w:hAnsi="Arial" w:cs="Arial" w:eastAsia="Arial" w:hint="default"/>
                <w:sz w:val="21"/>
                <w:szCs w:val="21"/>
              </w:rPr>
            </w:pPr>
            <w:r>
              <w:rPr>
                <w:rFonts w:ascii="Arial"/>
                <w:sz w:val="21"/>
              </w:rPr>
              <w:t>2019/6/4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21"/>
                <w:szCs w:val="21"/>
              </w:rPr>
            </w:pPr>
            <w:r>
              <w:rPr>
                <w:rFonts w:ascii="宋体" w:hAnsi="宋体" w:cs="宋体" w:eastAsia="宋体" w:hint="default"/>
                <w:sz w:val="21"/>
                <w:szCs w:val="21"/>
              </w:rPr>
              <w:t>实审</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21"/>
                <w:szCs w:val="21"/>
              </w:rPr>
            </w:pPr>
            <w:r>
              <w:rPr>
                <w:rFonts w:ascii="宋体" w:hAnsi="宋体" w:cs="宋体" w:eastAsia="宋体" w:hint="default"/>
                <w:sz w:val="21"/>
                <w:szCs w:val="21"/>
              </w:rPr>
              <w:t>华宇信息</w:t>
            </w:r>
          </w:p>
        </w:tc>
      </w:tr>
    </w:tbl>
    <w:p>
      <w:pPr>
        <w:spacing w:after="0" w:line="240" w:lineRule="auto"/>
        <w:jc w:val="left"/>
        <w:rPr>
          <w:rFonts w:ascii="宋体" w:hAnsi="宋体" w:cs="宋体" w:eastAsia="宋体" w:hint="default"/>
          <w:sz w:val="21"/>
          <w:szCs w:val="21"/>
        </w:rPr>
        <w:sectPr>
          <w:footerReference w:type="default" r:id="rId12"/>
          <w:pgSz w:w="11910" w:h="16840"/>
          <w:pgMar w:footer="1016" w:header="746" w:top="1060" w:bottom="1200" w:left="1020" w:right="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56"/>
        <w:ind w:right="996"/>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61"/>
        </w:rPr>
        <w:t> </w:t>
      </w:r>
      <w:r>
        <w:rPr/>
        <w:t>经营情况讨论与分析</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996"/>
        <w:jc w:val="left"/>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3"/>
        <w:spacing w:line="273" w:lineRule="auto"/>
        <w:ind w:right="1132" w:firstLine="480"/>
        <w:jc w:val="both"/>
      </w:pPr>
      <w:r>
        <w:rPr/>
        <w:t>作为致力于“帮助客户更好地服务社会”的软件服务企业，公司是国内法律科技市场的 领导企业，并在教育信息化、智慧政务等重要的软件服务市场占据了优势地位，也是领域内</w:t>
      </w:r>
      <w:r>
        <w:rPr>
          <w:spacing w:val="-89"/>
        </w:rPr>
        <w:t> </w:t>
      </w:r>
      <w:r>
        <w:rPr>
          <w:spacing w:val="-89"/>
        </w:rPr>
      </w:r>
      <w:r>
        <w:rPr/>
        <w:t>诸多重要技术应用的创新者和积极推动者。在互联网、人工智能技术和信创技术驱动软件服</w:t>
      </w:r>
      <w:r>
        <w:rPr>
          <w:spacing w:val="-89"/>
        </w:rPr>
        <w:t> </w:t>
      </w:r>
      <w:r>
        <w:rPr>
          <w:spacing w:val="-89"/>
        </w:rPr>
      </w:r>
      <w:r>
        <w:rPr/>
        <w:t>务业快速增长的行业背景下，公司所在优势领域已经迎来新一轮行业信息化建设热潮。凭借</w:t>
      </w:r>
      <w:r>
        <w:rPr>
          <w:spacing w:val="-89"/>
        </w:rPr>
        <w:t> </w:t>
      </w:r>
      <w:r>
        <w:rPr>
          <w:spacing w:val="-89"/>
        </w:rPr>
      </w:r>
      <w:r>
        <w:rPr/>
        <w:t>深刻的业务洞察和持续的行业应用创新，公司在法律科技、教育信息化等传统优势领域，进</w:t>
      </w:r>
      <w:r>
        <w:rPr>
          <w:spacing w:val="-89"/>
        </w:rPr>
        <w:t> </w:t>
      </w:r>
      <w:r>
        <w:rPr>
          <w:spacing w:val="-89"/>
        </w:rPr>
      </w:r>
      <w:r>
        <w:rPr/>
        <w:t>一步提升竞争优势，业务稳健增长。</w:t>
      </w:r>
    </w:p>
    <w:p>
      <w:pPr>
        <w:pStyle w:val="Heading3"/>
        <w:spacing w:line="273" w:lineRule="auto" w:before="53"/>
        <w:ind w:right="1132" w:firstLine="480"/>
        <w:jc w:val="both"/>
      </w:pPr>
      <w:r>
        <w:rPr/>
        <w:t>随着未来几年信创产业的加速发展，公司凭借在信创领域积累多年的技术、产品与实施 经验，在法律科技等传统优势领域将更具竞争力，并将以此为契机，拓展新的电子政务细分</w:t>
      </w:r>
      <w:r>
        <w:rPr>
          <w:spacing w:val="-89"/>
        </w:rPr>
        <w:t> </w:t>
      </w:r>
      <w:r>
        <w:rPr>
          <w:spacing w:val="-89"/>
        </w:rPr>
      </w:r>
      <w:r>
        <w:rPr/>
        <w:t>领域，打开“智慧政务”业务板块的发展空间。</w:t>
      </w:r>
    </w:p>
    <w:p>
      <w:pPr>
        <w:pStyle w:val="Heading3"/>
        <w:spacing w:line="261" w:lineRule="auto" w:before="50"/>
        <w:ind w:right="1093" w:firstLine="480"/>
        <w:jc w:val="both"/>
      </w:pPr>
      <w:r>
        <w:rPr/>
        <w:t>报告期内，公司坚定执行长期发展战略，积极有序推进年度经营计划。公司战略有效落 </w:t>
      </w:r>
      <w:r>
        <w:rPr>
          <w:spacing w:val="2"/>
        </w:rPr>
        <w:t>地，核心业务领域竞争力继续加强，整体经营业绩持续稳健增长。公司实现营业收入</w:t>
      </w:r>
      <w:r>
        <w:rPr>
          <w:spacing w:val="-56"/>
        </w:rPr>
        <w:t> </w:t>
      </w:r>
      <w:r>
        <w:rPr>
          <w:rFonts w:ascii="Arial" w:hAnsi="Arial" w:cs="Arial" w:eastAsia="Arial" w:hint="default"/>
        </w:rPr>
        <w:t>35.10</w:t>
      </w:r>
      <w:r>
        <w:rPr>
          <w:rFonts w:ascii="Arial" w:hAnsi="Arial" w:cs="Arial" w:eastAsia="Arial" w:hint="default"/>
          <w:spacing w:val="-64"/>
        </w:rPr>
        <w:t> </w:t>
      </w:r>
      <w:r>
        <w:rPr>
          <w:rFonts w:ascii="Arial" w:hAnsi="Arial" w:cs="Arial" w:eastAsia="Arial" w:hint="default"/>
          <w:spacing w:val="-64"/>
        </w:rPr>
      </w:r>
      <w:r>
        <w:rPr/>
        <w:t>亿元，同比增长</w:t>
      </w:r>
      <w:r>
        <w:rPr>
          <w:spacing w:val="-61"/>
        </w:rPr>
        <w:t> </w:t>
      </w:r>
      <w:r>
        <w:rPr>
          <w:rFonts w:ascii="Arial" w:hAnsi="Arial" w:cs="Arial" w:eastAsia="Arial" w:hint="default"/>
        </w:rPr>
        <w:t>29.60%</w:t>
      </w:r>
      <w:r>
        <w:rPr/>
        <w:t>；在法律科技领域，实现营业收入</w:t>
      </w:r>
      <w:r>
        <w:rPr>
          <w:spacing w:val="-61"/>
        </w:rPr>
        <w:t> </w:t>
      </w:r>
      <w:r>
        <w:rPr>
          <w:rFonts w:ascii="Arial" w:hAnsi="Arial" w:cs="Arial" w:eastAsia="Arial" w:hint="default"/>
        </w:rPr>
        <w:t>22.05</w:t>
      </w:r>
      <w:r>
        <w:rPr>
          <w:rFonts w:ascii="Arial" w:hAnsi="Arial" w:cs="Arial" w:eastAsia="Arial" w:hint="default"/>
          <w:spacing w:val="-7"/>
        </w:rPr>
        <w:t> </w:t>
      </w:r>
      <w:r>
        <w:rPr/>
        <w:t>亿元，同比增长</w:t>
      </w:r>
      <w:r>
        <w:rPr>
          <w:spacing w:val="-61"/>
        </w:rPr>
        <w:t> </w:t>
      </w:r>
      <w:r>
        <w:rPr>
          <w:rFonts w:ascii="Arial" w:hAnsi="Arial" w:cs="Arial" w:eastAsia="Arial" w:hint="default"/>
        </w:rPr>
        <w:t>26.33%</w:t>
      </w:r>
      <w:r>
        <w:rPr/>
        <w:t>； 在教育信息化领域，实现营业收入</w:t>
      </w:r>
      <w:r>
        <w:rPr>
          <w:spacing w:val="-57"/>
        </w:rPr>
        <w:t> </w:t>
      </w:r>
      <w:r>
        <w:rPr>
          <w:rFonts w:ascii="Arial" w:hAnsi="Arial" w:cs="Arial" w:eastAsia="Arial" w:hint="default"/>
        </w:rPr>
        <w:t>5.09</w:t>
      </w:r>
      <w:r>
        <w:rPr>
          <w:rFonts w:ascii="Arial" w:hAnsi="Arial" w:cs="Arial" w:eastAsia="Arial" w:hint="default"/>
          <w:spacing w:val="-6"/>
        </w:rPr>
        <w:t> </w:t>
      </w:r>
      <w:r>
        <w:rPr/>
        <w:t>亿元，同比增长</w:t>
      </w:r>
      <w:r>
        <w:rPr>
          <w:spacing w:val="-57"/>
        </w:rPr>
        <w:t> </w:t>
      </w:r>
      <w:r>
        <w:rPr>
          <w:rFonts w:ascii="Arial" w:hAnsi="Arial" w:cs="Arial" w:eastAsia="Arial" w:hint="default"/>
        </w:rPr>
        <w:t>34.56%</w:t>
      </w:r>
      <w:r>
        <w:rPr/>
        <w:t>；在智慧政务领域，实现营</w:t>
      </w:r>
      <w:r>
        <w:rPr>
          <w:spacing w:val="-118"/>
        </w:rPr>
        <w:t> </w:t>
      </w:r>
      <w:r>
        <w:rPr>
          <w:spacing w:val="-118"/>
        </w:rPr>
      </w:r>
      <w:r>
        <w:rPr/>
        <w:t>业收入</w:t>
      </w:r>
      <w:r>
        <w:rPr>
          <w:spacing w:val="-66"/>
        </w:rPr>
        <w:t> </w:t>
      </w:r>
      <w:r>
        <w:rPr>
          <w:rFonts w:ascii="Arial" w:hAnsi="Arial" w:cs="Arial" w:eastAsia="Arial" w:hint="default"/>
        </w:rPr>
        <w:t>4.15</w:t>
      </w:r>
      <w:r>
        <w:rPr>
          <w:rFonts w:ascii="Arial" w:hAnsi="Arial" w:cs="Arial" w:eastAsia="Arial" w:hint="default"/>
          <w:spacing w:val="-14"/>
        </w:rPr>
        <w:t> </w:t>
      </w:r>
      <w:r>
        <w:rPr>
          <w:spacing w:val="-5"/>
        </w:rPr>
        <w:t>亿元，同比增长</w:t>
      </w:r>
      <w:r>
        <w:rPr>
          <w:spacing w:val="-64"/>
        </w:rPr>
        <w:t> </w:t>
      </w:r>
      <w:r>
        <w:rPr>
          <w:rFonts w:ascii="Arial" w:hAnsi="Arial" w:cs="Arial" w:eastAsia="Arial" w:hint="default"/>
        </w:rPr>
        <w:t>38.25%</w:t>
      </w:r>
      <w:r>
        <w:rPr/>
        <w:t>。公司实现归属于母公司所有者的净利润</w:t>
      </w:r>
      <w:r>
        <w:rPr>
          <w:spacing w:val="-64"/>
        </w:rPr>
        <w:t> </w:t>
      </w:r>
      <w:r>
        <w:rPr>
          <w:rFonts w:ascii="Arial" w:hAnsi="Arial" w:cs="Arial" w:eastAsia="Arial" w:hint="default"/>
        </w:rPr>
        <w:t>5.80</w:t>
      </w:r>
      <w:r>
        <w:rPr>
          <w:rFonts w:ascii="Arial" w:hAnsi="Arial" w:cs="Arial" w:eastAsia="Arial" w:hint="default"/>
          <w:spacing w:val="-12"/>
        </w:rPr>
        <w:t> </w:t>
      </w:r>
      <w:r>
        <w:rPr>
          <w:spacing w:val="-8"/>
        </w:rPr>
        <w:t>亿元，同</w:t>
      </w:r>
      <w:r>
        <w:rPr/>
        <w:t> </w:t>
      </w:r>
      <w:r>
        <w:rPr>
          <w:spacing w:val="2"/>
        </w:rPr>
        <w:t>比增长</w:t>
      </w:r>
      <w:r>
        <w:rPr>
          <w:spacing w:val="-47"/>
        </w:rPr>
        <w:t> </w:t>
      </w:r>
      <w:r>
        <w:rPr>
          <w:rFonts w:ascii="Arial" w:hAnsi="Arial" w:cs="Arial" w:eastAsia="Arial" w:hint="default"/>
        </w:rPr>
        <w:t>16.61%</w:t>
      </w:r>
      <w:r>
        <w:rPr/>
        <w:t>；扣非后归属于上市公司股东净利润</w:t>
      </w:r>
      <w:r>
        <w:rPr>
          <w:spacing w:val="-49"/>
        </w:rPr>
        <w:t> </w:t>
      </w:r>
      <w:r>
        <w:rPr>
          <w:rFonts w:ascii="Arial" w:hAnsi="Arial" w:cs="Arial" w:eastAsia="Arial" w:hint="default"/>
        </w:rPr>
        <w:t>5.58</w:t>
      </w:r>
      <w:r>
        <w:rPr>
          <w:rFonts w:ascii="Arial" w:hAnsi="Arial" w:cs="Arial" w:eastAsia="Arial" w:hint="default"/>
          <w:spacing w:val="5"/>
        </w:rPr>
        <w:t> </w:t>
      </w:r>
      <w:r>
        <w:rPr>
          <w:spacing w:val="2"/>
        </w:rPr>
        <w:t>亿元，同比增长</w:t>
      </w:r>
      <w:r>
        <w:rPr>
          <w:spacing w:val="-47"/>
        </w:rPr>
        <w:t> </w:t>
      </w:r>
      <w:r>
        <w:rPr>
          <w:rFonts w:ascii="Arial" w:hAnsi="Arial" w:cs="Arial" w:eastAsia="Arial" w:hint="default"/>
        </w:rPr>
        <w:t>22.42%</w:t>
      </w:r>
      <w:r>
        <w:rPr/>
        <w:t>；报告期</w:t>
      </w:r>
      <w:r>
        <w:rPr>
          <w:spacing w:val="-110"/>
        </w:rPr>
        <w:t> </w:t>
      </w:r>
      <w:r>
        <w:rPr>
          <w:spacing w:val="-110"/>
        </w:rPr>
      </w:r>
      <w:r>
        <w:rPr/>
        <w:t>内股权激励费用比上年同期增加</w:t>
      </w:r>
      <w:r>
        <w:rPr>
          <w:spacing w:val="-56"/>
        </w:rPr>
        <w:t> </w:t>
      </w:r>
      <w:r>
        <w:rPr>
          <w:rFonts w:ascii="Arial" w:hAnsi="Arial" w:cs="Arial" w:eastAsia="Arial" w:hint="default"/>
        </w:rPr>
        <w:t>3645.52</w:t>
      </w:r>
      <w:r>
        <w:rPr>
          <w:rFonts w:ascii="Arial" w:hAnsi="Arial" w:cs="Arial" w:eastAsia="Arial" w:hint="default"/>
          <w:spacing w:val="-8"/>
        </w:rPr>
        <w:t> </w:t>
      </w:r>
      <w:r>
        <w:rPr/>
        <w:t>万元，剔除股权激励费用增加的影响后，扣非后归 属于上市公司股东净利润同比增长</w:t>
      </w:r>
      <w:r>
        <w:rPr>
          <w:spacing w:val="-65"/>
        </w:rPr>
        <w:t> </w:t>
      </w:r>
      <w:r>
        <w:rPr>
          <w:rFonts w:ascii="Arial" w:hAnsi="Arial" w:cs="Arial" w:eastAsia="Arial" w:hint="default"/>
        </w:rPr>
        <w:t>29.20%</w:t>
      </w:r>
      <w:r>
        <w:rPr/>
        <w:t>。</w:t>
      </w:r>
    </w:p>
    <w:p>
      <w:pPr>
        <w:pStyle w:val="Heading3"/>
        <w:spacing w:line="268" w:lineRule="auto" w:before="69"/>
        <w:ind w:right="1131" w:firstLine="480"/>
        <w:jc w:val="both"/>
      </w:pPr>
      <w:r>
        <w:rPr/>
        <w:t>报告期内，公司“应用软件”类新签合同持续稳健增长，“系统建设服务”类新签合同 较去年同期下降幅度较大，“运维服务”类新签合同小幅增长；受“系统建设服务”类新签 </w:t>
      </w:r>
      <w:r>
        <w:rPr>
          <w:spacing w:val="-1"/>
        </w:rPr>
        <w:t>合同下降幅度较大的影响</w:t>
      </w:r>
      <w:r>
        <w:rPr>
          <w:rFonts w:ascii="Arial" w:hAnsi="Arial" w:cs="Arial" w:eastAsia="Arial" w:hint="default"/>
          <w:spacing w:val="-1"/>
        </w:rPr>
        <w:t>,</w:t>
      </w:r>
      <w:r>
        <w:rPr>
          <w:spacing w:val="-1"/>
        </w:rPr>
        <w:t>公司新签合同总额同比下降，而业务结构进一步优化。公司实现新</w:t>
      </w:r>
      <w:r>
        <w:rPr>
          <w:spacing w:val="-110"/>
        </w:rPr>
        <w:t> </w:t>
      </w:r>
      <w:r>
        <w:rPr>
          <w:spacing w:val="-110"/>
        </w:rPr>
      </w:r>
      <w:r>
        <w:rPr/>
        <w:t>签合同额</w:t>
      </w:r>
      <w:r>
        <w:rPr>
          <w:spacing w:val="-69"/>
        </w:rPr>
        <w:t> </w:t>
      </w:r>
      <w:r>
        <w:rPr>
          <w:rFonts w:ascii="Arial" w:hAnsi="Arial" w:cs="Arial" w:eastAsia="Arial" w:hint="default"/>
        </w:rPr>
        <w:t>34.21</w:t>
      </w:r>
      <w:r>
        <w:rPr>
          <w:rFonts w:ascii="Arial" w:hAnsi="Arial" w:cs="Arial" w:eastAsia="Arial" w:hint="default"/>
          <w:spacing w:val="-18"/>
        </w:rPr>
        <w:t> </w:t>
      </w:r>
      <w:r>
        <w:rPr/>
        <w:t>亿元，同比下降</w:t>
      </w:r>
      <w:r>
        <w:rPr>
          <w:spacing w:val="-69"/>
        </w:rPr>
        <w:t> </w:t>
      </w:r>
      <w:r>
        <w:rPr>
          <w:rFonts w:ascii="Arial" w:hAnsi="Arial" w:cs="Arial" w:eastAsia="Arial" w:hint="default"/>
        </w:rPr>
        <w:t>13.75%</w:t>
      </w:r>
      <w:r>
        <w:rPr/>
        <w:t>，其中“应用软件”类新签合同较去年同期增长</w:t>
      </w:r>
      <w:r>
        <w:rPr>
          <w:spacing w:val="-69"/>
        </w:rPr>
        <w:t> </w:t>
      </w:r>
      <w:r>
        <w:rPr>
          <w:rFonts w:ascii="Arial" w:hAnsi="Arial" w:cs="Arial" w:eastAsia="Arial" w:hint="default"/>
        </w:rPr>
        <w:t>16.</w:t>
      </w:r>
      <w:r>
        <w:rPr>
          <w:rFonts w:ascii="Arial" w:hAnsi="Arial" w:cs="Arial" w:eastAsia="Arial" w:hint="default"/>
          <w:w w:val="99"/>
        </w:rPr>
        <w:t> </w:t>
      </w:r>
      <w:r>
        <w:rPr>
          <w:rFonts w:ascii="Arial" w:hAnsi="Arial" w:cs="Arial" w:eastAsia="Arial" w:hint="default"/>
        </w:rPr>
        <w:t>32%</w:t>
      </w:r>
      <w:r>
        <w:rPr/>
        <w:t>，较</w:t>
      </w:r>
      <w:r>
        <w:rPr>
          <w:spacing w:val="-64"/>
        </w:rPr>
        <w:t> </w:t>
      </w:r>
      <w:r>
        <w:rPr>
          <w:rFonts w:ascii="Arial" w:hAnsi="Arial" w:cs="Arial" w:eastAsia="Arial" w:hint="default"/>
        </w:rPr>
        <w:t>2017</w:t>
      </w:r>
      <w:r>
        <w:rPr>
          <w:rFonts w:ascii="Arial" w:hAnsi="Arial" w:cs="Arial" w:eastAsia="Arial" w:hint="default"/>
          <w:spacing w:val="-11"/>
        </w:rPr>
        <w:t> </w:t>
      </w:r>
      <w:r>
        <w:rPr/>
        <w:t>年增长</w:t>
      </w:r>
      <w:r>
        <w:rPr>
          <w:spacing w:val="-64"/>
        </w:rPr>
        <w:t> </w:t>
      </w:r>
      <w:r>
        <w:rPr>
          <w:rFonts w:ascii="Arial" w:hAnsi="Arial" w:cs="Arial" w:eastAsia="Arial" w:hint="default"/>
        </w:rPr>
        <w:t>50.68%</w:t>
      </w:r>
      <w:r>
        <w:rPr/>
        <w:t>；“系统建设服务”类新签合同较去年同期减少</w:t>
      </w:r>
      <w:r>
        <w:rPr>
          <w:spacing w:val="-64"/>
        </w:rPr>
        <w:t> </w:t>
      </w:r>
      <w:r>
        <w:rPr>
          <w:rFonts w:ascii="Arial" w:hAnsi="Arial" w:cs="Arial" w:eastAsia="Arial" w:hint="default"/>
        </w:rPr>
        <w:t>41.14%</w:t>
      </w:r>
      <w:r>
        <w:rPr/>
        <w:t>，较</w:t>
      </w:r>
    </w:p>
    <w:p>
      <w:pPr>
        <w:pStyle w:val="Heading3"/>
        <w:spacing w:line="328" w:lineRule="exact"/>
        <w:ind w:right="996"/>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3"/>
        </w:rPr>
        <w:t> </w:t>
      </w:r>
      <w:r>
        <w:rPr/>
        <w:t>年减少</w:t>
      </w:r>
      <w:r>
        <w:rPr>
          <w:spacing w:val="-58"/>
        </w:rPr>
        <w:t> </w:t>
      </w:r>
      <w:r>
        <w:rPr>
          <w:rFonts w:ascii="Arial" w:hAnsi="Arial" w:cs="Arial" w:eastAsia="Arial" w:hint="default"/>
          <w:spacing w:val="-4"/>
        </w:rPr>
        <w:t>16.76%</w:t>
      </w:r>
      <w:r>
        <w:rPr>
          <w:spacing w:val="-4"/>
        </w:rPr>
        <w:t>；“运维服务”类新签合同较去年同期增长</w:t>
      </w:r>
      <w:r>
        <w:rPr>
          <w:spacing w:val="-58"/>
        </w:rPr>
        <w:t> </w:t>
      </w:r>
      <w:r>
        <w:rPr>
          <w:rFonts w:ascii="Arial" w:hAnsi="Arial" w:cs="Arial" w:eastAsia="Arial" w:hint="default"/>
          <w:spacing w:val="-4"/>
        </w:rPr>
        <w:t>4.08%</w:t>
      </w:r>
      <w:r>
        <w:rPr>
          <w:spacing w:val="-4"/>
        </w:rPr>
        <w:t>，较</w:t>
      </w:r>
      <w:r>
        <w:rPr>
          <w:spacing w:val="-58"/>
        </w:rPr>
        <w:t> </w:t>
      </w:r>
      <w:r>
        <w:rPr>
          <w:rFonts w:ascii="Arial" w:hAnsi="Arial" w:cs="Arial" w:eastAsia="Arial" w:hint="default"/>
        </w:rPr>
        <w:t>2017</w:t>
      </w:r>
      <w:r>
        <w:rPr>
          <w:rFonts w:ascii="Arial" w:hAnsi="Arial" w:cs="Arial" w:eastAsia="Arial" w:hint="default"/>
          <w:spacing w:val="-7"/>
        </w:rPr>
        <w:t> </w:t>
      </w:r>
      <w:r>
        <w:rPr/>
        <w:t>年增长</w:t>
      </w:r>
      <w:r>
        <w:rPr>
          <w:spacing w:val="-58"/>
        </w:rPr>
        <w:t> </w:t>
      </w:r>
      <w:r>
        <w:rPr>
          <w:rFonts w:ascii="Arial" w:hAnsi="Arial" w:cs="Arial" w:eastAsia="Arial" w:hint="default"/>
        </w:rPr>
        <w:t>76.</w:t>
      </w:r>
    </w:p>
    <w:p>
      <w:pPr>
        <w:pStyle w:val="Heading3"/>
        <w:spacing w:line="261" w:lineRule="auto" w:before="29"/>
        <w:ind w:right="1009"/>
        <w:jc w:val="left"/>
      </w:pPr>
      <w:r>
        <w:rPr>
          <w:rFonts w:ascii="Arial" w:hAnsi="Arial" w:cs="Arial" w:eastAsia="Arial" w:hint="default"/>
          <w:spacing w:val="-5"/>
        </w:rPr>
        <w:t>50%</w:t>
      </w:r>
      <w:r>
        <w:rPr>
          <w:spacing w:val="-5"/>
        </w:rPr>
        <w:t>。在法律科技领域，公司实现新签合同</w:t>
      </w:r>
      <w:r>
        <w:rPr>
          <w:spacing w:val="-58"/>
        </w:rPr>
        <w:t> </w:t>
      </w:r>
      <w:r>
        <w:rPr>
          <w:rFonts w:ascii="Arial" w:hAnsi="Arial" w:cs="Arial" w:eastAsia="Arial" w:hint="default"/>
        </w:rPr>
        <w:t>20.55</w:t>
      </w:r>
      <w:r>
        <w:rPr>
          <w:rFonts w:ascii="Arial" w:hAnsi="Arial" w:cs="Arial" w:eastAsia="Arial" w:hint="default"/>
          <w:spacing w:val="-7"/>
        </w:rPr>
        <w:t> </w:t>
      </w:r>
      <w:r>
        <w:rPr>
          <w:spacing w:val="-7"/>
        </w:rPr>
        <w:t>亿元，同比下降</w:t>
      </w:r>
      <w:r>
        <w:rPr>
          <w:spacing w:val="-58"/>
        </w:rPr>
        <w:t> </w:t>
      </w:r>
      <w:r>
        <w:rPr>
          <w:rFonts w:ascii="Arial" w:hAnsi="Arial" w:cs="Arial" w:eastAsia="Arial" w:hint="default"/>
          <w:spacing w:val="-7"/>
        </w:rPr>
        <w:t>15.61%</w:t>
      </w:r>
      <w:r>
        <w:rPr>
          <w:spacing w:val="-7"/>
        </w:rPr>
        <w:t>；其中“应用软件”</w:t>
      </w:r>
      <w:r>
        <w:rPr/>
        <w:t> 类新签合同较去年同期增长约</w:t>
      </w:r>
      <w:r>
        <w:rPr>
          <w:spacing w:val="-64"/>
        </w:rPr>
        <w:t> </w:t>
      </w:r>
      <w:r>
        <w:rPr>
          <w:rFonts w:ascii="Arial" w:hAnsi="Arial" w:cs="Arial" w:eastAsia="Arial" w:hint="default"/>
        </w:rPr>
        <w:t>25%</w:t>
      </w:r>
      <w:r>
        <w:rPr/>
        <w:t>，较</w:t>
      </w:r>
      <w:r>
        <w:rPr>
          <w:spacing w:val="-64"/>
        </w:rPr>
        <w:t> </w:t>
      </w:r>
      <w:r>
        <w:rPr>
          <w:rFonts w:ascii="Arial" w:hAnsi="Arial" w:cs="Arial" w:eastAsia="Arial" w:hint="default"/>
        </w:rPr>
        <w:t>2017</w:t>
      </w:r>
      <w:r>
        <w:rPr>
          <w:rFonts w:ascii="Arial" w:hAnsi="Arial" w:cs="Arial" w:eastAsia="Arial" w:hint="default"/>
          <w:spacing w:val="-13"/>
        </w:rPr>
        <w:t> </w:t>
      </w:r>
      <w:r>
        <w:rPr/>
        <w:t>年增长约</w:t>
      </w:r>
      <w:r>
        <w:rPr>
          <w:spacing w:val="-64"/>
        </w:rPr>
        <w:t> </w:t>
      </w:r>
      <w:r>
        <w:rPr>
          <w:rFonts w:ascii="Arial" w:hAnsi="Arial" w:cs="Arial" w:eastAsia="Arial" w:hint="default"/>
        </w:rPr>
        <w:t>52%</w:t>
      </w:r>
      <w:r>
        <w:rPr/>
        <w:t>。在教育信息化领域，公司实现 新签合同</w:t>
      </w:r>
      <w:r>
        <w:rPr>
          <w:spacing w:val="-61"/>
        </w:rPr>
        <w:t> </w:t>
      </w:r>
      <w:r>
        <w:rPr>
          <w:rFonts w:ascii="Arial" w:hAnsi="Arial" w:cs="Arial" w:eastAsia="Arial" w:hint="default"/>
        </w:rPr>
        <w:t>4.72</w:t>
      </w:r>
      <w:r>
        <w:rPr>
          <w:rFonts w:ascii="Arial" w:hAnsi="Arial" w:cs="Arial" w:eastAsia="Arial" w:hint="default"/>
          <w:spacing w:val="-10"/>
        </w:rPr>
        <w:t> </w:t>
      </w:r>
      <w:r>
        <w:rPr/>
        <w:t>亿元，同比下降</w:t>
      </w:r>
      <w:r>
        <w:rPr>
          <w:spacing w:val="-61"/>
        </w:rPr>
        <w:t> </w:t>
      </w:r>
      <w:r>
        <w:rPr>
          <w:rFonts w:ascii="Arial" w:hAnsi="Arial" w:cs="Arial" w:eastAsia="Arial" w:hint="default"/>
        </w:rPr>
        <w:t>24.07%</w:t>
      </w:r>
      <w:r>
        <w:rPr/>
        <w:t>；其中“应用软件”类新签合同较去年同期增长约</w:t>
      </w:r>
      <w:r>
        <w:rPr>
          <w:spacing w:val="-62"/>
        </w:rPr>
        <w:t> </w:t>
      </w:r>
      <w:r>
        <w:rPr>
          <w:rFonts w:ascii="Arial" w:hAnsi="Arial" w:cs="Arial" w:eastAsia="Arial" w:hint="default"/>
        </w:rPr>
        <w:t>1</w:t>
      </w:r>
      <w:r>
        <w:rPr>
          <w:rFonts w:ascii="Arial" w:hAnsi="Arial" w:cs="Arial" w:eastAsia="Arial" w:hint="default"/>
          <w:w w:val="99"/>
        </w:rPr>
        <w:t> </w:t>
      </w:r>
      <w:r>
        <w:rPr>
          <w:rFonts w:ascii="Arial" w:hAnsi="Arial" w:cs="Arial" w:eastAsia="Arial" w:hint="default"/>
          <w:spacing w:val="-3"/>
        </w:rPr>
        <w:t>7%</w:t>
      </w:r>
      <w:r>
        <w:rPr>
          <w:spacing w:val="-3"/>
        </w:rPr>
        <w:t>，较</w:t>
      </w:r>
      <w:r>
        <w:rPr>
          <w:spacing w:val="-71"/>
        </w:rPr>
        <w:t> </w:t>
      </w:r>
      <w:r>
        <w:rPr>
          <w:rFonts w:ascii="Arial" w:hAnsi="Arial" w:cs="Arial" w:eastAsia="Arial" w:hint="default"/>
        </w:rPr>
        <w:t>2017</w:t>
      </w:r>
      <w:r>
        <w:rPr>
          <w:rFonts w:ascii="Arial" w:hAnsi="Arial" w:cs="Arial" w:eastAsia="Arial" w:hint="default"/>
          <w:spacing w:val="-20"/>
        </w:rPr>
        <w:t> </w:t>
      </w:r>
      <w:r>
        <w:rPr/>
        <w:t>年增长约</w:t>
      </w:r>
      <w:r>
        <w:rPr>
          <w:spacing w:val="-71"/>
        </w:rPr>
        <w:t> </w:t>
      </w:r>
      <w:r>
        <w:rPr>
          <w:rFonts w:ascii="Arial" w:hAnsi="Arial" w:cs="Arial" w:eastAsia="Arial" w:hint="default"/>
        </w:rPr>
        <w:t>90%</w:t>
      </w:r>
      <w:r>
        <w:rPr/>
        <w:t>。报告期内，受“系统建设服务”类新签合同下降幅度较大的影 </w:t>
      </w:r>
      <w:r>
        <w:rPr>
          <w:spacing w:val="-3"/>
        </w:rPr>
        <w:t>响，公司期末在手合同额</w:t>
      </w:r>
      <w:r>
        <w:rPr>
          <w:spacing w:val="-56"/>
        </w:rPr>
        <w:t> </w:t>
      </w:r>
      <w:r>
        <w:rPr>
          <w:rFonts w:ascii="Arial" w:hAnsi="Arial" w:cs="Arial" w:eastAsia="Arial" w:hint="default"/>
        </w:rPr>
        <w:t>21.64</w:t>
      </w:r>
      <w:r>
        <w:rPr>
          <w:rFonts w:ascii="Arial" w:hAnsi="Arial" w:cs="Arial" w:eastAsia="Arial" w:hint="default"/>
          <w:spacing w:val="-2"/>
        </w:rPr>
        <w:t> </w:t>
      </w:r>
      <w:r>
        <w:rPr>
          <w:spacing w:val="-4"/>
        </w:rPr>
        <w:t>亿元，同比下降</w:t>
      </w:r>
      <w:r>
        <w:rPr>
          <w:spacing w:val="-56"/>
        </w:rPr>
        <w:t> </w:t>
      </w:r>
      <w:r>
        <w:rPr>
          <w:rFonts w:ascii="Arial" w:hAnsi="Arial" w:cs="Arial" w:eastAsia="Arial" w:hint="default"/>
          <w:spacing w:val="-4"/>
        </w:rPr>
        <w:t>18.46%</w:t>
      </w:r>
      <w:r>
        <w:rPr>
          <w:spacing w:val="-4"/>
        </w:rPr>
        <w:t>；其中“应用软件”类合同占比提升</w:t>
      </w:r>
      <w:r>
        <w:rPr>
          <w:spacing w:val="-110"/>
        </w:rPr>
        <w:t> </w:t>
      </w:r>
      <w:r>
        <w:rPr>
          <w:spacing w:val="-110"/>
        </w:rPr>
      </w:r>
      <w:r>
        <w:rPr/>
        <w:t>约</w:t>
      </w:r>
      <w:r>
        <w:rPr>
          <w:spacing w:val="-60"/>
        </w:rPr>
        <w:t> </w:t>
      </w:r>
      <w:r>
        <w:rPr>
          <w:rFonts w:ascii="Arial" w:hAnsi="Arial" w:cs="Arial" w:eastAsia="Arial" w:hint="default"/>
        </w:rPr>
        <w:t>9</w:t>
      </w:r>
      <w:r>
        <w:rPr>
          <w:rFonts w:ascii="Arial" w:hAnsi="Arial" w:cs="Arial" w:eastAsia="Arial" w:hint="default"/>
          <w:spacing w:val="-6"/>
        </w:rPr>
        <w:t> </w:t>
      </w:r>
      <w:r>
        <w:rPr/>
        <w:t>个百分点。</w:t>
      </w:r>
    </w:p>
    <w:p>
      <w:pPr>
        <w:spacing w:line="240" w:lineRule="auto" w:before="8"/>
        <w:rPr>
          <w:rFonts w:ascii="宋体" w:hAnsi="宋体" w:cs="宋体" w:eastAsia="宋体" w:hint="default"/>
          <w:sz w:val="19"/>
          <w:szCs w:val="19"/>
        </w:rPr>
      </w:pPr>
    </w:p>
    <w:p>
      <w:pPr>
        <w:pStyle w:val="Heading2"/>
        <w:spacing w:line="240" w:lineRule="auto"/>
        <w:ind w:right="996"/>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2"/>
        <w:spacing w:line="240" w:lineRule="auto"/>
        <w:ind w:right="996"/>
        <w:jc w:val="left"/>
        <w:rPr>
          <w:b w:val="0"/>
          <w:bCs w:val="0"/>
        </w:rPr>
      </w:pPr>
      <w:r>
        <w:rPr>
          <w:rFonts w:ascii="Arial" w:hAnsi="Arial" w:cs="Arial" w:eastAsia="Arial" w:hint="default"/>
        </w:rPr>
        <w:t>1</w:t>
      </w:r>
      <w:r>
        <w:rPr/>
        <w:t>、法律科技战略聚焦成绩突出</w:t>
      </w:r>
      <w:r>
        <w:rPr>
          <w:b w:val="0"/>
          <w:bCs w:val="0"/>
        </w:rPr>
      </w:r>
    </w:p>
    <w:p>
      <w:pPr>
        <w:spacing w:after="0" w:line="240" w:lineRule="auto"/>
        <w:jc w:val="left"/>
        <w:sectPr>
          <w:pgSz w:w="11910" w:h="16840"/>
          <w:pgMar w:header="746" w:footer="1016" w:top="1060" w:bottom="1200" w:left="1020" w:right="0"/>
        </w:sectPr>
      </w:pPr>
    </w:p>
    <w:p>
      <w:pPr>
        <w:spacing w:line="240" w:lineRule="auto" w:before="3"/>
        <w:rPr>
          <w:rFonts w:ascii="宋体" w:hAnsi="宋体" w:cs="宋体" w:eastAsia="宋体" w:hint="default"/>
          <w:b/>
          <w:bCs/>
          <w:sz w:val="25"/>
          <w:szCs w:val="25"/>
        </w:rPr>
      </w:pPr>
    </w:p>
    <w:p>
      <w:pPr>
        <w:pStyle w:val="Heading3"/>
        <w:spacing w:line="273" w:lineRule="auto" w:before="26"/>
        <w:ind w:right="1129" w:firstLine="480"/>
        <w:jc w:val="both"/>
      </w:pPr>
      <w:r>
        <w:rPr/>
        <w:t>公司持续扩展和深化对法律相关机关单位、律师、企业等的覆盖和连接，打通法律服务 </w:t>
      </w:r>
      <w:r>
        <w:rPr>
          <w:spacing w:val="-5"/>
        </w:rPr>
        <w:t>各环节的业务流转和数据交互。公司深耕“司法”环节（法院、检察院）和“执法”环节（公</w:t>
      </w:r>
      <w:r>
        <w:rPr>
          <w:spacing w:val="-115"/>
        </w:rPr>
        <w:t> </w:t>
      </w:r>
      <w:r>
        <w:rPr>
          <w:spacing w:val="-115"/>
        </w:rPr>
      </w:r>
      <w:r>
        <w:rPr/>
        <w:t>安、纪检监察、司法行政、政法委等）业务，在已规划的</w:t>
      </w:r>
      <w:r>
        <w:rPr>
          <w:spacing w:val="-51"/>
        </w:rPr>
        <w:t> </w:t>
      </w:r>
      <w:r>
        <w:rPr>
          <w:rFonts w:ascii="Arial" w:hAnsi="Arial" w:cs="Arial" w:eastAsia="Arial" w:hint="default"/>
          <w:spacing w:val="-6"/>
        </w:rPr>
        <w:t>110</w:t>
      </w:r>
      <w:r>
        <w:rPr>
          <w:rFonts w:ascii="Arial" w:hAnsi="Arial" w:cs="Arial" w:eastAsia="Arial" w:hint="default"/>
          <w:spacing w:val="-3"/>
        </w:rPr>
        <w:t> </w:t>
      </w:r>
      <w:r>
        <w:rPr/>
        <w:t>余个业务应用场景中，公司已</w:t>
      </w:r>
    </w:p>
    <w:p>
      <w:pPr>
        <w:pStyle w:val="Heading3"/>
        <w:spacing w:line="271" w:lineRule="auto"/>
        <w:ind w:right="996"/>
        <w:jc w:val="left"/>
      </w:pPr>
      <w:r>
        <w:rPr/>
        <w:t>拥有</w:t>
      </w:r>
      <w:r>
        <w:rPr>
          <w:spacing w:val="-61"/>
        </w:rPr>
        <w:t> </w:t>
      </w:r>
      <w:r>
        <w:rPr>
          <w:rFonts w:ascii="Arial" w:hAnsi="Arial" w:cs="Arial" w:eastAsia="Arial" w:hint="default"/>
        </w:rPr>
        <w:t>200</w:t>
      </w:r>
      <w:r>
        <w:rPr>
          <w:rFonts w:ascii="Arial" w:hAnsi="Arial" w:cs="Arial" w:eastAsia="Arial" w:hint="default"/>
          <w:spacing w:val="-10"/>
        </w:rPr>
        <w:t> </w:t>
      </w:r>
      <w:r>
        <w:rPr/>
        <w:t>多款自主知识产权的软件产品。公司逐步延伸业务至“守法”环节，打造法律业务 智能辅助、风险和诉讼管理、内外部协作、情报分析等软件，服务六万余名律师，并从多个</w:t>
      </w:r>
      <w:r>
        <w:rPr>
          <w:spacing w:val="-89"/>
        </w:rPr>
        <w:t> </w:t>
      </w:r>
      <w:r>
        <w:rPr>
          <w:spacing w:val="-89"/>
        </w:rPr>
      </w:r>
      <w:r>
        <w:rPr>
          <w:spacing w:val="-2"/>
        </w:rPr>
        <w:t>行业的头部企业开始逐步拓展企业客户；同时，围绕司法诉讼积极创新和拓展法律科技服务。</w:t>
      </w:r>
      <w:r>
        <w:rPr/>
        <w:t> 公司持续丰富法律科技网络并构建“一体化法律服务平台”，布局未来法律科技生态，努力</w:t>
      </w:r>
      <w:r>
        <w:rPr>
          <w:spacing w:val="-89"/>
        </w:rPr>
        <w:t> </w:t>
      </w:r>
      <w:r>
        <w:rPr>
          <w:spacing w:val="-89"/>
        </w:rPr>
      </w:r>
      <w:r>
        <w:rPr/>
        <w:t>推进新时代法律服务。</w:t>
      </w:r>
    </w:p>
    <w:p>
      <w:pPr>
        <w:pStyle w:val="Heading3"/>
        <w:spacing w:line="273" w:lineRule="auto" w:before="53"/>
        <w:ind w:right="996" w:firstLine="480"/>
        <w:jc w:val="left"/>
      </w:pPr>
      <w:r>
        <w:rPr/>
        <w:t>报告期内，公司积极投入，持续探索技术创新，将各行业的共性业务沉淀，通过业务与 技术的融合，实现数据、技术和业务功能的复用，重点打造了基于微服务架构体系的“技术</w:t>
      </w:r>
      <w:r>
        <w:rPr>
          <w:spacing w:val="-89"/>
        </w:rPr>
        <w:t> </w:t>
      </w:r>
      <w:r>
        <w:rPr>
          <w:spacing w:val="-89"/>
        </w:rPr>
      </w:r>
      <w:r>
        <w:rPr/>
        <w:t>中台”、“数据和智能中台”和“业务中台”。其中，“技术中台”包括基础软件平台、应</w:t>
      </w:r>
      <w:r>
        <w:rPr>
          <w:spacing w:val="-87"/>
        </w:rPr>
        <w:t> </w:t>
      </w:r>
      <w:r>
        <w:rPr>
          <w:spacing w:val="-87"/>
        </w:rPr>
      </w:r>
      <w:r>
        <w:rPr>
          <w:spacing w:val="-2"/>
        </w:rPr>
        <w:t>用支撑平台、微服务支撑平台、共享交换平台、多媒体平台等。“数据和智能中台”由睿元、</w:t>
      </w:r>
      <w:r>
        <w:rPr/>
        <w:t> 睿核、智核和智链组成：睿元负责法律计算智能与数据管理，睿核负责法律认知智能与知识</w:t>
      </w:r>
      <w:r>
        <w:rPr>
          <w:spacing w:val="-89"/>
        </w:rPr>
        <w:t> </w:t>
      </w:r>
      <w:r>
        <w:rPr>
          <w:spacing w:val="-89"/>
        </w:rPr>
      </w:r>
      <w:r>
        <w:rPr>
          <w:spacing w:val="-2"/>
        </w:rPr>
        <w:t>管理，智核负责法律感知智能与交互管理，智链负责法律互信智能与存证管理。“业务中台”</w:t>
      </w:r>
      <w:r>
        <w:rPr/>
        <w:t> 目前拥有七大核心能力，包括电子卷宗、证据分析、文书制作、业务核查、法律智库、量刑</w:t>
      </w:r>
      <w:r>
        <w:rPr>
          <w:spacing w:val="-89"/>
        </w:rPr>
        <w:t> </w:t>
      </w:r>
      <w:r>
        <w:rPr>
          <w:spacing w:val="-89"/>
        </w:rPr>
      </w:r>
      <w:r>
        <w:rPr/>
        <w:t>分析和实体画像。基于“中台”架构，公司可以根据行业特点快速扩展创新应用，提升技术</w:t>
      </w:r>
      <w:r>
        <w:rPr>
          <w:spacing w:val="-89"/>
        </w:rPr>
        <w:t> </w:t>
      </w:r>
      <w:r>
        <w:rPr>
          <w:spacing w:val="-89"/>
        </w:rPr>
      </w:r>
      <w:r>
        <w:rPr/>
        <w:t>复用效率，加速产品服务响应，提升客户满意度。基于“技术中台”的多媒体能力，公司打</w:t>
      </w:r>
      <w:r>
        <w:rPr>
          <w:spacing w:val="-87"/>
        </w:rPr>
        <w:t> </w:t>
      </w:r>
      <w:r>
        <w:rPr>
          <w:spacing w:val="-87"/>
        </w:rPr>
      </w:r>
      <w:r>
        <w:rPr>
          <w:spacing w:val="2"/>
        </w:rPr>
        <w:t>造“云间”互联网视频产品，在</w:t>
      </w:r>
      <w:r>
        <w:rPr>
          <w:spacing w:val="-56"/>
        </w:rPr>
        <w:t> </w:t>
      </w:r>
      <w:r>
        <w:rPr>
          <w:rFonts w:ascii="Arial" w:hAnsi="Arial" w:cs="Arial" w:eastAsia="Arial" w:hint="default"/>
        </w:rPr>
        <w:t>2020</w:t>
      </w:r>
      <w:r>
        <w:rPr>
          <w:rFonts w:ascii="Arial" w:hAnsi="Arial" w:cs="Arial" w:eastAsia="Arial" w:hint="default"/>
          <w:spacing w:val="-4"/>
        </w:rPr>
        <w:t> </w:t>
      </w:r>
      <w:r>
        <w:rPr>
          <w:spacing w:val="2"/>
        </w:rPr>
        <w:t>年“新冠”疫情期间，免费为全国法院、检察院以及</w:t>
      </w:r>
      <w:r>
        <w:rPr>
          <w:spacing w:val="-115"/>
        </w:rPr>
        <w:t> </w:t>
      </w:r>
      <w:r>
        <w:rPr>
          <w:spacing w:val="-115"/>
        </w:rPr>
      </w:r>
      <w:r>
        <w:rPr/>
        <w:t>司法行政等相关单位，提供支持互联网庭审、远程调解等多项服务。“云间”互联网庭审上</w:t>
      </w:r>
      <w:r>
        <w:rPr>
          <w:spacing w:val="-90"/>
        </w:rPr>
        <w:t> </w:t>
      </w:r>
      <w:r>
        <w:rPr>
          <w:spacing w:val="-90"/>
        </w:rPr>
      </w:r>
      <w:r>
        <w:rPr>
          <w:spacing w:val="-6"/>
        </w:rPr>
        <w:t>线一个月，累计为全国</w:t>
      </w:r>
      <w:r>
        <w:rPr>
          <w:spacing w:val="-59"/>
        </w:rPr>
        <w:t> </w:t>
      </w:r>
      <w:r>
        <w:rPr>
          <w:rFonts w:ascii="Arial" w:hAnsi="Arial" w:cs="Arial" w:eastAsia="Arial" w:hint="default"/>
        </w:rPr>
        <w:t>31</w:t>
      </w:r>
      <w:r>
        <w:rPr>
          <w:rFonts w:ascii="Arial" w:hAnsi="Arial" w:cs="Arial" w:eastAsia="Arial" w:hint="default"/>
          <w:spacing w:val="-8"/>
        </w:rPr>
        <w:t> </w:t>
      </w:r>
      <w:r>
        <w:rPr>
          <w:spacing w:val="-15"/>
        </w:rPr>
        <w:t>个省（自治区、直辖市）近</w:t>
      </w:r>
      <w:r>
        <w:rPr>
          <w:spacing w:val="-57"/>
        </w:rPr>
        <w:t> </w:t>
      </w:r>
      <w:r>
        <w:rPr>
          <w:rFonts w:ascii="Arial" w:hAnsi="Arial" w:cs="Arial" w:eastAsia="Arial" w:hint="default"/>
        </w:rPr>
        <w:t>2500</w:t>
      </w:r>
      <w:r>
        <w:rPr>
          <w:rFonts w:ascii="Arial" w:hAnsi="Arial" w:cs="Arial" w:eastAsia="Arial" w:hint="default"/>
          <w:spacing w:val="-8"/>
        </w:rPr>
        <w:t> </w:t>
      </w:r>
      <w:r>
        <w:rPr/>
        <w:t>家法院</w:t>
      </w:r>
      <w:r>
        <w:rPr>
          <w:spacing w:val="-59"/>
        </w:rPr>
        <w:t> </w:t>
      </w:r>
      <w:r>
        <w:rPr>
          <w:rFonts w:ascii="Arial" w:hAnsi="Arial" w:cs="Arial" w:eastAsia="Arial" w:hint="default"/>
        </w:rPr>
        <w:t>13600</w:t>
      </w:r>
      <w:r>
        <w:rPr>
          <w:rFonts w:ascii="Arial" w:hAnsi="Arial" w:cs="Arial" w:eastAsia="Arial" w:hint="default"/>
          <w:spacing w:val="-8"/>
        </w:rPr>
        <w:t> </w:t>
      </w:r>
      <w:r>
        <w:rPr/>
        <w:t>余间法庭开通服务，</w:t>
      </w:r>
    </w:p>
    <w:p>
      <w:pPr>
        <w:pStyle w:val="Heading3"/>
        <w:spacing w:line="288" w:lineRule="auto"/>
        <w:ind w:left="592" w:right="996" w:hanging="480"/>
        <w:jc w:val="left"/>
      </w:pPr>
      <w:r>
        <w:rPr/>
        <w:t>期间支持开庭审理超过</w:t>
      </w:r>
      <w:r>
        <w:rPr>
          <w:spacing w:val="-60"/>
        </w:rPr>
        <w:t> </w:t>
      </w:r>
      <w:r>
        <w:rPr>
          <w:rFonts w:ascii="Arial" w:hAnsi="Arial" w:cs="Arial" w:eastAsia="Arial" w:hint="default"/>
        </w:rPr>
        <w:t>2.6</w:t>
      </w:r>
      <w:r>
        <w:rPr>
          <w:rFonts w:ascii="Arial" w:hAnsi="Arial" w:cs="Arial" w:eastAsia="Arial" w:hint="default"/>
          <w:spacing w:val="-9"/>
        </w:rPr>
        <w:t> </w:t>
      </w:r>
      <w:r>
        <w:rPr/>
        <w:t>万次，累计开庭时间近</w:t>
      </w:r>
      <w:r>
        <w:rPr>
          <w:spacing w:val="-60"/>
        </w:rPr>
        <w:t> </w:t>
      </w:r>
      <w:r>
        <w:rPr>
          <w:rFonts w:ascii="Arial" w:hAnsi="Arial" w:cs="Arial" w:eastAsia="Arial" w:hint="default"/>
        </w:rPr>
        <w:t>3</w:t>
      </w:r>
      <w:r>
        <w:rPr>
          <w:rFonts w:ascii="Arial" w:hAnsi="Arial" w:cs="Arial" w:eastAsia="Arial" w:hint="default"/>
          <w:spacing w:val="-6"/>
        </w:rPr>
        <w:t> </w:t>
      </w:r>
      <w:r>
        <w:rPr/>
        <w:t>万小时。 报告期内，公司继续深耕“司法”环节（法院和检察院）的业务，坚持业务软件和解决</w:t>
      </w:r>
    </w:p>
    <w:p>
      <w:pPr>
        <w:pStyle w:val="Heading3"/>
        <w:spacing w:line="271" w:lineRule="auto"/>
        <w:ind w:right="995"/>
        <w:jc w:val="left"/>
      </w:pPr>
      <w:r>
        <w:rPr/>
        <w:t>方案创新，持续提升市场地位和竞争优势。公司正式发布“第三代智慧审判解决方案”，推</w:t>
      </w:r>
      <w:r>
        <w:rPr>
          <w:spacing w:val="-89"/>
        </w:rPr>
        <w:t> </w:t>
      </w:r>
      <w:r>
        <w:rPr>
          <w:spacing w:val="-89"/>
        </w:rPr>
      </w:r>
      <w:r>
        <w:rPr>
          <w:spacing w:val="-2"/>
        </w:rPr>
        <w:t>出全国首款基于信创技术套件，以微服务架构结合人工智能技术的新一代智慧审判业务系统，</w:t>
      </w:r>
      <w:r>
        <w:rPr/>
        <w:t> </w:t>
      </w:r>
      <w:r>
        <w:rPr>
          <w:spacing w:val="-3"/>
        </w:rPr>
        <w:t>引领全国法院信息化迈上新台阶。公司携手蚂蚁金服，以司法业务</w:t>
      </w:r>
      <w:r>
        <w:rPr>
          <w:rFonts w:ascii="Arial" w:hAnsi="Arial" w:cs="Arial" w:eastAsia="Arial" w:hint="default"/>
          <w:spacing w:val="-3"/>
        </w:rPr>
        <w:t>+</w:t>
      </w:r>
      <w:r>
        <w:rPr>
          <w:spacing w:val="-3"/>
        </w:rPr>
        <w:t>区块链底层技术有机结合</w:t>
      </w:r>
      <w:r>
        <w:rPr>
          <w:spacing w:val="-99"/>
        </w:rPr>
        <w:t> </w:t>
      </w:r>
      <w:r>
        <w:rPr>
          <w:spacing w:val="-6"/>
        </w:rPr>
        <w:t>的方式，共同打造司法区块链平台“智链”；基于该平台，公司完成全国</w:t>
      </w:r>
      <w:r>
        <w:rPr>
          <w:spacing w:val="-57"/>
        </w:rPr>
        <w:t> </w:t>
      </w:r>
      <w:r>
        <w:rPr>
          <w:rFonts w:ascii="Arial" w:hAnsi="Arial" w:cs="Arial" w:eastAsia="Arial" w:hint="default"/>
        </w:rPr>
        <w:t>20</w:t>
      </w:r>
      <w:r>
        <w:rPr>
          <w:rFonts w:ascii="Arial" w:hAnsi="Arial" w:cs="Arial" w:eastAsia="Arial" w:hint="default"/>
          <w:spacing w:val="-6"/>
        </w:rPr>
        <w:t> </w:t>
      </w:r>
      <w:r>
        <w:rPr>
          <w:spacing w:val="-5"/>
        </w:rPr>
        <w:t>余个省（自治区、</w:t>
      </w:r>
      <w:r>
        <w:rPr/>
        <w:t> 直辖市）电子诉讼平台的“区块链”技术升级，着力解决司法诉讼流程中的信任类问题。公</w:t>
      </w:r>
      <w:r>
        <w:rPr>
          <w:spacing w:val="-89"/>
        </w:rPr>
        <w:t> </w:t>
      </w:r>
      <w:r>
        <w:rPr>
          <w:spacing w:val="-89"/>
        </w:rPr>
      </w:r>
      <w:r>
        <w:rPr/>
        <w:t>司作为助力法院“智慧服务”建设的先行者，打造包括北京互联网法院全流程一体化电子诉</w:t>
      </w:r>
      <w:r>
        <w:rPr>
          <w:spacing w:val="-89"/>
        </w:rPr>
        <w:t> </w:t>
      </w:r>
      <w:r>
        <w:rPr>
          <w:spacing w:val="-89"/>
        </w:rPr>
      </w:r>
      <w:r>
        <w:rPr/>
        <w:t>讼平台、上海法院“智慧舱”，以及“智慧调解平台”、“互联网诉讼服务中心”、“一站</w:t>
      </w:r>
      <w:r>
        <w:rPr>
          <w:spacing w:val="-89"/>
        </w:rPr>
        <w:t> </w:t>
      </w:r>
      <w:r>
        <w:rPr>
          <w:spacing w:val="-89"/>
        </w:rPr>
      </w:r>
      <w:r>
        <w:rPr/>
        <w:t>解纷争”、“两个一站式”等一批具有全国影响力的成功案例，持续助力法院提升面向公众</w:t>
      </w:r>
      <w:r>
        <w:rPr>
          <w:spacing w:val="-89"/>
        </w:rPr>
        <w:t> </w:t>
      </w:r>
      <w:r>
        <w:rPr>
          <w:spacing w:val="-89"/>
        </w:rPr>
      </w:r>
      <w:r>
        <w:rPr/>
        <w:t>的法律服务水平。公司积极参与最高检统一业务应用系统 </w:t>
      </w:r>
      <w:r>
        <w:rPr>
          <w:rFonts w:ascii="Arial" w:hAnsi="Arial" w:cs="Arial" w:eastAsia="Arial" w:hint="default"/>
        </w:rPr>
        <w:t>2.0</w:t>
      </w:r>
      <w:r>
        <w:rPr>
          <w:rFonts w:ascii="Arial" w:hAnsi="Arial" w:cs="Arial" w:eastAsia="Arial" w:hint="default"/>
          <w:spacing w:val="-13"/>
        </w:rPr>
        <w:t> </w:t>
      </w:r>
      <w:r>
        <w:rPr/>
        <w:t>的建设工作，发布新一代智慧</w:t>
      </w:r>
    </w:p>
    <w:p>
      <w:pPr>
        <w:pStyle w:val="Heading3"/>
        <w:spacing w:line="271" w:lineRule="auto"/>
        <w:ind w:right="993"/>
        <w:jc w:val="left"/>
      </w:pPr>
      <w:r>
        <w:rPr/>
        <w:t>检务应用体系</w:t>
      </w:r>
      <w:r>
        <w:rPr>
          <w:spacing w:val="-86"/>
        </w:rPr>
        <w:t> </w:t>
      </w:r>
      <w:r>
        <w:rPr>
          <w:rFonts w:ascii="Arial" w:hAnsi="Arial" w:cs="Arial" w:eastAsia="Arial" w:hint="default"/>
        </w:rPr>
        <w:t>2.0</w:t>
      </w:r>
      <w:r>
        <w:rPr>
          <w:rFonts w:ascii="Arial" w:hAnsi="Arial" w:cs="Arial" w:eastAsia="Arial" w:hint="default"/>
          <w:spacing w:val="-34"/>
        </w:rPr>
        <w:t> </w:t>
      </w:r>
      <w:r>
        <w:rPr/>
        <w:t>和一系列辅助办案系统。智慧刑检辅助办案系统支持繁案精办、简案快办； 覆盖速裁程序、批捕、起诉办案全流程；实现案件审查、量刑研判、类案推送、法律智库、</w:t>
      </w:r>
      <w:r>
        <w:rPr>
          <w:spacing w:val="-89"/>
        </w:rPr>
        <w:t> </w:t>
      </w:r>
      <w:r>
        <w:rPr>
          <w:spacing w:val="-89"/>
        </w:rPr>
      </w:r>
      <w:r>
        <w:rPr/>
        <w:t>文书编写、诉讼监督及智慧出庭等多场景服务。羁押必要性审查智慧服务系统实现“案件智</w:t>
      </w:r>
      <w:r>
        <w:rPr>
          <w:spacing w:val="-89"/>
        </w:rPr>
        <w:t> </w:t>
      </w:r>
      <w:r>
        <w:rPr>
          <w:spacing w:val="-89"/>
        </w:rPr>
      </w:r>
      <w:r>
        <w:rPr/>
        <w:t>能推送、全面快速初审、分类集中处理”的“三步法”智慧办案新机制。这些创新的应用软</w:t>
      </w:r>
      <w:r>
        <w:rPr>
          <w:spacing w:val="-89"/>
        </w:rPr>
        <w:t> </w:t>
      </w:r>
      <w:r>
        <w:rPr>
          <w:spacing w:val="-89"/>
        </w:rPr>
      </w:r>
      <w:r>
        <w:rPr/>
        <w:t>件和解决方案，在持续创造客户价值并加强公司竞争优势的同时，也有效支撑了公司业务的</w:t>
      </w:r>
      <w:r>
        <w:rPr>
          <w:spacing w:val="-89"/>
        </w:rPr>
        <w:t> </w:t>
      </w:r>
      <w:r>
        <w:rPr>
          <w:spacing w:val="-89"/>
        </w:rPr>
      </w:r>
      <w:r>
        <w:rPr/>
        <w:t>持续有效增长。</w:t>
      </w:r>
    </w:p>
    <w:p>
      <w:pPr>
        <w:spacing w:after="0" w:line="271" w:lineRule="auto"/>
        <w:jc w:val="left"/>
        <w:sectPr>
          <w:pgSz w:w="11910" w:h="16840"/>
          <w:pgMar w:header="746" w:footer="1016" w:top="1060" w:bottom="1200" w:left="1020" w:right="0"/>
        </w:sectPr>
      </w:pPr>
    </w:p>
    <w:p>
      <w:pPr>
        <w:spacing w:line="240" w:lineRule="auto" w:before="3"/>
        <w:rPr>
          <w:rFonts w:ascii="宋体" w:hAnsi="宋体" w:cs="宋体" w:eastAsia="宋体" w:hint="default"/>
          <w:sz w:val="25"/>
          <w:szCs w:val="25"/>
        </w:rPr>
      </w:pPr>
    </w:p>
    <w:p>
      <w:pPr>
        <w:pStyle w:val="Heading3"/>
        <w:spacing w:line="273" w:lineRule="auto" w:before="26"/>
        <w:ind w:right="1125" w:firstLine="480"/>
        <w:jc w:val="both"/>
      </w:pPr>
      <w:r>
        <w:rPr/>
        <w:t>报告期内，公司立足“司法”环节业务既有的强竞争力和市场优势地位，重点围绕“两 法衔接”持续深入拓展“执法”领域。</w:t>
      </w:r>
      <w:r>
        <w:rPr>
          <w:rFonts w:ascii="宋体" w:hAnsi="宋体" w:cs="宋体" w:eastAsia="宋体" w:hint="default"/>
          <w:b/>
          <w:bCs/>
        </w:rPr>
        <w:t>在公安行业</w:t>
      </w:r>
      <w:r>
        <w:rPr/>
        <w:t>，公司以构建“智慧法制”为目标，围绕</w:t>
      </w:r>
      <w:r>
        <w:rPr>
          <w:spacing w:val="-89"/>
        </w:rPr>
        <w:t> </w:t>
      </w:r>
      <w:r>
        <w:rPr>
          <w:spacing w:val="-89"/>
        </w:rPr>
      </w:r>
      <w:r>
        <w:rPr/>
        <w:t>执法办案管理中心和执法信息化建设，全力打造“一站式”智能办案场所，建设全流程、全</w:t>
      </w:r>
      <w:r>
        <w:rPr>
          <w:spacing w:val="-89"/>
        </w:rPr>
        <w:t> </w:t>
      </w:r>
      <w:r>
        <w:rPr>
          <w:spacing w:val="-89"/>
        </w:rPr>
      </w:r>
      <w:r>
        <w:rPr/>
        <w:t>要素执法管理平台，为办案民警提供“管家式”执法办案服务，为法制审核与监督提供智能</w:t>
      </w:r>
      <w:r>
        <w:rPr>
          <w:spacing w:val="-89"/>
        </w:rPr>
        <w:t> </w:t>
      </w:r>
      <w:r>
        <w:rPr>
          <w:spacing w:val="-89"/>
        </w:rPr>
      </w:r>
      <w:r>
        <w:rPr/>
        <w:t>化辅助，为领导决策提供数据支撑。</w:t>
      </w:r>
      <w:r>
        <w:rPr>
          <w:rFonts w:ascii="宋体" w:hAnsi="宋体" w:cs="宋体" w:eastAsia="宋体" w:hint="default"/>
          <w:b/>
          <w:bCs/>
        </w:rPr>
        <w:t>在纪委监察委行业</w:t>
      </w:r>
      <w:r>
        <w:rPr/>
        <w:t>，公司定位为“行业信息化全生命周</w:t>
      </w:r>
      <w:r>
        <w:rPr>
          <w:spacing w:val="-90"/>
        </w:rPr>
        <w:t> </w:t>
      </w:r>
      <w:r>
        <w:rPr>
          <w:spacing w:val="-90"/>
        </w:rPr>
      </w:r>
      <w:r>
        <w:rPr/>
        <w:t>期解决方案提供商”，服务监察体制改革，承建了中央和多个省级重大信息化项目，客户群</w:t>
      </w:r>
      <w:r>
        <w:rPr>
          <w:spacing w:val="-89"/>
        </w:rPr>
        <w:t> </w:t>
      </w:r>
      <w:r>
        <w:rPr>
          <w:spacing w:val="-89"/>
        </w:rPr>
      </w:r>
      <w:r>
        <w:rPr/>
        <w:t>体已覆盖全国十六个省（自治区、直辖市）。</w:t>
      </w:r>
      <w:r>
        <w:rPr>
          <w:rFonts w:ascii="宋体" w:hAnsi="宋体" w:cs="宋体" w:eastAsia="宋体" w:hint="default"/>
          <w:b/>
          <w:bCs/>
        </w:rPr>
        <w:t>在司法行政行业</w:t>
      </w:r>
      <w:r>
        <w:rPr/>
        <w:t>，公司打造行政执法监督平台</w:t>
      </w:r>
      <w:r>
        <w:rPr>
          <w:spacing w:val="-89"/>
        </w:rPr>
        <w:t> </w:t>
      </w:r>
      <w:r>
        <w:rPr>
          <w:spacing w:val="-89"/>
        </w:rPr>
      </w:r>
      <w:r>
        <w:rPr/>
        <w:t>和行政立法平台，成功在青海省、江苏省等地完成产品部署，成为全国标杆。监狱核心业务</w:t>
      </w:r>
      <w:r>
        <w:rPr>
          <w:spacing w:val="-89"/>
        </w:rPr>
        <w:t> </w:t>
      </w:r>
      <w:r>
        <w:rPr>
          <w:spacing w:val="-89"/>
        </w:rPr>
      </w:r>
      <w:r>
        <w:rPr/>
        <w:t>系统“一站式综合管理平台”在北京市、云南省、浙江省等多地部署应用。戒毒核心业务系</w:t>
      </w:r>
      <w:r>
        <w:rPr>
          <w:spacing w:val="-89"/>
        </w:rPr>
        <w:t> </w:t>
      </w:r>
      <w:r>
        <w:rPr>
          <w:spacing w:val="-89"/>
        </w:rPr>
      </w:r>
      <w:r>
        <w:rPr/>
        <w:t>统“一站式平台”在重庆市、内蒙古自治区、福建省等地实现产品落地。</w:t>
      </w:r>
      <w:r>
        <w:rPr>
          <w:rFonts w:ascii="宋体" w:hAnsi="宋体" w:cs="宋体" w:eastAsia="宋体" w:hint="default"/>
          <w:b/>
          <w:bCs/>
        </w:rPr>
        <w:t>在政法委行业</w:t>
      </w:r>
      <w:r>
        <w:rPr/>
        <w:t>，公</w:t>
      </w:r>
      <w:r>
        <w:rPr>
          <w:spacing w:val="-90"/>
        </w:rPr>
        <w:t> </w:t>
      </w:r>
      <w:r>
        <w:rPr/>
        <w:t>司以跨部门政法协同业务为主线，重点从服务跨部门业务协同、服务现代化社会治理、服务</w:t>
      </w:r>
      <w:r>
        <w:rPr>
          <w:spacing w:val="-89"/>
        </w:rPr>
        <w:t> </w:t>
      </w:r>
      <w:r>
        <w:rPr>
          <w:spacing w:val="-89"/>
        </w:rPr>
      </w:r>
      <w:r>
        <w:rPr/>
        <w:t>政法委内部业务三方面入手，打造多款适用于新时代政法智能化建设的创新应用。</w:t>
      </w:r>
      <w:r>
        <w:rPr>
          <w:spacing w:val="-77"/>
        </w:rPr>
        <w:t> </w:t>
      </w:r>
      <w:r>
        <w:rPr/>
        <w:t>“创新政</w:t>
      </w:r>
      <w:r>
        <w:rPr/>
        <w:t> 法办案智能管理系统”打通</w:t>
      </w:r>
      <w:r>
        <w:rPr>
          <w:spacing w:val="-70"/>
        </w:rPr>
        <w:t> </w:t>
      </w:r>
      <w:r>
        <w:rPr>
          <w:rFonts w:ascii="Arial" w:hAnsi="Arial" w:cs="Arial" w:eastAsia="Arial" w:hint="default"/>
        </w:rPr>
        <w:t>56</w:t>
      </w:r>
      <w:r>
        <w:rPr>
          <w:rFonts w:ascii="Arial" w:hAnsi="Arial" w:cs="Arial" w:eastAsia="Arial" w:hint="default"/>
          <w:spacing w:val="-21"/>
        </w:rPr>
        <w:t> </w:t>
      </w:r>
      <w:r>
        <w:rPr/>
        <w:t>类协同业务流程，</w:t>
      </w:r>
      <w:r>
        <w:rPr>
          <w:rFonts w:ascii="Arial" w:hAnsi="Arial" w:cs="Arial" w:eastAsia="Arial" w:hint="default"/>
        </w:rPr>
        <w:t>340</w:t>
      </w:r>
      <w:r>
        <w:rPr>
          <w:rFonts w:ascii="Arial" w:hAnsi="Arial" w:cs="Arial" w:eastAsia="Arial" w:hint="default"/>
          <w:spacing w:val="-21"/>
        </w:rPr>
        <w:t> </w:t>
      </w:r>
      <w:r>
        <w:rPr>
          <w:spacing w:val="-3"/>
        </w:rPr>
        <w:t>余个协同环节；“跨部门大数据办案及</w:t>
      </w:r>
      <w:r>
        <w:rPr/>
        <w:t> 智能辅助等系列解决方案”</w:t>
      </w:r>
      <w:r>
        <w:rPr>
          <w:spacing w:val="-1"/>
        </w:rPr>
        <w:t> </w:t>
      </w:r>
      <w:r>
        <w:rPr/>
        <w:t>聚焦一线实战，助力深度协同办案，在</w:t>
      </w:r>
      <w:r>
        <w:rPr>
          <w:spacing w:val="-60"/>
        </w:rPr>
        <w:t> </w:t>
      </w:r>
      <w:r>
        <w:rPr>
          <w:rFonts w:ascii="Arial" w:hAnsi="Arial" w:cs="Arial" w:eastAsia="Arial" w:hint="default"/>
        </w:rPr>
        <w:t>6</w:t>
      </w:r>
      <w:r>
        <w:rPr>
          <w:rFonts w:ascii="Arial" w:hAnsi="Arial" w:cs="Arial" w:eastAsia="Arial" w:hint="default"/>
          <w:spacing w:val="-6"/>
        </w:rPr>
        <w:t> </w:t>
      </w:r>
      <w:r>
        <w:rPr/>
        <w:t>省</w:t>
      </w:r>
      <w:r>
        <w:rPr>
          <w:spacing w:val="-60"/>
        </w:rPr>
        <w:t> </w:t>
      </w:r>
      <w:r>
        <w:rPr>
          <w:rFonts w:ascii="Arial" w:hAnsi="Arial" w:cs="Arial" w:eastAsia="Arial" w:hint="default"/>
        </w:rPr>
        <w:t>2</w:t>
      </w:r>
      <w:r>
        <w:rPr>
          <w:rFonts w:ascii="Arial" w:hAnsi="Arial" w:cs="Arial" w:eastAsia="Arial" w:hint="default"/>
          <w:spacing w:val="-9"/>
        </w:rPr>
        <w:t> </w:t>
      </w:r>
      <w:r>
        <w:rPr/>
        <w:t>市深化应用。</w:t>
      </w:r>
    </w:p>
    <w:p>
      <w:pPr>
        <w:pStyle w:val="Heading3"/>
        <w:spacing w:line="271" w:lineRule="auto" w:before="29"/>
        <w:ind w:right="996" w:firstLine="480"/>
        <w:jc w:val="left"/>
      </w:pPr>
      <w:r>
        <w:rPr>
          <w:spacing w:val="-3"/>
        </w:rPr>
        <w:t>公司在深耕“司法”和“执法”环节业务的同时，逐步延伸至“守法”环节。报告期内，</w:t>
      </w:r>
      <w:r>
        <w:rPr/>
        <w:t> 公司在</w:t>
      </w:r>
      <w:r>
        <w:rPr>
          <w:spacing w:val="-67"/>
        </w:rPr>
        <w:t> </w:t>
      </w:r>
      <w:r>
        <w:rPr>
          <w:rFonts w:ascii="Arial" w:hAnsi="Arial" w:cs="Arial" w:eastAsia="Arial" w:hint="default"/>
        </w:rPr>
        <w:t>G</w:t>
      </w:r>
      <w:r>
        <w:rPr>
          <w:rFonts w:ascii="Arial" w:hAnsi="Arial" w:cs="Arial" w:eastAsia="Arial" w:hint="default"/>
          <w:spacing w:val="-13"/>
        </w:rPr>
        <w:t> </w:t>
      </w:r>
      <w:r>
        <w:rPr/>
        <w:t>端“司法调解”领域继续发力，持续深化智慧调解系列产品，打造“诉调通”调解 协同产品、公共法律服务机器人、公共法律服务一体机等智能化产品；公司继续通过连接、</w:t>
      </w:r>
      <w:r>
        <w:rPr>
          <w:spacing w:val="-89"/>
        </w:rPr>
        <w:t> </w:t>
      </w:r>
      <w:r>
        <w:rPr>
          <w:spacing w:val="-89"/>
        </w:rPr>
      </w:r>
      <w:r>
        <w:rPr/>
        <w:t>赋能和促进内外部协作的方式，拓展</w:t>
      </w:r>
      <w:r>
        <w:rPr>
          <w:spacing w:val="-61"/>
        </w:rPr>
        <w:t> </w:t>
      </w:r>
      <w:r>
        <w:rPr>
          <w:rFonts w:ascii="Arial" w:hAnsi="Arial" w:cs="Arial" w:eastAsia="Arial" w:hint="default"/>
        </w:rPr>
        <w:t>B</w:t>
      </w:r>
      <w:r>
        <w:rPr>
          <w:rFonts w:ascii="Arial" w:hAnsi="Arial" w:cs="Arial" w:eastAsia="Arial" w:hint="default"/>
          <w:spacing w:val="-7"/>
        </w:rPr>
        <w:t> </w:t>
      </w:r>
      <w:r>
        <w:rPr/>
        <w:t>端法律科技业务。公司从诉讼服务和多元解纷场景入 手，打通法院和公证等法律服务机构，为律师（团队）提供业务智能辅助、内外部协作工具</w:t>
      </w:r>
      <w:r>
        <w:rPr>
          <w:spacing w:val="-89"/>
        </w:rPr>
        <w:t> </w:t>
      </w:r>
      <w:r>
        <w:rPr>
          <w:spacing w:val="-89"/>
        </w:rPr>
      </w:r>
      <w:r>
        <w:rPr>
          <w:spacing w:val="-8"/>
        </w:rPr>
        <w:t>和业务通路服务，服务六万余名律师。公司打造“风险管理”、“诉讼业务全生命周期管理”、</w:t>
      </w:r>
      <w:r>
        <w:rPr>
          <w:spacing w:val="-106"/>
        </w:rPr>
        <w:t> </w:t>
      </w:r>
      <w:r>
        <w:rPr>
          <w:spacing w:val="-106"/>
        </w:rPr>
      </w:r>
      <w:r>
        <w:rPr/>
        <w:t>“业务智能辅助”等应用软件并提供“情报分析”等数据服务，服务多个行业的头部企业客</w:t>
      </w:r>
      <w:r>
        <w:rPr>
          <w:spacing w:val="-89"/>
        </w:rPr>
        <w:t> </w:t>
      </w:r>
      <w:r>
        <w:rPr>
          <w:spacing w:val="-89"/>
        </w:rPr>
      </w:r>
      <w:r>
        <w:rPr/>
        <w:t>户。围绕司法诉讼，公司积极创新和拓展法律科技服务，在破产、金融等领域为商业客户提</w:t>
      </w:r>
      <w:r>
        <w:rPr>
          <w:spacing w:val="-89"/>
        </w:rPr>
        <w:t> </w:t>
      </w:r>
      <w:r>
        <w:rPr>
          <w:spacing w:val="-89"/>
        </w:rPr>
      </w:r>
      <w:r>
        <w:rPr/>
        <w:t>供智能化在线诉讼解决方案，为保险公司、银行、破产管理人等客户提供法律科技和增值服</w:t>
      </w:r>
      <w:r>
        <w:rPr>
          <w:spacing w:val="-89"/>
        </w:rPr>
        <w:t> </w:t>
      </w:r>
      <w:r>
        <w:rPr>
          <w:spacing w:val="-89"/>
        </w:rPr>
      </w:r>
      <w:r>
        <w:rPr/>
        <w:t>务产品。</w:t>
      </w:r>
    </w:p>
    <w:p>
      <w:pPr>
        <w:spacing w:line="240" w:lineRule="auto" w:before="7"/>
        <w:rPr>
          <w:rFonts w:ascii="宋体" w:hAnsi="宋体" w:cs="宋体" w:eastAsia="宋体" w:hint="default"/>
          <w:sz w:val="34"/>
          <w:szCs w:val="34"/>
        </w:rPr>
      </w:pPr>
    </w:p>
    <w:p>
      <w:pPr>
        <w:spacing w:line="290" w:lineRule="auto" w:before="0"/>
        <w:ind w:left="592" w:right="996" w:hanging="48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、教育信息化创新发展态势强</w:t>
      </w:r>
      <w:r>
        <w:rPr>
          <w:rFonts w:ascii="宋体" w:hAnsi="宋体" w:cs="宋体" w:eastAsia="宋体" w:hint="default"/>
          <w:b/>
          <w:bCs/>
          <w:w w:val="99"/>
          <w:sz w:val="24"/>
          <w:szCs w:val="24"/>
        </w:rPr>
        <w:t> </w:t>
      </w:r>
      <w:r>
        <w:rPr>
          <w:rFonts w:ascii="宋体" w:hAnsi="宋体" w:cs="宋体" w:eastAsia="宋体" w:hint="default"/>
          <w:sz w:val="24"/>
          <w:szCs w:val="24"/>
        </w:rPr>
        <w:t>在教育信息化领域，公司持续以应用软件产品和解决方案创新为核心市场驱动力，围绕</w:t>
      </w:r>
    </w:p>
    <w:p>
      <w:pPr>
        <w:pStyle w:val="Heading3"/>
        <w:spacing w:line="266" w:lineRule="auto"/>
        <w:ind w:right="996"/>
        <w:jc w:val="left"/>
      </w:pPr>
      <w:r>
        <w:rPr>
          <w:spacing w:val="-2"/>
        </w:rPr>
        <w:t>高校的教学、科研、管理和服务等全场景，提供覆盖师生及管理者全生命周期的、一站式的、</w:t>
      </w:r>
      <w:r>
        <w:rPr/>
        <w:t> </w:t>
      </w:r>
      <w:r>
        <w:rPr>
          <w:spacing w:val="2"/>
        </w:rPr>
        <w:t>可个性化配置的产品及整体解决方案。公司拥有</w:t>
      </w:r>
      <w:r>
        <w:rPr>
          <w:spacing w:val="-52"/>
        </w:rPr>
        <w:t> </w:t>
      </w:r>
      <w:r>
        <w:rPr>
          <w:rFonts w:ascii="Arial" w:hAnsi="Arial" w:cs="Arial" w:eastAsia="Arial" w:hint="default"/>
        </w:rPr>
        <w:t>140 </w:t>
      </w:r>
      <w:r>
        <w:rPr>
          <w:spacing w:val="2"/>
        </w:rPr>
        <w:t>多项自主知识产权产品，累计为</w:t>
      </w:r>
      <w:r>
        <w:rPr>
          <w:spacing w:val="-54"/>
        </w:rPr>
        <w:t> </w:t>
      </w:r>
      <w:r>
        <w:rPr>
          <w:rFonts w:ascii="Arial" w:hAnsi="Arial" w:cs="Arial" w:eastAsia="Arial" w:hint="default"/>
        </w:rPr>
        <w:t>1000</w:t>
      </w:r>
      <w:r>
        <w:rPr>
          <w:rFonts w:ascii="Arial" w:hAnsi="Arial" w:cs="Arial" w:eastAsia="Arial" w:hint="default"/>
          <w:spacing w:val="-57"/>
        </w:rPr>
        <w:t> </w:t>
      </w:r>
      <w:r>
        <w:rPr>
          <w:rFonts w:ascii="Arial" w:hAnsi="Arial" w:cs="Arial" w:eastAsia="Arial" w:hint="default"/>
          <w:spacing w:val="-57"/>
        </w:rPr>
      </w:r>
      <w:r>
        <w:rPr/>
        <w:t>余所高校、</w:t>
      </w:r>
      <w:r>
        <w:rPr>
          <w:rFonts w:ascii="Arial" w:hAnsi="Arial" w:cs="Arial" w:eastAsia="Arial" w:hint="default"/>
        </w:rPr>
        <w:t>2000</w:t>
      </w:r>
      <w:r>
        <w:rPr>
          <w:rFonts w:ascii="Arial" w:hAnsi="Arial" w:cs="Arial" w:eastAsia="Arial" w:hint="default"/>
          <w:spacing w:val="-4"/>
        </w:rPr>
        <w:t> </w:t>
      </w:r>
      <w:r>
        <w:rPr/>
        <w:t>多万师生提供信息化服务，客户覆盖全国</w:t>
      </w:r>
      <w:r>
        <w:rPr>
          <w:spacing w:val="-58"/>
        </w:rPr>
        <w:t> </w:t>
      </w:r>
      <w:r>
        <w:rPr>
          <w:rFonts w:ascii="Arial" w:hAnsi="Arial" w:cs="Arial" w:eastAsia="Arial" w:hint="default"/>
        </w:rPr>
        <w:t>30</w:t>
      </w:r>
      <w:r>
        <w:rPr>
          <w:rFonts w:ascii="Arial" w:hAnsi="Arial" w:cs="Arial" w:eastAsia="Arial" w:hint="default"/>
          <w:spacing w:val="-4"/>
        </w:rPr>
        <w:t> </w:t>
      </w:r>
      <w:r>
        <w:rPr/>
        <w:t>个省（自治区、直辖市）。在</w:t>
      </w:r>
      <w:r>
        <w:rPr>
          <w:spacing w:val="-115"/>
        </w:rPr>
        <w:t> </w:t>
      </w:r>
      <w:r>
        <w:rPr>
          <w:spacing w:val="-115"/>
        </w:rPr>
      </w:r>
      <w:r>
        <w:rPr/>
        <w:t>此基础上，公司积极布局“云服务”战略升级，在移动办公、在线教学、学生管理、会议服</w:t>
      </w:r>
      <w:r>
        <w:rPr>
          <w:spacing w:val="-89"/>
        </w:rPr>
        <w:t> </w:t>
      </w:r>
      <w:r>
        <w:rPr>
          <w:spacing w:val="-89"/>
        </w:rPr>
      </w:r>
      <w:r>
        <w:rPr/>
        <w:t>务、离校就业等业务细分领域，为客户提供</w:t>
      </w:r>
      <w:r>
        <w:rPr>
          <w:spacing w:val="-51"/>
        </w:rPr>
        <w:t> </w:t>
      </w:r>
      <w:r>
        <w:rPr>
          <w:rFonts w:ascii="Arial" w:hAnsi="Arial" w:cs="Arial" w:eastAsia="Arial" w:hint="default"/>
        </w:rPr>
        <w:t>SaaS</w:t>
      </w:r>
      <w:r>
        <w:rPr>
          <w:rFonts w:ascii="Arial" w:hAnsi="Arial" w:cs="Arial" w:eastAsia="Arial" w:hint="default"/>
          <w:spacing w:val="5"/>
        </w:rPr>
        <w:t> </w:t>
      </w:r>
      <w:r>
        <w:rPr/>
        <w:t>软件服务。未来，公司将积极探索服务创</w:t>
      </w:r>
      <w:r>
        <w:rPr>
          <w:spacing w:val="-100"/>
        </w:rPr>
        <w:t> </w:t>
      </w:r>
      <w:r>
        <w:rPr>
          <w:spacing w:val="-100"/>
        </w:rPr>
      </w:r>
      <w:r>
        <w:rPr/>
        <w:t>新、持续提升客户价值，全面支撑新形势下客户不断提升的信息化需求。</w:t>
      </w:r>
    </w:p>
    <w:p>
      <w:pPr>
        <w:pStyle w:val="Heading3"/>
        <w:spacing w:line="266" w:lineRule="auto" w:before="58"/>
        <w:ind w:right="1120" w:firstLine="480"/>
        <w:jc w:val="both"/>
      </w:pPr>
      <w:r>
        <w:rPr/>
        <w:t>报告期内，公司坚持应用软件和解决方案持续创新。公司发布基于容器技术、微服务架 构的</w:t>
      </w:r>
      <w:r>
        <w:rPr>
          <w:rFonts w:ascii="宋体" w:hAnsi="宋体" w:cs="宋体" w:eastAsia="宋体" w:hint="default"/>
          <w:b/>
          <w:bCs/>
        </w:rPr>
        <w:t>数据交换服务平台（</w:t>
      </w:r>
      <w:r>
        <w:rPr>
          <w:rFonts w:ascii="Arial" w:hAnsi="Arial" w:cs="Arial" w:eastAsia="Arial" w:hint="default"/>
          <w:b/>
          <w:bCs/>
        </w:rPr>
        <w:t>DTS</w:t>
      </w:r>
      <w:r>
        <w:rPr>
          <w:rFonts w:ascii="宋体" w:hAnsi="宋体" w:cs="宋体" w:eastAsia="宋体" w:hint="default"/>
          <w:b/>
          <w:bCs/>
        </w:rPr>
        <w:t>）</w:t>
      </w:r>
      <w:r>
        <w:rPr/>
        <w:t>，目前已在全国范围内服务</w:t>
      </w:r>
      <w:r>
        <w:rPr>
          <w:spacing w:val="-63"/>
        </w:rPr>
        <w:t> </w:t>
      </w:r>
      <w:r>
        <w:rPr>
          <w:rFonts w:ascii="Arial" w:hAnsi="Arial" w:cs="Arial" w:eastAsia="Arial" w:hint="default"/>
        </w:rPr>
        <w:t>100</w:t>
      </w:r>
      <w:r>
        <w:rPr>
          <w:rFonts w:ascii="Arial" w:hAnsi="Arial" w:cs="Arial" w:eastAsia="Arial" w:hint="default"/>
          <w:spacing w:val="-12"/>
        </w:rPr>
        <w:t> </w:t>
      </w:r>
      <w:r>
        <w:rPr/>
        <w:t>多家客户，多所院校部署试 用后正在启动招标程序。</w:t>
      </w:r>
      <w:r>
        <w:rPr>
          <w:rFonts w:ascii="宋体" w:hAnsi="宋体" w:cs="宋体" w:eastAsia="宋体" w:hint="default"/>
          <w:b/>
          <w:bCs/>
        </w:rPr>
        <w:t>在教育服务创新方面</w:t>
      </w:r>
      <w:r>
        <w:rPr/>
        <w:t>，基于语音识别、自然语言语义识别等人工智</w:t>
      </w:r>
      <w:r>
        <w:rPr>
          <w:spacing w:val="-89"/>
        </w:rPr>
        <w:t> </w:t>
      </w:r>
      <w:r>
        <w:rPr>
          <w:spacing w:val="-89"/>
        </w:rPr>
      </w:r>
      <w:r>
        <w:rPr/>
        <w:t>能技术，公司专为高校打造的</w:t>
      </w:r>
      <w:r>
        <w:rPr>
          <w:spacing w:val="-70"/>
        </w:rPr>
        <w:t> </w:t>
      </w:r>
      <w:r>
        <w:rPr>
          <w:rFonts w:ascii="Arial" w:hAnsi="Arial" w:cs="Arial" w:eastAsia="Arial" w:hint="default"/>
        </w:rPr>
        <w:t>SaaS</w:t>
      </w:r>
      <w:r>
        <w:rPr>
          <w:rFonts w:ascii="Arial" w:hAnsi="Arial" w:cs="Arial" w:eastAsia="Arial" w:hint="default"/>
          <w:spacing w:val="-18"/>
        </w:rPr>
        <w:t> </w:t>
      </w:r>
      <w:r>
        <w:rPr>
          <w:spacing w:val="-3"/>
        </w:rPr>
        <w:t>软件“校园</w:t>
      </w:r>
      <w:r>
        <w:rPr>
          <w:spacing w:val="-70"/>
        </w:rPr>
        <w:t> </w:t>
      </w:r>
      <w:r>
        <w:rPr>
          <w:rFonts w:ascii="Arial" w:hAnsi="Arial" w:cs="Arial" w:eastAsia="Arial" w:hint="default"/>
        </w:rPr>
        <w:t>AI</w:t>
      </w:r>
      <w:r>
        <w:rPr>
          <w:rFonts w:ascii="Arial" w:hAnsi="Arial" w:cs="Arial" w:eastAsia="Arial" w:hint="default"/>
          <w:spacing w:val="-18"/>
        </w:rPr>
        <w:t> </w:t>
      </w:r>
      <w:r>
        <w:rPr/>
        <w:t>助手”，通过连接面向师生的各类智慧校 园微服务，为用户提供便捷的在线服务；将各类教学数据进行整理和分析，为校领导提供决</w:t>
      </w:r>
    </w:p>
    <w:p>
      <w:pPr>
        <w:spacing w:after="0" w:line="266" w:lineRule="auto"/>
        <w:jc w:val="both"/>
        <w:sectPr>
          <w:pgSz w:w="11910" w:h="16840"/>
          <w:pgMar w:header="746" w:footer="1016" w:top="1060" w:bottom="1200" w:left="1020" w:right="0"/>
        </w:sectPr>
      </w:pPr>
    </w:p>
    <w:p>
      <w:pPr>
        <w:spacing w:line="240" w:lineRule="auto" w:before="3"/>
        <w:rPr>
          <w:rFonts w:ascii="宋体" w:hAnsi="宋体" w:cs="宋体" w:eastAsia="宋体" w:hint="default"/>
          <w:sz w:val="25"/>
          <w:szCs w:val="25"/>
        </w:rPr>
      </w:pPr>
    </w:p>
    <w:p>
      <w:pPr>
        <w:pStyle w:val="Heading3"/>
        <w:spacing w:line="264" w:lineRule="auto" w:before="26"/>
        <w:ind w:left="0" w:right="1120"/>
        <w:jc w:val="right"/>
      </w:pPr>
      <w:r>
        <w:rPr>
          <w:spacing w:val="2"/>
        </w:rPr>
        <w:t>策支持，助力打造新型智慧校园体系。“校园</w:t>
      </w:r>
      <w:r>
        <w:rPr>
          <w:spacing w:val="-55"/>
        </w:rPr>
        <w:t> </w:t>
      </w:r>
      <w:r>
        <w:rPr>
          <w:rFonts w:ascii="Arial" w:hAnsi="Arial" w:cs="Arial" w:eastAsia="Arial" w:hint="default"/>
        </w:rPr>
        <w:t>AI</w:t>
      </w:r>
      <w:r>
        <w:rPr>
          <w:rFonts w:ascii="Arial" w:hAnsi="Arial" w:cs="Arial" w:eastAsia="Arial" w:hint="default"/>
          <w:spacing w:val="-1"/>
        </w:rPr>
        <w:t> </w:t>
      </w:r>
      <w:r>
        <w:rPr/>
        <w:t>助手”自</w:t>
      </w:r>
      <w:r>
        <w:rPr>
          <w:spacing w:val="-55"/>
        </w:rPr>
        <w:t> </w:t>
      </w:r>
      <w:r>
        <w:rPr>
          <w:rFonts w:ascii="Arial" w:hAnsi="Arial" w:cs="Arial" w:eastAsia="Arial" w:hint="default"/>
        </w:rPr>
        <w:t>2019</w:t>
      </w:r>
      <w:r>
        <w:rPr>
          <w:rFonts w:ascii="Arial" w:hAnsi="Arial" w:cs="Arial" w:eastAsia="Arial" w:hint="default"/>
          <w:spacing w:val="-3"/>
        </w:rPr>
        <w:t> </w:t>
      </w:r>
      <w:r>
        <w:rPr/>
        <w:t>年</w:t>
      </w:r>
      <w:r>
        <w:rPr>
          <w:spacing w:val="-53"/>
        </w:rPr>
        <w:t> </w:t>
      </w:r>
      <w:r>
        <w:rPr>
          <w:rFonts w:ascii="Arial" w:hAnsi="Arial" w:cs="Arial" w:eastAsia="Arial" w:hint="default"/>
        </w:rPr>
        <w:t>10</w:t>
      </w:r>
      <w:r>
        <w:rPr>
          <w:rFonts w:ascii="Arial" w:hAnsi="Arial" w:cs="Arial" w:eastAsia="Arial" w:hint="default"/>
          <w:spacing w:val="-3"/>
        </w:rPr>
        <w:t> </w:t>
      </w:r>
      <w:r>
        <w:rPr/>
        <w:t>月发布以来，已在广 东财经大学、武汉科技大学等</w:t>
      </w:r>
      <w:r>
        <w:rPr>
          <w:spacing w:val="-48"/>
        </w:rPr>
        <w:t> </w:t>
      </w:r>
      <w:r>
        <w:rPr>
          <w:rFonts w:ascii="Arial" w:hAnsi="Arial" w:cs="Arial" w:eastAsia="Arial" w:hint="default"/>
        </w:rPr>
        <w:t>50</w:t>
      </w:r>
      <w:r>
        <w:rPr>
          <w:rFonts w:ascii="Arial" w:hAnsi="Arial" w:cs="Arial" w:eastAsia="Arial" w:hint="default"/>
          <w:spacing w:val="6"/>
        </w:rPr>
        <w:t> </w:t>
      </w:r>
      <w:r>
        <w:rPr/>
        <w:t>余所高校交付使用，累计提供</w:t>
      </w:r>
      <w:r>
        <w:rPr>
          <w:spacing w:val="-48"/>
        </w:rPr>
        <w:t> </w:t>
      </w:r>
      <w:r>
        <w:rPr>
          <w:rFonts w:ascii="Arial" w:hAnsi="Arial" w:cs="Arial" w:eastAsia="Arial" w:hint="default"/>
        </w:rPr>
        <w:t>AI</w:t>
      </w:r>
      <w:r>
        <w:rPr>
          <w:rFonts w:ascii="Arial" w:hAnsi="Arial" w:cs="Arial" w:eastAsia="Arial" w:hint="default"/>
          <w:spacing w:val="3"/>
        </w:rPr>
        <w:t> </w:t>
      </w:r>
      <w:r>
        <w:rPr/>
        <w:t>咨询服务</w:t>
      </w:r>
      <w:r>
        <w:rPr>
          <w:spacing w:val="-46"/>
        </w:rPr>
        <w:t> </w:t>
      </w:r>
      <w:r>
        <w:rPr>
          <w:rFonts w:ascii="Arial" w:hAnsi="Arial" w:cs="Arial" w:eastAsia="Arial" w:hint="default"/>
        </w:rPr>
        <w:t>3600</w:t>
      </w:r>
      <w:r>
        <w:rPr>
          <w:rFonts w:ascii="Arial" w:hAnsi="Arial" w:cs="Arial" w:eastAsia="Arial" w:hint="default"/>
          <w:spacing w:val="3"/>
        </w:rPr>
        <w:t> </w:t>
      </w:r>
      <w:r>
        <w:rPr/>
        <w:t>余万次， 累计服务人数 </w:t>
      </w:r>
      <w:r>
        <w:rPr>
          <w:rFonts w:ascii="Arial" w:hAnsi="Arial" w:cs="Arial" w:eastAsia="Arial" w:hint="default"/>
        </w:rPr>
        <w:t>90 </w:t>
      </w:r>
      <w:r>
        <w:rPr/>
        <w:t>万余人，平均咨询准确率超过</w:t>
      </w:r>
      <w:r>
        <w:rPr>
          <w:spacing w:val="-71"/>
        </w:rPr>
        <w:t> </w:t>
      </w:r>
      <w:r>
        <w:rPr>
          <w:rFonts w:ascii="Arial" w:hAnsi="Arial" w:cs="Arial" w:eastAsia="Arial" w:hint="default"/>
        </w:rPr>
        <w:t>90%</w:t>
      </w:r>
      <w:r>
        <w:rPr/>
        <w:t>。</w:t>
      </w:r>
      <w:r>
        <w:rPr>
          <w:rFonts w:ascii="宋体" w:hAnsi="宋体" w:cs="宋体" w:eastAsia="宋体" w:hint="default"/>
          <w:b/>
          <w:bCs/>
        </w:rPr>
        <w:t>在学生管理服务创新方面</w:t>
      </w:r>
      <w:r>
        <w:rPr/>
        <w:t>，公司推出 了社交式互联网应用</w:t>
      </w:r>
      <w:r>
        <w:rPr>
          <w:spacing w:val="12"/>
        </w:rPr>
        <w:t> </w:t>
      </w:r>
      <w:r>
        <w:rPr>
          <w:spacing w:val="-3"/>
        </w:rPr>
        <w:t>“我在校园（辅导员助手）”微服务产品，从学生日常安全管理行为的</w:t>
      </w:r>
      <w:r>
        <w:rPr/>
        <w:t> 实施、数据的采集分析与展示、管理决策支持等多层次，提升学生日常安全精准管理水平。</w:t>
      </w:r>
    </w:p>
    <w:p>
      <w:pPr>
        <w:pStyle w:val="Heading3"/>
        <w:spacing w:line="266" w:lineRule="auto" w:before="62"/>
        <w:ind w:right="1129" w:firstLine="480"/>
        <w:jc w:val="both"/>
      </w:pPr>
      <w:r>
        <w:rPr/>
        <w:t>报告期内，智慧校园业务规模稳步提升。智慧校园平台及系列产品在全国范围内推广及 应用成果显著，存量客户粘性强，新增客户数量多，已累计为</w:t>
      </w:r>
      <w:r>
        <w:rPr>
          <w:spacing w:val="-64"/>
        </w:rPr>
        <w:t> </w:t>
      </w:r>
      <w:r>
        <w:rPr>
          <w:rFonts w:ascii="Arial" w:hAnsi="Arial" w:cs="Arial" w:eastAsia="Arial" w:hint="default"/>
        </w:rPr>
        <w:t>1000</w:t>
      </w:r>
      <w:r>
        <w:rPr>
          <w:rFonts w:ascii="Arial" w:hAnsi="Arial" w:cs="Arial" w:eastAsia="Arial" w:hint="default"/>
          <w:spacing w:val="-10"/>
        </w:rPr>
        <w:t> </w:t>
      </w:r>
      <w:r>
        <w:rPr/>
        <w:t>余所高校、</w:t>
      </w:r>
      <w:r>
        <w:rPr>
          <w:rFonts w:ascii="Arial" w:hAnsi="Arial" w:cs="Arial" w:eastAsia="Arial" w:hint="default"/>
        </w:rPr>
        <w:t>2000</w:t>
      </w:r>
      <w:r>
        <w:rPr>
          <w:rFonts w:ascii="Arial" w:hAnsi="Arial" w:cs="Arial" w:eastAsia="Arial" w:hint="default"/>
          <w:spacing w:val="-13"/>
        </w:rPr>
        <w:t> </w:t>
      </w:r>
      <w:r>
        <w:rPr/>
        <w:t>多万师 </w:t>
      </w:r>
      <w:r>
        <w:rPr>
          <w:spacing w:val="-3"/>
        </w:rPr>
        <w:t>生提供信息化服务。其中，广东、湖北、山东、河南等</w:t>
      </w:r>
      <w:r>
        <w:rPr>
          <w:spacing w:val="-55"/>
        </w:rPr>
        <w:t> </w:t>
      </w:r>
      <w:r>
        <w:rPr>
          <w:rFonts w:ascii="Arial" w:hAnsi="Arial" w:cs="Arial" w:eastAsia="Arial" w:hint="default"/>
        </w:rPr>
        <w:t>13</w:t>
      </w:r>
      <w:r>
        <w:rPr>
          <w:rFonts w:ascii="Arial" w:hAnsi="Arial" w:cs="Arial" w:eastAsia="Arial" w:hint="default"/>
          <w:spacing w:val="-5"/>
        </w:rPr>
        <w:t> </w:t>
      </w:r>
      <w:r>
        <w:rPr>
          <w:spacing w:val="-3"/>
        </w:rPr>
        <w:t>个省（自治区、直辖市）占据市场</w:t>
      </w:r>
      <w:r>
        <w:rPr/>
        <w:t> 绝对领先地位；在前期标杆案例的带动下，东北区域新增项目数量和订单金额取得了重大突</w:t>
      </w:r>
      <w:r>
        <w:rPr>
          <w:spacing w:val="-89"/>
        </w:rPr>
        <w:t> </w:t>
      </w:r>
      <w:r>
        <w:rPr>
          <w:spacing w:val="-89"/>
        </w:rPr>
      </w:r>
      <w:r>
        <w:rPr/>
        <w:t>破，区域内品牌影响力日趋显著。</w:t>
      </w:r>
    </w:p>
    <w:p>
      <w:pPr>
        <w:pStyle w:val="Heading3"/>
        <w:spacing w:line="273" w:lineRule="auto" w:before="60"/>
        <w:ind w:right="1009" w:firstLine="480"/>
        <w:jc w:val="both"/>
      </w:pPr>
      <w:r>
        <w:rPr/>
        <w:t>在教务教学领域，随着国家相关政策的推进，“高等教育质量常态监测管理软件”（包 括本科评估系统和专业认证系统）与“高等教育诊断改进管理软件”的市场需求持续快速释</w:t>
      </w:r>
      <w:r>
        <w:rPr>
          <w:spacing w:val="-87"/>
        </w:rPr>
        <w:t> </w:t>
      </w:r>
      <w:r>
        <w:rPr>
          <w:spacing w:val="-87"/>
        </w:rPr>
      </w:r>
      <w:r>
        <w:rPr/>
        <w:t>放。公司在该细分领域持续保持行业领先，在全国范围内已形成规模效应和品牌优势。报告</w:t>
      </w:r>
      <w:r>
        <w:rPr>
          <w:spacing w:val="-89"/>
        </w:rPr>
        <w:t> </w:t>
      </w:r>
      <w:r>
        <w:rPr>
          <w:spacing w:val="-89"/>
        </w:rPr>
      </w:r>
      <w:r>
        <w:rPr>
          <w:spacing w:val="-7"/>
        </w:rPr>
        <w:t>期内，公司已在全国 </w:t>
      </w:r>
      <w:r>
        <w:rPr>
          <w:rFonts w:ascii="Arial" w:hAnsi="Arial" w:cs="Arial" w:eastAsia="Arial" w:hint="default"/>
        </w:rPr>
        <w:t>26</w:t>
      </w:r>
      <w:r>
        <w:rPr>
          <w:rFonts w:ascii="Arial" w:hAnsi="Arial" w:cs="Arial" w:eastAsia="Arial" w:hint="default"/>
          <w:spacing w:val="-41"/>
        </w:rPr>
        <w:t> </w:t>
      </w:r>
      <w:r>
        <w:rPr>
          <w:spacing w:val="-6"/>
        </w:rPr>
        <w:t>个省（自治区、直辖市）打造数十所具有全国影响力的样板院校工程，</w:t>
      </w:r>
    </w:p>
    <w:p>
      <w:pPr>
        <w:pStyle w:val="Heading3"/>
        <w:spacing w:line="322" w:lineRule="exact"/>
        <w:ind w:right="0"/>
        <w:jc w:val="both"/>
      </w:pPr>
      <w:r>
        <w:rPr/>
        <w:t>帮助</w:t>
      </w:r>
      <w:r>
        <w:rPr>
          <w:spacing w:val="-60"/>
        </w:rPr>
        <w:t> </w:t>
      </w:r>
      <w:r>
        <w:rPr>
          <w:rFonts w:ascii="Arial" w:hAnsi="Arial" w:cs="Arial" w:eastAsia="Arial" w:hint="default"/>
        </w:rPr>
        <w:t>300</w:t>
      </w:r>
      <w:r>
        <w:rPr>
          <w:rFonts w:ascii="Arial" w:hAnsi="Arial" w:cs="Arial" w:eastAsia="Arial" w:hint="default"/>
          <w:spacing w:val="-9"/>
        </w:rPr>
        <w:t> </w:t>
      </w:r>
      <w:r>
        <w:rPr/>
        <w:t>余所院校成功推进了质量改进及教学改革，其中包括了众多“双一流”高校、“双</w:t>
      </w:r>
    </w:p>
    <w:p>
      <w:pPr>
        <w:pStyle w:val="Heading3"/>
        <w:spacing w:line="240" w:lineRule="auto" w:before="26"/>
        <w:ind w:right="0"/>
        <w:jc w:val="both"/>
      </w:pPr>
      <w:r>
        <w:rPr>
          <w:spacing w:val="-7"/>
        </w:rPr>
        <w:t>高计划”高校、国家示范和骨干院校。预计未来</w:t>
      </w:r>
      <w:r>
        <w:rPr>
          <w:spacing w:val="-51"/>
        </w:rPr>
        <w:t> </w:t>
      </w:r>
      <w:r>
        <w:rPr>
          <w:rFonts w:ascii="Arial" w:hAnsi="Arial" w:cs="Arial" w:eastAsia="Arial" w:hint="default"/>
        </w:rPr>
        <w:t>2-3</w:t>
      </w:r>
      <w:r>
        <w:rPr>
          <w:rFonts w:ascii="Arial" w:hAnsi="Arial" w:cs="Arial" w:eastAsia="Arial" w:hint="default"/>
          <w:spacing w:val="-3"/>
        </w:rPr>
        <w:t> </w:t>
      </w:r>
      <w:r>
        <w:rPr>
          <w:spacing w:val="-3"/>
        </w:rPr>
        <w:t>年公司在该细分产品领域的市场份额（目</w:t>
      </w:r>
    </w:p>
    <w:p>
      <w:pPr>
        <w:pStyle w:val="Heading3"/>
        <w:spacing w:line="264" w:lineRule="auto" w:before="26"/>
        <w:ind w:right="1129"/>
        <w:jc w:val="both"/>
      </w:pPr>
      <w:r>
        <w:rPr/>
        <w:t>前约</w:t>
      </w:r>
      <w:r>
        <w:rPr>
          <w:spacing w:val="-57"/>
        </w:rPr>
        <w:t> </w:t>
      </w:r>
      <w:r>
        <w:rPr>
          <w:rFonts w:ascii="Arial" w:hAnsi="Arial" w:cs="Arial" w:eastAsia="Arial" w:hint="default"/>
          <w:spacing w:val="-4"/>
        </w:rPr>
        <w:t>30%</w:t>
      </w:r>
      <w:r>
        <w:rPr>
          <w:spacing w:val="-4"/>
        </w:rPr>
        <w:t>左右）仍将持续快速提升。智慧教学融合解决方案“奕课堂”自</w:t>
      </w:r>
      <w:r>
        <w:rPr>
          <w:spacing w:val="-57"/>
        </w:rPr>
        <w:t> </w:t>
      </w:r>
      <w:r>
        <w:rPr>
          <w:rFonts w:ascii="Arial" w:hAnsi="Arial" w:cs="Arial" w:eastAsia="Arial" w:hint="default"/>
        </w:rPr>
        <w:t>2018</w:t>
      </w:r>
      <w:r>
        <w:rPr>
          <w:rFonts w:ascii="Arial" w:hAnsi="Arial" w:cs="Arial" w:eastAsia="Arial" w:hint="default"/>
          <w:spacing w:val="-3"/>
        </w:rPr>
        <w:t> </w:t>
      </w:r>
      <w:r>
        <w:rPr/>
        <w:t>年</w:t>
      </w:r>
      <w:r>
        <w:rPr>
          <w:spacing w:val="-57"/>
        </w:rPr>
        <w:t> </w:t>
      </w:r>
      <w:r>
        <w:rPr>
          <w:rFonts w:ascii="Arial" w:hAnsi="Arial" w:cs="Arial" w:eastAsia="Arial" w:hint="default"/>
        </w:rPr>
        <w:t>10</w:t>
      </w:r>
      <w:r>
        <w:rPr>
          <w:rFonts w:ascii="Arial" w:hAnsi="Arial" w:cs="Arial" w:eastAsia="Arial" w:hint="default"/>
          <w:spacing w:val="-6"/>
        </w:rPr>
        <w:t> </w:t>
      </w:r>
      <w:r>
        <w:rPr/>
        <w:t>月发布 以来，在全国范围内积极推广，成功打造华南理工大学、中山大学、暨南大学、兰州理工大</w:t>
      </w:r>
      <w:r>
        <w:rPr>
          <w:spacing w:val="-89"/>
        </w:rPr>
        <w:t> </w:t>
      </w:r>
      <w:r>
        <w:rPr>
          <w:spacing w:val="-89"/>
        </w:rPr>
      </w:r>
      <w:r>
        <w:rPr>
          <w:spacing w:val="2"/>
        </w:rPr>
        <w:t>学等智慧教室标杆案例，报告期内在全国多地陆续中标并建设落地。在</w:t>
      </w:r>
      <w:r>
        <w:rPr>
          <w:spacing w:val="-51"/>
        </w:rPr>
        <w:t> </w:t>
      </w:r>
      <w:r>
        <w:rPr>
          <w:rFonts w:ascii="Arial" w:hAnsi="Arial" w:cs="Arial" w:eastAsia="Arial" w:hint="default"/>
        </w:rPr>
        <w:t>2020</w:t>
      </w:r>
      <w:r>
        <w:rPr>
          <w:rFonts w:ascii="Arial" w:hAnsi="Arial" w:cs="Arial" w:eastAsia="Arial" w:hint="default"/>
          <w:spacing w:val="4"/>
        </w:rPr>
        <w:t> </w:t>
      </w:r>
      <w:r>
        <w:rPr/>
        <w:t>年“新冠”疫</w:t>
      </w:r>
      <w:r>
        <w:rPr>
          <w:spacing w:val="-117"/>
        </w:rPr>
        <w:t> </w:t>
      </w:r>
      <w:r>
        <w:rPr>
          <w:spacing w:val="-117"/>
        </w:rPr>
      </w:r>
      <w:r>
        <w:rPr/>
        <w:t>情期间，公司助力用户将“奕课堂”智慧教室新技术融入在线教学，创新线上教学新模式，</w:t>
      </w:r>
      <w:r>
        <w:rPr>
          <w:spacing w:val="-89"/>
        </w:rPr>
        <w:t> </w:t>
      </w:r>
      <w:r>
        <w:rPr>
          <w:spacing w:val="-89"/>
        </w:rPr>
      </w:r>
      <w:r>
        <w:rPr/>
        <w:t>为疫情期间的在线教学提供了良好的示范；公司第一时间免费开放“我在校园”、“校园</w:t>
      </w:r>
      <w:r>
        <w:rPr>
          <w:spacing w:val="-68"/>
        </w:rPr>
        <w:t> </w:t>
      </w:r>
      <w:r>
        <w:rPr>
          <w:rFonts w:ascii="Arial" w:hAnsi="Arial" w:cs="Arial" w:eastAsia="Arial" w:hint="default"/>
        </w:rPr>
        <w:t>AI</w:t>
      </w:r>
      <w:r>
        <w:rPr>
          <w:rFonts w:ascii="Arial" w:hAnsi="Arial" w:cs="Arial" w:eastAsia="Arial" w:hint="default"/>
          <w:w w:val="99"/>
        </w:rPr>
        <w:t> </w:t>
      </w:r>
      <w:r>
        <w:rPr/>
        <w:t>助手”、“奕课堂</w:t>
      </w:r>
      <w:r>
        <w:rPr>
          <w:rFonts w:ascii="Arial" w:hAnsi="Arial" w:cs="Arial" w:eastAsia="Arial" w:hint="default"/>
        </w:rPr>
        <w:t>——</w:t>
      </w:r>
      <w:r>
        <w:rPr/>
        <w:t>云教室”等相关创新产品，为全国</w:t>
      </w:r>
      <w:r>
        <w:rPr>
          <w:spacing w:val="-60"/>
        </w:rPr>
        <w:t> </w:t>
      </w:r>
      <w:r>
        <w:rPr>
          <w:rFonts w:ascii="Arial" w:hAnsi="Arial" w:cs="Arial" w:eastAsia="Arial" w:hint="default"/>
        </w:rPr>
        <w:t>500</w:t>
      </w:r>
      <w:r>
        <w:rPr>
          <w:rFonts w:ascii="Arial" w:hAnsi="Arial" w:cs="Arial" w:eastAsia="Arial" w:hint="default"/>
          <w:spacing w:val="-9"/>
        </w:rPr>
        <w:t> </w:t>
      </w:r>
      <w:r>
        <w:rPr/>
        <w:t>余所高校提供及时有效的特殊 保障，对高校新形势下的智慧教学应用建设，具有强示范意义。</w:t>
      </w:r>
    </w:p>
    <w:p>
      <w:pPr>
        <w:spacing w:line="240" w:lineRule="auto" w:before="3"/>
        <w:rPr>
          <w:rFonts w:ascii="宋体" w:hAnsi="宋体" w:cs="宋体" w:eastAsia="宋体" w:hint="default"/>
          <w:sz w:val="35"/>
          <w:szCs w:val="35"/>
        </w:rPr>
      </w:pPr>
    </w:p>
    <w:p>
      <w:pPr>
        <w:pStyle w:val="Heading2"/>
        <w:spacing w:line="240" w:lineRule="auto"/>
        <w:ind w:right="0"/>
        <w:jc w:val="both"/>
        <w:rPr>
          <w:b w:val="0"/>
          <w:bCs w:val="0"/>
        </w:rPr>
      </w:pPr>
      <w:r>
        <w:rPr>
          <w:rFonts w:ascii="Arial" w:hAnsi="Arial" w:cs="Arial" w:eastAsia="Arial" w:hint="default"/>
        </w:rPr>
        <w:t>3</w:t>
      </w:r>
      <w:r>
        <w:rPr/>
        <w:t>、信创业务发展领先，智慧政务空间打开</w:t>
      </w:r>
      <w:r>
        <w:rPr>
          <w:b w:val="0"/>
          <w:bCs w:val="0"/>
        </w:rPr>
      </w:r>
    </w:p>
    <w:p>
      <w:pPr>
        <w:pStyle w:val="Heading3"/>
        <w:spacing w:line="271" w:lineRule="auto" w:before="67"/>
        <w:ind w:right="996" w:firstLine="480"/>
        <w:jc w:val="left"/>
      </w:pPr>
      <w:r>
        <w:rPr>
          <w:spacing w:val="2"/>
        </w:rPr>
        <w:t>公司自</w:t>
      </w:r>
      <w:r>
        <w:rPr>
          <w:spacing w:val="-56"/>
        </w:rPr>
        <w:t> </w:t>
      </w:r>
      <w:r>
        <w:rPr>
          <w:rFonts w:ascii="Arial" w:hAnsi="Arial" w:cs="Arial" w:eastAsia="Arial" w:hint="default"/>
        </w:rPr>
        <w:t>2013</w:t>
      </w:r>
      <w:r>
        <w:rPr>
          <w:rFonts w:ascii="Arial" w:hAnsi="Arial" w:cs="Arial" w:eastAsia="Arial" w:hint="default"/>
          <w:spacing w:val="-2"/>
        </w:rPr>
        <w:t> </w:t>
      </w:r>
      <w:r>
        <w:rPr>
          <w:spacing w:val="2"/>
        </w:rPr>
        <w:t>年起参与电子公文标准编制与验证工作，参与电子公文技术攻关，一直将</w:t>
      </w:r>
      <w:r>
        <w:rPr/>
        <w:t> 信创业务作为公司重要发展战略。经过多年坚定的投入，公司在业务拓展、技术能力等多方</w:t>
      </w:r>
      <w:r>
        <w:rPr>
          <w:spacing w:val="-89"/>
        </w:rPr>
        <w:t> </w:t>
      </w:r>
      <w:r>
        <w:rPr>
          <w:spacing w:val="-89"/>
        </w:rPr>
      </w:r>
      <w:r>
        <w:rPr/>
        <w:t>面处于业内领先地位。报告期内，公司高质量完成前期试点项目验收工作，取得份额领先的</w:t>
      </w:r>
      <w:r>
        <w:rPr>
          <w:spacing w:val="-89"/>
        </w:rPr>
        <w:t> </w:t>
      </w:r>
      <w:r>
        <w:rPr>
          <w:spacing w:val="-89"/>
        </w:rPr>
      </w:r>
      <w:r>
        <w:rPr>
          <w:spacing w:val="-2"/>
        </w:rPr>
        <w:t>市场地位。根据信创技术路线，公司构建统一的信创技术支撑平台，积极开展信创业务布局，</w:t>
      </w:r>
      <w:r>
        <w:rPr/>
        <w:t> 创新产品和解决方案；构建产业链合作；在全国多地建设集成适配中心，以此持续提升集成</w:t>
      </w:r>
      <w:r>
        <w:rPr>
          <w:spacing w:val="-89"/>
        </w:rPr>
        <w:t> </w:t>
      </w:r>
      <w:r>
        <w:rPr>
          <w:spacing w:val="-89"/>
        </w:rPr>
      </w:r>
      <w:r>
        <w:rPr/>
        <w:t>服务能力；做好业务流程和人员组织保障，为信创市场全面启动做好充分准备。</w:t>
      </w:r>
    </w:p>
    <w:p>
      <w:pPr>
        <w:pStyle w:val="Heading3"/>
        <w:spacing w:line="273" w:lineRule="auto" w:before="55"/>
        <w:ind w:right="1132" w:firstLine="480"/>
        <w:jc w:val="both"/>
      </w:pPr>
      <w:r>
        <w:rPr/>
        <w:t>随着未来几年信创产业的加速发展，公司凭借在信创领域积累多年的技术、产品与实施 经验，在法律科技等传统优势领域将更具竞争力，并将以此为契机，拓展新的电子政务细分</w:t>
      </w:r>
      <w:r>
        <w:rPr>
          <w:spacing w:val="-89"/>
        </w:rPr>
        <w:t> </w:t>
      </w:r>
      <w:r>
        <w:rPr>
          <w:spacing w:val="-89"/>
        </w:rPr>
      </w:r>
      <w:r>
        <w:rPr/>
        <w:t>领域，打开“智慧政务”业务板块的发展空间。</w:t>
      </w:r>
    </w:p>
    <w:p>
      <w:pPr>
        <w:pStyle w:val="Heading3"/>
        <w:spacing w:line="268" w:lineRule="auto" w:before="50"/>
        <w:ind w:right="1120" w:firstLine="480"/>
        <w:jc w:val="both"/>
      </w:pPr>
      <w:r>
        <w:rPr>
          <w:spacing w:val="-3"/>
        </w:rPr>
        <w:t>报告期内，</w:t>
      </w:r>
      <w:r>
        <w:rPr>
          <w:rFonts w:ascii="宋体" w:hAnsi="宋体" w:cs="宋体" w:eastAsia="宋体" w:hint="default"/>
          <w:b/>
          <w:bCs/>
          <w:spacing w:val="-3"/>
        </w:rPr>
        <w:t>在产品和解决方案方面</w:t>
      </w:r>
      <w:r>
        <w:rPr>
          <w:spacing w:val="-3"/>
        </w:rPr>
        <w:t>，公司完成政务、法律、教育、金融等领域</w:t>
      </w:r>
      <w:r>
        <w:rPr>
          <w:spacing w:val="-64"/>
        </w:rPr>
        <w:t> </w:t>
      </w:r>
      <w:r>
        <w:rPr>
          <w:rFonts w:ascii="Arial" w:hAnsi="Arial" w:cs="Arial" w:eastAsia="Arial" w:hint="default"/>
        </w:rPr>
        <w:t>50</w:t>
      </w:r>
      <w:r>
        <w:rPr>
          <w:rFonts w:ascii="Arial" w:hAnsi="Arial" w:cs="Arial" w:eastAsia="Arial" w:hint="default"/>
          <w:spacing w:val="-13"/>
        </w:rPr>
        <w:t> </w:t>
      </w:r>
      <w:r>
        <w:rPr/>
        <w:t>余款产 品的信创适配改造；与飞腾、龙芯、鲲鹏、银河麒麟、中标麒麟等进行集成适配验证，发布</w:t>
      </w:r>
      <w:r>
        <w:rPr>
          <w:spacing w:val="-89"/>
        </w:rPr>
        <w:t> </w:t>
      </w:r>
      <w:r>
        <w:rPr>
          <w:spacing w:val="-89"/>
        </w:rPr>
      </w:r>
      <w:r>
        <w:rPr/>
        <w:t>联合解决方案。基于信创技术路线，公司构建信创技术支撑平台；通过为各行业应用提供可</w:t>
      </w:r>
      <w:r>
        <w:rPr>
          <w:spacing w:val="-89"/>
        </w:rPr>
        <w:t> </w:t>
      </w:r>
      <w:r>
        <w:rPr>
          <w:spacing w:val="-89"/>
        </w:rPr>
      </w:r>
      <w:r>
        <w:rPr/>
        <w:t>快速迁移、灵活适配、全面覆盖的基础技术支撑工具，该平台可以加速各行业应用软件集成</w:t>
      </w:r>
    </w:p>
    <w:p>
      <w:pPr>
        <w:spacing w:after="0" w:line="268" w:lineRule="auto"/>
        <w:jc w:val="both"/>
        <w:sectPr>
          <w:pgSz w:w="11910" w:h="16840"/>
          <w:pgMar w:header="746" w:footer="1016" w:top="1060" w:bottom="1200" w:left="1020" w:right="0"/>
        </w:sectPr>
      </w:pPr>
    </w:p>
    <w:p>
      <w:pPr>
        <w:spacing w:line="240" w:lineRule="auto" w:before="3"/>
        <w:rPr>
          <w:rFonts w:ascii="宋体" w:hAnsi="宋体" w:cs="宋体" w:eastAsia="宋体" w:hint="default"/>
          <w:sz w:val="25"/>
          <w:szCs w:val="25"/>
        </w:rPr>
      </w:pPr>
    </w:p>
    <w:p>
      <w:pPr>
        <w:pStyle w:val="Heading3"/>
        <w:spacing w:line="271" w:lineRule="auto" w:before="26"/>
        <w:ind w:left="0" w:right="1118"/>
        <w:jc w:val="right"/>
      </w:pPr>
      <w:r>
        <w:rPr/>
        <w:t>适配进度。基于该平台，公司发布新一代智慧政务协同解决方案（信创版），聚焦新型政务</w:t>
      </w:r>
      <w:r>
        <w:rPr>
          <w:spacing w:val="-117"/>
        </w:rPr>
        <w:t> </w:t>
      </w:r>
      <w:r>
        <w:rPr>
          <w:spacing w:val="-117"/>
        </w:rPr>
      </w:r>
      <w:r>
        <w:rPr/>
        <w:t>协同办公业务需要，围绕近</w:t>
      </w:r>
      <w:r>
        <w:rPr>
          <w:spacing w:val="-60"/>
        </w:rPr>
        <w:t> </w:t>
      </w:r>
      <w:r>
        <w:rPr>
          <w:rFonts w:ascii="Arial" w:hAnsi="Arial" w:cs="Arial" w:eastAsia="Arial" w:hint="default"/>
        </w:rPr>
        <w:t>30</w:t>
      </w:r>
      <w:r>
        <w:rPr>
          <w:rFonts w:ascii="Arial" w:hAnsi="Arial" w:cs="Arial" w:eastAsia="Arial" w:hint="default"/>
          <w:spacing w:val="-9"/>
        </w:rPr>
        <w:t> </w:t>
      </w:r>
      <w:r>
        <w:rPr>
          <w:spacing w:val="-4"/>
        </w:rPr>
        <w:t>个业务场景，覆盖公文、会议、督办、值班、党建、档案等政</w:t>
      </w:r>
      <w:r>
        <w:rPr/>
        <w:t> 务应用；通过数据、信息、服务和业务多方面协同，连接各业务系统的数据，实现政务大协</w:t>
      </w:r>
      <w:r>
        <w:rPr>
          <w:spacing w:val="-117"/>
        </w:rPr>
        <w:t> </w:t>
      </w:r>
      <w:r>
        <w:rPr>
          <w:spacing w:val="-117"/>
        </w:rPr>
      </w:r>
      <w:r>
        <w:rPr/>
        <w:t>同。此外，“华宇拼音输入法”和“华宇即时消息协作系统（信创版）”完成多个操作系统</w:t>
      </w:r>
      <w:r>
        <w:rPr>
          <w:spacing w:val="-117"/>
        </w:rPr>
        <w:t> </w:t>
      </w:r>
      <w:r>
        <w:rPr>
          <w:spacing w:val="-117"/>
        </w:rPr>
      </w:r>
      <w:r>
        <w:rPr/>
        <w:t>的适配，保障信创体系的信息输入环境，构建政务协同办公的消息中心、日程中心和用户中</w:t>
      </w:r>
      <w:r>
        <w:rPr>
          <w:spacing w:val="-117"/>
        </w:rPr>
        <w:t> </w:t>
      </w:r>
      <w:r>
        <w:rPr>
          <w:spacing w:val="-117"/>
        </w:rPr>
      </w:r>
      <w:r>
        <w:rPr/>
        <w:t>心。</w:t>
      </w:r>
      <w:r>
        <w:rPr>
          <w:spacing w:val="-83"/>
        </w:rPr>
        <w:t> </w:t>
      </w:r>
      <w:r>
        <w:rPr>
          <w:rFonts w:ascii="宋体" w:hAnsi="宋体" w:cs="宋体" w:eastAsia="宋体" w:hint="default"/>
          <w:b/>
          <w:bCs/>
        </w:rPr>
        <w:t>在集成服务能力建设方面</w:t>
      </w:r>
      <w:r>
        <w:rPr/>
        <w:t>，公司加大信创适配研究中心的投入，形成了标准化、规范化 </w:t>
      </w:r>
      <w:r>
        <w:rPr>
          <w:spacing w:val="-3"/>
        </w:rPr>
        <w:t>的集成操作规程，确保项目可以快速复制落地；基于龙芯、飞腾、兆芯、鲲鹏等不同</w:t>
      </w:r>
      <w:r>
        <w:rPr>
          <w:spacing w:val="-59"/>
        </w:rPr>
        <w:t> </w:t>
      </w:r>
      <w:r>
        <w:rPr>
          <w:rFonts w:ascii="Arial" w:hAnsi="Arial" w:cs="Arial" w:eastAsia="Arial" w:hint="default"/>
        </w:rPr>
        <w:t>CPU</w:t>
      </w:r>
      <w:r>
        <w:rPr>
          <w:rFonts w:ascii="Arial" w:hAnsi="Arial" w:cs="Arial" w:eastAsia="Arial" w:hint="default"/>
          <w:spacing w:val="-9"/>
        </w:rPr>
        <w:t> </w:t>
      </w:r>
      <w:r>
        <w:rPr/>
        <w:t>技 </w:t>
      </w:r>
      <w:r>
        <w:rPr>
          <w:spacing w:val="-3"/>
        </w:rPr>
        <w:t>术平台和基础软件，已形成近</w:t>
      </w:r>
      <w:r>
        <w:rPr>
          <w:spacing w:val="-56"/>
        </w:rPr>
        <w:t> </w:t>
      </w:r>
      <w:r>
        <w:rPr>
          <w:rFonts w:ascii="Arial" w:hAnsi="Arial" w:cs="Arial" w:eastAsia="Arial" w:hint="default"/>
        </w:rPr>
        <w:t>30</w:t>
      </w:r>
      <w:r>
        <w:rPr>
          <w:rFonts w:ascii="Arial" w:hAnsi="Arial" w:cs="Arial" w:eastAsia="Arial" w:hint="default"/>
          <w:spacing w:val="-2"/>
        </w:rPr>
        <w:t> </w:t>
      </w:r>
      <w:r>
        <w:rPr>
          <w:spacing w:val="-3"/>
        </w:rPr>
        <w:t>种适配组合方案。通过前期试点建设，公司储备了核心技术</w:t>
      </w:r>
      <w:r>
        <w:rPr/>
        <w:t> 能力，建立了内部培训体系，驻地运维团队具备了独立运维能力，并以此构筑了高交付弹性</w:t>
      </w:r>
      <w:r>
        <w:rPr>
          <w:spacing w:val="-117"/>
        </w:rPr>
        <w:t> </w:t>
      </w:r>
      <w:r>
        <w:rPr>
          <w:spacing w:val="-117"/>
        </w:rPr>
      </w:r>
      <w:r>
        <w:rPr/>
        <w:t>的工程实施能力。</w:t>
      </w:r>
      <w:r>
        <w:rPr>
          <w:rFonts w:ascii="宋体" w:hAnsi="宋体" w:cs="宋体" w:eastAsia="宋体" w:hint="default"/>
          <w:b/>
          <w:bCs/>
        </w:rPr>
        <w:t>在产业链合作方面</w:t>
      </w:r>
      <w:r>
        <w:rPr/>
        <w:t>，公司与飞腾、瀚高、数科、同方、立思辰、深信服、</w:t>
      </w:r>
      <w:r>
        <w:rPr>
          <w:spacing w:val="-112"/>
        </w:rPr>
        <w:t> </w:t>
      </w:r>
      <w:r>
        <w:rPr>
          <w:spacing w:val="-112"/>
        </w:rPr>
      </w:r>
      <w:r>
        <w:rPr/>
        <w:t>华云等多家企业就信创业务领域签署战略合作协议，共同开拓信创市场，推进产业发展；公</w:t>
      </w:r>
      <w:r>
        <w:rPr>
          <w:spacing w:val="-117"/>
        </w:rPr>
        <w:t> </w:t>
      </w:r>
      <w:r>
        <w:rPr>
          <w:spacing w:val="-117"/>
        </w:rPr>
      </w:r>
      <w:r>
        <w:rPr/>
        <w:t>司在北京、湖南、海南、四川等地加入当地鲲鹏生态联盟，在北京、上海、四川、湖北建设</w:t>
      </w:r>
      <w:r>
        <w:rPr>
          <w:spacing w:val="-117"/>
        </w:rPr>
        <w:t> </w:t>
      </w:r>
      <w:r>
        <w:rPr>
          <w:spacing w:val="-117"/>
        </w:rPr>
      </w:r>
      <w:r>
        <w:rPr/>
        <w:t>信创适配展示中心，协助当地政府各单位开展信创业务升级适配，推进当地信创产业落地。</w:t>
      </w:r>
    </w:p>
    <w:p>
      <w:pPr>
        <w:pStyle w:val="Heading3"/>
        <w:spacing w:line="273" w:lineRule="auto" w:before="53"/>
        <w:ind w:right="1132" w:firstLine="480"/>
        <w:jc w:val="both"/>
      </w:pPr>
      <w:r>
        <w:rPr/>
        <w:t>报告期内，在产品与解决方案、集成服务能力建设、产业链合作等方面，公司全面加强 业务布局，全力支持国家新型基础设施建设，为信创市场全面启动做好充分准备。信创产业</w:t>
      </w:r>
      <w:r>
        <w:rPr>
          <w:spacing w:val="-89"/>
        </w:rPr>
        <w:t> </w:t>
      </w:r>
      <w:r>
        <w:rPr>
          <w:spacing w:val="-89"/>
        </w:rPr>
      </w:r>
      <w:r>
        <w:rPr/>
        <w:t>的加速发展，将重塑整个电子政务行业，行业有望改变以往“散、乱、小”的特征，优质服</w:t>
      </w:r>
      <w:r>
        <w:rPr>
          <w:spacing w:val="-89"/>
        </w:rPr>
        <w:t> </w:t>
      </w:r>
      <w:r>
        <w:rPr>
          <w:spacing w:val="-89"/>
        </w:rPr>
      </w:r>
      <w:r>
        <w:rPr/>
        <w:t>务商有望在新一轮技术升级的过程中脱颖而出。在“智慧政务”业务板块，公司致力于为党</w:t>
      </w:r>
      <w:r>
        <w:rPr>
          <w:spacing w:val="-89"/>
        </w:rPr>
        <w:t> </w:t>
      </w:r>
      <w:r>
        <w:rPr>
          <w:spacing w:val="-89"/>
        </w:rPr>
      </w:r>
      <w:r>
        <w:rPr/>
        <w:t>政机关提供高效、便捷、安全的智慧政务解决方案，通过信创项目建设机会和党政机关新一</w:t>
      </w:r>
      <w:r>
        <w:rPr>
          <w:spacing w:val="-89"/>
        </w:rPr>
        <w:t> </w:t>
      </w:r>
      <w:r>
        <w:rPr>
          <w:spacing w:val="-89"/>
        </w:rPr>
      </w:r>
      <w:r>
        <w:rPr/>
        <w:t>代协同办公的要求，公司将有更多机会拓展新的政府客户。未来，公司预计将在多个新的电</w:t>
      </w:r>
      <w:r>
        <w:rPr>
          <w:spacing w:val="-89"/>
        </w:rPr>
        <w:t> </w:t>
      </w:r>
      <w:r>
        <w:rPr>
          <w:spacing w:val="-89"/>
        </w:rPr>
      </w:r>
      <w:r>
        <w:rPr/>
        <w:t>子政务细分市场扎根和深入发展。</w:t>
      </w:r>
    </w:p>
    <w:p>
      <w:pPr>
        <w:pStyle w:val="Heading3"/>
        <w:spacing w:line="271" w:lineRule="auto" w:before="50"/>
        <w:ind w:right="996" w:firstLine="480"/>
        <w:jc w:val="left"/>
      </w:pPr>
      <w:r>
        <w:rPr/>
        <w:t>在“智慧政务”市场监管细分领域，公司业务聚焦于市场监管、药品监管、综合行政执 </w:t>
      </w:r>
      <w:r>
        <w:rPr>
          <w:spacing w:val="-2"/>
        </w:rPr>
        <w:t>法等业务线，积极开展业务应用创新，形成市场监管、食品安全、药品安全三大解决方案集，</w:t>
      </w:r>
      <w:r>
        <w:rPr/>
        <w:t> </w:t>
      </w:r>
      <w:r>
        <w:rPr>
          <w:spacing w:val="-3"/>
        </w:rPr>
        <w:t>包括智慧市场监管、网络交易监管平台及服务、互联网</w:t>
      </w:r>
      <w:r>
        <w:rPr>
          <w:rFonts w:ascii="Arial" w:hAnsi="Arial" w:cs="Arial" w:eastAsia="Arial" w:hint="default"/>
          <w:spacing w:val="-3"/>
        </w:rPr>
        <w:t>+</w:t>
      </w:r>
      <w:r>
        <w:rPr>
          <w:spacing w:val="-3"/>
        </w:rPr>
        <w:t>监管、物价监测、校园食品安全、综</w:t>
      </w:r>
      <w:r>
        <w:rPr>
          <w:spacing w:val="-99"/>
        </w:rPr>
        <w:t> </w:t>
      </w:r>
      <w:r>
        <w:rPr>
          <w:spacing w:val="-99"/>
        </w:rPr>
      </w:r>
      <w:r>
        <w:rPr/>
        <w:t>合执法、药械化智慧监管以及食品追溯、疫苗追溯等解决方案。报告期内，公司承建的“国</w:t>
      </w:r>
      <w:r>
        <w:rPr>
          <w:spacing w:val="-89"/>
        </w:rPr>
        <w:t> </w:t>
      </w:r>
      <w:r>
        <w:rPr>
          <w:spacing w:val="-89"/>
        </w:rPr>
      </w:r>
      <w:r>
        <w:rPr/>
        <w:t>家药品监督管理局医疗器械生产企业监管信息平台”投入试运行，该平台有效提升药品监管</w:t>
      </w:r>
      <w:r>
        <w:rPr>
          <w:spacing w:val="-89"/>
        </w:rPr>
        <w:t> </w:t>
      </w:r>
      <w:r>
        <w:rPr>
          <w:spacing w:val="-89"/>
        </w:rPr>
      </w:r>
      <w:r>
        <w:rPr/>
        <w:t>领域的信息化水平，同时对公司拓展各省药监信息化业务有着重要促进作用。报告期内，公</w:t>
      </w:r>
      <w:r>
        <w:rPr>
          <w:spacing w:val="-89"/>
        </w:rPr>
        <w:t> </w:t>
      </w:r>
      <w:r>
        <w:rPr>
          <w:spacing w:val="-89"/>
        </w:rPr>
      </w:r>
      <w:r>
        <w:rPr/>
        <w:t>司继续巩固在市场监管领域的市场地位，业务覆盖全国</w:t>
      </w:r>
      <w:r>
        <w:rPr>
          <w:spacing w:val="-61"/>
        </w:rPr>
        <w:t> </w:t>
      </w:r>
      <w:r>
        <w:rPr>
          <w:rFonts w:ascii="Arial" w:hAnsi="Arial" w:cs="Arial" w:eastAsia="Arial" w:hint="default"/>
        </w:rPr>
        <w:t>20</w:t>
      </w:r>
      <w:r>
        <w:rPr>
          <w:rFonts w:ascii="Arial" w:hAnsi="Arial" w:cs="Arial" w:eastAsia="Arial" w:hint="default"/>
          <w:spacing w:val="-10"/>
        </w:rPr>
        <w:t> </w:t>
      </w:r>
      <w:r>
        <w:rPr/>
        <w:t>多个省（自治区、直辖市）。</w:t>
      </w:r>
    </w:p>
    <w:p>
      <w:pPr>
        <w:spacing w:line="240" w:lineRule="auto" w:before="8"/>
        <w:rPr>
          <w:rFonts w:ascii="宋体" w:hAnsi="宋体" w:cs="宋体" w:eastAsia="宋体" w:hint="default"/>
          <w:sz w:val="20"/>
          <w:szCs w:val="20"/>
        </w:rPr>
      </w:pPr>
    </w:p>
    <w:p>
      <w:pPr>
        <w:pStyle w:val="Heading2"/>
        <w:spacing w:line="240" w:lineRule="auto"/>
        <w:ind w:right="996"/>
        <w:jc w:val="left"/>
        <w:rPr>
          <w:b w:val="0"/>
          <w:bCs w:val="0"/>
        </w:rPr>
      </w:pPr>
      <w:bookmarkStart w:name="2、收入与成本" w:id="25"/>
      <w:bookmarkEnd w:id="25"/>
      <w:r>
        <w:rPr>
          <w:b w:val="0"/>
          <w:bCs w:val="0"/>
        </w:rPr>
      </w:r>
      <w:r>
        <w:rPr>
          <w:rFonts w:ascii="Arial" w:hAnsi="Arial" w:cs="Arial" w:eastAsia="Arial" w:hint="default"/>
        </w:rPr>
        <w:t>2</w:t>
      </w:r>
      <w:r>
        <w:rPr/>
        <w:t>、收入与成本</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996"/>
        <w:jc w:val="left"/>
        <w:rPr>
          <w:b w:val="0"/>
          <w:bCs w:val="0"/>
        </w:rPr>
      </w:pPr>
      <w:bookmarkStart w:name="（1）营业收入构成" w:id="26"/>
      <w:bookmarkEnd w:id="26"/>
      <w:r>
        <w:rPr>
          <w:b w:val="0"/>
          <w:bCs w:val="0"/>
        </w:rPr>
      </w:r>
      <w:r>
        <w:rPr/>
        <w:t>（</w:t>
      </w:r>
      <w:r>
        <w:rPr>
          <w:rFonts w:ascii="Arial" w:hAnsi="Arial" w:cs="Arial" w:eastAsia="Arial" w:hint="default"/>
        </w:rPr>
        <w:t>1</w:t>
      </w:r>
      <w:r>
        <w:rPr/>
        <w:t>）营业收入构成</w:t>
      </w:r>
      <w:r>
        <w:rPr>
          <w:b w:val="0"/>
          <w:bCs w:val="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6" w:footer="1016" w:top="1060" w:bottom="1200" w:left="1020" w:right="0"/>
        </w:sectPr>
      </w:pPr>
    </w:p>
    <w:p>
      <w:pPr>
        <w:pStyle w:val="Heading3"/>
        <w:spacing w:line="240" w:lineRule="auto" w:before="26"/>
        <w:ind w:right="-20"/>
        <w:jc w:val="left"/>
      </w:pPr>
      <w:r>
        <w:rPr/>
        <w:t>营业收入整体情况</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37"/>
        <w:ind w:right="0"/>
        <w:jc w:val="left"/>
      </w:pPr>
      <w:r>
        <w:rPr/>
        <w:t>单位：元</w:t>
      </w:r>
    </w:p>
    <w:p>
      <w:pPr>
        <w:spacing w:after="0" w:line="240" w:lineRule="auto"/>
        <w:jc w:val="left"/>
        <w:sectPr>
          <w:type w:val="continuous"/>
          <w:pgSz w:w="11910" w:h="16840"/>
          <w:pgMar w:top="1060" w:bottom="1200" w:left="1020" w:right="0"/>
          <w:cols w:num="2" w:equalWidth="0">
            <w:col w:w="2033" w:space="6765"/>
            <w:col w:w="2092"/>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780"/>
        <w:gridCol w:w="1707"/>
        <w:gridCol w:w="1706"/>
        <w:gridCol w:w="1575"/>
        <w:gridCol w:w="1202"/>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4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3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7" w:right="0"/>
              <w:jc w:val="left"/>
              <w:rPr>
                <w:rFonts w:ascii="Arial" w:hAnsi="Arial" w:cs="Arial" w:eastAsia="Arial" w:hint="default"/>
                <w:sz w:val="18"/>
                <w:szCs w:val="18"/>
              </w:rPr>
            </w:pPr>
            <w:r>
              <w:rPr>
                <w:rFonts w:ascii="Arial"/>
                <w:sz w:val="18"/>
              </w:rPr>
              <w:t>3,510,147,949.37</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Arial" w:hAnsi="Arial" w:cs="Arial" w:eastAsia="Arial" w:hint="default"/>
                <w:sz w:val="18"/>
                <w:szCs w:val="18"/>
              </w:rPr>
            </w:pPr>
            <w:r>
              <w:rPr>
                <w:rFonts w:ascii="Arial"/>
                <w:sz w:val="18"/>
              </w:rPr>
              <w:t>2,708,496,168.56</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Arial" w:hAnsi="Arial" w:cs="Arial" w:eastAsia="Arial" w:hint="default"/>
                <w:sz w:val="18"/>
                <w:szCs w:val="18"/>
              </w:rPr>
            </w:pPr>
            <w:r>
              <w:rPr>
                <w:rFonts w:ascii="Arial"/>
                <w:sz w:val="18"/>
              </w:rPr>
              <w:t>29.60%</w:t>
            </w:r>
          </w:p>
        </w:tc>
      </w:tr>
      <w:tr>
        <w:trPr>
          <w:trHeight w:val="400"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20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780"/>
        <w:gridCol w:w="1707"/>
        <w:gridCol w:w="1706"/>
        <w:gridCol w:w="1575"/>
        <w:gridCol w:w="120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法律科技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2,204,774,271.24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62.81%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1,745,212,651.65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64.43%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26.33%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教育信息化</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509,202,599.10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14.50%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378,416,462.27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34.56%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415,132,962.08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3"/>
                <w:sz w:val="18"/>
              </w:rPr>
              <w:t>11.83%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300,278,730.40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3"/>
                <w:sz w:val="18"/>
              </w:rPr>
              <w:t>11.09%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38.25%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381,038,116.95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284,588,324.24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33.89%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1,646,400,911.75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46.90%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1,315,621,892.85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48.57%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1,263,549,202.61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36.00%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914,046,990.53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33.75%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38.24%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600,197,835.01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478,827,285.18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25.35%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1,150,840,059.66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32.79%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1,000,524,820.69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36.94%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543,693,371.33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15.49%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370,735,343.69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13.69%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46.65%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520,986,540.94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14.84%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429,472,599.47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333,900,037.36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143,684,433.95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132.38%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323,402,282.10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9.21%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341,974,526.90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320,436,731.46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9.13%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216,869,516.54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47.76%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316,888,926.52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9.03%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205,234,927.32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54.40%</w:t>
            </w:r>
          </w:p>
        </w:tc>
      </w:tr>
    </w:tbl>
    <w:p>
      <w:pPr>
        <w:pStyle w:val="Heading3"/>
        <w:spacing w:line="312" w:lineRule="exact" w:before="34"/>
        <w:ind w:right="1119"/>
        <w:jc w:val="left"/>
      </w:pP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pStyle w:val="Heading3"/>
        <w:spacing w:line="240" w:lineRule="auto" w:before="7"/>
        <w:ind w:left="0" w:right="1132"/>
        <w:jc w:val="right"/>
      </w:pPr>
      <w:r>
        <w:rPr/>
        <w:t>单位：元</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134"/>
        <w:gridCol w:w="981"/>
        <w:gridCol w:w="1065"/>
        <w:gridCol w:w="1065"/>
        <w:gridCol w:w="1065"/>
        <w:gridCol w:w="1065"/>
        <w:gridCol w:w="1065"/>
        <w:gridCol w:w="1065"/>
        <w:gridCol w:w="1065"/>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Arial" w:hAnsi="Arial" w:cs="Arial" w:eastAsia="Arial" w:hint="default"/>
                <w:sz w:val="18"/>
                <w:szCs w:val="18"/>
              </w:rPr>
            </w:pPr>
            <w:r>
              <w:rPr>
                <w:rFonts w:ascii="Arial"/>
                <w:sz w:val="18"/>
              </w:rPr>
              <w:t>480,266,</w:t>
            </w:r>
          </w:p>
          <w:p>
            <w:pPr>
              <w:pStyle w:val="TableParagraph"/>
              <w:spacing w:line="240" w:lineRule="auto" w:before="105"/>
              <w:ind w:left="218" w:right="0"/>
              <w:jc w:val="center"/>
              <w:rPr>
                <w:rFonts w:ascii="Arial" w:hAnsi="Arial" w:cs="Arial" w:eastAsia="Arial" w:hint="default"/>
                <w:sz w:val="18"/>
                <w:szCs w:val="18"/>
              </w:rPr>
            </w:pPr>
            <w:r>
              <w:rPr>
                <w:rFonts w:ascii="Arial"/>
                <w:sz w:val="18"/>
              </w:rPr>
              <w:t>098.41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Arial" w:hAnsi="Arial" w:cs="Arial" w:eastAsia="Arial" w:hint="default"/>
                <w:sz w:val="18"/>
                <w:szCs w:val="18"/>
              </w:rPr>
            </w:pPr>
            <w:r>
              <w:rPr>
                <w:rFonts w:ascii="Arial"/>
                <w:sz w:val="18"/>
              </w:rPr>
              <w:t>893,252,3</w:t>
            </w:r>
          </w:p>
          <w:p>
            <w:pPr>
              <w:pStyle w:val="TableParagraph"/>
              <w:spacing w:line="240" w:lineRule="auto" w:before="105"/>
              <w:ind w:left="502" w:right="0"/>
              <w:jc w:val="left"/>
              <w:rPr>
                <w:rFonts w:ascii="Arial" w:hAnsi="Arial" w:cs="Arial" w:eastAsia="Arial" w:hint="default"/>
                <w:sz w:val="18"/>
                <w:szCs w:val="18"/>
              </w:rPr>
            </w:pPr>
            <w:r>
              <w:rPr>
                <w:rFonts w:ascii="Arial"/>
                <w:sz w:val="18"/>
              </w:rPr>
              <w:t>86.87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2" w:right="0"/>
              <w:jc w:val="left"/>
              <w:rPr>
                <w:rFonts w:ascii="Arial" w:hAnsi="Arial" w:cs="Arial" w:eastAsia="Arial" w:hint="default"/>
                <w:sz w:val="18"/>
                <w:szCs w:val="18"/>
              </w:rPr>
            </w:pPr>
            <w:r>
              <w:rPr>
                <w:rFonts w:ascii="Arial"/>
                <w:sz w:val="18"/>
              </w:rPr>
              <w:t>827,518,5</w:t>
            </w:r>
          </w:p>
          <w:p>
            <w:pPr>
              <w:pStyle w:val="TableParagraph"/>
              <w:spacing w:line="240" w:lineRule="auto" w:before="105"/>
              <w:ind w:left="502" w:right="0"/>
              <w:jc w:val="left"/>
              <w:rPr>
                <w:rFonts w:ascii="Arial" w:hAnsi="Arial" w:cs="Arial" w:eastAsia="Arial" w:hint="default"/>
                <w:sz w:val="18"/>
                <w:szCs w:val="18"/>
              </w:rPr>
            </w:pPr>
            <w:r>
              <w:rPr>
                <w:rFonts w:ascii="Arial"/>
                <w:sz w:val="18"/>
              </w:rPr>
              <w:t>34.53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Arial" w:hAnsi="Arial" w:cs="Arial" w:eastAsia="Arial" w:hint="default"/>
                <w:sz w:val="18"/>
                <w:szCs w:val="18"/>
              </w:rPr>
            </w:pPr>
            <w:r>
              <w:rPr>
                <w:rFonts w:ascii="Arial"/>
                <w:sz w:val="18"/>
              </w:rPr>
              <w:t>1,309,110,</w:t>
            </w:r>
          </w:p>
          <w:p>
            <w:pPr>
              <w:pStyle w:val="TableParagraph"/>
              <w:spacing w:line="240" w:lineRule="auto" w:before="105"/>
              <w:ind w:left="402" w:right="0"/>
              <w:jc w:val="left"/>
              <w:rPr>
                <w:rFonts w:ascii="Arial" w:hAnsi="Arial" w:cs="Arial" w:eastAsia="Arial" w:hint="default"/>
                <w:sz w:val="18"/>
                <w:szCs w:val="18"/>
              </w:rPr>
            </w:pPr>
            <w:r>
              <w:rPr>
                <w:rFonts w:ascii="Arial"/>
                <w:sz w:val="18"/>
              </w:rPr>
              <w:t>929.56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Arial" w:hAnsi="Arial" w:cs="Arial" w:eastAsia="Arial" w:hint="default"/>
                <w:sz w:val="18"/>
                <w:szCs w:val="18"/>
              </w:rPr>
            </w:pPr>
            <w:r>
              <w:rPr>
                <w:rFonts w:ascii="Arial"/>
                <w:sz w:val="18"/>
              </w:rPr>
              <w:t>351,988,1</w:t>
            </w:r>
          </w:p>
          <w:p>
            <w:pPr>
              <w:pStyle w:val="TableParagraph"/>
              <w:spacing w:line="240" w:lineRule="auto" w:before="105"/>
              <w:ind w:left="501" w:right="0"/>
              <w:jc w:val="left"/>
              <w:rPr>
                <w:rFonts w:ascii="Arial" w:hAnsi="Arial" w:cs="Arial" w:eastAsia="Arial" w:hint="default"/>
                <w:sz w:val="18"/>
                <w:szCs w:val="18"/>
              </w:rPr>
            </w:pPr>
            <w:r>
              <w:rPr>
                <w:rFonts w:ascii="Arial"/>
                <w:sz w:val="18"/>
              </w:rPr>
              <w:t>13.60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Arial" w:hAnsi="Arial" w:cs="Arial" w:eastAsia="Arial" w:hint="default"/>
                <w:sz w:val="18"/>
                <w:szCs w:val="18"/>
              </w:rPr>
            </w:pPr>
            <w:r>
              <w:rPr>
                <w:rFonts w:ascii="Arial"/>
                <w:sz w:val="18"/>
              </w:rPr>
              <w:t>644,360,5</w:t>
            </w:r>
          </w:p>
          <w:p>
            <w:pPr>
              <w:pStyle w:val="TableParagraph"/>
              <w:spacing w:line="240" w:lineRule="auto" w:before="105"/>
              <w:ind w:left="502" w:right="0"/>
              <w:jc w:val="left"/>
              <w:rPr>
                <w:rFonts w:ascii="Arial" w:hAnsi="Arial" w:cs="Arial" w:eastAsia="Arial" w:hint="default"/>
                <w:sz w:val="18"/>
                <w:szCs w:val="18"/>
              </w:rPr>
            </w:pPr>
            <w:r>
              <w:rPr>
                <w:rFonts w:ascii="Arial"/>
                <w:sz w:val="18"/>
              </w:rPr>
              <w:t>65.98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2" w:right="0"/>
              <w:jc w:val="left"/>
              <w:rPr>
                <w:rFonts w:ascii="Arial" w:hAnsi="Arial" w:cs="Arial" w:eastAsia="Arial" w:hint="default"/>
                <w:sz w:val="18"/>
                <w:szCs w:val="18"/>
              </w:rPr>
            </w:pPr>
            <w:r>
              <w:rPr>
                <w:rFonts w:ascii="Arial"/>
                <w:sz w:val="18"/>
              </w:rPr>
              <w:t>605,072,4</w:t>
            </w:r>
          </w:p>
          <w:p>
            <w:pPr>
              <w:pStyle w:val="TableParagraph"/>
              <w:spacing w:line="240" w:lineRule="auto" w:before="105"/>
              <w:ind w:left="502" w:right="0"/>
              <w:jc w:val="left"/>
              <w:rPr>
                <w:rFonts w:ascii="Arial" w:hAnsi="Arial" w:cs="Arial" w:eastAsia="Arial" w:hint="default"/>
                <w:sz w:val="18"/>
                <w:szCs w:val="18"/>
              </w:rPr>
            </w:pPr>
            <w:r>
              <w:rPr>
                <w:rFonts w:ascii="Arial"/>
                <w:sz w:val="18"/>
              </w:rPr>
              <w:t>42.84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Arial" w:hAnsi="Arial" w:cs="Arial" w:eastAsia="Arial" w:hint="default"/>
                <w:sz w:val="18"/>
                <w:szCs w:val="18"/>
              </w:rPr>
            </w:pPr>
            <w:r>
              <w:rPr>
                <w:rFonts w:ascii="Arial"/>
                <w:sz w:val="18"/>
              </w:rPr>
              <w:t>1,107,075</w:t>
            </w:r>
          </w:p>
          <w:p>
            <w:pPr>
              <w:pStyle w:val="TableParagraph"/>
              <w:spacing w:line="240" w:lineRule="auto" w:before="105"/>
              <w:ind w:left="250" w:right="0"/>
              <w:jc w:val="center"/>
              <w:rPr>
                <w:rFonts w:ascii="Arial" w:hAnsi="Arial" w:cs="Arial" w:eastAsia="Arial" w:hint="default"/>
                <w:sz w:val="18"/>
                <w:szCs w:val="18"/>
              </w:rPr>
            </w:pPr>
            <w:r>
              <w:rPr>
                <w:rFonts w:ascii="Arial"/>
                <w:sz w:val="18"/>
              </w:rPr>
              <w:t>,046.14</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0"/>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Arial" w:hAnsi="Arial" w:cs="Arial" w:eastAsia="Arial" w:hint="default"/>
                <w:sz w:val="18"/>
                <w:szCs w:val="18"/>
              </w:rPr>
            </w:pPr>
            <w:r>
              <w:rPr>
                <w:rFonts w:ascii="Arial"/>
                <w:sz w:val="18"/>
              </w:rPr>
              <w:t>59,915,5</w:t>
            </w:r>
          </w:p>
          <w:p>
            <w:pPr>
              <w:pStyle w:val="TableParagraph"/>
              <w:spacing w:line="240" w:lineRule="auto" w:before="105"/>
              <w:ind w:left="417" w:right="0"/>
              <w:jc w:val="left"/>
              <w:rPr>
                <w:rFonts w:ascii="Arial" w:hAnsi="Arial" w:cs="Arial" w:eastAsia="Arial" w:hint="default"/>
                <w:sz w:val="18"/>
                <w:szCs w:val="18"/>
              </w:rPr>
            </w:pPr>
            <w:r>
              <w:rPr>
                <w:rFonts w:ascii="Arial"/>
                <w:sz w:val="18"/>
              </w:rPr>
              <w:t>97.28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1" w:right="0"/>
              <w:jc w:val="left"/>
              <w:rPr>
                <w:rFonts w:ascii="Arial" w:hAnsi="Arial" w:cs="Arial" w:eastAsia="Arial" w:hint="default"/>
                <w:sz w:val="18"/>
                <w:szCs w:val="18"/>
              </w:rPr>
            </w:pPr>
            <w:r>
              <w:rPr>
                <w:rFonts w:ascii="Arial"/>
                <w:sz w:val="18"/>
              </w:rPr>
              <w:t>168,160,7</w:t>
            </w:r>
          </w:p>
          <w:p>
            <w:pPr>
              <w:pStyle w:val="TableParagraph"/>
              <w:spacing w:line="240" w:lineRule="auto" w:before="105"/>
              <w:ind w:left="502" w:right="0"/>
              <w:jc w:val="left"/>
              <w:rPr>
                <w:rFonts w:ascii="Arial" w:hAnsi="Arial" w:cs="Arial" w:eastAsia="Arial" w:hint="default"/>
                <w:sz w:val="18"/>
                <w:szCs w:val="18"/>
              </w:rPr>
            </w:pPr>
            <w:r>
              <w:rPr>
                <w:rFonts w:ascii="Arial"/>
                <w:sz w:val="18"/>
              </w:rPr>
              <w:t>52.99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2" w:right="0"/>
              <w:jc w:val="left"/>
              <w:rPr>
                <w:rFonts w:ascii="Arial" w:hAnsi="Arial" w:cs="Arial" w:eastAsia="Arial" w:hint="default"/>
                <w:sz w:val="18"/>
                <w:szCs w:val="18"/>
              </w:rPr>
            </w:pPr>
            <w:r>
              <w:rPr>
                <w:rFonts w:ascii="Arial"/>
                <w:sz w:val="18"/>
              </w:rPr>
              <w:t>106,925,4</w:t>
            </w:r>
          </w:p>
          <w:p>
            <w:pPr>
              <w:pStyle w:val="TableParagraph"/>
              <w:spacing w:line="240" w:lineRule="auto" w:before="105"/>
              <w:ind w:left="502" w:right="0"/>
              <w:jc w:val="left"/>
              <w:rPr>
                <w:rFonts w:ascii="Arial" w:hAnsi="Arial" w:cs="Arial" w:eastAsia="Arial" w:hint="default"/>
                <w:sz w:val="18"/>
                <w:szCs w:val="18"/>
              </w:rPr>
            </w:pPr>
            <w:r>
              <w:rPr>
                <w:rFonts w:ascii="Arial"/>
                <w:sz w:val="18"/>
              </w:rPr>
              <w:t>03.99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2" w:right="0"/>
              <w:jc w:val="left"/>
              <w:rPr>
                <w:rFonts w:ascii="Arial" w:hAnsi="Arial" w:cs="Arial" w:eastAsia="Arial" w:hint="default"/>
                <w:sz w:val="18"/>
                <w:szCs w:val="18"/>
              </w:rPr>
            </w:pPr>
            <w:r>
              <w:rPr>
                <w:rFonts w:ascii="Arial"/>
                <w:sz w:val="18"/>
              </w:rPr>
              <w:t>245,388,0</w:t>
            </w:r>
          </w:p>
          <w:p>
            <w:pPr>
              <w:pStyle w:val="TableParagraph"/>
              <w:spacing w:line="240" w:lineRule="auto" w:before="105"/>
              <w:ind w:left="501" w:right="0"/>
              <w:jc w:val="left"/>
              <w:rPr>
                <w:rFonts w:ascii="Arial" w:hAnsi="Arial" w:cs="Arial" w:eastAsia="Arial" w:hint="default"/>
                <w:sz w:val="18"/>
                <w:szCs w:val="18"/>
              </w:rPr>
            </w:pPr>
            <w:r>
              <w:rPr>
                <w:rFonts w:ascii="Arial"/>
                <w:sz w:val="18"/>
              </w:rPr>
              <w:t>96.49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1" w:right="0"/>
              <w:jc w:val="left"/>
              <w:rPr>
                <w:rFonts w:ascii="Arial" w:hAnsi="Arial" w:cs="Arial" w:eastAsia="Arial" w:hint="default"/>
                <w:sz w:val="18"/>
                <w:szCs w:val="18"/>
              </w:rPr>
            </w:pPr>
            <w:r>
              <w:rPr>
                <w:rFonts w:ascii="Arial"/>
                <w:sz w:val="18"/>
              </w:rPr>
              <w:t>50,713,89</w:t>
            </w:r>
          </w:p>
          <w:p>
            <w:pPr>
              <w:pStyle w:val="TableParagraph"/>
              <w:spacing w:line="240" w:lineRule="auto" w:before="105"/>
              <w:ind w:left="602" w:right="0"/>
              <w:jc w:val="left"/>
              <w:rPr>
                <w:rFonts w:ascii="Arial" w:hAnsi="Arial" w:cs="Arial" w:eastAsia="Arial" w:hint="default"/>
                <w:sz w:val="18"/>
                <w:szCs w:val="18"/>
              </w:rPr>
            </w:pPr>
            <w:r>
              <w:rPr>
                <w:rFonts w:ascii="Arial"/>
                <w:sz w:val="18"/>
              </w:rPr>
              <w:t>9.42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1" w:right="0"/>
              <w:jc w:val="left"/>
              <w:rPr>
                <w:rFonts w:ascii="Arial" w:hAnsi="Arial" w:cs="Arial" w:eastAsia="Arial" w:hint="default"/>
                <w:sz w:val="18"/>
                <w:szCs w:val="18"/>
              </w:rPr>
            </w:pPr>
            <w:r>
              <w:rPr>
                <w:rFonts w:ascii="Arial"/>
                <w:sz w:val="18"/>
              </w:rPr>
              <w:t>164,355,7</w:t>
            </w:r>
          </w:p>
          <w:p>
            <w:pPr>
              <w:pStyle w:val="TableParagraph"/>
              <w:spacing w:line="240" w:lineRule="auto" w:before="105"/>
              <w:ind w:left="502" w:right="0"/>
              <w:jc w:val="left"/>
              <w:rPr>
                <w:rFonts w:ascii="Arial" w:hAnsi="Arial" w:cs="Arial" w:eastAsia="Arial" w:hint="default"/>
                <w:sz w:val="18"/>
                <w:szCs w:val="18"/>
              </w:rPr>
            </w:pPr>
            <w:r>
              <w:rPr>
                <w:rFonts w:ascii="Arial"/>
                <w:sz w:val="18"/>
              </w:rPr>
              <w:t>03.82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2" w:right="0"/>
              <w:jc w:val="left"/>
              <w:rPr>
                <w:rFonts w:ascii="Arial" w:hAnsi="Arial" w:cs="Arial" w:eastAsia="Arial" w:hint="default"/>
                <w:sz w:val="18"/>
                <w:szCs w:val="18"/>
              </w:rPr>
            </w:pPr>
            <w:r>
              <w:rPr>
                <w:rFonts w:ascii="Arial"/>
                <w:sz w:val="18"/>
              </w:rPr>
              <w:t>90,503,63</w:t>
            </w:r>
          </w:p>
          <w:p>
            <w:pPr>
              <w:pStyle w:val="TableParagraph"/>
              <w:spacing w:line="240" w:lineRule="auto" w:before="105"/>
              <w:ind w:left="601" w:right="0"/>
              <w:jc w:val="left"/>
              <w:rPr>
                <w:rFonts w:ascii="Arial" w:hAnsi="Arial" w:cs="Arial" w:eastAsia="Arial" w:hint="default"/>
                <w:sz w:val="18"/>
                <w:szCs w:val="18"/>
              </w:rPr>
            </w:pPr>
            <w:r>
              <w:rPr>
                <w:rFonts w:ascii="Arial"/>
                <w:sz w:val="18"/>
              </w:rPr>
              <w:t>7.09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2" w:right="0"/>
              <w:jc w:val="left"/>
              <w:rPr>
                <w:rFonts w:ascii="Arial" w:hAnsi="Arial" w:cs="Arial" w:eastAsia="Arial" w:hint="default"/>
                <w:sz w:val="18"/>
                <w:szCs w:val="18"/>
              </w:rPr>
            </w:pPr>
            <w:r>
              <w:rPr>
                <w:rFonts w:ascii="Arial"/>
                <w:sz w:val="18"/>
              </w:rPr>
              <w:t>192,135,0</w:t>
            </w:r>
          </w:p>
          <w:p>
            <w:pPr>
              <w:pStyle w:val="TableParagraph"/>
              <w:spacing w:line="240" w:lineRule="auto" w:before="105"/>
              <w:ind w:left="501" w:right="0"/>
              <w:jc w:val="left"/>
              <w:rPr>
                <w:rFonts w:ascii="Arial" w:hAnsi="Arial" w:cs="Arial" w:eastAsia="Arial" w:hint="default"/>
                <w:sz w:val="18"/>
                <w:szCs w:val="18"/>
              </w:rPr>
            </w:pPr>
            <w:r>
              <w:rPr>
                <w:rFonts w:ascii="Arial"/>
                <w:sz w:val="18"/>
              </w:rPr>
              <w:t>02.87</w:t>
            </w:r>
          </w:p>
        </w:tc>
      </w:tr>
    </w:tbl>
    <w:p>
      <w:pPr>
        <w:pStyle w:val="Heading3"/>
        <w:spacing w:line="268" w:lineRule="auto" w:before="3"/>
        <w:ind w:left="592" w:right="1154" w:hanging="480"/>
        <w:jc w:val="left"/>
      </w:pPr>
      <w:r>
        <w:rPr/>
        <w:t>说明经营季节性（或周期性）发生的原因及波动风险 公司主营业务覆盖法律科技、教育信息化、智慧政务等领域，客户主要为国家机关、事</w:t>
      </w:r>
    </w:p>
    <w:p>
      <w:pPr>
        <w:pStyle w:val="Heading3"/>
        <w:spacing w:line="312" w:lineRule="exact"/>
        <w:ind w:right="1171"/>
        <w:jc w:val="both"/>
      </w:pPr>
      <w:r>
        <w:rPr/>
        <w:t>业单位及高校等。公司承接的应用软件、系统建设服务等主营业务受到客户的预算、招标时 间安排等因素的影响，收入确认具有一定的季节性特征。年度中四季度的新签合同及确认收 入通常会高于其它季度。</w:t>
      </w:r>
    </w:p>
    <w:p>
      <w:pPr>
        <w:spacing w:line="240" w:lineRule="auto" w:before="7"/>
        <w:rPr>
          <w:rFonts w:ascii="宋体" w:hAnsi="宋体" w:cs="宋体" w:eastAsia="宋体" w:hint="default"/>
          <w:sz w:val="22"/>
          <w:szCs w:val="22"/>
        </w:rPr>
      </w:pPr>
    </w:p>
    <w:p>
      <w:pPr>
        <w:pStyle w:val="Heading4"/>
        <w:spacing w:line="240" w:lineRule="auto" w:before="0"/>
        <w:ind w:right="0"/>
        <w:jc w:val="both"/>
        <w:rPr>
          <w:b w:val="0"/>
          <w:bCs w:val="0"/>
        </w:rPr>
      </w:pPr>
      <w:bookmarkStart w:name="（2）占公司营业收入或营业利润10%以上的行业、产品或地区情况" w:id="27"/>
      <w:bookmarkEnd w:id="27"/>
      <w:r>
        <w:rPr>
          <w:b w:val="0"/>
          <w:bCs w:val="0"/>
        </w:rPr>
      </w:r>
      <w:r>
        <w:rPr/>
        <w:t>（</w:t>
      </w:r>
      <w:r>
        <w:rPr>
          <w:rFonts w:ascii="Arial" w:hAnsi="Arial" w:cs="Arial" w:eastAsia="Arial" w:hint="default"/>
        </w:rPr>
        <w:t>2</w:t>
      </w:r>
      <w:r>
        <w:rPr/>
        <w:t>）占公司营业收入或营业利润</w:t>
      </w:r>
      <w:r>
        <w:rPr>
          <w:spacing w:val="-65"/>
        </w:rPr>
        <w:t> </w:t>
      </w:r>
      <w:r>
        <w:rPr>
          <w:rFonts w:ascii="Arial" w:hAnsi="Arial" w:cs="Arial" w:eastAsia="Arial" w:hint="default"/>
        </w:rPr>
        <w:t>10%</w:t>
      </w:r>
      <w:r>
        <w:rPr/>
        <w:t>以上的行业、产品或地区情况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both"/>
      </w:pPr>
      <w:r>
        <w:rPr>
          <w:rFonts w:ascii="Arial" w:hAnsi="Arial" w:cs="Arial" w:eastAsia="Arial" w:hint="default"/>
        </w:rPr>
        <w:t>√  </w:t>
      </w:r>
      <w:r>
        <w:rPr/>
        <w:t>适用 □</w:t>
      </w:r>
      <w:r>
        <w:rPr>
          <w:spacing w:val="-14"/>
        </w:rPr>
        <w:t> </w:t>
      </w:r>
      <w:r>
        <w:rPr/>
        <w:t>不适用</w:t>
      </w:r>
    </w:p>
    <w:p>
      <w:pPr>
        <w:pStyle w:val="Heading3"/>
        <w:spacing w:line="312" w:lineRule="exact" w:before="52"/>
        <w:ind w:right="1132"/>
        <w:jc w:val="both"/>
      </w:pP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spacing w:before="5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1016" w:top="1060" w:bottom="120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8"/>
        <w:gridCol w:w="1701"/>
        <w:gridCol w:w="1701"/>
        <w:gridCol w:w="850"/>
        <w:gridCol w:w="1418"/>
        <w:gridCol w:w="1417"/>
        <w:gridCol w:w="1066"/>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4" w:right="163"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2" w:right="161"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7" w:right="167"/>
              <w:jc w:val="center"/>
              <w:rPr>
                <w:rFonts w:ascii="宋体" w:hAnsi="宋体" w:cs="宋体" w:eastAsia="宋体" w:hint="default"/>
                <w:sz w:val="18"/>
                <w:szCs w:val="18"/>
              </w:rPr>
            </w:pPr>
            <w:r>
              <w:rPr>
                <w:rFonts w:ascii="宋体" w:hAnsi="宋体" w:cs="宋体" w:eastAsia="宋体" w:hint="default"/>
                <w:sz w:val="18"/>
                <w:szCs w:val="18"/>
              </w:rPr>
              <w:t>毛利率比 上年同期 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法律科技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2,204,774,271.24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1,228,121,332.70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Arial" w:hAnsi="Arial" w:cs="Arial" w:eastAsia="Arial" w:hint="default"/>
                <w:sz w:val="18"/>
                <w:szCs w:val="18"/>
              </w:rPr>
            </w:pPr>
            <w:r>
              <w:rPr>
                <w:rFonts w:ascii="Arial"/>
                <w:sz w:val="18"/>
              </w:rPr>
              <w:t>44.30%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26.33%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26.18%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0.07%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教育信息化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509,202,599.10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295,816,774.82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41.91%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56.80%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-8.24%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市场监管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69,070,811.56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60,156,198.80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Arial" w:hAnsi="Arial" w:cs="Arial" w:eastAsia="Arial" w:hint="default"/>
                <w:sz w:val="18"/>
                <w:szCs w:val="18"/>
              </w:rPr>
            </w:pPr>
            <w:r>
              <w:rPr>
                <w:rFonts w:ascii="Arial"/>
                <w:sz w:val="18"/>
              </w:rPr>
              <w:t>12.91%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-27.28%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-25.26%</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大企业及其他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727,100,267.47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497,557,846.08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31.57%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48.42%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59.64%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-4.81%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1,646,400,911.75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611,314,381.04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62.87%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31.23%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1,263,549,202.61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1,076,365,665.94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Arial" w:hAnsi="Arial" w:cs="Arial" w:eastAsia="Arial" w:hint="default"/>
                <w:sz w:val="18"/>
                <w:szCs w:val="18"/>
              </w:rPr>
            </w:pPr>
            <w:r>
              <w:rPr>
                <w:rFonts w:ascii="Arial"/>
                <w:sz w:val="18"/>
              </w:rPr>
              <w:t>14.81%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38.24%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40.23%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-1.22%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600,197,835.01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393,972,105.42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34.36%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31.79%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-3.21%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1,150,840,059.66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737,015,705.53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35.96%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1.56%</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543,693,371.33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361,163,993.93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Arial" w:hAnsi="Arial" w:cs="Arial" w:eastAsia="Arial" w:hint="default"/>
                <w:sz w:val="18"/>
                <w:szCs w:val="18"/>
              </w:rPr>
            </w:pPr>
            <w:r>
              <w:rPr>
                <w:rFonts w:ascii="Arial"/>
                <w:sz w:val="18"/>
              </w:rPr>
              <w:t>33.57%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46.65%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59.07%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-5.19%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520,986,540.94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306,637,890.05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41.14%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32.19%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-4.85%</w:t>
            </w:r>
          </w:p>
        </w:tc>
      </w:tr>
    </w:tbl>
    <w:p>
      <w:pPr>
        <w:pStyle w:val="Heading3"/>
        <w:spacing w:line="312" w:lineRule="exact" w:before="34"/>
        <w:ind w:right="1139"/>
        <w:jc w:val="left"/>
      </w:pPr>
      <w:r>
        <w:rPr/>
        <w:t>公司主营业务数据统计口径在报告期发生调整的情况下，公司最近</w:t>
      </w:r>
      <w:r>
        <w:rPr>
          <w:spacing w:val="-60"/>
        </w:rPr>
        <w:t> </w:t>
      </w:r>
      <w:r>
        <w:rPr>
          <w:rFonts w:ascii="Arial" w:hAnsi="Arial" w:cs="Arial" w:eastAsia="Arial" w:hint="default"/>
        </w:rPr>
        <w:t>1</w:t>
      </w:r>
      <w:r>
        <w:rPr>
          <w:rFonts w:ascii="Arial" w:hAnsi="Arial" w:cs="Arial" w:eastAsia="Arial" w:hint="default"/>
          <w:spacing w:val="-6"/>
        </w:rPr>
        <w:t> </w:t>
      </w:r>
      <w:r>
        <w:rPr/>
        <w:t>年按报告期末口径调整 后的主营业务数据</w:t>
      </w:r>
    </w:p>
    <w:p>
      <w:pPr>
        <w:pStyle w:val="Heading3"/>
        <w:spacing w:line="240" w:lineRule="auto" w:before="7"/>
        <w:ind w:right="996"/>
        <w:jc w:val="left"/>
      </w:pPr>
      <w:r>
        <w:rPr>
          <w:rFonts w:ascii="Arial" w:hAnsi="Arial" w:cs="Arial" w:eastAsia="Arial" w:hint="default"/>
        </w:rPr>
        <w:t>√  </w:t>
      </w:r>
      <w:r>
        <w:rPr/>
        <w:t>适用 □</w:t>
      </w:r>
      <w:r>
        <w:rPr>
          <w:spacing w:val="-14"/>
        </w:rPr>
        <w:t> </w:t>
      </w:r>
      <w:r>
        <w:rPr/>
        <w:t>不适用</w:t>
      </w:r>
    </w:p>
    <w:p>
      <w:pPr>
        <w:spacing w:before="7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700"/>
        <w:gridCol w:w="1700"/>
        <w:gridCol w:w="983"/>
        <w:gridCol w:w="1334"/>
        <w:gridCol w:w="1300"/>
        <w:gridCol w:w="118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12" w:right="120"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3" w:right="103"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法律科技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2,204,774,271.24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1,228,121,332.70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9" w:right="0"/>
              <w:jc w:val="left"/>
              <w:rPr>
                <w:rFonts w:ascii="Arial" w:hAnsi="Arial" w:cs="Arial" w:eastAsia="Arial" w:hint="default"/>
                <w:sz w:val="18"/>
                <w:szCs w:val="18"/>
              </w:rPr>
            </w:pPr>
            <w:r>
              <w:rPr>
                <w:rFonts w:ascii="Arial"/>
                <w:sz w:val="18"/>
              </w:rPr>
              <w:t>44.30%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26.33%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26.18%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0.07%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教育信息化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509,202,599.10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295,816,774.82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Arial" w:hAnsi="Arial" w:cs="Arial" w:eastAsia="Arial" w:hint="default"/>
                <w:sz w:val="18"/>
                <w:szCs w:val="18"/>
              </w:rPr>
            </w:pPr>
            <w:r>
              <w:rPr>
                <w:rFonts w:ascii="Arial"/>
                <w:sz w:val="18"/>
              </w:rPr>
              <w:t>41.91%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34.56%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56.80%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415,132,962.08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300,517,645.42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9" w:right="0"/>
              <w:jc w:val="left"/>
              <w:rPr>
                <w:rFonts w:ascii="Arial" w:hAnsi="Arial" w:cs="Arial" w:eastAsia="Arial" w:hint="default"/>
                <w:sz w:val="18"/>
                <w:szCs w:val="18"/>
              </w:rPr>
            </w:pPr>
            <w:r>
              <w:rPr>
                <w:rFonts w:ascii="Arial"/>
                <w:sz w:val="18"/>
              </w:rPr>
              <w:t>27.61%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38.25%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55.92%</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-8.20%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381,038,116.95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257,196,399.46</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Arial" w:hAnsi="Arial" w:cs="Arial" w:eastAsia="Arial" w:hint="default"/>
                <w:sz w:val="18"/>
                <w:szCs w:val="18"/>
              </w:rPr>
            </w:pPr>
            <w:r>
              <w:rPr>
                <w:rFonts w:ascii="Arial"/>
                <w:sz w:val="18"/>
              </w:rPr>
              <w:t>32.50%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33.89%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44.77%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-5.07%</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3）公司实物销售收入是否大于劳务收入" w:id="28"/>
      <w:bookmarkEnd w:id="28"/>
      <w:r>
        <w:rPr>
          <w:b w:val="0"/>
          <w:bCs w:val="0"/>
        </w:rPr>
      </w:r>
      <w:r>
        <w:rPr/>
        <w:t>（</w:t>
      </w:r>
      <w:r>
        <w:rPr>
          <w:rFonts w:ascii="Arial" w:hAnsi="Arial" w:cs="Arial" w:eastAsia="Arial" w:hint="default"/>
        </w:rPr>
        <w:t>3</w:t>
      </w:r>
      <w:r>
        <w:rPr/>
        <w:t>）公司实物销售收入是否大于劳务收入</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是 √</w:t>
      </w:r>
      <w:r>
        <w:rPr>
          <w:spacing w:val="-15"/>
        </w:rPr>
        <w:t> </w:t>
      </w:r>
      <w:r>
        <w:rPr/>
        <w:t>否</w:t>
      </w:r>
    </w:p>
    <w:p>
      <w:pPr>
        <w:spacing w:line="240" w:lineRule="auto" w:before="5"/>
        <w:rPr>
          <w:rFonts w:ascii="宋体" w:hAnsi="宋体" w:cs="宋体" w:eastAsia="宋体" w:hint="default"/>
          <w:sz w:val="23"/>
          <w:szCs w:val="23"/>
        </w:rPr>
      </w:pPr>
    </w:p>
    <w:p>
      <w:pPr>
        <w:pStyle w:val="Heading4"/>
        <w:spacing w:line="240" w:lineRule="auto" w:before="0"/>
        <w:ind w:right="996"/>
        <w:jc w:val="left"/>
        <w:rPr>
          <w:b w:val="0"/>
          <w:bCs w:val="0"/>
        </w:rPr>
      </w:pPr>
      <w:bookmarkStart w:name="（4）公司已签订的重大销售合同截至本报告期的履行情况" w:id="29"/>
      <w:bookmarkEnd w:id="29"/>
      <w:r>
        <w:rPr>
          <w:b w:val="0"/>
          <w:bCs w:val="0"/>
        </w:rPr>
      </w:r>
      <w:r>
        <w:rPr/>
        <w:t>（</w:t>
      </w:r>
      <w:r>
        <w:rPr>
          <w:rFonts w:ascii="Arial" w:hAnsi="Arial" w:cs="Arial" w:eastAsia="Arial"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5"/>
        </w:rPr>
        <w:t> </w:t>
      </w:r>
      <w:r>
        <w:rPr/>
        <w:t>不适用</w:t>
      </w:r>
    </w:p>
    <w:p>
      <w:pPr>
        <w:spacing w:after="0" w:line="240" w:lineRule="auto"/>
        <w:jc w:val="left"/>
        <w:sectPr>
          <w:pgSz w:w="11910" w:h="16840"/>
          <w:pgMar w:header="746" w:footer="1016" w:top="1060" w:bottom="1200" w:left="1020" w:right="0"/>
        </w:sectPr>
      </w:pPr>
    </w:p>
    <w:p>
      <w:pPr>
        <w:spacing w:line="240" w:lineRule="auto" w:before="10"/>
        <w:rPr>
          <w:rFonts w:ascii="宋体" w:hAnsi="宋体" w:cs="宋体" w:eastAsia="宋体" w:hint="default"/>
          <w:sz w:val="24"/>
          <w:szCs w:val="24"/>
        </w:rPr>
      </w:pPr>
    </w:p>
    <w:p>
      <w:pPr>
        <w:pStyle w:val="Heading4"/>
        <w:spacing w:line="240" w:lineRule="auto"/>
        <w:ind w:left="212" w:right="1119"/>
        <w:jc w:val="left"/>
        <w:rPr>
          <w:b w:val="0"/>
          <w:bCs w:val="0"/>
        </w:rPr>
      </w:pPr>
      <w:bookmarkStart w:name="（5）营业成本构成" w:id="30"/>
      <w:bookmarkEnd w:id="30"/>
      <w:r>
        <w:rPr>
          <w:b w:val="0"/>
          <w:bCs w:val="0"/>
        </w:rPr>
      </w:r>
      <w:r>
        <w:rPr/>
        <w:t>（</w:t>
      </w:r>
      <w:r>
        <w:rPr>
          <w:rFonts w:ascii="Arial" w:hAnsi="Arial" w:cs="Arial" w:eastAsia="Arial"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43"/>
        <w:gridCol w:w="1639"/>
        <w:gridCol w:w="1644"/>
        <w:gridCol w:w="1640"/>
        <w:gridCol w:w="1644"/>
        <w:gridCol w:w="1640"/>
      </w:tblGrid>
      <w:tr>
        <w:trPr>
          <w:trHeight w:val="402" w:hRule="exact"/>
        </w:trPr>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3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6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43" w:type="dxa"/>
            <w:vMerge/>
            <w:tcBorders>
              <w:left w:val="single" w:sz="4" w:space="0" w:color="000000"/>
              <w:bottom w:val="single" w:sz="4" w:space="0" w:color="000000"/>
              <w:right w:val="single" w:sz="4" w:space="0" w:color="000000"/>
            </w:tcBorders>
            <w:shd w:val="clear" w:color="auto" w:fill="D2D2D2"/>
          </w:tcPr>
          <w:p>
            <w:pP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611,314,381.04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29.37%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465,839,890.79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31.23%</w:t>
            </w:r>
          </w:p>
        </w:tc>
      </w:tr>
      <w:tr>
        <w:trPr>
          <w:trHeight w:val="40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1,076,365,665.94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51.71%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767,567,917.15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50.09%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40.23%</w:t>
            </w:r>
          </w:p>
        </w:tc>
      </w:tr>
      <w:tr>
        <w:trPr>
          <w:trHeight w:val="402"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393,972,105.42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18.93%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298,939,589.72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19.51%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31.79%</w:t>
            </w:r>
          </w:p>
        </w:tc>
      </w:tr>
    </w:tbl>
    <w:p>
      <w:pPr>
        <w:pStyle w:val="Heading3"/>
        <w:spacing w:line="240" w:lineRule="auto" w:before="2"/>
        <w:ind w:left="212" w:right="1119"/>
        <w:jc w:val="left"/>
      </w:pPr>
      <w:r>
        <w:rPr/>
        <w:t>说明</w:t>
      </w:r>
    </w:p>
    <w:p>
      <w:pPr>
        <w:pStyle w:val="Heading3"/>
        <w:spacing w:line="312" w:lineRule="exact" w:before="69"/>
        <w:ind w:left="212" w:right="1119"/>
        <w:jc w:val="left"/>
      </w:pP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pStyle w:val="Heading3"/>
        <w:spacing w:line="240" w:lineRule="auto" w:before="10"/>
        <w:ind w:left="212" w:right="1119"/>
        <w:jc w:val="left"/>
      </w:pPr>
      <w:r>
        <w:rPr/>
        <w:t>主营业务成本构成</w:t>
      </w:r>
    </w:p>
    <w:p>
      <w:pPr>
        <w:spacing w:before="8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50"/>
        <w:gridCol w:w="1650"/>
        <w:gridCol w:w="1584"/>
        <w:gridCol w:w="1783"/>
        <w:gridCol w:w="1583"/>
        <w:gridCol w:w="1016"/>
      </w:tblGrid>
      <w:tr>
        <w:trPr>
          <w:trHeight w:val="402" w:hRule="exact"/>
        </w:trPr>
        <w:tc>
          <w:tcPr>
            <w:tcW w:w="19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50"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材料及设备采购成本</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1,472,189,284.05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70.72%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1,082,233,803.58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70.63%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36.03%</w:t>
            </w:r>
          </w:p>
        </w:tc>
      </w:tr>
      <w:tr>
        <w:trPr>
          <w:trHeight w:val="40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人工成本及费用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609,462,868.35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29.28%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450,113,594.08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29.37%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35.40%</w:t>
            </w:r>
          </w:p>
        </w:tc>
      </w:tr>
    </w:tbl>
    <w:p>
      <w:pPr>
        <w:spacing w:line="240" w:lineRule="auto" w:before="3"/>
        <w:rPr>
          <w:rFonts w:ascii="宋体" w:hAnsi="宋体" w:cs="宋体" w:eastAsia="宋体" w:hint="default"/>
          <w:sz w:val="19"/>
          <w:szCs w:val="19"/>
        </w:rPr>
      </w:pPr>
    </w:p>
    <w:p>
      <w:pPr>
        <w:pStyle w:val="Heading4"/>
        <w:spacing w:line="240" w:lineRule="auto"/>
        <w:ind w:left="212" w:right="1119"/>
        <w:jc w:val="left"/>
        <w:rPr>
          <w:b w:val="0"/>
          <w:bCs w:val="0"/>
        </w:rPr>
      </w:pPr>
      <w:bookmarkStart w:name="（6）报告期内合并范围是否发生变动" w:id="31"/>
      <w:bookmarkEnd w:id="31"/>
      <w:r>
        <w:rPr>
          <w:b w:val="0"/>
          <w:bCs w:val="0"/>
        </w:rPr>
      </w:r>
      <w:r>
        <w:rPr/>
        <w:t>（</w:t>
      </w:r>
      <w:r>
        <w:rPr>
          <w:rFonts w:ascii="Arial" w:hAnsi="Arial" w:cs="Arial" w:eastAsia="Arial" w:hint="default"/>
        </w:rPr>
        <w:t>6</w:t>
      </w:r>
      <w:r>
        <w:rPr/>
        <w:t>）报告期内合并范围是否发生变动</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12" w:right="1119"/>
        <w:jc w:val="left"/>
      </w:pPr>
      <w:r>
        <w:rPr>
          <w:rFonts w:ascii="Arial" w:hAnsi="Arial" w:cs="Arial" w:eastAsia="Arial" w:hint="default"/>
        </w:rPr>
        <w:t>√  </w:t>
      </w:r>
      <w:r>
        <w:rPr/>
        <w:t>是 □</w:t>
      </w:r>
      <w:r>
        <w:rPr>
          <w:spacing w:val="-14"/>
        </w:rPr>
        <w:t> </w:t>
      </w:r>
      <w:r>
        <w:rPr/>
        <w:t>否</w:t>
      </w:r>
    </w:p>
    <w:p>
      <w:pPr>
        <w:pStyle w:val="Heading3"/>
        <w:spacing w:line="312" w:lineRule="exact" w:before="52"/>
        <w:ind w:left="212" w:right="1132" w:firstLine="420"/>
        <w:jc w:val="both"/>
      </w:pPr>
      <w:r>
        <w:rPr>
          <w:spacing w:val="2"/>
        </w:rPr>
        <w:t>公司根据经营需要，新设上海华宇九政科技有限公司、四川华宇九政科技有限公司、湖</w:t>
      </w:r>
      <w:r>
        <w:rPr/>
        <w:t> 北华宇九政科技有限公司、华宇万户医疗科技（上海）有限公司、上海殊创数据技术有限责</w:t>
      </w:r>
      <w:r>
        <w:rPr>
          <w:spacing w:val="-89"/>
        </w:rPr>
        <w:t> </w:t>
      </w:r>
      <w:r>
        <w:rPr>
          <w:spacing w:val="-89"/>
        </w:rPr>
      </w:r>
      <w:r>
        <w:rPr/>
        <w:t>任公司。注销广州优奕科信息科技有限公司，减资退出广州数字方舟信息技术股份有限公司</w:t>
      </w:r>
      <w:r>
        <w:rPr>
          <w:spacing w:val="-89"/>
        </w:rPr>
        <w:t> </w:t>
      </w:r>
      <w:r>
        <w:rPr>
          <w:spacing w:val="-89"/>
        </w:rPr>
      </w:r>
      <w:r>
        <w:rPr/>
        <w:t>及其子公司中科智慧水运科技创新（广州）有限公司。</w:t>
      </w:r>
    </w:p>
    <w:p>
      <w:pPr>
        <w:spacing w:line="240" w:lineRule="auto" w:before="7"/>
        <w:rPr>
          <w:rFonts w:ascii="宋体" w:hAnsi="宋体" w:cs="宋体" w:eastAsia="宋体" w:hint="default"/>
          <w:sz w:val="22"/>
          <w:szCs w:val="22"/>
        </w:rPr>
      </w:pPr>
    </w:p>
    <w:p>
      <w:pPr>
        <w:pStyle w:val="Heading4"/>
        <w:spacing w:line="240" w:lineRule="auto" w:before="0"/>
        <w:ind w:left="212" w:right="1119"/>
        <w:jc w:val="left"/>
        <w:rPr>
          <w:b w:val="0"/>
          <w:bCs w:val="0"/>
        </w:rPr>
      </w:pPr>
      <w:bookmarkStart w:name="（7）公司报告期内业务、产品或服务发生重大变化或调整有关情况" w:id="32"/>
      <w:bookmarkEnd w:id="32"/>
      <w:r>
        <w:rPr>
          <w:b w:val="0"/>
          <w:bCs w:val="0"/>
        </w:rPr>
      </w:r>
      <w:r>
        <w:rPr/>
        <w:t>（</w:t>
      </w:r>
      <w:r>
        <w:rPr>
          <w:rFonts w:ascii="Arial" w:hAnsi="Arial" w:cs="Arial" w:eastAsia="Arial"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12" w:right="1119"/>
        <w:jc w:val="left"/>
      </w:pPr>
      <w:r>
        <w:rPr>
          <w:rFonts w:ascii="Arial" w:hAnsi="Arial" w:cs="Arial" w:eastAsia="Arial" w:hint="default"/>
        </w:rPr>
        <w:t>□  </w:t>
      </w:r>
      <w:r>
        <w:rPr/>
        <w:t>适用 √</w:t>
      </w:r>
      <w:r>
        <w:rPr>
          <w:spacing w:val="-15"/>
        </w:rPr>
        <w:t> </w:t>
      </w:r>
      <w:r>
        <w:rPr/>
        <w:t>不适用</w:t>
      </w:r>
    </w:p>
    <w:p>
      <w:pPr>
        <w:spacing w:line="240" w:lineRule="auto" w:before="3"/>
        <w:rPr>
          <w:rFonts w:ascii="宋体" w:hAnsi="宋体" w:cs="宋体" w:eastAsia="宋体" w:hint="default"/>
          <w:sz w:val="23"/>
          <w:szCs w:val="23"/>
        </w:rPr>
      </w:pPr>
    </w:p>
    <w:p>
      <w:pPr>
        <w:pStyle w:val="Heading4"/>
        <w:spacing w:line="240" w:lineRule="auto" w:before="0"/>
        <w:ind w:left="212" w:right="1119"/>
        <w:jc w:val="left"/>
        <w:rPr>
          <w:b w:val="0"/>
          <w:bCs w:val="0"/>
        </w:rPr>
      </w:pPr>
      <w:bookmarkStart w:name="（8）主要销售客户和主要供应商情况" w:id="33"/>
      <w:bookmarkEnd w:id="33"/>
      <w:r>
        <w:rPr>
          <w:b w:val="0"/>
          <w:bCs w:val="0"/>
        </w:rPr>
      </w:r>
      <w:r>
        <w:rPr/>
        <w:t>（</w:t>
      </w:r>
      <w:r>
        <w:rPr>
          <w:rFonts w:ascii="Arial" w:hAnsi="Arial" w:cs="Arial" w:eastAsia="Arial" w:hint="default"/>
        </w:rPr>
        <w:t>8</w:t>
      </w:r>
      <w:r>
        <w:rPr/>
        <w:t>）主要销售客户和主要供应商情况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12" w:right="1119"/>
        <w:jc w:val="left"/>
      </w:pPr>
      <w:r>
        <w:rPr/>
        <w:t>公司主要销售客户情况</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7400"/>
        <w:gridCol w:w="2168"/>
      </w:tblGrid>
      <w:tr>
        <w:trPr>
          <w:trHeight w:val="402" w:hRule="exact"/>
        </w:trPr>
        <w:tc>
          <w:tcPr>
            <w:tcW w:w="7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3"/>
              <w:jc w:val="right"/>
              <w:rPr>
                <w:rFonts w:ascii="Arial" w:hAnsi="Arial" w:cs="Arial" w:eastAsia="Arial" w:hint="default"/>
                <w:sz w:val="21"/>
                <w:szCs w:val="21"/>
              </w:rPr>
            </w:pPr>
            <w:r>
              <w:rPr>
                <w:rFonts w:ascii="Arial"/>
                <w:w w:val="95"/>
                <w:sz w:val="21"/>
              </w:rPr>
              <w:t>268,964,235.15</w:t>
            </w:r>
            <w:r>
              <w:rPr>
                <w:rFonts w:ascii="Arial"/>
                <w:sz w:val="21"/>
              </w:rPr>
            </w:r>
          </w:p>
        </w:tc>
      </w:tr>
      <w:tr>
        <w:trPr>
          <w:trHeight w:val="402" w:hRule="exact"/>
        </w:trPr>
        <w:tc>
          <w:tcPr>
            <w:tcW w:w="7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95"/>
                <w:sz w:val="21"/>
              </w:rPr>
              <w:t>7.66%</w:t>
            </w:r>
            <w:r>
              <w:rPr>
                <w:rFonts w:ascii="Arial"/>
                <w:sz w:val="21"/>
              </w:rPr>
            </w:r>
          </w:p>
        </w:tc>
      </w:tr>
      <w:tr>
        <w:trPr>
          <w:trHeight w:val="402" w:hRule="exact"/>
        </w:trPr>
        <w:tc>
          <w:tcPr>
            <w:tcW w:w="7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5"/>
                <w:sz w:val="21"/>
              </w:rPr>
              <w:t>0.00%</w:t>
            </w:r>
            <w:r>
              <w:rPr>
                <w:rFonts w:ascii="Arial"/>
                <w:sz w:val="21"/>
              </w:rPr>
            </w:r>
          </w:p>
        </w:tc>
      </w:tr>
    </w:tbl>
    <w:p>
      <w:pPr>
        <w:pStyle w:val="Heading3"/>
        <w:spacing w:line="240" w:lineRule="auto" w:before="2"/>
        <w:ind w:left="212" w:right="1119"/>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大客户资料</w:t>
      </w:r>
    </w:p>
    <w:p>
      <w:pPr>
        <w:spacing w:line="240" w:lineRule="auto" w:before="7"/>
        <w:rPr>
          <w:rFonts w:ascii="宋体" w:hAnsi="宋体" w:cs="宋体" w:eastAsia="宋体" w:hint="default"/>
          <w:sz w:val="4"/>
          <w:szCs w:val="4"/>
        </w:rPr>
      </w:pPr>
    </w:p>
    <w:tbl>
      <w:tblPr>
        <w:tblW w:w="0" w:type="auto"/>
        <w:jc w:val="left"/>
        <w:tblInd w:w="209" w:type="dxa"/>
        <w:tblLayout w:type="fixed"/>
        <w:tblCellMar>
          <w:top w:w="0" w:type="dxa"/>
          <w:left w:w="0" w:type="dxa"/>
          <w:bottom w:w="0" w:type="dxa"/>
          <w:right w:w="0" w:type="dxa"/>
        </w:tblCellMar>
        <w:tblLook w:val="01E0"/>
      </w:tblPr>
      <w:tblGrid>
        <w:gridCol w:w="802"/>
        <w:gridCol w:w="3301"/>
        <w:gridCol w:w="3281"/>
        <w:gridCol w:w="2184"/>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0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2"/>
              <w:jc w:val="right"/>
              <w:rPr>
                <w:rFonts w:ascii="宋体" w:hAnsi="宋体" w:cs="宋体" w:eastAsia="宋体" w:hint="default"/>
                <w:sz w:val="21"/>
                <w:szCs w:val="21"/>
              </w:rPr>
            </w:pPr>
            <w:r>
              <w:rPr>
                <w:rFonts w:ascii="宋体" w:hAnsi="宋体" w:cs="宋体" w:eastAsia="宋体" w:hint="default"/>
                <w:w w:val="95"/>
                <w:sz w:val="21"/>
                <w:szCs w:val="21"/>
              </w:rPr>
              <w:t>占年度销售总额比例</w:t>
            </w:r>
            <w:r>
              <w:rPr>
                <w:rFonts w:ascii="宋体" w:hAnsi="宋体" w:cs="宋体" w:eastAsia="宋体" w:hint="default"/>
                <w:sz w:val="21"/>
                <w:szCs w:val="21"/>
              </w:rPr>
            </w:r>
          </w:p>
        </w:tc>
      </w:tr>
      <w:tr>
        <w:trPr>
          <w:trHeight w:val="40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1" w:right="0"/>
              <w:jc w:val="left"/>
              <w:rPr>
                <w:rFonts w:ascii="Arial" w:hAnsi="Arial" w:cs="Arial" w:eastAsia="Arial" w:hint="default"/>
                <w:sz w:val="21"/>
                <w:szCs w:val="21"/>
              </w:rPr>
            </w:pPr>
            <w:r>
              <w:rPr>
                <w:rFonts w:ascii="Arial"/>
                <w:w w:val="99"/>
                <w:sz w:val="21"/>
              </w:rPr>
              <w:t>1</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Arial" w:hAnsi="Arial" w:cs="Arial" w:eastAsia="Arial" w:hint="default"/>
                <w:sz w:val="21"/>
                <w:szCs w:val="21"/>
              </w:rPr>
            </w:pPr>
            <w:r>
              <w:rPr>
                <w:rFonts w:ascii="宋体" w:hAnsi="宋体" w:cs="宋体" w:eastAsia="宋体" w:hint="default"/>
                <w:sz w:val="21"/>
                <w:szCs w:val="21"/>
              </w:rPr>
              <w:t>客户</w:t>
            </w:r>
            <w:r>
              <w:rPr>
                <w:rFonts w:ascii="宋体" w:hAnsi="宋体" w:cs="宋体" w:eastAsia="宋体" w:hint="default"/>
                <w:spacing w:val="-57"/>
                <w:sz w:val="21"/>
                <w:szCs w:val="21"/>
              </w:rPr>
              <w:t> </w:t>
            </w:r>
            <w:r>
              <w:rPr>
                <w:rFonts w:ascii="Arial" w:hAnsi="Arial" w:cs="Arial" w:eastAsia="Arial" w:hint="default"/>
                <w:sz w:val="21"/>
                <w:szCs w:val="21"/>
              </w:rPr>
              <w:t>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833" w:right="0"/>
              <w:jc w:val="left"/>
              <w:rPr>
                <w:rFonts w:ascii="Arial" w:hAnsi="Arial" w:cs="Arial" w:eastAsia="Arial" w:hint="default"/>
                <w:sz w:val="21"/>
                <w:szCs w:val="21"/>
              </w:rPr>
            </w:pPr>
            <w:r>
              <w:rPr>
                <w:rFonts w:ascii="Arial"/>
                <w:sz w:val="21"/>
              </w:rPr>
              <w:t>79,770,465.69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95"/>
                <w:sz w:val="21"/>
              </w:rPr>
              <w:t>2.27%</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6" w:footer="1016" w:top="1060" w:bottom="1200" w:left="9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3281"/>
        <w:gridCol w:w="2184"/>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1" w:right="0"/>
              <w:jc w:val="left"/>
              <w:rPr>
                <w:rFonts w:ascii="Arial" w:hAnsi="Arial" w:cs="Arial" w:eastAsia="Arial" w:hint="default"/>
                <w:sz w:val="21"/>
                <w:szCs w:val="21"/>
              </w:rPr>
            </w:pPr>
            <w:r>
              <w:rPr>
                <w:rFonts w:ascii="Arial"/>
                <w:w w:val="99"/>
                <w:sz w:val="21"/>
              </w:rPr>
              <w:t>2</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Arial" w:hAnsi="Arial" w:cs="Arial" w:eastAsia="Arial" w:hint="default"/>
                <w:sz w:val="21"/>
                <w:szCs w:val="21"/>
              </w:rPr>
            </w:pPr>
            <w:r>
              <w:rPr>
                <w:rFonts w:ascii="宋体" w:hAnsi="宋体" w:cs="宋体" w:eastAsia="宋体" w:hint="default"/>
                <w:sz w:val="21"/>
                <w:szCs w:val="21"/>
              </w:rPr>
              <w:t>客户</w:t>
            </w:r>
            <w:r>
              <w:rPr>
                <w:rFonts w:ascii="宋体" w:hAnsi="宋体" w:cs="宋体" w:eastAsia="宋体" w:hint="default"/>
                <w:spacing w:val="-57"/>
                <w:sz w:val="21"/>
                <w:szCs w:val="21"/>
              </w:rPr>
              <w:t> </w:t>
            </w:r>
            <w:r>
              <w:rPr>
                <w:rFonts w:ascii="Arial" w:hAnsi="Arial" w:cs="Arial" w:eastAsia="Arial" w:hint="default"/>
                <w:sz w:val="21"/>
                <w:szCs w:val="21"/>
              </w:rPr>
              <w:t>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55,474,914.67</w:t>
            </w:r>
            <w:r>
              <w:rPr>
                <w:rFonts w:ascii="Arial"/>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1.58%</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1" w:right="0"/>
              <w:jc w:val="left"/>
              <w:rPr>
                <w:rFonts w:ascii="Arial" w:hAnsi="Arial" w:cs="Arial" w:eastAsia="Arial" w:hint="default"/>
                <w:sz w:val="21"/>
                <w:szCs w:val="21"/>
              </w:rPr>
            </w:pPr>
            <w:r>
              <w:rPr>
                <w:rFonts w:ascii="Arial"/>
                <w:w w:val="99"/>
                <w:sz w:val="21"/>
              </w:rPr>
              <w:t>3</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Arial" w:hAnsi="Arial" w:cs="Arial" w:eastAsia="Arial" w:hint="default"/>
                <w:sz w:val="21"/>
                <w:szCs w:val="21"/>
              </w:rPr>
            </w:pPr>
            <w:r>
              <w:rPr>
                <w:rFonts w:ascii="宋体" w:hAnsi="宋体" w:cs="宋体" w:eastAsia="宋体" w:hint="default"/>
                <w:sz w:val="21"/>
                <w:szCs w:val="21"/>
              </w:rPr>
              <w:t>客户</w:t>
            </w:r>
            <w:r>
              <w:rPr>
                <w:rFonts w:ascii="宋体" w:hAnsi="宋体" w:cs="宋体" w:eastAsia="宋体" w:hint="default"/>
                <w:spacing w:val="-57"/>
                <w:sz w:val="21"/>
                <w:szCs w:val="21"/>
              </w:rPr>
              <w:t> </w:t>
            </w:r>
            <w:r>
              <w:rPr>
                <w:rFonts w:ascii="Arial" w:hAnsi="Arial" w:cs="Arial" w:eastAsia="Arial" w:hint="default"/>
                <w:sz w:val="21"/>
                <w:szCs w:val="21"/>
              </w:rPr>
              <w:t>3</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51,140,835.60</w:t>
            </w:r>
            <w:r>
              <w:rPr>
                <w:rFonts w:ascii="Arial"/>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95"/>
                <w:sz w:val="21"/>
              </w:rPr>
              <w:t>1.46%</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1" w:right="0"/>
              <w:jc w:val="left"/>
              <w:rPr>
                <w:rFonts w:ascii="Arial" w:hAnsi="Arial" w:cs="Arial" w:eastAsia="Arial" w:hint="default"/>
                <w:sz w:val="21"/>
                <w:szCs w:val="21"/>
              </w:rPr>
            </w:pPr>
            <w:r>
              <w:rPr>
                <w:rFonts w:ascii="Arial"/>
                <w:w w:val="99"/>
                <w:sz w:val="21"/>
              </w:rPr>
              <w:t>4</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21"/>
                <w:szCs w:val="21"/>
              </w:rPr>
            </w:pPr>
            <w:r>
              <w:rPr>
                <w:rFonts w:ascii="宋体" w:hAnsi="宋体" w:cs="宋体" w:eastAsia="宋体" w:hint="default"/>
                <w:sz w:val="21"/>
                <w:szCs w:val="21"/>
              </w:rPr>
              <w:t>上海市高级人民法院</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48,683,154.40</w:t>
            </w:r>
            <w:r>
              <w:rPr>
                <w:rFonts w:ascii="Arial"/>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1.39%</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1" w:right="0"/>
              <w:jc w:val="left"/>
              <w:rPr>
                <w:rFonts w:ascii="Arial" w:hAnsi="Arial" w:cs="Arial" w:eastAsia="Arial" w:hint="default"/>
                <w:sz w:val="21"/>
                <w:szCs w:val="21"/>
              </w:rPr>
            </w:pPr>
            <w:r>
              <w:rPr>
                <w:rFonts w:ascii="Arial"/>
                <w:w w:val="99"/>
                <w:sz w:val="21"/>
              </w:rPr>
              <w:t>5</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Arial" w:hAnsi="Arial" w:cs="Arial" w:eastAsia="Arial" w:hint="default"/>
                <w:sz w:val="21"/>
                <w:szCs w:val="21"/>
              </w:rPr>
            </w:pPr>
            <w:r>
              <w:rPr>
                <w:rFonts w:ascii="宋体" w:hAnsi="宋体" w:cs="宋体" w:eastAsia="宋体" w:hint="default"/>
                <w:sz w:val="21"/>
                <w:szCs w:val="21"/>
              </w:rPr>
              <w:t>客户</w:t>
            </w:r>
            <w:r>
              <w:rPr>
                <w:rFonts w:ascii="宋体" w:hAnsi="宋体" w:cs="宋体" w:eastAsia="宋体" w:hint="default"/>
                <w:spacing w:val="-57"/>
                <w:sz w:val="21"/>
                <w:szCs w:val="21"/>
              </w:rPr>
              <w:t> </w:t>
            </w:r>
            <w:r>
              <w:rPr>
                <w:rFonts w:ascii="Arial" w:hAnsi="Arial" w:cs="Arial" w:eastAsia="Arial" w:hint="default"/>
                <w:sz w:val="21"/>
                <w:szCs w:val="21"/>
              </w:rPr>
              <w:t>4</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33,894,864.79</w:t>
            </w:r>
            <w:r>
              <w:rPr>
                <w:rFonts w:ascii="Arial"/>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w w:val="95"/>
                <w:sz w:val="21"/>
              </w:rPr>
              <w:t>0.97%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Arial" w:hAnsi="Arial" w:cs="Arial" w:eastAsia="Arial" w:hint="default"/>
                <w:sz w:val="21"/>
                <w:szCs w:val="21"/>
              </w:rPr>
            </w:pPr>
            <w:r>
              <w:rPr>
                <w:rFonts w:ascii="Arial"/>
                <w:sz w:val="21"/>
              </w:rPr>
              <w:t>--</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268,964,235.15</w:t>
            </w:r>
            <w:r>
              <w:rPr>
                <w:rFonts w:ascii="Arial"/>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7.66%</w:t>
            </w:r>
            <w:r>
              <w:rPr>
                <w:rFonts w:ascii="Arial"/>
                <w:sz w:val="21"/>
              </w:rPr>
            </w:r>
          </w:p>
        </w:tc>
      </w:tr>
    </w:tbl>
    <w:p>
      <w:pPr>
        <w:pStyle w:val="Heading3"/>
        <w:spacing w:line="240" w:lineRule="auto" w:before="2"/>
        <w:ind w:right="996"/>
        <w:jc w:val="left"/>
      </w:pPr>
      <w:r>
        <w:rPr/>
        <w:t>主要客户其他情况说明</w:t>
      </w:r>
    </w:p>
    <w:p>
      <w:pPr>
        <w:pStyle w:val="Heading3"/>
        <w:spacing w:line="254" w:lineRule="auto" w:before="38"/>
        <w:ind w:right="8594"/>
        <w:jc w:val="left"/>
      </w:pPr>
      <w:r>
        <w:rPr>
          <w:rFonts w:ascii="Arial" w:hAnsi="Arial" w:cs="Arial" w:eastAsia="Arial" w:hint="default"/>
        </w:rPr>
        <w:t>□ </w:t>
      </w:r>
      <w:r>
        <w:rPr/>
        <w:t>适用 √</w:t>
      </w:r>
      <w:r>
        <w:rPr>
          <w:spacing w:val="-15"/>
        </w:rPr>
        <w:t> </w:t>
      </w:r>
      <w:r>
        <w:rPr/>
        <w:t>不适用</w:t>
      </w:r>
      <w:r>
        <w:rPr>
          <w:w w:val="99"/>
        </w:rPr>
        <w:t> </w:t>
      </w:r>
      <w:r>
        <w:rPr/>
        <w:t>公司主要供应商情况</w:t>
      </w:r>
    </w:p>
    <w:p>
      <w:pPr>
        <w:spacing w:line="240" w:lineRule="auto" w:before="10"/>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384"/>
        <w:gridCol w:w="2184"/>
      </w:tblGrid>
      <w:tr>
        <w:trPr>
          <w:trHeight w:val="402" w:hRule="exact"/>
        </w:trPr>
        <w:tc>
          <w:tcPr>
            <w:tcW w:w="7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3"/>
              <w:jc w:val="right"/>
              <w:rPr>
                <w:rFonts w:ascii="Arial" w:hAnsi="Arial" w:cs="Arial" w:eastAsia="Arial" w:hint="default"/>
                <w:sz w:val="21"/>
                <w:szCs w:val="21"/>
              </w:rPr>
            </w:pPr>
            <w:r>
              <w:rPr>
                <w:rFonts w:ascii="Arial"/>
                <w:w w:val="95"/>
                <w:sz w:val="21"/>
              </w:rPr>
              <w:t>277,023,540.09</w:t>
            </w:r>
            <w:r>
              <w:rPr>
                <w:rFonts w:ascii="Arial"/>
                <w:sz w:val="21"/>
              </w:rPr>
            </w:r>
          </w:p>
        </w:tc>
      </w:tr>
      <w:tr>
        <w:trPr>
          <w:trHeight w:val="402" w:hRule="exact"/>
        </w:trPr>
        <w:tc>
          <w:tcPr>
            <w:tcW w:w="7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17.86%</w:t>
            </w:r>
          </w:p>
        </w:tc>
      </w:tr>
      <w:tr>
        <w:trPr>
          <w:trHeight w:val="402" w:hRule="exact"/>
        </w:trPr>
        <w:tc>
          <w:tcPr>
            <w:tcW w:w="7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5"/>
                <w:sz w:val="21"/>
              </w:rPr>
              <w:t>0.00%</w:t>
            </w:r>
            <w:r>
              <w:rPr>
                <w:rFonts w:ascii="Arial"/>
                <w:sz w:val="21"/>
              </w:rPr>
            </w:r>
          </w:p>
        </w:tc>
      </w:tr>
    </w:tbl>
    <w:p>
      <w:pPr>
        <w:pStyle w:val="Heading3"/>
        <w:spacing w:line="240" w:lineRule="auto" w:before="2"/>
        <w:ind w:right="996"/>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名供应商资料</w:t>
      </w:r>
    </w:p>
    <w:p>
      <w:pPr>
        <w:spacing w:line="240" w:lineRule="auto" w:before="7"/>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935"/>
        <w:gridCol w:w="4465"/>
        <w:gridCol w:w="2017"/>
        <w:gridCol w:w="2151"/>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5"/>
              <w:jc w:val="right"/>
              <w:rPr>
                <w:rFonts w:ascii="宋体" w:hAnsi="宋体" w:cs="宋体" w:eastAsia="宋体" w:hint="default"/>
                <w:sz w:val="21"/>
                <w:szCs w:val="21"/>
              </w:rPr>
            </w:pPr>
            <w:r>
              <w:rPr>
                <w:rFonts w:ascii="宋体" w:hAnsi="宋体" w:cs="宋体" w:eastAsia="宋体" w:hint="default"/>
                <w:w w:val="95"/>
                <w:sz w:val="21"/>
                <w:szCs w:val="21"/>
              </w:rPr>
              <w:t>占年度采购总额比例</w:t>
            </w:r>
            <w:r>
              <w:rPr>
                <w:rFonts w:ascii="宋体" w:hAnsi="宋体" w:cs="宋体" w:eastAsia="宋体" w:hint="default"/>
                <w:sz w:val="21"/>
                <w:szCs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1" w:right="0"/>
              <w:jc w:val="left"/>
              <w:rPr>
                <w:rFonts w:ascii="Arial" w:hAnsi="Arial" w:cs="Arial" w:eastAsia="Arial" w:hint="default"/>
                <w:sz w:val="21"/>
                <w:szCs w:val="21"/>
              </w:rPr>
            </w:pPr>
            <w:r>
              <w:rPr>
                <w:rFonts w:ascii="Arial"/>
                <w:w w:val="99"/>
                <w:sz w:val="21"/>
              </w:rPr>
              <w:t>1</w:t>
            </w:r>
            <w:r>
              <w:rPr>
                <w:rFonts w:ascii="Arial"/>
                <w:sz w:val="21"/>
              </w:rPr>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恩益禧数码应用产品贸易（上海）有限公司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2"/>
              <w:jc w:val="right"/>
              <w:rPr>
                <w:rFonts w:ascii="Arial" w:hAnsi="Arial" w:cs="Arial" w:eastAsia="Arial" w:hint="default"/>
                <w:sz w:val="21"/>
                <w:szCs w:val="21"/>
              </w:rPr>
            </w:pPr>
            <w:r>
              <w:rPr>
                <w:rFonts w:ascii="Arial"/>
                <w:w w:val="95"/>
                <w:sz w:val="21"/>
              </w:rPr>
              <w:t>180,743,230.00</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3"/>
                <w:w w:val="95"/>
                <w:sz w:val="21"/>
              </w:rPr>
              <w:t>11.65%</w:t>
            </w:r>
            <w:r>
              <w:rPr>
                <w:rFonts w:ascii="Arial"/>
                <w:spacing w:val="-3"/>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1" w:right="0"/>
              <w:jc w:val="left"/>
              <w:rPr>
                <w:rFonts w:ascii="Arial" w:hAnsi="Arial" w:cs="Arial" w:eastAsia="Arial" w:hint="default"/>
                <w:sz w:val="21"/>
                <w:szCs w:val="21"/>
              </w:rPr>
            </w:pPr>
            <w:r>
              <w:rPr>
                <w:rFonts w:ascii="Arial"/>
                <w:w w:val="99"/>
                <w:sz w:val="21"/>
              </w:rPr>
              <w:t>2</w:t>
            </w:r>
            <w:r>
              <w:rPr>
                <w:rFonts w:ascii="Arial"/>
                <w:sz w:val="21"/>
              </w:rPr>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北京同方信息安全技术股份有限公司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5"/>
              <w:jc w:val="right"/>
              <w:rPr>
                <w:rFonts w:ascii="Arial" w:hAnsi="Arial" w:cs="Arial" w:eastAsia="Arial" w:hint="default"/>
                <w:sz w:val="21"/>
                <w:szCs w:val="21"/>
              </w:rPr>
            </w:pPr>
            <w:r>
              <w:rPr>
                <w:rFonts w:ascii="Arial"/>
                <w:w w:val="95"/>
                <w:sz w:val="21"/>
              </w:rPr>
              <w:t>27,172,242.07</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5"/>
                <w:sz w:val="21"/>
              </w:rPr>
              <w:t>1.75%</w:t>
            </w:r>
            <w:r>
              <w:rPr>
                <w:rFonts w:ascii="Arial"/>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1" w:right="0"/>
              <w:jc w:val="left"/>
              <w:rPr>
                <w:rFonts w:ascii="Arial" w:hAnsi="Arial" w:cs="Arial" w:eastAsia="Arial" w:hint="default"/>
                <w:sz w:val="21"/>
                <w:szCs w:val="21"/>
              </w:rPr>
            </w:pPr>
            <w:r>
              <w:rPr>
                <w:rFonts w:ascii="Arial"/>
                <w:w w:val="99"/>
                <w:sz w:val="21"/>
              </w:rPr>
              <w:t>3</w:t>
            </w:r>
            <w:r>
              <w:rPr>
                <w:rFonts w:ascii="Arial"/>
                <w:sz w:val="21"/>
              </w:rPr>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航天国政信息技术（北京）有限公司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23,823,913.60</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1.54%</w:t>
            </w:r>
            <w:r>
              <w:rPr>
                <w:rFonts w:ascii="Arial"/>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1" w:right="0"/>
              <w:jc w:val="left"/>
              <w:rPr>
                <w:rFonts w:ascii="Arial" w:hAnsi="Arial" w:cs="Arial" w:eastAsia="Arial" w:hint="default"/>
                <w:sz w:val="21"/>
                <w:szCs w:val="21"/>
              </w:rPr>
            </w:pPr>
            <w:r>
              <w:rPr>
                <w:rFonts w:ascii="Arial"/>
                <w:w w:val="99"/>
                <w:sz w:val="21"/>
              </w:rPr>
              <w:t>4</w:t>
            </w:r>
            <w:r>
              <w:rPr>
                <w:rFonts w:ascii="Arial"/>
                <w:sz w:val="21"/>
              </w:rPr>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天津安创信息技术有限公司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5"/>
              <w:jc w:val="right"/>
              <w:rPr>
                <w:rFonts w:ascii="Arial" w:hAnsi="Arial" w:cs="Arial" w:eastAsia="Arial" w:hint="default"/>
                <w:sz w:val="21"/>
                <w:szCs w:val="21"/>
              </w:rPr>
            </w:pPr>
            <w:r>
              <w:rPr>
                <w:rFonts w:ascii="Arial"/>
                <w:w w:val="95"/>
                <w:sz w:val="21"/>
              </w:rPr>
              <w:t>22,735,637.06</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5"/>
                <w:sz w:val="21"/>
              </w:rPr>
              <w:t>1.47%</w:t>
            </w:r>
            <w:r>
              <w:rPr>
                <w:rFonts w:ascii="Arial"/>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1" w:right="0"/>
              <w:jc w:val="left"/>
              <w:rPr>
                <w:rFonts w:ascii="Arial" w:hAnsi="Arial" w:cs="Arial" w:eastAsia="Arial" w:hint="default"/>
                <w:sz w:val="21"/>
                <w:szCs w:val="21"/>
              </w:rPr>
            </w:pPr>
            <w:r>
              <w:rPr>
                <w:rFonts w:ascii="Arial"/>
                <w:w w:val="99"/>
                <w:sz w:val="21"/>
              </w:rPr>
              <w:t>5</w:t>
            </w:r>
            <w:r>
              <w:rPr>
                <w:rFonts w:ascii="Arial"/>
                <w:sz w:val="21"/>
              </w:rPr>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北京易凯联讯科技有限责任公司</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22,548,517.36</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1.45%</w:t>
            </w:r>
            <w:r>
              <w:rPr>
                <w:rFonts w:ascii="Arial"/>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Arial" w:hAnsi="Arial" w:cs="Arial" w:eastAsia="Arial" w:hint="default"/>
                <w:sz w:val="21"/>
                <w:szCs w:val="21"/>
              </w:rPr>
            </w:pPr>
            <w:r>
              <w:rPr>
                <w:rFonts w:ascii="Arial"/>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2"/>
              <w:jc w:val="right"/>
              <w:rPr>
                <w:rFonts w:ascii="Arial" w:hAnsi="Arial" w:cs="Arial" w:eastAsia="Arial" w:hint="default"/>
                <w:sz w:val="21"/>
                <w:szCs w:val="21"/>
              </w:rPr>
            </w:pPr>
            <w:r>
              <w:rPr>
                <w:rFonts w:ascii="Arial"/>
                <w:w w:val="95"/>
                <w:sz w:val="21"/>
              </w:rPr>
              <w:t>277,023,540.09</w:t>
            </w:r>
            <w:r>
              <w:rPr>
                <w:rFonts w:ascii="Arial"/>
                <w:sz w:val="21"/>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17.86%</w:t>
            </w:r>
          </w:p>
        </w:tc>
      </w:tr>
    </w:tbl>
    <w:p>
      <w:pPr>
        <w:pStyle w:val="Heading3"/>
        <w:spacing w:line="240" w:lineRule="auto" w:before="2"/>
        <w:ind w:right="996"/>
        <w:jc w:val="left"/>
      </w:pPr>
      <w:r>
        <w:rPr/>
        <w:t>主要供应商其他情况说明</w:t>
      </w:r>
    </w:p>
    <w:p>
      <w:pPr>
        <w:pStyle w:val="Heading3"/>
        <w:spacing w:line="240" w:lineRule="auto" w:before="38"/>
        <w:ind w:right="996"/>
        <w:jc w:val="left"/>
      </w:pPr>
      <w:r>
        <w:rPr>
          <w:rFonts w:ascii="Arial" w:hAnsi="Arial" w:cs="Arial" w:eastAsia="Arial" w:hint="default"/>
        </w:rPr>
        <w:t>□  </w:t>
      </w:r>
      <w:r>
        <w:rPr/>
        <w:t>适用 √</w:t>
      </w:r>
      <w:r>
        <w:rPr>
          <w:spacing w:val="-15"/>
        </w:rPr>
        <w:t> </w:t>
      </w:r>
      <w:r>
        <w:rPr/>
        <w:t>不适用</w:t>
      </w:r>
    </w:p>
    <w:p>
      <w:pPr>
        <w:spacing w:line="240" w:lineRule="auto" w:before="5"/>
        <w:rPr>
          <w:rFonts w:ascii="宋体" w:hAnsi="宋体" w:cs="宋体" w:eastAsia="宋体" w:hint="default"/>
          <w:sz w:val="23"/>
          <w:szCs w:val="23"/>
        </w:rPr>
      </w:pPr>
    </w:p>
    <w:p>
      <w:pPr>
        <w:pStyle w:val="Heading4"/>
        <w:spacing w:line="240" w:lineRule="auto" w:before="0"/>
        <w:ind w:right="996"/>
        <w:jc w:val="left"/>
        <w:rPr>
          <w:b w:val="0"/>
          <w:bCs w:val="0"/>
        </w:rPr>
      </w:pPr>
      <w:bookmarkStart w:name="3、费用" w:id="34"/>
      <w:bookmarkEnd w:id="34"/>
      <w:r>
        <w:rPr>
          <w:b w:val="0"/>
          <w:bCs w:val="0"/>
        </w:rPr>
      </w:r>
      <w:r>
        <w:rPr>
          <w:rFonts w:ascii="Arial" w:hAnsi="Arial" w:cs="Arial" w:eastAsia="Arial" w:hint="default"/>
        </w:rPr>
        <w:t>3</w:t>
      </w:r>
      <w:r>
        <w:rPr/>
        <w:t>、费用</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84"/>
        <w:gridCol w:w="1816"/>
        <w:gridCol w:w="1734"/>
        <w:gridCol w:w="1266"/>
        <w:gridCol w:w="3668"/>
      </w:tblGrid>
      <w:tr>
        <w:trPr>
          <w:trHeight w:val="402"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9"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3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3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2"/>
              <w:jc w:val="right"/>
              <w:rPr>
                <w:rFonts w:ascii="Arial" w:hAnsi="Arial" w:cs="Arial" w:eastAsia="Arial" w:hint="default"/>
                <w:sz w:val="21"/>
                <w:szCs w:val="21"/>
              </w:rPr>
            </w:pPr>
            <w:r>
              <w:rPr>
                <w:rFonts w:ascii="Arial"/>
                <w:w w:val="95"/>
                <w:sz w:val="21"/>
              </w:rPr>
              <w:t>254,566,344.38</w:t>
            </w:r>
            <w:r>
              <w:rPr>
                <w:rFonts w:ascii="Arial"/>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198,935,513.56</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27.96%</w:t>
            </w:r>
          </w:p>
        </w:tc>
        <w:tc>
          <w:tcPr>
            <w:tcW w:w="3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2"/>
              <w:jc w:val="right"/>
              <w:rPr>
                <w:rFonts w:ascii="Arial" w:hAnsi="Arial" w:cs="Arial" w:eastAsia="Arial" w:hint="default"/>
                <w:sz w:val="21"/>
                <w:szCs w:val="21"/>
              </w:rPr>
            </w:pPr>
            <w:r>
              <w:rPr>
                <w:rFonts w:ascii="Arial"/>
                <w:w w:val="95"/>
                <w:sz w:val="21"/>
              </w:rPr>
              <w:t>281,683,581.64</w:t>
            </w:r>
            <w:r>
              <w:rPr>
                <w:rFonts w:ascii="Arial"/>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3"/>
              <w:jc w:val="right"/>
              <w:rPr>
                <w:rFonts w:ascii="Arial" w:hAnsi="Arial" w:cs="Arial" w:eastAsia="Arial" w:hint="default"/>
                <w:sz w:val="21"/>
                <w:szCs w:val="21"/>
              </w:rPr>
            </w:pPr>
            <w:r>
              <w:rPr>
                <w:rFonts w:ascii="Arial"/>
                <w:w w:val="95"/>
                <w:sz w:val="21"/>
              </w:rPr>
              <w:t>305,390,513.29</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w w:val="95"/>
                <w:sz w:val="21"/>
              </w:rPr>
              <w:t>-7.76%</w:t>
            </w:r>
            <w:r>
              <w:rPr>
                <w:rFonts w:ascii="Arial"/>
                <w:sz w:val="21"/>
              </w:rPr>
            </w:r>
          </w:p>
        </w:tc>
        <w:tc>
          <w:tcPr>
            <w:tcW w:w="3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3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2"/>
              <w:jc w:val="right"/>
              <w:rPr>
                <w:rFonts w:ascii="Arial" w:hAnsi="Arial" w:cs="Arial" w:eastAsia="Arial" w:hint="default"/>
                <w:sz w:val="21"/>
                <w:szCs w:val="21"/>
              </w:rPr>
            </w:pPr>
            <w:r>
              <w:rPr>
                <w:rFonts w:ascii="Arial"/>
                <w:w w:val="95"/>
                <w:sz w:val="21"/>
              </w:rPr>
              <w:t>-18,708,808.10</w:t>
            </w:r>
            <w:r>
              <w:rPr>
                <w:rFonts w:ascii="Arial"/>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-6,613,081.71</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7"/>
              <w:jc w:val="right"/>
              <w:rPr>
                <w:rFonts w:ascii="Arial" w:hAnsi="Arial" w:cs="Arial" w:eastAsia="Arial" w:hint="default"/>
                <w:sz w:val="21"/>
                <w:szCs w:val="21"/>
              </w:rPr>
            </w:pPr>
            <w:r>
              <w:rPr>
                <w:rFonts w:ascii="Arial"/>
                <w:w w:val="95"/>
                <w:sz w:val="21"/>
              </w:rPr>
              <w:t>-182.91%</w:t>
            </w:r>
            <w:r>
              <w:rPr>
                <w:rFonts w:ascii="Arial"/>
                <w:sz w:val="21"/>
              </w:rPr>
            </w:r>
          </w:p>
        </w:tc>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1"/>
              <w:jc w:val="center"/>
              <w:rPr>
                <w:rFonts w:ascii="宋体" w:hAnsi="宋体" w:cs="宋体" w:eastAsia="宋体" w:hint="default"/>
                <w:sz w:val="21"/>
                <w:szCs w:val="21"/>
              </w:rPr>
            </w:pPr>
            <w:r>
              <w:rPr>
                <w:rFonts w:ascii="宋体" w:hAnsi="宋体" w:cs="宋体" w:eastAsia="宋体" w:hint="default"/>
                <w:sz w:val="21"/>
                <w:szCs w:val="21"/>
              </w:rPr>
              <w:t>本年度募集资金存款的利息收入增加</w:t>
            </w:r>
          </w:p>
        </w:tc>
      </w:tr>
      <w:tr>
        <w:trPr>
          <w:trHeight w:val="714"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21"/>
                <w:szCs w:val="21"/>
              </w:rPr>
            </w:pPr>
            <w:r>
              <w:rPr>
                <w:rFonts w:ascii="Arial"/>
                <w:w w:val="95"/>
                <w:sz w:val="21"/>
              </w:rPr>
              <w:t>348,928,564.38</w:t>
            </w:r>
            <w:r>
              <w:rPr>
                <w:rFonts w:ascii="Arial"/>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21"/>
                <w:szCs w:val="21"/>
              </w:rPr>
            </w:pPr>
            <w:r>
              <w:rPr>
                <w:rFonts w:ascii="Arial"/>
                <w:w w:val="95"/>
                <w:sz w:val="21"/>
              </w:rPr>
              <w:t>235,990,689.67</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47.86%</w:t>
            </w:r>
          </w:p>
        </w:tc>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3" w:right="195"/>
              <w:jc w:val="left"/>
              <w:rPr>
                <w:rFonts w:ascii="宋体" w:hAnsi="宋体" w:cs="宋体" w:eastAsia="宋体" w:hint="default"/>
                <w:sz w:val="21"/>
                <w:szCs w:val="21"/>
              </w:rPr>
            </w:pPr>
            <w:r>
              <w:rPr>
                <w:rFonts w:ascii="宋体" w:hAnsi="宋体" w:cs="宋体" w:eastAsia="宋体" w:hint="default"/>
                <w:sz w:val="21"/>
                <w:szCs w:val="21"/>
              </w:rPr>
              <w:t>本年度列报自行研发的无形资产摊销</w:t>
            </w:r>
            <w:r>
              <w:rPr>
                <w:rFonts w:ascii="宋体" w:hAnsi="宋体" w:cs="宋体" w:eastAsia="宋体" w:hint="default"/>
                <w:w w:val="99"/>
                <w:sz w:val="21"/>
                <w:szCs w:val="21"/>
              </w:rPr>
              <w:t> </w:t>
            </w:r>
            <w:r>
              <w:rPr>
                <w:rFonts w:ascii="宋体" w:hAnsi="宋体" w:cs="宋体" w:eastAsia="宋体" w:hint="default"/>
                <w:sz w:val="21"/>
                <w:szCs w:val="21"/>
              </w:rPr>
              <w:t>增加</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研发投入" w:id="35"/>
      <w:bookmarkEnd w:id="35"/>
      <w:r>
        <w:rPr>
          <w:b w:val="0"/>
          <w:bCs w:val="0"/>
        </w:rPr>
      </w:r>
      <w:r>
        <w:rPr>
          <w:rFonts w:ascii="Arial" w:hAnsi="Arial" w:cs="Arial" w:eastAsia="Arial" w:hint="default"/>
        </w:rPr>
        <w:t>4</w:t>
      </w:r>
      <w:r>
        <w:rPr/>
        <w:t>、研发投入</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left="532" w:right="996" w:hanging="420"/>
        <w:jc w:val="left"/>
      </w:pPr>
      <w:r>
        <w:rPr>
          <w:rFonts w:ascii="Arial" w:hAnsi="Arial" w:cs="Arial" w:eastAsia="Arial" w:hint="default"/>
        </w:rPr>
        <w:t>√ </w:t>
      </w:r>
      <w:r>
        <w:rPr/>
        <w:t>适用 □</w:t>
      </w:r>
      <w:r>
        <w:rPr>
          <w:spacing w:val="-13"/>
        </w:rPr>
        <w:t> </w:t>
      </w:r>
      <w:r>
        <w:rPr/>
        <w:t>不适用 </w:t>
      </w:r>
      <w:r>
        <w:rPr>
          <w:spacing w:val="-1"/>
        </w:rPr>
        <w:t>报告期内，公司保持了较高的研发投入，研发支出总额为</w:t>
      </w:r>
      <w:r>
        <w:rPr>
          <w:rFonts w:ascii="Arial" w:hAnsi="Arial" w:cs="Arial" w:eastAsia="Arial" w:hint="default"/>
          <w:spacing w:val="-1"/>
        </w:rPr>
        <w:t>46,760.29</w:t>
      </w:r>
      <w:r>
        <w:rPr>
          <w:spacing w:val="-1"/>
        </w:rPr>
        <w:t>万元，占营业收入比</w:t>
      </w:r>
    </w:p>
    <w:p>
      <w:pPr>
        <w:pStyle w:val="Heading3"/>
        <w:spacing w:line="293" w:lineRule="exact"/>
        <w:ind w:right="996"/>
        <w:jc w:val="left"/>
      </w:pPr>
      <w:r>
        <w:rPr/>
        <w:t>例为</w:t>
      </w:r>
      <w:r>
        <w:rPr>
          <w:rFonts w:ascii="Arial" w:hAnsi="Arial" w:cs="Arial" w:eastAsia="Arial" w:hint="default"/>
        </w:rPr>
        <w:t>13.32%</w:t>
      </w:r>
      <w:r>
        <w:rPr/>
        <w:t>，为公司进一步提供核心竞争力提供有力的保障。</w:t>
      </w:r>
    </w:p>
    <w:p>
      <w:pPr>
        <w:spacing w:after="0" w:line="293" w:lineRule="exact"/>
        <w:jc w:val="left"/>
        <w:sectPr>
          <w:pgSz w:w="11910" w:h="16840"/>
          <w:pgMar w:header="746" w:footer="1016" w:top="1060" w:bottom="1200" w:left="1020" w:right="0"/>
        </w:sectPr>
      </w:pPr>
    </w:p>
    <w:p>
      <w:pPr>
        <w:spacing w:line="240" w:lineRule="auto" w:before="8"/>
        <w:rPr>
          <w:rFonts w:ascii="宋体" w:hAnsi="宋体" w:cs="宋体" w:eastAsia="宋体" w:hint="default"/>
          <w:sz w:val="23"/>
          <w:szCs w:val="23"/>
        </w:rPr>
      </w:pPr>
    </w:p>
    <w:p>
      <w:pPr>
        <w:pStyle w:val="Heading3"/>
        <w:spacing w:line="240" w:lineRule="auto" w:before="26"/>
        <w:ind w:right="996"/>
        <w:jc w:val="left"/>
      </w:pPr>
      <w:r>
        <w:rPr/>
        <w:t>近三年公司研发投入金额及占营业收入的比例</w:t>
      </w:r>
    </w:p>
    <w:p>
      <w:pPr>
        <w:spacing w:line="240" w:lineRule="auto" w:before="9"/>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800"/>
        <w:gridCol w:w="1984"/>
        <w:gridCol w:w="2016"/>
        <w:gridCol w:w="1768"/>
      </w:tblGrid>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2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39"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14"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w w:val="95"/>
                <w:sz w:val="21"/>
              </w:rPr>
              <w:t>2,701</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w w:val="95"/>
                <w:sz w:val="21"/>
              </w:rPr>
              <w:t>2,341</w:t>
            </w:r>
            <w:r>
              <w:rPr>
                <w:rFonts w:ascii="Arial"/>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2,169</w:t>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36.80%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38.80%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42.81%</w:t>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467,602,912.68</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407,393,733.58</w:t>
            </w:r>
            <w:r>
              <w:rPr>
                <w:rFonts w:ascii="Arial"/>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330,774,398.82</w:t>
            </w:r>
            <w:r>
              <w:rPr>
                <w:rFonts w:ascii="Arial"/>
                <w:sz w:val="21"/>
              </w:rPr>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13.32%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15.04%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14.15%</w:t>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210,442,344.65</w:t>
            </w:r>
            <w:r>
              <w:rPr>
                <w:rFonts w:ascii="Arial"/>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171,403,043.91</w:t>
            </w:r>
            <w:r>
              <w:rPr>
                <w:rFonts w:ascii="Arial"/>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spacing w:val="-1"/>
                <w:w w:val="95"/>
                <w:sz w:val="21"/>
              </w:rPr>
              <w:t>118,996,478.54</w:t>
            </w:r>
            <w:r>
              <w:rPr>
                <w:rFonts w:ascii="Arial"/>
                <w:spacing w:val="-1"/>
                <w:sz w:val="21"/>
              </w:rPr>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45.00%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42.07%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35.98%</w:t>
            </w:r>
          </w:p>
        </w:tc>
      </w:tr>
      <w:tr>
        <w:trPr>
          <w:trHeight w:val="402"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36.16%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35.07%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31.75%</w:t>
            </w:r>
          </w:p>
        </w:tc>
      </w:tr>
    </w:tbl>
    <w:p>
      <w:pPr>
        <w:pStyle w:val="Heading3"/>
        <w:spacing w:line="240" w:lineRule="auto" w:before="2"/>
        <w:ind w:right="996"/>
        <w:jc w:val="left"/>
      </w:pPr>
      <w:r>
        <w:rPr/>
        <w:t>研发投入总额占营业收入的比重较上年发生显著变化的原因</w:t>
      </w:r>
    </w:p>
    <w:p>
      <w:pPr>
        <w:pStyle w:val="Heading3"/>
        <w:spacing w:line="256" w:lineRule="auto" w:before="38"/>
        <w:ind w:right="5474"/>
        <w:jc w:val="left"/>
      </w:pPr>
      <w:r>
        <w:rPr>
          <w:rFonts w:ascii="Arial" w:hAnsi="Arial" w:cs="Arial" w:eastAsia="Arial" w:hint="default"/>
        </w:rPr>
        <w:t>□ </w:t>
      </w:r>
      <w:r>
        <w:rPr/>
        <w:t>适用 √</w:t>
      </w:r>
      <w:r>
        <w:rPr>
          <w:spacing w:val="-15"/>
        </w:rPr>
        <w:t> </w:t>
      </w:r>
      <w:r>
        <w:rPr/>
        <w:t>不适用</w:t>
      </w:r>
      <w:r>
        <w:rPr>
          <w:w w:val="99"/>
        </w:rPr>
        <w:t> </w:t>
      </w:r>
      <w:r>
        <w:rPr/>
        <w:t>研发投入资本化率大幅变动的原因及其合理性说明</w:t>
      </w:r>
    </w:p>
    <w:p>
      <w:pPr>
        <w:pStyle w:val="Heading3"/>
        <w:spacing w:line="240" w:lineRule="auto" w:before="19"/>
        <w:ind w:right="996"/>
        <w:jc w:val="left"/>
      </w:pPr>
      <w:r>
        <w:rPr>
          <w:rFonts w:ascii="Arial" w:hAnsi="Arial" w:cs="Arial" w:eastAsia="Arial" w:hint="default"/>
        </w:rPr>
        <w:t>□  </w:t>
      </w:r>
      <w:r>
        <w:rPr/>
        <w:t>适用 √</w:t>
      </w:r>
      <w:r>
        <w:rPr>
          <w:spacing w:val="-15"/>
        </w:rPr>
        <w:t> </w:t>
      </w:r>
      <w:r>
        <w:rPr/>
        <w:t>不适用</w:t>
      </w:r>
    </w:p>
    <w:p>
      <w:pPr>
        <w:pStyle w:val="Heading3"/>
        <w:spacing w:line="312" w:lineRule="exact" w:before="52"/>
        <w:ind w:right="1119"/>
        <w:jc w:val="left"/>
      </w:pP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pStyle w:val="BodyText"/>
        <w:spacing w:line="240" w:lineRule="auto" w:before="33"/>
        <w:ind w:left="0" w:right="1135"/>
        <w:jc w:val="right"/>
      </w:pPr>
      <w:r>
        <w:rPr>
          <w:w w:val="95"/>
        </w:rPr>
        <w:t>单位：元</w:t>
      </w:r>
      <w:r>
        <w:rPr/>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134"/>
        <w:gridCol w:w="1700"/>
        <w:gridCol w:w="5633"/>
        <w:gridCol w:w="1101"/>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4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09"/>
              <w:jc w:val="right"/>
              <w:rPr>
                <w:rFonts w:ascii="宋体" w:hAnsi="宋体" w:cs="宋体" w:eastAsia="宋体" w:hint="default"/>
                <w:sz w:val="21"/>
                <w:szCs w:val="21"/>
              </w:rPr>
            </w:pPr>
            <w:r>
              <w:rPr>
                <w:rFonts w:ascii="宋体" w:hAnsi="宋体" w:cs="宋体" w:eastAsia="宋体" w:hint="default"/>
                <w:w w:val="95"/>
                <w:sz w:val="21"/>
                <w:szCs w:val="21"/>
              </w:rPr>
              <w:t>研发资本化金额</w:t>
            </w:r>
            <w:r>
              <w:rPr>
                <w:rFonts w:ascii="宋体" w:hAnsi="宋体" w:cs="宋体" w:eastAsia="宋体" w:hint="default"/>
                <w:sz w:val="21"/>
                <w:szCs w:val="21"/>
              </w:rPr>
            </w:r>
          </w:p>
        </w:tc>
        <w:tc>
          <w:tcPr>
            <w:tcW w:w="5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866" w:right="0"/>
              <w:jc w:val="left"/>
              <w:rPr>
                <w:rFonts w:ascii="宋体" w:hAnsi="宋体" w:cs="宋体" w:eastAsia="宋体" w:hint="default"/>
                <w:sz w:val="21"/>
                <w:szCs w:val="21"/>
              </w:rPr>
            </w:pPr>
            <w:r>
              <w:rPr>
                <w:rFonts w:ascii="宋体" w:hAnsi="宋体" w:cs="宋体" w:eastAsia="宋体" w:hint="default"/>
                <w:sz w:val="21"/>
                <w:szCs w:val="21"/>
              </w:rPr>
              <w:t>相关项目的基本情况</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6" w:right="0"/>
              <w:jc w:val="left"/>
              <w:rPr>
                <w:rFonts w:ascii="宋体" w:hAnsi="宋体" w:cs="宋体" w:eastAsia="宋体" w:hint="default"/>
                <w:sz w:val="21"/>
                <w:szCs w:val="21"/>
              </w:rPr>
            </w:pPr>
            <w:r>
              <w:rPr>
                <w:rFonts w:ascii="宋体" w:hAnsi="宋体" w:cs="宋体" w:eastAsia="宋体" w:hint="default"/>
                <w:sz w:val="21"/>
                <w:szCs w:val="21"/>
              </w:rPr>
              <w:t>实施进度</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59" w:lineRule="auto"/>
              <w:ind w:left="101" w:right="103"/>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新一代</w:t>
            </w:r>
            <w:r>
              <w:rPr>
                <w:rFonts w:ascii="宋体" w:hAnsi="宋体" w:cs="宋体" w:eastAsia="宋体" w:hint="default"/>
                <w:w w:val="99"/>
                <w:sz w:val="21"/>
                <w:szCs w:val="21"/>
              </w:rPr>
              <w:t> </w:t>
            </w:r>
            <w:r>
              <w:rPr>
                <w:rFonts w:ascii="宋体" w:hAnsi="宋体" w:cs="宋体" w:eastAsia="宋体" w:hint="default"/>
                <w:sz w:val="21"/>
                <w:szCs w:val="21"/>
              </w:rPr>
              <w:t>法律</w:t>
            </w:r>
            <w:r>
              <w:rPr>
                <w:rFonts w:ascii="宋体" w:hAnsi="宋体" w:cs="宋体" w:eastAsia="宋体" w:hint="default"/>
                <w:spacing w:val="-61"/>
                <w:sz w:val="21"/>
                <w:szCs w:val="21"/>
              </w:rPr>
              <w:t> </w:t>
            </w:r>
            <w:r>
              <w:rPr>
                <w:rFonts w:ascii="Arial" w:hAnsi="Arial" w:cs="Arial" w:eastAsia="Arial" w:hint="default"/>
                <w:sz w:val="21"/>
                <w:szCs w:val="21"/>
              </w:rPr>
              <w:t>AI</w:t>
            </w:r>
            <w:r>
              <w:rPr>
                <w:rFonts w:ascii="Arial" w:hAnsi="Arial" w:cs="Arial" w:eastAsia="Arial" w:hint="default"/>
                <w:spacing w:val="-15"/>
                <w:sz w:val="21"/>
                <w:szCs w:val="21"/>
              </w:rPr>
              <w:t> </w:t>
            </w:r>
            <w:r>
              <w:rPr>
                <w:rFonts w:ascii="宋体" w:hAnsi="宋体" w:cs="宋体" w:eastAsia="宋体" w:hint="default"/>
                <w:sz w:val="21"/>
                <w:szCs w:val="21"/>
              </w:rPr>
              <w:t>平</w:t>
            </w:r>
            <w:r>
              <w:rPr>
                <w:rFonts w:ascii="宋体" w:hAnsi="宋体" w:cs="宋体" w:eastAsia="宋体" w:hint="default"/>
                <w:w w:val="99"/>
                <w:sz w:val="21"/>
                <w:szCs w:val="21"/>
              </w:rPr>
              <w:t> </w:t>
            </w:r>
            <w:r>
              <w:rPr>
                <w:rFonts w:ascii="宋体" w:hAnsi="宋体" w:cs="宋体" w:eastAsia="宋体" w:hint="default"/>
                <w:sz w:val="21"/>
                <w:szCs w:val="21"/>
              </w:rPr>
              <w:t>台建设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3"/>
              <w:jc w:val="right"/>
              <w:rPr>
                <w:rFonts w:ascii="Arial" w:hAnsi="Arial" w:cs="Arial" w:eastAsia="Arial" w:hint="default"/>
                <w:sz w:val="21"/>
                <w:szCs w:val="21"/>
              </w:rPr>
            </w:pPr>
            <w:r>
              <w:rPr>
                <w:rFonts w:ascii="Arial"/>
                <w:spacing w:val="-1"/>
                <w:w w:val="95"/>
                <w:sz w:val="21"/>
              </w:rPr>
              <w:t>119,534,437.26</w:t>
            </w:r>
            <w:r>
              <w:rPr>
                <w:rFonts w:ascii="Arial"/>
                <w:spacing w:val="-1"/>
                <w:sz w:val="21"/>
              </w:rPr>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2" w:right="102"/>
              <w:jc w:val="left"/>
              <w:rPr>
                <w:rFonts w:ascii="宋体" w:hAnsi="宋体" w:cs="宋体" w:eastAsia="宋体" w:hint="default"/>
                <w:sz w:val="21"/>
                <w:szCs w:val="21"/>
              </w:rPr>
            </w:pPr>
            <w:r>
              <w:rPr>
                <w:rFonts w:ascii="宋体" w:hAnsi="宋体" w:cs="宋体" w:eastAsia="宋体" w:hint="default"/>
                <w:spacing w:val="-2"/>
                <w:sz w:val="21"/>
                <w:szCs w:val="21"/>
              </w:rPr>
              <w:t>基于目前华宇已有的法律知识图谱引擎、人工智能认知感知</w:t>
            </w:r>
            <w:r>
              <w:rPr>
                <w:rFonts w:ascii="宋体" w:hAnsi="宋体" w:cs="宋体" w:eastAsia="宋体" w:hint="default"/>
                <w:w w:val="99"/>
                <w:sz w:val="21"/>
                <w:szCs w:val="21"/>
              </w:rPr>
              <w:t> </w:t>
            </w:r>
            <w:r>
              <w:rPr>
                <w:rFonts w:ascii="宋体" w:hAnsi="宋体" w:cs="宋体" w:eastAsia="宋体" w:hint="default"/>
                <w:spacing w:val="-2"/>
                <w:sz w:val="21"/>
                <w:szCs w:val="21"/>
              </w:rPr>
              <w:t>引擎以及大数据全生命周期平台，为法院、检察院等主营行</w:t>
            </w:r>
            <w:r>
              <w:rPr>
                <w:rFonts w:ascii="宋体" w:hAnsi="宋体" w:cs="宋体" w:eastAsia="宋体" w:hint="default"/>
                <w:w w:val="99"/>
                <w:sz w:val="21"/>
                <w:szCs w:val="21"/>
              </w:rPr>
              <w:t> </w:t>
            </w:r>
            <w:r>
              <w:rPr>
                <w:rFonts w:ascii="宋体" w:hAnsi="宋体" w:cs="宋体" w:eastAsia="宋体" w:hint="default"/>
                <w:sz w:val="21"/>
                <w:szCs w:val="21"/>
              </w:rPr>
              <w:t>业梳理构建行业化的知识图谱，对平台进行研发及集成适</w:t>
            </w:r>
            <w:r>
              <w:rPr>
                <w:rFonts w:ascii="宋体" w:hAnsi="宋体" w:cs="宋体" w:eastAsia="宋体" w:hint="default"/>
                <w:w w:val="99"/>
                <w:sz w:val="21"/>
                <w:szCs w:val="21"/>
              </w:rPr>
              <w:t> </w:t>
            </w:r>
            <w:r>
              <w:rPr>
                <w:rFonts w:ascii="宋体" w:hAnsi="宋体" w:cs="宋体" w:eastAsia="宋体" w:hint="default"/>
                <w:sz w:val="21"/>
                <w:szCs w:val="21"/>
              </w:rPr>
              <w:t>配，从而更好的支撑各行业的智能化应用。</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Arial" w:hAnsi="Arial" w:cs="Arial" w:eastAsia="Arial" w:hint="default"/>
                <w:sz w:val="21"/>
                <w:szCs w:val="21"/>
              </w:rPr>
            </w:pPr>
            <w:r>
              <w:rPr>
                <w:rFonts w:ascii="Arial"/>
                <w:sz w:val="21"/>
              </w:rPr>
              <w:t>55.00%</w:t>
            </w:r>
          </w:p>
        </w:tc>
      </w:tr>
      <w:tr>
        <w:trPr>
          <w:trHeight w:val="362"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安全可</w:t>
            </w:r>
          </w:p>
        </w:tc>
        <w:tc>
          <w:tcPr>
            <w:tcW w:w="1700" w:type="dxa"/>
            <w:tcBorders>
              <w:top w:val="single" w:sz="4" w:space="0" w:color="000000"/>
              <w:left w:val="single" w:sz="4" w:space="0" w:color="000000"/>
              <w:bottom w:val="nil" w:sz="6" w:space="0" w:color="auto"/>
              <w:right w:val="single" w:sz="4" w:space="0" w:color="000000"/>
            </w:tcBorders>
          </w:tcPr>
          <w:p>
            <w:pPr/>
          </w:p>
        </w:tc>
        <w:tc>
          <w:tcPr>
            <w:tcW w:w="56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本项目建设集成测试中心，通过信息技术创新应用组合方案</w:t>
            </w:r>
          </w:p>
        </w:tc>
        <w:tc>
          <w:tcPr>
            <w:tcW w:w="110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靠软件适</w:t>
            </w:r>
          </w:p>
        </w:tc>
        <w:tc>
          <w:tcPr>
            <w:tcW w:w="1700" w:type="dxa"/>
            <w:tcBorders>
              <w:top w:val="nil" w:sz="6" w:space="0" w:color="auto"/>
              <w:left w:val="single" w:sz="4" w:space="0" w:color="000000"/>
              <w:bottom w:val="nil" w:sz="6" w:space="0" w:color="auto"/>
              <w:right w:val="single" w:sz="4" w:space="0" w:color="000000"/>
            </w:tcBorders>
          </w:tcPr>
          <w:p>
            <w:pP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2" w:right="0"/>
              <w:jc w:val="left"/>
              <w:rPr>
                <w:rFonts w:ascii="宋体" w:hAnsi="宋体" w:cs="宋体" w:eastAsia="宋体" w:hint="default"/>
                <w:sz w:val="21"/>
                <w:szCs w:val="21"/>
              </w:rPr>
            </w:pPr>
            <w:r>
              <w:rPr>
                <w:rFonts w:ascii="宋体" w:hAnsi="宋体" w:cs="宋体" w:eastAsia="宋体" w:hint="default"/>
                <w:sz w:val="21"/>
                <w:szCs w:val="21"/>
              </w:rPr>
              <w:t>测试的形式对技术路线进行收敛，与上下游厂商构建合作生</w:t>
            </w:r>
          </w:p>
        </w:tc>
        <w:tc>
          <w:tcPr>
            <w:tcW w:w="110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配研发及</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96"/>
              <w:jc w:val="right"/>
              <w:rPr>
                <w:rFonts w:ascii="Arial" w:hAnsi="Arial" w:cs="Arial" w:eastAsia="Arial" w:hint="default"/>
                <w:sz w:val="21"/>
                <w:szCs w:val="21"/>
              </w:rPr>
            </w:pPr>
            <w:r>
              <w:rPr>
                <w:rFonts w:ascii="Arial"/>
                <w:w w:val="95"/>
                <w:sz w:val="21"/>
              </w:rPr>
              <w:t>41,500,747.43</w:t>
            </w:r>
            <w:r>
              <w:rPr>
                <w:rFonts w:ascii="Arial"/>
                <w:sz w:val="21"/>
              </w:rPr>
            </w: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态圈，加强技术合作同步，为客户提供在具体业务场景下最</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02" w:right="0"/>
              <w:jc w:val="left"/>
              <w:rPr>
                <w:rFonts w:ascii="Arial" w:hAnsi="Arial" w:cs="Arial" w:eastAsia="Arial" w:hint="default"/>
                <w:sz w:val="21"/>
                <w:szCs w:val="21"/>
              </w:rPr>
            </w:pPr>
            <w:r>
              <w:rPr>
                <w:rFonts w:ascii="Arial"/>
                <w:sz w:val="21"/>
              </w:rPr>
              <w:t>55.00%</w:t>
            </w:r>
          </w:p>
        </w:tc>
      </w:tr>
      <w:tr>
        <w:trPr>
          <w:trHeight w:val="30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1" w:right="0"/>
              <w:jc w:val="left"/>
              <w:rPr>
                <w:rFonts w:ascii="宋体" w:hAnsi="宋体" w:cs="宋体" w:eastAsia="宋体" w:hint="default"/>
                <w:sz w:val="21"/>
                <w:szCs w:val="21"/>
              </w:rPr>
            </w:pPr>
            <w:r>
              <w:rPr>
                <w:rFonts w:ascii="宋体" w:hAnsi="宋体" w:cs="宋体" w:eastAsia="宋体" w:hint="default"/>
                <w:sz w:val="21"/>
                <w:szCs w:val="21"/>
              </w:rPr>
              <w:t>集成测试</w:t>
            </w:r>
          </w:p>
        </w:tc>
        <w:tc>
          <w:tcPr>
            <w:tcW w:w="1700" w:type="dxa"/>
            <w:tcBorders>
              <w:top w:val="nil" w:sz="6" w:space="0" w:color="auto"/>
              <w:left w:val="single" w:sz="4" w:space="0" w:color="000000"/>
              <w:bottom w:val="nil" w:sz="6" w:space="0" w:color="auto"/>
              <w:right w:val="single" w:sz="4" w:space="0" w:color="000000"/>
            </w:tcBorders>
          </w:tcPr>
          <w:p>
            <w:pP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2" w:right="0"/>
              <w:jc w:val="left"/>
              <w:rPr>
                <w:rFonts w:ascii="宋体" w:hAnsi="宋体" w:cs="宋体" w:eastAsia="宋体" w:hint="default"/>
                <w:sz w:val="21"/>
                <w:szCs w:val="21"/>
              </w:rPr>
            </w:pPr>
            <w:r>
              <w:rPr>
                <w:rFonts w:ascii="宋体" w:hAnsi="宋体" w:cs="宋体" w:eastAsia="宋体" w:hint="default"/>
                <w:sz w:val="21"/>
                <w:szCs w:val="21"/>
              </w:rPr>
              <w:t>优解决方案，缩短信息技术创新应用的技术风险和安全风</w:t>
            </w:r>
          </w:p>
        </w:tc>
        <w:tc>
          <w:tcPr>
            <w:tcW w:w="110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中心建设</w:t>
            </w:r>
          </w:p>
        </w:tc>
        <w:tc>
          <w:tcPr>
            <w:tcW w:w="1700" w:type="dxa"/>
            <w:tcBorders>
              <w:top w:val="nil" w:sz="6" w:space="0" w:color="auto"/>
              <w:left w:val="single" w:sz="4" w:space="0" w:color="000000"/>
              <w:bottom w:val="single" w:sz="4" w:space="0" w:color="000000"/>
              <w:right w:val="single" w:sz="4" w:space="0" w:color="000000"/>
            </w:tcBorders>
          </w:tcPr>
          <w:p>
            <w:pPr/>
          </w:p>
        </w:tc>
        <w:tc>
          <w:tcPr>
            <w:tcW w:w="563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险，更加快速、高效、低成本的完成项目建设。</w:t>
            </w:r>
          </w:p>
        </w:tc>
        <w:tc>
          <w:tcPr>
            <w:tcW w:w="1101"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56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Arial" w:hAnsi="Arial" w:cs="Arial" w:eastAsia="Arial" w:hint="default"/>
                <w:sz w:val="21"/>
                <w:szCs w:val="21"/>
              </w:rPr>
              <w:t>ABI</w:t>
            </w:r>
            <w:r>
              <w:rPr>
                <w:rFonts w:ascii="Arial" w:hAnsi="Arial" w:cs="Arial" w:eastAsia="Arial" w:hint="default"/>
                <w:spacing w:val="-21"/>
                <w:sz w:val="21"/>
                <w:szCs w:val="21"/>
              </w:rPr>
              <w:t> </w:t>
            </w:r>
            <w:r>
              <w:rPr>
                <w:rFonts w:ascii="宋体" w:hAnsi="宋体" w:cs="宋体" w:eastAsia="宋体" w:hint="default"/>
                <w:sz w:val="21"/>
                <w:szCs w:val="21"/>
              </w:rPr>
              <w:t>是深耕商业智能领域十多年，在丰富的数据分析挖掘、</w:t>
            </w:r>
          </w:p>
        </w:tc>
        <w:tc>
          <w:tcPr>
            <w:tcW w:w="110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1" w:right="0"/>
              <w:jc w:val="left"/>
              <w:rPr>
                <w:rFonts w:ascii="宋体" w:hAnsi="宋体" w:cs="宋体" w:eastAsia="宋体" w:hint="default"/>
                <w:sz w:val="21"/>
                <w:szCs w:val="21"/>
              </w:rPr>
            </w:pPr>
            <w:r>
              <w:rPr>
                <w:rFonts w:ascii="Arial" w:hAnsi="Arial" w:cs="Arial" w:eastAsia="Arial" w:hint="default"/>
                <w:sz w:val="21"/>
                <w:szCs w:val="21"/>
              </w:rPr>
              <w:t>3.ABI</w:t>
            </w:r>
            <w:r>
              <w:rPr>
                <w:rFonts w:ascii="Arial" w:hAnsi="Arial" w:cs="Arial" w:eastAsia="Arial" w:hint="default"/>
                <w:spacing w:val="-9"/>
                <w:sz w:val="21"/>
                <w:szCs w:val="21"/>
              </w:rPr>
              <w:t> </w:t>
            </w:r>
            <w:r>
              <w:rPr>
                <w:rFonts w:ascii="宋体" w:hAnsi="宋体" w:cs="宋体" w:eastAsia="宋体" w:hint="default"/>
                <w:sz w:val="21"/>
                <w:szCs w:val="21"/>
              </w:rPr>
              <w:t>一</w:t>
            </w:r>
          </w:p>
        </w:tc>
        <w:tc>
          <w:tcPr>
            <w:tcW w:w="1700" w:type="dxa"/>
            <w:tcBorders>
              <w:top w:val="nil" w:sz="6" w:space="0" w:color="auto"/>
              <w:left w:val="single" w:sz="4" w:space="0" w:color="000000"/>
              <w:bottom w:val="nil" w:sz="6" w:space="0" w:color="auto"/>
              <w:right w:val="single" w:sz="4" w:space="0" w:color="000000"/>
            </w:tcBorders>
          </w:tcPr>
          <w:p>
            <w:pP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2" w:right="0"/>
              <w:jc w:val="left"/>
              <w:rPr>
                <w:rFonts w:ascii="宋体" w:hAnsi="宋体" w:cs="宋体" w:eastAsia="宋体" w:hint="default"/>
                <w:sz w:val="21"/>
                <w:szCs w:val="21"/>
              </w:rPr>
            </w:pPr>
            <w:r>
              <w:rPr>
                <w:rFonts w:ascii="宋体" w:hAnsi="宋体" w:cs="宋体" w:eastAsia="宋体" w:hint="default"/>
                <w:sz w:val="21"/>
                <w:szCs w:val="21"/>
              </w:rPr>
              <w:t>报表处理等经验基础上，自主研发的一款融合了数据源适</w:t>
            </w:r>
          </w:p>
        </w:tc>
        <w:tc>
          <w:tcPr>
            <w:tcW w:w="110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站式数据</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6"/>
              <w:jc w:val="right"/>
              <w:rPr>
                <w:rFonts w:ascii="Arial" w:hAnsi="Arial" w:cs="Arial" w:eastAsia="Arial" w:hint="default"/>
                <w:sz w:val="21"/>
                <w:szCs w:val="21"/>
              </w:rPr>
            </w:pPr>
            <w:r>
              <w:rPr>
                <w:rFonts w:ascii="Arial"/>
                <w:w w:val="95"/>
                <w:sz w:val="21"/>
              </w:rPr>
              <w:t>12,678,478.18</w:t>
            </w:r>
            <w:r>
              <w:rPr>
                <w:rFonts w:ascii="Arial"/>
                <w:sz w:val="21"/>
              </w:rPr>
            </w: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配、</w:t>
            </w:r>
            <w:r>
              <w:rPr>
                <w:rFonts w:ascii="Arial" w:hAnsi="Arial" w:cs="Arial" w:eastAsia="Arial" w:hint="default"/>
                <w:spacing w:val="-2"/>
                <w:sz w:val="21"/>
                <w:szCs w:val="21"/>
              </w:rPr>
              <w:t>ETL</w:t>
            </w:r>
            <w:r>
              <w:rPr>
                <w:rFonts w:ascii="Arial" w:hAnsi="Arial" w:cs="Arial" w:eastAsia="Arial" w:hint="default"/>
                <w:spacing w:val="-28"/>
                <w:sz w:val="21"/>
                <w:szCs w:val="21"/>
              </w:rPr>
              <w:t> </w:t>
            </w:r>
            <w:r>
              <w:rPr>
                <w:rFonts w:ascii="宋体" w:hAnsi="宋体" w:cs="宋体" w:eastAsia="宋体" w:hint="default"/>
                <w:spacing w:val="-2"/>
                <w:sz w:val="21"/>
                <w:szCs w:val="21"/>
              </w:rPr>
              <w:t>数据处理、数据建模、数据分析、数据填报、工作</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2" w:right="0"/>
              <w:jc w:val="left"/>
              <w:rPr>
                <w:rFonts w:ascii="Arial" w:hAnsi="Arial" w:cs="Arial" w:eastAsia="Arial" w:hint="default"/>
                <w:sz w:val="21"/>
                <w:szCs w:val="21"/>
              </w:rPr>
            </w:pPr>
            <w:r>
              <w:rPr>
                <w:rFonts w:ascii="Arial"/>
                <w:sz w:val="21"/>
              </w:rPr>
              <w:t>75.00%</w:t>
            </w:r>
          </w:p>
        </w:tc>
      </w:tr>
      <w:tr>
        <w:trPr>
          <w:trHeight w:val="307"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分析平台</w:t>
            </w:r>
          </w:p>
        </w:tc>
        <w:tc>
          <w:tcPr>
            <w:tcW w:w="1700" w:type="dxa"/>
            <w:tcBorders>
              <w:top w:val="nil" w:sz="6" w:space="0" w:color="auto"/>
              <w:left w:val="single" w:sz="4" w:space="0" w:color="000000"/>
              <w:bottom w:val="nil" w:sz="6" w:space="0" w:color="auto"/>
              <w:right w:val="single" w:sz="4" w:space="0" w:color="000000"/>
            </w:tcBorders>
          </w:tcPr>
          <w:p>
            <w:pP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2" w:right="0"/>
              <w:jc w:val="left"/>
              <w:rPr>
                <w:rFonts w:ascii="宋体" w:hAnsi="宋体" w:cs="宋体" w:eastAsia="宋体" w:hint="default"/>
                <w:sz w:val="21"/>
                <w:szCs w:val="21"/>
              </w:rPr>
            </w:pPr>
            <w:r>
              <w:rPr>
                <w:rFonts w:ascii="宋体" w:hAnsi="宋体" w:cs="宋体" w:eastAsia="宋体" w:hint="default"/>
                <w:sz w:val="21"/>
                <w:szCs w:val="21"/>
              </w:rPr>
              <w:t>流、移动应用等核心功能而打造的一站式数据分析平台，助</w:t>
            </w:r>
          </w:p>
        </w:tc>
        <w:tc>
          <w:tcPr>
            <w:tcW w:w="110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563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力政府和企业完成数据化运营管理决策。</w:t>
            </w:r>
          </w:p>
        </w:tc>
        <w:tc>
          <w:tcPr>
            <w:tcW w:w="1101"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66" w:lineRule="auto"/>
              <w:ind w:left="101" w:right="182"/>
              <w:jc w:val="both"/>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法检行</w:t>
            </w:r>
            <w:r>
              <w:rPr>
                <w:rFonts w:ascii="宋体" w:hAnsi="宋体" w:cs="宋体" w:eastAsia="宋体" w:hint="default"/>
                <w:w w:val="99"/>
                <w:sz w:val="21"/>
                <w:szCs w:val="21"/>
              </w:rPr>
              <w:t> </w:t>
            </w:r>
            <w:r>
              <w:rPr>
                <w:rFonts w:ascii="宋体" w:hAnsi="宋体" w:cs="宋体" w:eastAsia="宋体" w:hint="default"/>
                <w:sz w:val="21"/>
                <w:szCs w:val="21"/>
              </w:rPr>
              <w:t>业支撑平</w:t>
            </w:r>
            <w:r>
              <w:rPr>
                <w:rFonts w:ascii="宋体" w:hAnsi="宋体" w:cs="宋体" w:eastAsia="宋体" w:hint="default"/>
                <w:w w:val="99"/>
                <w:sz w:val="21"/>
                <w:szCs w:val="21"/>
              </w:rPr>
              <w:t> </w:t>
            </w:r>
            <w:r>
              <w:rPr>
                <w:rFonts w:ascii="宋体" w:hAnsi="宋体" w:cs="宋体" w:eastAsia="宋体" w:hint="default"/>
                <w:sz w:val="21"/>
                <w:szCs w:val="21"/>
              </w:rPr>
              <w:t>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3"/>
              <w:jc w:val="right"/>
              <w:rPr>
                <w:rFonts w:ascii="Arial" w:hAnsi="Arial" w:cs="Arial" w:eastAsia="Arial" w:hint="default"/>
                <w:sz w:val="21"/>
                <w:szCs w:val="21"/>
              </w:rPr>
            </w:pPr>
            <w:r>
              <w:rPr>
                <w:rFonts w:ascii="Arial"/>
                <w:spacing w:val="-2"/>
                <w:sz w:val="21"/>
              </w:rPr>
              <w:t>12,401,112.84</w:t>
            </w:r>
          </w:p>
        </w:tc>
        <w:tc>
          <w:tcPr>
            <w:tcW w:w="56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102" w:right="58"/>
              <w:jc w:val="both"/>
              <w:rPr>
                <w:rFonts w:ascii="宋体" w:hAnsi="宋体" w:cs="宋体" w:eastAsia="宋体" w:hint="default"/>
                <w:sz w:val="21"/>
                <w:szCs w:val="21"/>
              </w:rPr>
            </w:pPr>
            <w:r>
              <w:rPr>
                <w:rFonts w:ascii="宋体" w:hAnsi="宋体" w:cs="宋体" w:eastAsia="宋体" w:hint="default"/>
                <w:w w:val="95"/>
                <w:sz w:val="21"/>
                <w:szCs w:val="21"/>
              </w:rPr>
              <w:t>法检行业业务支撑平台，以法检两院办案系统为支持，依托</w:t>
            </w:r>
            <w:r>
              <w:rPr>
                <w:rFonts w:ascii="宋体" w:hAnsi="宋体" w:cs="宋体" w:eastAsia="宋体" w:hint="default"/>
                <w:spacing w:val="15"/>
                <w:w w:val="95"/>
                <w:sz w:val="21"/>
                <w:szCs w:val="21"/>
              </w:rPr>
              <w:t> </w:t>
            </w:r>
            <w:r>
              <w:rPr>
                <w:rFonts w:ascii="宋体" w:hAnsi="宋体" w:cs="宋体" w:eastAsia="宋体" w:hint="default"/>
                <w:spacing w:val="15"/>
                <w:w w:val="95"/>
                <w:sz w:val="21"/>
                <w:szCs w:val="21"/>
              </w:rPr>
            </w:r>
            <w:r>
              <w:rPr>
                <w:rFonts w:ascii="宋体" w:hAnsi="宋体" w:cs="宋体" w:eastAsia="宋体" w:hint="default"/>
                <w:w w:val="95"/>
                <w:sz w:val="21"/>
                <w:szCs w:val="21"/>
              </w:rPr>
              <w:t>以数据为核心的应用系统，提供内网门户和外网门户，真实</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反映出刑事案件从公诉到结案的所有流程节点和案件材料，</w:t>
            </w:r>
            <w:r>
              <w:rPr>
                <w:rFonts w:ascii="宋体" w:hAnsi="宋体" w:cs="宋体" w:eastAsia="宋体" w:hint="default"/>
                <w:w w:val="99"/>
                <w:sz w:val="21"/>
                <w:szCs w:val="21"/>
              </w:rPr>
              <w:t> </w:t>
            </w:r>
            <w:r>
              <w:rPr>
                <w:rFonts w:ascii="宋体" w:hAnsi="宋体" w:cs="宋体" w:eastAsia="宋体" w:hint="default"/>
                <w:sz w:val="21"/>
                <w:szCs w:val="21"/>
              </w:rPr>
              <w:t>实现法院与检察院案件数据的全程网络传输与全程留痕。</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Arial" w:hAnsi="Arial" w:cs="Arial" w:eastAsia="Arial" w:hint="default"/>
                <w:sz w:val="21"/>
                <w:szCs w:val="21"/>
              </w:rPr>
            </w:pPr>
            <w:r>
              <w:rPr>
                <w:rFonts w:ascii="Arial"/>
                <w:sz w:val="21"/>
              </w:rPr>
              <w:t>85.00%</w:t>
            </w:r>
          </w:p>
        </w:tc>
      </w:tr>
      <w:tr>
        <w:trPr>
          <w:trHeight w:val="363"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基于数</w:t>
            </w:r>
          </w:p>
        </w:tc>
        <w:tc>
          <w:tcPr>
            <w:tcW w:w="1700" w:type="dxa"/>
            <w:tcBorders>
              <w:top w:val="single" w:sz="4" w:space="0" w:color="000000"/>
              <w:left w:val="single" w:sz="4" w:space="0" w:color="000000"/>
              <w:bottom w:val="nil" w:sz="6" w:space="0" w:color="auto"/>
              <w:right w:val="single" w:sz="4" w:space="0" w:color="000000"/>
            </w:tcBorders>
          </w:tcPr>
          <w:p>
            <w:pPr/>
          </w:p>
        </w:tc>
        <w:tc>
          <w:tcPr>
            <w:tcW w:w="56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宋体" w:hAnsi="宋体" w:cs="宋体" w:eastAsia="宋体" w:hint="default"/>
                <w:sz w:val="21"/>
                <w:szCs w:val="21"/>
              </w:rPr>
              <w:t>基于基础设施云中心、市场监管大数据中心，在智能支撑平</w:t>
            </w:r>
          </w:p>
        </w:tc>
        <w:tc>
          <w:tcPr>
            <w:tcW w:w="1101"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据驱动的</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智慧市场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Arial" w:hAnsi="Arial" w:cs="Arial" w:eastAsia="Arial" w:hint="default"/>
                <w:sz w:val="21"/>
                <w:szCs w:val="21"/>
              </w:rPr>
            </w:pPr>
            <w:r>
              <w:rPr>
                <w:rFonts w:ascii="Arial"/>
                <w:spacing w:val="-1"/>
                <w:w w:val="95"/>
                <w:sz w:val="21"/>
              </w:rPr>
              <w:t>11,472,672.35</w:t>
            </w:r>
            <w:r>
              <w:rPr>
                <w:rFonts w:ascii="Arial"/>
                <w:spacing w:val="-1"/>
                <w:sz w:val="21"/>
              </w:rPr>
            </w:r>
          </w:p>
        </w:tc>
        <w:tc>
          <w:tcPr>
            <w:tcW w:w="56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2" w:right="-2"/>
              <w:jc w:val="left"/>
              <w:rPr>
                <w:rFonts w:ascii="宋体" w:hAnsi="宋体" w:cs="宋体" w:eastAsia="宋体" w:hint="default"/>
                <w:sz w:val="21"/>
                <w:szCs w:val="21"/>
              </w:rPr>
            </w:pPr>
            <w:r>
              <w:rPr>
                <w:rFonts w:ascii="宋体" w:hAnsi="宋体" w:cs="宋体" w:eastAsia="宋体" w:hint="default"/>
                <w:spacing w:val="-6"/>
                <w:sz w:val="21"/>
                <w:szCs w:val="21"/>
              </w:rPr>
              <w:t>台（涵盖人工智能支撑、大数据支撑、应用支撑、业务支撑）</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的基础上为市场监管机构提供智能准入、智能监管、智能服</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2" w:right="0"/>
              <w:jc w:val="left"/>
              <w:rPr>
                <w:rFonts w:ascii="Arial" w:hAnsi="Arial" w:cs="Arial" w:eastAsia="Arial" w:hint="default"/>
                <w:sz w:val="21"/>
                <w:szCs w:val="21"/>
              </w:rPr>
            </w:pPr>
            <w:r>
              <w:rPr>
                <w:rFonts w:ascii="Arial"/>
                <w:sz w:val="21"/>
              </w:rPr>
              <w:t>58.00%</w:t>
            </w: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监管平台</w:t>
            </w:r>
          </w:p>
        </w:tc>
        <w:tc>
          <w:tcPr>
            <w:tcW w:w="1700" w:type="dxa"/>
            <w:tcBorders>
              <w:top w:val="nil" w:sz="6" w:space="0" w:color="auto"/>
              <w:left w:val="single" w:sz="4" w:space="0" w:color="000000"/>
              <w:bottom w:val="single" w:sz="4" w:space="0" w:color="000000"/>
              <w:right w:val="single" w:sz="4" w:space="0" w:color="000000"/>
            </w:tcBorders>
          </w:tcPr>
          <w:p>
            <w:pPr/>
          </w:p>
        </w:tc>
        <w:tc>
          <w:tcPr>
            <w:tcW w:w="563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务、智能保障、智能决策、智能办公等应用及服务。</w:t>
            </w:r>
          </w:p>
        </w:tc>
        <w:tc>
          <w:tcPr>
            <w:tcW w:w="1101"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1016" w:header="746" w:top="1060" w:bottom="1200" w:left="1020" w:right="0"/>
          <w:pgNumType w:start="30"/>
        </w:sectPr>
      </w:pPr>
    </w:p>
    <w:p>
      <w:pPr>
        <w:spacing w:line="240" w:lineRule="auto" w:before="8"/>
        <w:rPr>
          <w:rFonts w:ascii="宋体" w:hAnsi="宋体" w:cs="宋体" w:eastAsia="宋体" w:hint="default"/>
          <w:sz w:val="23"/>
          <w:szCs w:val="23"/>
        </w:rPr>
      </w:pPr>
    </w:p>
    <w:p>
      <w:pPr>
        <w:pStyle w:val="Heading3"/>
        <w:spacing w:line="312" w:lineRule="exact" w:before="56"/>
        <w:ind w:right="1231" w:firstLine="420"/>
        <w:jc w:val="both"/>
      </w:pPr>
      <w:r>
        <w:rPr/>
        <w:t>结合自身业务特点，公司将研究开发项目通过子公司董事会立项审批作为研发支出资本 化开始的时点。</w:t>
      </w:r>
    </w:p>
    <w:p>
      <w:pPr>
        <w:pStyle w:val="Heading3"/>
        <w:spacing w:line="312" w:lineRule="exact"/>
        <w:ind w:right="1171" w:firstLine="420"/>
        <w:jc w:val="both"/>
      </w:pPr>
      <w:r>
        <w:rPr/>
        <w:t>针对内部研发形成的无形资产，公司制定了内部研发项目管理制度，对研发项目开始资 本化条件、无形资产的确认依据进行了具体规定。同时，公司建立了完善的研发项目管理体 系、项目财务核算体系，从项目前期调研、可行性分析论证、立项、实施、成本归集、结项 等阶段，对内部研发形成无形资产进行严密控制。</w:t>
      </w:r>
    </w:p>
    <w:p>
      <w:pPr>
        <w:spacing w:line="240" w:lineRule="auto" w:before="4"/>
        <w:rPr>
          <w:rFonts w:ascii="宋体" w:hAnsi="宋体" w:cs="宋体" w:eastAsia="宋体" w:hint="default"/>
          <w:sz w:val="22"/>
          <w:szCs w:val="22"/>
        </w:rPr>
      </w:pPr>
    </w:p>
    <w:p>
      <w:pPr>
        <w:pStyle w:val="Heading4"/>
        <w:spacing w:line="240" w:lineRule="auto" w:before="0"/>
        <w:ind w:right="996"/>
        <w:jc w:val="left"/>
        <w:rPr>
          <w:b w:val="0"/>
          <w:bCs w:val="0"/>
        </w:rPr>
      </w:pPr>
      <w:bookmarkStart w:name="5、现金流" w:id="36"/>
      <w:bookmarkEnd w:id="36"/>
      <w:r>
        <w:rPr>
          <w:b w:val="0"/>
          <w:bCs w:val="0"/>
        </w:rPr>
      </w:r>
      <w:r>
        <w:rPr>
          <w:rFonts w:ascii="Arial" w:hAnsi="Arial" w:cs="Arial" w:eastAsia="Arial" w:hint="default"/>
        </w:rPr>
        <w:t>5</w:t>
      </w:r>
      <w:r>
        <w:rPr/>
        <w:t>、现金流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135"/>
        <w:jc w:val="right"/>
      </w:pPr>
      <w:r>
        <w:rPr>
          <w:w w:val="95"/>
        </w:rPr>
        <w:t>单位：元</w:t>
      </w:r>
      <w:r>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34"/>
        <w:gridCol w:w="2700"/>
        <w:gridCol w:w="2033"/>
        <w:gridCol w:w="1601"/>
      </w:tblGrid>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8"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3,881,870,494.37</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3,206,727,568.06</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21.05%</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3,408,762,808.84</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2,886,566,258.48</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18.09%</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473,107,685.53</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320,161,309.58</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47.77%</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391,731,567.47</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580,475.00</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67,384.66%</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1,144,703,372.31</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263,212,236.18</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95"/>
                <w:sz w:val="21"/>
              </w:rPr>
              <w:t>334.90%</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-752,971,804.84</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-262,631,761.18</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w w:val="95"/>
                <w:sz w:val="21"/>
              </w:rPr>
              <w:t>-186.70%</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1,067,236,249.49</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52,089,799.03</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95"/>
                <w:sz w:val="21"/>
              </w:rPr>
              <w:t>1,948.84%</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139,062,782.01</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spacing w:val="-3"/>
                <w:sz w:val="21"/>
              </w:rPr>
              <w:t>116,117,592.79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19.76%</w:t>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928,173,467.48</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3"/>
              <w:jc w:val="right"/>
              <w:rPr>
                <w:rFonts w:ascii="Arial" w:hAnsi="Arial" w:cs="Arial" w:eastAsia="Arial" w:hint="default"/>
                <w:sz w:val="21"/>
                <w:szCs w:val="21"/>
              </w:rPr>
            </w:pPr>
            <w:r>
              <w:rPr>
                <w:rFonts w:ascii="Arial"/>
                <w:w w:val="95"/>
                <w:sz w:val="21"/>
              </w:rPr>
              <w:t>-64,027,793.76</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95"/>
                <w:sz w:val="21"/>
              </w:rPr>
              <w:t>1,549.64%</w:t>
            </w:r>
            <w:r>
              <w:rPr>
                <w:rFonts w:ascii="Arial"/>
                <w:sz w:val="21"/>
              </w:rPr>
            </w:r>
          </w:p>
        </w:tc>
      </w:tr>
      <w:tr>
        <w:trPr>
          <w:trHeight w:val="402"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648,309,348.17</w:t>
            </w:r>
            <w:r>
              <w:rPr>
                <w:rFonts w:ascii="Arial"/>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-6,498,245.36</w:t>
            </w:r>
            <w:r>
              <w:rPr>
                <w:rFonts w:ascii="Arial"/>
                <w:sz w:val="21"/>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10,076.68%</w:t>
            </w:r>
            <w:r>
              <w:rPr>
                <w:rFonts w:ascii="Arial"/>
                <w:sz w:val="21"/>
              </w:rPr>
            </w:r>
          </w:p>
        </w:tc>
      </w:tr>
    </w:tbl>
    <w:p>
      <w:pPr>
        <w:pStyle w:val="Heading3"/>
        <w:spacing w:line="240" w:lineRule="auto" w:before="2"/>
        <w:ind w:right="996"/>
        <w:jc w:val="left"/>
      </w:pPr>
      <w:r>
        <w:rPr/>
        <w:t>相关数据同比发生重大变动的主要影响因素说明</w:t>
      </w:r>
    </w:p>
    <w:p>
      <w:pPr>
        <w:pStyle w:val="Heading3"/>
        <w:spacing w:line="256" w:lineRule="auto" w:before="38"/>
        <w:ind w:right="2114"/>
        <w:jc w:val="left"/>
      </w:pPr>
      <w:r>
        <w:rPr>
          <w:rFonts w:ascii="Arial" w:hAnsi="Arial" w:cs="Arial" w:eastAsia="Arial" w:hint="default"/>
        </w:rPr>
        <w:t>□ </w:t>
      </w:r>
      <w:r>
        <w:rPr/>
        <w:t>适用 √</w:t>
      </w:r>
      <w:r>
        <w:rPr>
          <w:spacing w:val="-15"/>
        </w:rPr>
        <w:t> </w:t>
      </w:r>
      <w:r>
        <w:rPr/>
        <w:t>不适用</w:t>
      </w:r>
      <w:r>
        <w:rPr>
          <w:w w:val="99"/>
        </w:rPr>
        <w:t> </w:t>
      </w:r>
      <w:r>
        <w:rPr/>
        <w:t>报告期内公司经营活动产生的现金净流量与本年度净利润存在重大差异的原因说明</w:t>
      </w:r>
    </w:p>
    <w:p>
      <w:pPr>
        <w:spacing w:line="444" w:lineRule="auto" w:before="19"/>
        <w:ind w:left="112" w:right="858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三、非主营业务情况" w:id="37"/>
      <w:bookmarkEnd w:id="37"/>
      <w:r>
        <w:rPr>
          <w:rFonts w:ascii="宋体" w:hAnsi="宋体" w:cs="宋体" w:eastAsia="宋体" w:hint="default"/>
          <w:w w:val="99"/>
          <w:sz w:val="24"/>
          <w:szCs w:val="24"/>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after="0" w:line="444" w:lineRule="auto"/>
        <w:jc w:val="left"/>
        <w:rPr>
          <w:rFonts w:ascii="宋体" w:hAnsi="宋体" w:cs="宋体" w:eastAsia="宋体" w:hint="default"/>
          <w:sz w:val="24"/>
          <w:szCs w:val="24"/>
        </w:rPr>
        <w:sectPr>
          <w:pgSz w:w="11910" w:h="16840"/>
          <w:pgMar w:header="746" w:footer="1016" w:top="1060" w:bottom="1200" w:left="1020" w:right="0"/>
        </w:sectPr>
      </w:pPr>
    </w:p>
    <w:p>
      <w:pPr>
        <w:pStyle w:val="Heading3"/>
        <w:spacing w:line="240" w:lineRule="auto" w:before="96"/>
        <w:ind w:right="-19"/>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045" w:space="6873"/>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0"/>
        <w:gridCol w:w="1767"/>
        <w:gridCol w:w="1450"/>
        <w:gridCol w:w="3563"/>
        <w:gridCol w:w="1488"/>
      </w:tblGrid>
      <w:tr>
        <w:trPr>
          <w:trHeight w:val="754"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4"/>
              <w:ind w:left="510" w:right="193" w:hanging="315"/>
              <w:jc w:val="left"/>
              <w:rPr>
                <w:rFonts w:ascii="宋体" w:hAnsi="宋体" w:cs="宋体" w:eastAsia="宋体" w:hint="default"/>
                <w:sz w:val="21"/>
                <w:szCs w:val="21"/>
              </w:rPr>
            </w:pPr>
            <w:r>
              <w:rPr>
                <w:rFonts w:ascii="宋体" w:hAnsi="宋体" w:cs="宋体" w:eastAsia="宋体" w:hint="default"/>
                <w:sz w:val="21"/>
                <w:szCs w:val="21"/>
              </w:rPr>
              <w:t>占利润总额</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3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45"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5"/>
              <w:ind w:left="318" w:right="319"/>
              <w:jc w:val="left"/>
              <w:rPr>
                <w:rFonts w:ascii="宋体" w:hAnsi="宋体" w:cs="宋体" w:eastAsia="宋体" w:hint="default"/>
                <w:sz w:val="21"/>
                <w:szCs w:val="21"/>
              </w:rPr>
            </w:pPr>
            <w:r>
              <w:rPr>
                <w:rFonts w:ascii="宋体" w:hAnsi="宋体" w:cs="宋体" w:eastAsia="宋体" w:hint="default"/>
                <w:sz w:val="21"/>
                <w:szCs w:val="21"/>
              </w:rPr>
              <w:t>是否具有</w:t>
            </w:r>
            <w:r>
              <w:rPr>
                <w:rFonts w:ascii="宋体" w:hAnsi="宋体" w:cs="宋体" w:eastAsia="宋体" w:hint="default"/>
                <w:w w:val="99"/>
                <w:sz w:val="21"/>
                <w:szCs w:val="21"/>
              </w:rPr>
              <w:t> </w:t>
            </w:r>
            <w:r>
              <w:rPr>
                <w:rFonts w:ascii="宋体" w:hAnsi="宋体" w:cs="宋体" w:eastAsia="宋体" w:hint="default"/>
                <w:sz w:val="21"/>
                <w:szCs w:val="21"/>
              </w:rPr>
              <w:t>可持续性</w:t>
            </w:r>
          </w:p>
        </w:tc>
      </w:tr>
      <w:tr>
        <w:trPr>
          <w:trHeight w:val="402"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6"/>
              <w:jc w:val="right"/>
              <w:rPr>
                <w:rFonts w:ascii="Arial" w:hAnsi="Arial" w:cs="Arial" w:eastAsia="Arial" w:hint="default"/>
                <w:sz w:val="21"/>
                <w:szCs w:val="21"/>
              </w:rPr>
            </w:pPr>
            <w:r>
              <w:rPr>
                <w:rFonts w:ascii="Arial"/>
                <w:w w:val="95"/>
                <w:sz w:val="21"/>
              </w:rPr>
              <w:t>865,261.10</w:t>
            </w:r>
            <w:r>
              <w:rPr>
                <w:rFonts w:ascii="Arial"/>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Arial" w:hAnsi="Arial" w:cs="Arial" w:eastAsia="Arial" w:hint="default"/>
                <w:sz w:val="21"/>
                <w:szCs w:val="21"/>
              </w:rPr>
            </w:pPr>
            <w:r>
              <w:rPr>
                <w:rFonts w:ascii="Arial"/>
                <w:w w:val="95"/>
                <w:sz w:val="21"/>
              </w:rPr>
              <w:t>0.14%</w:t>
            </w:r>
            <w:r>
              <w:rPr>
                <w:rFonts w:ascii="Arial"/>
                <w:sz w:val="21"/>
              </w:rPr>
            </w:r>
          </w:p>
        </w:tc>
        <w:tc>
          <w:tcPr>
            <w:tcW w:w="356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4"/>
              <w:jc w:val="right"/>
              <w:rPr>
                <w:rFonts w:ascii="Arial" w:hAnsi="Arial" w:cs="Arial" w:eastAsia="Arial" w:hint="default"/>
                <w:sz w:val="21"/>
                <w:szCs w:val="21"/>
              </w:rPr>
            </w:pPr>
            <w:r>
              <w:rPr>
                <w:rFonts w:ascii="Arial"/>
                <w:w w:val="95"/>
                <w:sz w:val="21"/>
              </w:rPr>
              <w:t>-33,002,517.63</w:t>
            </w:r>
            <w:r>
              <w:rPr>
                <w:rFonts w:ascii="Arial"/>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w w:val="95"/>
                <w:sz w:val="21"/>
              </w:rPr>
              <w:t>-5.29%</w:t>
            </w:r>
            <w:r>
              <w:rPr>
                <w:rFonts w:ascii="Arial"/>
                <w:sz w:val="21"/>
              </w:rPr>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21"/>
                <w:szCs w:val="21"/>
              </w:rPr>
            </w:pPr>
            <w:r>
              <w:rPr>
                <w:rFonts w:ascii="宋体" w:hAnsi="宋体" w:cs="宋体" w:eastAsia="宋体" w:hint="default"/>
                <w:sz w:val="21"/>
                <w:szCs w:val="21"/>
              </w:rPr>
              <w:t>本期应收项目计提的坏账准备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6"/>
              <w:jc w:val="right"/>
              <w:rPr>
                <w:rFonts w:ascii="Arial" w:hAnsi="Arial" w:cs="Arial" w:eastAsia="Arial" w:hint="default"/>
                <w:sz w:val="21"/>
                <w:szCs w:val="21"/>
              </w:rPr>
            </w:pPr>
            <w:r>
              <w:rPr>
                <w:rFonts w:ascii="Arial"/>
                <w:w w:val="95"/>
                <w:sz w:val="21"/>
              </w:rPr>
              <w:t>10,471.36</w:t>
            </w:r>
            <w:r>
              <w:rPr>
                <w:rFonts w:ascii="Arial"/>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Arial" w:hAnsi="Arial" w:cs="Arial" w:eastAsia="Arial" w:hint="default"/>
                <w:sz w:val="21"/>
                <w:szCs w:val="21"/>
              </w:rPr>
            </w:pPr>
            <w:r>
              <w:rPr>
                <w:rFonts w:ascii="Arial"/>
                <w:w w:val="95"/>
                <w:sz w:val="21"/>
              </w:rPr>
              <w:t>0.00%</w:t>
            </w:r>
            <w:r>
              <w:rPr>
                <w:rFonts w:ascii="Arial"/>
                <w:sz w:val="21"/>
              </w:rPr>
            </w:r>
          </w:p>
        </w:tc>
        <w:tc>
          <w:tcPr>
            <w:tcW w:w="356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4"/>
              <w:jc w:val="right"/>
              <w:rPr>
                <w:rFonts w:ascii="Arial" w:hAnsi="Arial" w:cs="Arial" w:eastAsia="Arial" w:hint="default"/>
                <w:sz w:val="21"/>
                <w:szCs w:val="21"/>
              </w:rPr>
            </w:pPr>
            <w:r>
              <w:rPr>
                <w:rFonts w:ascii="Arial"/>
                <w:w w:val="95"/>
                <w:sz w:val="21"/>
              </w:rPr>
              <w:t>12,563,151.09</w:t>
            </w:r>
            <w:r>
              <w:rPr>
                <w:rFonts w:ascii="Arial"/>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w w:val="95"/>
                <w:sz w:val="21"/>
              </w:rPr>
              <w:t>2.02%</w:t>
            </w:r>
            <w:r>
              <w:rPr>
                <w:rFonts w:ascii="Arial"/>
                <w:sz w:val="21"/>
              </w:rPr>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宋体" w:hAnsi="宋体" w:cs="宋体" w:eastAsia="宋体" w:hint="default"/>
                <w:sz w:val="21"/>
                <w:szCs w:val="21"/>
              </w:rPr>
            </w:pPr>
            <w:r>
              <w:rPr>
                <w:rFonts w:ascii="宋体" w:hAnsi="宋体" w:cs="宋体" w:eastAsia="宋体" w:hint="default"/>
                <w:sz w:val="21"/>
                <w:szCs w:val="21"/>
              </w:rPr>
              <w:t>主要为本期公益性捐赠支出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type w:val="continuous"/>
          <w:pgSz w:w="11910" w:h="16840"/>
          <w:pgMar w:top="1060" w:bottom="1200" w:left="1020" w:right="0"/>
        </w:sectPr>
      </w:pPr>
    </w:p>
    <w:p>
      <w:pPr>
        <w:spacing w:line="240" w:lineRule="auto" w:before="8"/>
        <w:rPr>
          <w:rFonts w:ascii="宋体" w:hAnsi="宋体" w:cs="宋体" w:eastAsia="宋体" w:hint="default"/>
          <w:sz w:val="23"/>
          <w:szCs w:val="23"/>
        </w:rPr>
      </w:pPr>
    </w:p>
    <w:p>
      <w:pPr>
        <w:pStyle w:val="Heading2"/>
        <w:spacing w:line="240" w:lineRule="auto" w:before="26"/>
        <w:ind w:right="996"/>
        <w:jc w:val="left"/>
        <w:rPr>
          <w:b w:val="0"/>
          <w:bCs w:val="0"/>
        </w:rPr>
      </w:pPr>
      <w:bookmarkStart w:name="四、资产及负债状况" w:id="38"/>
      <w:bookmarkEnd w:id="38"/>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资产构成重大变动情况" w:id="39"/>
      <w:bookmarkEnd w:id="39"/>
      <w:r>
        <w:rPr>
          <w:b w:val="0"/>
          <w:bCs w:val="0"/>
        </w:rPr>
      </w:r>
      <w:r>
        <w:rPr>
          <w:rFonts w:ascii="Arial" w:hAnsi="Arial" w:cs="Arial" w:eastAsia="Arial"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67"/>
        <w:gridCol w:w="1867"/>
        <w:gridCol w:w="959"/>
        <w:gridCol w:w="1875"/>
        <w:gridCol w:w="956"/>
        <w:gridCol w:w="882"/>
        <w:gridCol w:w="1863"/>
      </w:tblGrid>
      <w:tr>
        <w:trPr>
          <w:trHeight w:val="402" w:hRule="exact"/>
        </w:trPr>
        <w:tc>
          <w:tcPr>
            <w:tcW w:w="1167" w:type="dxa"/>
            <w:vMerge w:val="restart"/>
            <w:tcBorders>
              <w:top w:val="single" w:sz="4" w:space="0" w:color="000000"/>
              <w:left w:val="single" w:sz="4" w:space="0" w:color="000000"/>
              <w:right w:val="single" w:sz="4" w:space="0" w:color="000000"/>
            </w:tcBorders>
            <w:shd w:val="clear" w:color="auto" w:fill="D2D2D2"/>
          </w:tcPr>
          <w:p>
            <w:pPr/>
          </w:p>
        </w:tc>
        <w:tc>
          <w:tcPr>
            <w:tcW w:w="2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2"/>
                <w:sz w:val="21"/>
                <w:szCs w:val="21"/>
              </w:rPr>
              <w:t> </w:t>
            </w:r>
            <w:r>
              <w:rPr>
                <w:rFonts w:ascii="宋体" w:hAnsi="宋体" w:cs="宋体" w:eastAsia="宋体" w:hint="default"/>
                <w:sz w:val="21"/>
                <w:szCs w:val="21"/>
              </w:rPr>
              <w:t>年末</w:t>
            </w:r>
          </w:p>
        </w:tc>
        <w:tc>
          <w:tcPr>
            <w:tcW w:w="2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2"/>
                <w:sz w:val="21"/>
                <w:szCs w:val="21"/>
              </w:rPr>
              <w:t> </w:t>
            </w:r>
            <w:r>
              <w:rPr>
                <w:rFonts w:ascii="宋体" w:hAnsi="宋体" w:cs="宋体" w:eastAsia="宋体" w:hint="default"/>
                <w:sz w:val="21"/>
                <w:szCs w:val="21"/>
              </w:rPr>
              <w:t>年初</w:t>
            </w:r>
          </w:p>
        </w:tc>
        <w:tc>
          <w:tcPr>
            <w:tcW w:w="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26" w:right="226"/>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w w:val="99"/>
                <w:sz w:val="21"/>
                <w:szCs w:val="21"/>
              </w:rPr>
              <w:t> </w:t>
            </w:r>
            <w:r>
              <w:rPr>
                <w:rFonts w:ascii="宋体" w:hAnsi="宋体" w:cs="宋体" w:eastAsia="宋体" w:hint="default"/>
                <w:sz w:val="21"/>
                <w:szCs w:val="21"/>
              </w:rPr>
              <w:t>增减</w:t>
            </w:r>
          </w:p>
        </w:tc>
        <w:tc>
          <w:tcPr>
            <w:tcW w:w="1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4" w:hRule="exact"/>
        </w:trPr>
        <w:tc>
          <w:tcPr>
            <w:tcW w:w="1167"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9" w:right="159"/>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99"/>
                <w:sz w:val="21"/>
                <w:szCs w:val="21"/>
              </w:rPr>
              <w:t> </w:t>
            </w:r>
            <w:r>
              <w:rPr>
                <w:rFonts w:ascii="宋体" w:hAnsi="宋体" w:cs="宋体" w:eastAsia="宋体" w:hint="default"/>
                <w:sz w:val="21"/>
                <w:szCs w:val="21"/>
              </w:rPr>
              <w:t>产比例</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7" w:right="158"/>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99"/>
                <w:sz w:val="21"/>
                <w:szCs w:val="21"/>
              </w:rPr>
              <w:t> </w:t>
            </w:r>
            <w:r>
              <w:rPr>
                <w:rFonts w:ascii="宋体" w:hAnsi="宋体" w:cs="宋体" w:eastAsia="宋体" w:hint="default"/>
                <w:sz w:val="21"/>
                <w:szCs w:val="21"/>
              </w:rPr>
              <w:t>产比例</w:t>
            </w:r>
          </w:p>
        </w:tc>
        <w:tc>
          <w:tcPr>
            <w:tcW w:w="882" w:type="dxa"/>
            <w:vMerge/>
            <w:tcBorders>
              <w:left w:val="single" w:sz="4" w:space="0" w:color="000000"/>
              <w:bottom w:val="single" w:sz="4" w:space="0" w:color="000000"/>
              <w:right w:val="single" w:sz="4" w:space="0" w:color="000000"/>
            </w:tcBorders>
            <w:shd w:val="clear" w:color="auto" w:fill="D2D2D2"/>
          </w:tcPr>
          <w:p>
            <w:pPr/>
          </w:p>
        </w:tc>
        <w:tc>
          <w:tcPr>
            <w:tcW w:w="1863" w:type="dxa"/>
            <w:vMerge/>
            <w:tcBorders>
              <w:left w:val="single" w:sz="4" w:space="0" w:color="000000"/>
              <w:bottom w:val="single" w:sz="4" w:space="0" w:color="000000"/>
              <w:right w:val="single" w:sz="4" w:space="0" w:color="000000"/>
            </w:tcBorders>
            <w:shd w:val="clear" w:color="auto" w:fill="D2D2D2"/>
          </w:tcPr>
          <w:p>
            <w:pPr/>
          </w:p>
        </w:tc>
      </w:tr>
      <w:tr>
        <w:trPr>
          <w:trHeight w:val="356" w:hRule="exact"/>
        </w:trPr>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87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left="102" w:right="0"/>
              <w:jc w:val="left"/>
              <w:rPr>
                <w:rFonts w:ascii="宋体" w:hAnsi="宋体" w:cs="宋体" w:eastAsia="宋体" w:hint="default"/>
                <w:sz w:val="21"/>
                <w:szCs w:val="21"/>
              </w:rPr>
            </w:pPr>
            <w:r>
              <w:rPr>
                <w:rFonts w:ascii="宋体" w:hAnsi="宋体" w:cs="宋体" w:eastAsia="宋体" w:hint="default"/>
                <w:sz w:val="21"/>
                <w:szCs w:val="21"/>
              </w:rPr>
              <w:t>公司销售回款较</w:t>
            </w:r>
          </w:p>
        </w:tc>
      </w:tr>
      <w:tr>
        <w:trPr>
          <w:trHeight w:val="624"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2"/>
              <w:jc w:val="right"/>
              <w:rPr>
                <w:rFonts w:ascii="Arial" w:hAnsi="Arial" w:cs="Arial" w:eastAsia="Arial" w:hint="default"/>
                <w:sz w:val="21"/>
                <w:szCs w:val="21"/>
              </w:rPr>
            </w:pPr>
            <w:r>
              <w:rPr>
                <w:rFonts w:ascii="Arial"/>
                <w:w w:val="95"/>
                <w:sz w:val="21"/>
              </w:rPr>
              <w:t>2,356,598,426.12</w:t>
            </w:r>
            <w:r>
              <w:rPr>
                <w:rFonts w:ascii="Arial"/>
                <w:sz w:val="21"/>
              </w:rPr>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32.24%</w:t>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1"/>
              <w:jc w:val="right"/>
              <w:rPr>
                <w:rFonts w:ascii="Arial" w:hAnsi="Arial" w:cs="Arial" w:eastAsia="Arial" w:hint="default"/>
                <w:sz w:val="21"/>
                <w:szCs w:val="21"/>
              </w:rPr>
            </w:pPr>
            <w:r>
              <w:rPr>
                <w:rFonts w:ascii="Arial"/>
                <w:w w:val="95"/>
                <w:sz w:val="21"/>
              </w:rPr>
              <w:t>1,303,142,047.61</w:t>
            </w:r>
            <w:r>
              <w:rPr>
                <w:rFonts w:ascii="Arial"/>
                <w:sz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 w:right="0"/>
              <w:jc w:val="center"/>
              <w:rPr>
                <w:rFonts w:ascii="Arial" w:hAnsi="Arial" w:cs="Arial" w:eastAsia="Arial" w:hint="default"/>
                <w:sz w:val="21"/>
                <w:szCs w:val="21"/>
              </w:rPr>
            </w:pPr>
            <w:r>
              <w:rPr>
                <w:rFonts w:ascii="Arial"/>
                <w:sz w:val="21"/>
              </w:rPr>
              <w:t>22.36%</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4" w:right="0"/>
              <w:jc w:val="center"/>
              <w:rPr>
                <w:rFonts w:ascii="Arial" w:hAnsi="Arial" w:cs="Arial" w:eastAsia="Arial" w:hint="default"/>
                <w:sz w:val="21"/>
                <w:szCs w:val="21"/>
              </w:rPr>
            </w:pPr>
            <w:r>
              <w:rPr>
                <w:rFonts w:ascii="Arial"/>
                <w:sz w:val="21"/>
              </w:rPr>
              <w:t>9.88%</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好，同时募投项目</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pacing w:val="-4"/>
                <w:sz w:val="21"/>
                <w:szCs w:val="21"/>
              </w:rPr>
              <w:t>在实施中，募集资</w:t>
            </w:r>
          </w:p>
        </w:tc>
      </w:tr>
      <w:tr>
        <w:trPr>
          <w:trHeight w:val="358" w:hRule="exact"/>
        </w:trPr>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87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金未使用完毕</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2"/>
              <w:jc w:val="right"/>
              <w:rPr>
                <w:rFonts w:ascii="Arial" w:hAnsi="Arial" w:cs="Arial" w:eastAsia="Arial" w:hint="default"/>
                <w:sz w:val="21"/>
                <w:szCs w:val="21"/>
              </w:rPr>
            </w:pPr>
            <w:r>
              <w:rPr>
                <w:rFonts w:ascii="Arial"/>
                <w:w w:val="95"/>
                <w:sz w:val="21"/>
              </w:rPr>
              <w:t>1,103,020,902.46</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15.09%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4"/>
              <w:jc w:val="right"/>
              <w:rPr>
                <w:rFonts w:ascii="Arial" w:hAnsi="Arial" w:cs="Arial" w:eastAsia="Arial" w:hint="default"/>
                <w:sz w:val="21"/>
                <w:szCs w:val="21"/>
              </w:rPr>
            </w:pPr>
            <w:r>
              <w:rPr>
                <w:rFonts w:ascii="Arial"/>
                <w:w w:val="95"/>
                <w:sz w:val="21"/>
              </w:rPr>
              <w:t>922,203,072.43</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 w:right="0"/>
              <w:jc w:val="center"/>
              <w:rPr>
                <w:rFonts w:ascii="Arial" w:hAnsi="Arial" w:cs="Arial" w:eastAsia="Arial" w:hint="default"/>
                <w:sz w:val="21"/>
                <w:szCs w:val="21"/>
              </w:rPr>
            </w:pPr>
            <w:r>
              <w:rPr>
                <w:rFonts w:ascii="Arial"/>
                <w:sz w:val="21"/>
              </w:rPr>
              <w:t>15.82%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-0.73%</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720,285,271.75</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95"/>
                <w:sz w:val="21"/>
              </w:rPr>
              <w:t>9.85%</w:t>
            </w:r>
            <w:r>
              <w:rPr>
                <w:rFonts w:ascii="Arial"/>
                <w:spacing w:val="-1"/>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677,082,569.92</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Arial" w:hAnsi="Arial" w:cs="Arial" w:eastAsia="Arial" w:hint="default"/>
                <w:sz w:val="21"/>
                <w:szCs w:val="21"/>
              </w:rPr>
            </w:pPr>
            <w:r>
              <w:rPr>
                <w:rFonts w:ascii="Arial"/>
                <w:spacing w:val="-3"/>
                <w:sz w:val="21"/>
              </w:rPr>
              <w:t>11.62%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Arial" w:hAnsi="Arial" w:cs="Arial" w:eastAsia="Arial" w:hint="default"/>
                <w:sz w:val="21"/>
                <w:szCs w:val="21"/>
              </w:rPr>
            </w:pPr>
            <w:r>
              <w:rPr>
                <w:rFonts w:ascii="Arial"/>
                <w:sz w:val="21"/>
              </w:rPr>
              <w:t>-1.77%</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875"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公司对联营企业</w:t>
            </w:r>
          </w:p>
        </w:tc>
      </w:tr>
      <w:tr>
        <w:trPr>
          <w:trHeight w:val="624"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w w:val="95"/>
                <w:sz w:val="21"/>
              </w:rPr>
              <w:t>4,031,484.32</w:t>
            </w:r>
            <w:r>
              <w:rPr>
                <w:rFonts w:ascii="Arial"/>
                <w:sz w:val="21"/>
              </w:rPr>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0.06%</w:t>
            </w:r>
            <w:r>
              <w:rPr>
                <w:rFonts w:ascii="Arial"/>
                <w:spacing w:val="-1"/>
                <w:sz w:val="21"/>
              </w:rPr>
            </w:r>
          </w:p>
        </w:tc>
        <w:tc>
          <w:tcPr>
            <w:tcW w:w="1875"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4" w:right="0"/>
              <w:jc w:val="center"/>
              <w:rPr>
                <w:rFonts w:ascii="Arial" w:hAnsi="Arial" w:cs="Arial" w:eastAsia="Arial" w:hint="default"/>
                <w:sz w:val="21"/>
                <w:szCs w:val="21"/>
              </w:rPr>
            </w:pPr>
            <w:r>
              <w:rPr>
                <w:rFonts w:ascii="Arial"/>
                <w:sz w:val="21"/>
              </w:rPr>
              <w:t>0.06%</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四川数字金沙科</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技有限公司的投</w:t>
            </w:r>
          </w:p>
        </w:tc>
      </w:tr>
      <w:tr>
        <w:trPr>
          <w:trHeight w:val="357" w:hRule="exact"/>
        </w:trPr>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875"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w w:val="99"/>
                <w:sz w:val="21"/>
                <w:szCs w:val="21"/>
              </w:rPr>
              <w:t>资</w:t>
            </w:r>
            <w:r>
              <w:rPr>
                <w:rFonts w:ascii="宋体" w:hAnsi="宋体" w:cs="宋体" w:eastAsia="宋体" w:hint="default"/>
                <w:sz w:val="21"/>
                <w:szCs w:val="21"/>
              </w:rPr>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257,598,303.83</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95"/>
                <w:sz w:val="21"/>
              </w:rPr>
              <w:t>3.52%</w:t>
            </w:r>
            <w:r>
              <w:rPr>
                <w:rFonts w:ascii="Arial"/>
                <w:spacing w:val="-1"/>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252,901,655.59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8" w:right="0"/>
              <w:jc w:val="center"/>
              <w:rPr>
                <w:rFonts w:ascii="Arial" w:hAnsi="Arial" w:cs="Arial" w:eastAsia="Arial" w:hint="default"/>
                <w:sz w:val="21"/>
                <w:szCs w:val="21"/>
              </w:rPr>
            </w:pPr>
            <w:r>
              <w:rPr>
                <w:rFonts w:ascii="Arial"/>
                <w:sz w:val="21"/>
              </w:rPr>
              <w:t>4.34%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Arial" w:hAnsi="Arial" w:cs="Arial" w:eastAsia="Arial" w:hint="default"/>
                <w:sz w:val="21"/>
                <w:szCs w:val="21"/>
              </w:rPr>
            </w:pPr>
            <w:r>
              <w:rPr>
                <w:rFonts w:ascii="Arial"/>
                <w:sz w:val="21"/>
              </w:rPr>
              <w:t>-0.82%</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67"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4"/>
              <w:jc w:val="right"/>
              <w:rPr>
                <w:rFonts w:ascii="Arial" w:hAnsi="Arial" w:cs="Arial" w:eastAsia="Arial" w:hint="default"/>
                <w:sz w:val="21"/>
                <w:szCs w:val="21"/>
              </w:rPr>
            </w:pPr>
            <w:r>
              <w:rPr>
                <w:rFonts w:ascii="Arial"/>
                <w:w w:val="95"/>
                <w:sz w:val="21"/>
              </w:rPr>
              <w:t>3,155,416.39</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8" w:right="0"/>
              <w:jc w:val="center"/>
              <w:rPr>
                <w:rFonts w:ascii="Arial" w:hAnsi="Arial" w:cs="Arial" w:eastAsia="Arial" w:hint="default"/>
                <w:sz w:val="21"/>
                <w:szCs w:val="21"/>
              </w:rPr>
            </w:pPr>
            <w:r>
              <w:rPr>
                <w:rFonts w:ascii="Arial"/>
                <w:sz w:val="21"/>
              </w:rPr>
              <w:t>0.05%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-0.05%</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67"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4"/>
              <w:jc w:val="right"/>
              <w:rPr>
                <w:rFonts w:ascii="Arial" w:hAnsi="Arial" w:cs="Arial" w:eastAsia="Arial" w:hint="default"/>
                <w:sz w:val="21"/>
                <w:szCs w:val="21"/>
              </w:rPr>
            </w:pPr>
            <w:r>
              <w:rPr>
                <w:rFonts w:ascii="Arial"/>
                <w:w w:val="95"/>
                <w:sz w:val="21"/>
              </w:rPr>
              <w:t>39,000,000.00</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8" w:right="0"/>
              <w:jc w:val="center"/>
              <w:rPr>
                <w:rFonts w:ascii="Arial" w:hAnsi="Arial" w:cs="Arial" w:eastAsia="Arial" w:hint="default"/>
                <w:sz w:val="21"/>
                <w:szCs w:val="21"/>
              </w:rPr>
            </w:pPr>
            <w:r>
              <w:rPr>
                <w:rFonts w:ascii="Arial"/>
                <w:sz w:val="21"/>
              </w:rPr>
              <w:t>0.67%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Arial" w:hAnsi="Arial" w:cs="Arial" w:eastAsia="Arial" w:hint="default"/>
                <w:sz w:val="21"/>
                <w:szCs w:val="21"/>
              </w:rPr>
            </w:pPr>
            <w:r>
              <w:rPr>
                <w:rFonts w:ascii="Arial"/>
                <w:sz w:val="21"/>
              </w:rPr>
              <w:t>-0.67%</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167" w:type="dxa"/>
            <w:tcBorders>
              <w:top w:val="single" w:sz="4" w:space="0" w:color="000000"/>
              <w:left w:val="single" w:sz="4" w:space="0" w:color="000000"/>
              <w:bottom w:val="nil" w:sz="6" w:space="0" w:color="auto"/>
              <w:right w:val="single" w:sz="4" w:space="0" w:color="000000"/>
            </w:tcBorders>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87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子公司加快预付</w:t>
            </w:r>
          </w:p>
        </w:tc>
      </w:tr>
      <w:tr>
        <w:trPr>
          <w:trHeight w:val="317" w:hRule="exact"/>
        </w:trPr>
        <w:tc>
          <w:tcPr>
            <w:tcW w:w="11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4"/>
              <w:jc w:val="right"/>
              <w:rPr>
                <w:rFonts w:ascii="Arial" w:hAnsi="Arial" w:cs="Arial" w:eastAsia="Arial" w:hint="default"/>
                <w:sz w:val="21"/>
                <w:szCs w:val="21"/>
              </w:rPr>
            </w:pPr>
            <w:r>
              <w:rPr>
                <w:rFonts w:ascii="Arial"/>
                <w:w w:val="95"/>
                <w:sz w:val="21"/>
              </w:rPr>
              <w:t>16,386,948.63</w:t>
            </w:r>
            <w:r>
              <w:rPr>
                <w:rFonts w:ascii="Arial"/>
                <w:sz w:val="21"/>
              </w:rPr>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Arial" w:hAnsi="Arial" w:cs="Arial" w:eastAsia="Arial" w:hint="default"/>
                <w:sz w:val="21"/>
                <w:szCs w:val="21"/>
              </w:rPr>
            </w:pPr>
            <w:r>
              <w:rPr>
                <w:rFonts w:ascii="Arial"/>
                <w:spacing w:val="-1"/>
                <w:w w:val="95"/>
                <w:sz w:val="21"/>
              </w:rPr>
              <w:t>0.22%</w:t>
            </w:r>
            <w:r>
              <w:rPr>
                <w:rFonts w:ascii="Arial"/>
                <w:spacing w:val="-1"/>
                <w:sz w:val="21"/>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4"/>
              <w:jc w:val="right"/>
              <w:rPr>
                <w:rFonts w:ascii="Arial" w:hAnsi="Arial" w:cs="Arial" w:eastAsia="Arial" w:hint="default"/>
                <w:sz w:val="21"/>
                <w:szCs w:val="21"/>
              </w:rPr>
            </w:pPr>
            <w:r>
              <w:rPr>
                <w:rFonts w:ascii="Arial"/>
                <w:w w:val="95"/>
                <w:sz w:val="21"/>
              </w:rPr>
              <w:t>39,702,660.85</w:t>
            </w:r>
            <w:r>
              <w:rPr>
                <w:rFonts w:ascii="Arial"/>
                <w:sz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48" w:right="0"/>
              <w:jc w:val="center"/>
              <w:rPr>
                <w:rFonts w:ascii="Arial" w:hAnsi="Arial" w:cs="Arial" w:eastAsia="Arial" w:hint="default"/>
                <w:sz w:val="21"/>
                <w:szCs w:val="21"/>
              </w:rPr>
            </w:pPr>
            <w:r>
              <w:rPr>
                <w:rFonts w:ascii="Arial"/>
                <w:sz w:val="21"/>
              </w:rPr>
              <w:t>0.68%</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7" w:right="0"/>
              <w:jc w:val="center"/>
              <w:rPr>
                <w:rFonts w:ascii="Arial" w:hAnsi="Arial" w:cs="Arial" w:eastAsia="Arial" w:hint="default"/>
                <w:sz w:val="21"/>
                <w:szCs w:val="21"/>
              </w:rPr>
            </w:pPr>
            <w:r>
              <w:rPr>
                <w:rFonts w:ascii="Arial"/>
                <w:sz w:val="21"/>
              </w:rPr>
              <w:t>-0.46%</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款结算，减少了资</w:t>
            </w:r>
          </w:p>
        </w:tc>
      </w:tr>
      <w:tr>
        <w:trPr>
          <w:trHeight w:val="352" w:hRule="exact"/>
        </w:trPr>
        <w:tc>
          <w:tcPr>
            <w:tcW w:w="1167" w:type="dxa"/>
            <w:tcBorders>
              <w:top w:val="nil" w:sz="6" w:space="0" w:color="auto"/>
              <w:left w:val="single" w:sz="4" w:space="0" w:color="000000"/>
              <w:bottom w:val="single" w:sz="4" w:space="0" w:color="000000"/>
              <w:right w:val="single" w:sz="4" w:space="0" w:color="000000"/>
            </w:tcBorders>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87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1"/>
                <w:szCs w:val="21"/>
              </w:rPr>
            </w:pPr>
            <w:r>
              <w:rPr>
                <w:rFonts w:ascii="宋体" w:hAnsi="宋体" w:cs="宋体" w:eastAsia="宋体" w:hint="default"/>
                <w:sz w:val="21"/>
                <w:szCs w:val="21"/>
              </w:rPr>
              <w:t>金占用</w:t>
            </w:r>
          </w:p>
        </w:tc>
      </w:tr>
      <w:tr>
        <w:trPr>
          <w:trHeight w:val="1026"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101" w:right="215"/>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99"/>
                <w:sz w:val="21"/>
                <w:szCs w:val="21"/>
              </w:rPr>
              <w:t> </w:t>
            </w:r>
            <w:r>
              <w:rPr>
                <w:rFonts w:ascii="宋体" w:hAnsi="宋体" w:cs="宋体" w:eastAsia="宋体" w:hint="default"/>
                <w:sz w:val="21"/>
                <w:szCs w:val="21"/>
              </w:rPr>
              <w:t>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4"/>
              <w:jc w:val="right"/>
              <w:rPr>
                <w:rFonts w:ascii="Arial" w:hAnsi="Arial" w:cs="Arial" w:eastAsia="Arial" w:hint="default"/>
                <w:sz w:val="21"/>
                <w:szCs w:val="21"/>
              </w:rPr>
            </w:pPr>
            <w:r>
              <w:rPr>
                <w:rFonts w:ascii="Arial"/>
                <w:w w:val="95"/>
                <w:sz w:val="21"/>
              </w:rPr>
              <w:t>3,231,757.79</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0.04%</w:t>
            </w:r>
            <w:r>
              <w:rPr>
                <w:rFonts w:ascii="Arial"/>
                <w:spacing w:val="-1"/>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89"/>
              <w:jc w:val="right"/>
              <w:rPr>
                <w:rFonts w:ascii="Arial" w:hAnsi="Arial" w:cs="Arial" w:eastAsia="Arial" w:hint="default"/>
                <w:sz w:val="21"/>
                <w:szCs w:val="21"/>
              </w:rPr>
            </w:pPr>
            <w:r>
              <w:rPr>
                <w:rFonts w:ascii="Arial"/>
                <w:spacing w:val="-1"/>
                <w:w w:val="95"/>
                <w:sz w:val="21"/>
              </w:rPr>
              <w:t>10,576,220.11</w:t>
            </w:r>
            <w:r>
              <w:rPr>
                <w:rFonts w:ascii="Arial"/>
                <w:spacing w:val="-1"/>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48" w:right="0"/>
              <w:jc w:val="center"/>
              <w:rPr>
                <w:rFonts w:ascii="Arial" w:hAnsi="Arial" w:cs="Arial" w:eastAsia="Arial" w:hint="default"/>
                <w:sz w:val="21"/>
                <w:szCs w:val="21"/>
              </w:rPr>
            </w:pPr>
            <w:r>
              <w:rPr>
                <w:rFonts w:ascii="Arial"/>
                <w:sz w:val="21"/>
              </w:rPr>
              <w:t>0.18%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 w:right="0"/>
              <w:jc w:val="center"/>
              <w:rPr>
                <w:rFonts w:ascii="Arial" w:hAnsi="Arial" w:cs="Arial" w:eastAsia="Arial" w:hint="default"/>
                <w:sz w:val="21"/>
                <w:szCs w:val="21"/>
              </w:rPr>
            </w:pPr>
            <w:r>
              <w:rPr>
                <w:rFonts w:ascii="Arial"/>
                <w:sz w:val="21"/>
              </w:rPr>
              <w:t>-0.14%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4"/>
              <w:ind w:left="102" w:right="280"/>
              <w:jc w:val="both"/>
              <w:rPr>
                <w:rFonts w:ascii="宋体" w:hAnsi="宋体" w:cs="宋体" w:eastAsia="宋体" w:hint="default"/>
                <w:sz w:val="21"/>
                <w:szCs w:val="21"/>
              </w:rPr>
            </w:pPr>
            <w:r>
              <w:rPr>
                <w:rFonts w:ascii="宋体" w:hAnsi="宋体" w:cs="宋体" w:eastAsia="宋体" w:hint="default"/>
                <w:sz w:val="21"/>
                <w:szCs w:val="21"/>
              </w:rPr>
              <w:t>公司待抵扣进项</w:t>
            </w:r>
            <w:r>
              <w:rPr>
                <w:rFonts w:ascii="宋体" w:hAnsi="宋体" w:cs="宋体" w:eastAsia="宋体" w:hint="default"/>
                <w:w w:val="99"/>
                <w:sz w:val="21"/>
                <w:szCs w:val="21"/>
              </w:rPr>
              <w:t> </w:t>
            </w:r>
            <w:r>
              <w:rPr>
                <w:rFonts w:ascii="宋体" w:hAnsi="宋体" w:cs="宋体" w:eastAsia="宋体" w:hint="default"/>
                <w:sz w:val="21"/>
                <w:szCs w:val="21"/>
              </w:rPr>
              <w:t>税额及预缴所得</w:t>
            </w:r>
            <w:r>
              <w:rPr>
                <w:rFonts w:ascii="宋体" w:hAnsi="宋体" w:cs="宋体" w:eastAsia="宋体" w:hint="default"/>
                <w:w w:val="99"/>
                <w:sz w:val="21"/>
                <w:szCs w:val="21"/>
              </w:rPr>
              <w:t> </w:t>
            </w:r>
            <w:r>
              <w:rPr>
                <w:rFonts w:ascii="宋体" w:hAnsi="宋体" w:cs="宋体" w:eastAsia="宋体" w:hint="default"/>
                <w:sz w:val="21"/>
                <w:szCs w:val="21"/>
              </w:rPr>
              <w:t>税的减少</w:t>
            </w:r>
          </w:p>
        </w:tc>
      </w:tr>
      <w:tr>
        <w:trPr>
          <w:trHeight w:val="357" w:hRule="exact"/>
        </w:trPr>
        <w:tc>
          <w:tcPr>
            <w:tcW w:w="1167" w:type="dxa"/>
            <w:tcBorders>
              <w:top w:val="single" w:sz="4" w:space="0" w:color="000000"/>
              <w:left w:val="single" w:sz="4" w:space="0" w:color="000000"/>
              <w:bottom w:val="nil" w:sz="6" w:space="0" w:color="auto"/>
              <w:right w:val="single" w:sz="4" w:space="0" w:color="000000"/>
            </w:tcBorders>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87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公司加大在法律</w:t>
            </w:r>
          </w:p>
        </w:tc>
      </w:tr>
      <w:tr>
        <w:trPr>
          <w:trHeight w:val="317" w:hRule="exact"/>
        </w:trPr>
        <w:tc>
          <w:tcPr>
            <w:tcW w:w="11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4"/>
              <w:jc w:val="right"/>
              <w:rPr>
                <w:rFonts w:ascii="Arial" w:hAnsi="Arial" w:cs="Arial" w:eastAsia="Arial" w:hint="default"/>
                <w:sz w:val="21"/>
                <w:szCs w:val="21"/>
              </w:rPr>
            </w:pPr>
            <w:r>
              <w:rPr>
                <w:rFonts w:ascii="Arial"/>
                <w:w w:val="95"/>
                <w:sz w:val="21"/>
              </w:rPr>
              <w:t>228,307,174.77</w:t>
            </w:r>
            <w:r>
              <w:rPr>
                <w:rFonts w:ascii="Arial"/>
                <w:sz w:val="21"/>
              </w:rPr>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Arial" w:hAnsi="Arial" w:cs="Arial" w:eastAsia="Arial" w:hint="default"/>
                <w:sz w:val="21"/>
                <w:szCs w:val="21"/>
              </w:rPr>
            </w:pPr>
            <w:r>
              <w:rPr>
                <w:rFonts w:ascii="Arial"/>
                <w:spacing w:val="-1"/>
                <w:w w:val="95"/>
                <w:sz w:val="21"/>
              </w:rPr>
              <w:t>3.12%</w:t>
            </w:r>
            <w:r>
              <w:rPr>
                <w:rFonts w:ascii="Arial"/>
                <w:spacing w:val="-1"/>
                <w:sz w:val="21"/>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4"/>
              <w:jc w:val="right"/>
              <w:rPr>
                <w:rFonts w:ascii="Arial" w:hAnsi="Arial" w:cs="Arial" w:eastAsia="Arial" w:hint="default"/>
                <w:sz w:val="21"/>
                <w:szCs w:val="21"/>
              </w:rPr>
            </w:pPr>
            <w:r>
              <w:rPr>
                <w:rFonts w:ascii="Arial"/>
                <w:w w:val="95"/>
                <w:sz w:val="21"/>
              </w:rPr>
              <w:t>200,800,569.84</w:t>
            </w:r>
            <w:r>
              <w:rPr>
                <w:rFonts w:ascii="Arial"/>
                <w:sz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48" w:right="0"/>
              <w:jc w:val="center"/>
              <w:rPr>
                <w:rFonts w:ascii="Arial" w:hAnsi="Arial" w:cs="Arial" w:eastAsia="Arial" w:hint="default"/>
                <w:sz w:val="21"/>
                <w:szCs w:val="21"/>
              </w:rPr>
            </w:pPr>
            <w:r>
              <w:rPr>
                <w:rFonts w:ascii="Arial"/>
                <w:sz w:val="21"/>
              </w:rPr>
              <w:t>3.45%</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7" w:right="0"/>
              <w:jc w:val="center"/>
              <w:rPr>
                <w:rFonts w:ascii="Arial" w:hAnsi="Arial" w:cs="Arial" w:eastAsia="Arial" w:hint="default"/>
                <w:sz w:val="21"/>
                <w:szCs w:val="21"/>
              </w:rPr>
            </w:pPr>
            <w:r>
              <w:rPr>
                <w:rFonts w:ascii="Arial"/>
                <w:sz w:val="21"/>
              </w:rPr>
              <w:t>-0.33%</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科技、教育领域的</w:t>
            </w:r>
          </w:p>
        </w:tc>
      </w:tr>
      <w:tr>
        <w:trPr>
          <w:trHeight w:val="352" w:hRule="exact"/>
        </w:trPr>
        <w:tc>
          <w:tcPr>
            <w:tcW w:w="1167" w:type="dxa"/>
            <w:tcBorders>
              <w:top w:val="nil" w:sz="6" w:space="0" w:color="auto"/>
              <w:left w:val="single" w:sz="4" w:space="0" w:color="000000"/>
              <w:bottom w:val="single" w:sz="4" w:space="0" w:color="000000"/>
              <w:right w:val="single" w:sz="4" w:space="0" w:color="000000"/>
            </w:tcBorders>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87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1"/>
                <w:szCs w:val="21"/>
              </w:rPr>
            </w:pPr>
            <w:r>
              <w:rPr>
                <w:rFonts w:ascii="宋体" w:hAnsi="宋体" w:cs="宋体" w:eastAsia="宋体" w:hint="default"/>
                <w:sz w:val="21"/>
                <w:szCs w:val="21"/>
              </w:rPr>
              <w:t>研发投入</w:t>
            </w:r>
          </w:p>
        </w:tc>
      </w:tr>
      <w:tr>
        <w:trPr>
          <w:trHeight w:val="1338"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101" w:right="215"/>
              <w:jc w:val="both"/>
              <w:rPr>
                <w:rFonts w:ascii="宋体" w:hAnsi="宋体" w:cs="宋体" w:eastAsia="宋体" w:hint="default"/>
                <w:sz w:val="21"/>
                <w:szCs w:val="21"/>
              </w:rPr>
            </w:pPr>
            <w:r>
              <w:rPr>
                <w:rFonts w:ascii="宋体" w:hAnsi="宋体" w:cs="宋体" w:eastAsia="宋体" w:hint="default"/>
                <w:sz w:val="21"/>
                <w:szCs w:val="21"/>
              </w:rPr>
              <w:t>其他非流</w:t>
            </w:r>
            <w:r>
              <w:rPr>
                <w:rFonts w:ascii="宋体" w:hAnsi="宋体" w:cs="宋体" w:eastAsia="宋体" w:hint="default"/>
                <w:w w:val="99"/>
                <w:sz w:val="21"/>
                <w:szCs w:val="21"/>
              </w:rPr>
              <w:t> </w:t>
            </w:r>
            <w:r>
              <w:rPr>
                <w:rFonts w:ascii="宋体" w:hAnsi="宋体" w:cs="宋体" w:eastAsia="宋体" w:hint="default"/>
                <w:sz w:val="21"/>
                <w:szCs w:val="21"/>
              </w:rPr>
              <w:t>动金融资</w:t>
            </w:r>
            <w:r>
              <w:rPr>
                <w:rFonts w:ascii="宋体" w:hAnsi="宋体" w:cs="宋体" w:eastAsia="宋体" w:hint="default"/>
                <w:w w:val="99"/>
                <w:sz w:val="21"/>
                <w:szCs w:val="21"/>
              </w:rPr>
              <w:t> </w:t>
            </w:r>
            <w:r>
              <w:rPr>
                <w:rFonts w:ascii="宋体" w:hAnsi="宋体" w:cs="宋体" w:eastAsia="宋体" w:hint="default"/>
                <w:sz w:val="21"/>
                <w:szCs w:val="21"/>
              </w:rPr>
              <w:t>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1"/>
                <w:szCs w:val="21"/>
              </w:rPr>
            </w:pPr>
            <w:r>
              <w:rPr>
                <w:rFonts w:ascii="Arial"/>
                <w:w w:val="95"/>
                <w:sz w:val="21"/>
              </w:rPr>
              <w:t>129,000,000.00</w:t>
            </w:r>
            <w:r>
              <w:rPr>
                <w:rFonts w:ascii="Arial"/>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1"/>
                <w:szCs w:val="21"/>
              </w:rPr>
            </w:pPr>
            <w:r>
              <w:rPr>
                <w:rFonts w:ascii="Arial"/>
                <w:spacing w:val="-1"/>
                <w:sz w:val="21"/>
              </w:rPr>
              <w:t>1.76%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1"/>
                <w:szCs w:val="21"/>
              </w:rPr>
            </w:pPr>
            <w:r>
              <w:rPr>
                <w:rFonts w:ascii="Arial"/>
                <w:w w:val="95"/>
                <w:sz w:val="21"/>
              </w:rPr>
              <w:t>54,000,000.00</w:t>
            </w:r>
            <w:r>
              <w:rPr>
                <w:rFonts w:ascii="Arial"/>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6" w:right="0"/>
              <w:jc w:val="center"/>
              <w:rPr>
                <w:rFonts w:ascii="Arial" w:hAnsi="Arial" w:cs="Arial" w:eastAsia="Arial" w:hint="default"/>
                <w:sz w:val="21"/>
                <w:szCs w:val="21"/>
              </w:rPr>
            </w:pPr>
            <w:r>
              <w:rPr>
                <w:rFonts w:ascii="Arial"/>
                <w:sz w:val="21"/>
              </w:rPr>
              <w:t>0.93%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7" w:right="0"/>
              <w:jc w:val="center"/>
              <w:rPr>
                <w:rFonts w:ascii="Arial" w:hAnsi="Arial" w:cs="Arial" w:eastAsia="Arial" w:hint="default"/>
                <w:sz w:val="21"/>
                <w:szCs w:val="21"/>
              </w:rPr>
            </w:pPr>
            <w:r>
              <w:rPr>
                <w:rFonts w:ascii="Arial"/>
                <w:sz w:val="21"/>
              </w:rPr>
              <w:t>0.83%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4"/>
              <w:ind w:left="102" w:right="102"/>
              <w:jc w:val="left"/>
              <w:rPr>
                <w:rFonts w:ascii="宋体" w:hAnsi="宋体" w:cs="宋体" w:eastAsia="宋体" w:hint="default"/>
                <w:sz w:val="21"/>
                <w:szCs w:val="21"/>
              </w:rPr>
            </w:pPr>
            <w:r>
              <w:rPr>
                <w:rFonts w:ascii="宋体" w:hAnsi="宋体" w:cs="宋体" w:eastAsia="宋体" w:hint="default"/>
                <w:sz w:val="21"/>
                <w:szCs w:val="21"/>
              </w:rPr>
              <w:t>本期增加对广州</w:t>
            </w:r>
            <w:r>
              <w:rPr>
                <w:rFonts w:ascii="宋体" w:hAnsi="宋体" w:cs="宋体" w:eastAsia="宋体" w:hint="default"/>
                <w:w w:val="99"/>
                <w:sz w:val="21"/>
                <w:szCs w:val="21"/>
              </w:rPr>
              <w:t> </w:t>
            </w:r>
            <w:r>
              <w:rPr>
                <w:rFonts w:ascii="宋体" w:hAnsi="宋体" w:cs="宋体" w:eastAsia="宋体" w:hint="default"/>
                <w:sz w:val="21"/>
                <w:szCs w:val="21"/>
              </w:rPr>
              <w:t>华宇科创股权投</w:t>
            </w:r>
            <w:r>
              <w:rPr>
                <w:rFonts w:ascii="宋体" w:hAnsi="宋体" w:cs="宋体" w:eastAsia="宋体" w:hint="default"/>
                <w:w w:val="99"/>
                <w:sz w:val="21"/>
                <w:szCs w:val="21"/>
              </w:rPr>
              <w:t> </w:t>
            </w:r>
            <w:r>
              <w:rPr>
                <w:rFonts w:ascii="宋体" w:hAnsi="宋体" w:cs="宋体" w:eastAsia="宋体" w:hint="default"/>
                <w:spacing w:val="-4"/>
                <w:sz w:val="21"/>
                <w:szCs w:val="21"/>
              </w:rPr>
              <w:t>资合伙企业（有限</w:t>
            </w:r>
            <w:r>
              <w:rPr>
                <w:rFonts w:ascii="宋体" w:hAnsi="宋体" w:cs="宋体" w:eastAsia="宋体" w:hint="default"/>
                <w:w w:val="99"/>
                <w:sz w:val="21"/>
                <w:szCs w:val="21"/>
              </w:rPr>
              <w:t> </w:t>
            </w:r>
            <w:r>
              <w:rPr>
                <w:rFonts w:ascii="宋体" w:hAnsi="宋体" w:cs="宋体" w:eastAsia="宋体" w:hint="default"/>
                <w:sz w:val="21"/>
                <w:szCs w:val="21"/>
              </w:rPr>
              <w:t>合伙）的投资</w:t>
            </w:r>
          </w:p>
        </w:tc>
      </w:tr>
      <w:tr>
        <w:trPr>
          <w:trHeight w:val="357" w:hRule="exact"/>
        </w:trPr>
        <w:tc>
          <w:tcPr>
            <w:tcW w:w="1167" w:type="dxa"/>
            <w:tcBorders>
              <w:top w:val="single" w:sz="4" w:space="0" w:color="000000"/>
              <w:left w:val="single" w:sz="4" w:space="0" w:color="000000"/>
              <w:bottom w:val="nil" w:sz="6" w:space="0" w:color="auto"/>
              <w:right w:val="single" w:sz="4" w:space="0" w:color="000000"/>
            </w:tcBorders>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875"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子公司本年度享</w:t>
            </w:r>
          </w:p>
        </w:tc>
      </w:tr>
      <w:tr>
        <w:trPr>
          <w:trHeight w:val="624" w:hRule="exact"/>
        </w:trPr>
        <w:tc>
          <w:tcPr>
            <w:tcW w:w="116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w w:val="95"/>
                <w:sz w:val="21"/>
              </w:rPr>
              <w:t>87,869,743.85</w:t>
            </w:r>
            <w:r>
              <w:rPr>
                <w:rFonts w:ascii="Arial"/>
                <w:sz w:val="21"/>
              </w:rPr>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95"/>
                <w:sz w:val="21"/>
              </w:rPr>
              <w:t>1.20%</w:t>
            </w:r>
            <w:r>
              <w:rPr>
                <w:rFonts w:ascii="Arial"/>
                <w:spacing w:val="-1"/>
                <w:sz w:val="21"/>
              </w:rPr>
            </w:r>
          </w:p>
        </w:tc>
        <w:tc>
          <w:tcPr>
            <w:tcW w:w="18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2"/>
                <w:sz w:val="21"/>
              </w:rPr>
              <w:t>43,821,113.72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8" w:right="0"/>
              <w:jc w:val="center"/>
              <w:rPr>
                <w:rFonts w:ascii="Arial" w:hAnsi="Arial" w:cs="Arial" w:eastAsia="Arial" w:hint="default"/>
                <w:sz w:val="21"/>
                <w:szCs w:val="21"/>
              </w:rPr>
            </w:pPr>
            <w:r>
              <w:rPr>
                <w:rFonts w:ascii="Arial"/>
                <w:sz w:val="21"/>
              </w:rPr>
              <w:t>0.75%</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4" w:right="0"/>
              <w:jc w:val="center"/>
              <w:rPr>
                <w:rFonts w:ascii="Arial" w:hAnsi="Arial" w:cs="Arial" w:eastAsia="Arial" w:hint="default"/>
                <w:sz w:val="21"/>
                <w:szCs w:val="21"/>
              </w:rPr>
            </w:pPr>
            <w:r>
              <w:rPr>
                <w:rFonts w:ascii="Arial"/>
                <w:sz w:val="21"/>
              </w:rPr>
              <w:t>0.45%</w:t>
            </w:r>
          </w:p>
        </w:tc>
        <w:tc>
          <w:tcPr>
            <w:tcW w:w="186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受股权激励相关</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税务优惠政策的</w:t>
            </w:r>
          </w:p>
        </w:tc>
      </w:tr>
      <w:tr>
        <w:trPr>
          <w:trHeight w:val="355" w:hRule="exact"/>
        </w:trPr>
        <w:tc>
          <w:tcPr>
            <w:tcW w:w="1167" w:type="dxa"/>
            <w:tcBorders>
              <w:top w:val="nil" w:sz="6" w:space="0" w:color="auto"/>
              <w:left w:val="single" w:sz="4" w:space="0" w:color="000000"/>
              <w:bottom w:val="single" w:sz="4" w:space="0" w:color="000000"/>
              <w:right w:val="single" w:sz="4" w:space="0" w:color="000000"/>
            </w:tcBorders>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875"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86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增加</w:t>
            </w:r>
          </w:p>
        </w:tc>
      </w:tr>
    </w:tbl>
    <w:p>
      <w:pPr>
        <w:spacing w:after="0" w:line="261" w:lineRule="exact"/>
        <w:jc w:val="left"/>
        <w:rPr>
          <w:rFonts w:ascii="宋体" w:hAnsi="宋体" w:cs="宋体" w:eastAsia="宋体" w:hint="default"/>
          <w:sz w:val="21"/>
          <w:szCs w:val="21"/>
        </w:rPr>
        <w:sectPr>
          <w:pgSz w:w="11910" w:h="16840"/>
          <w:pgMar w:header="746" w:footer="1016" w:top="1060" w:bottom="120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67"/>
        <w:gridCol w:w="1867"/>
        <w:gridCol w:w="959"/>
        <w:gridCol w:w="1875"/>
        <w:gridCol w:w="956"/>
        <w:gridCol w:w="882"/>
        <w:gridCol w:w="1863"/>
      </w:tblGrid>
      <w:tr>
        <w:trPr>
          <w:trHeight w:val="1026"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1" w:right="215"/>
              <w:jc w:val="left"/>
              <w:rPr>
                <w:rFonts w:ascii="宋体" w:hAnsi="宋体" w:cs="宋体" w:eastAsia="宋体" w:hint="default"/>
                <w:sz w:val="21"/>
                <w:szCs w:val="21"/>
              </w:rPr>
            </w:pPr>
            <w:r>
              <w:rPr>
                <w:rFonts w:ascii="宋体" w:hAnsi="宋体" w:cs="宋体" w:eastAsia="宋体" w:hint="default"/>
                <w:sz w:val="21"/>
                <w:szCs w:val="21"/>
              </w:rPr>
              <w:t>其他应付</w:t>
            </w:r>
            <w:r>
              <w:rPr>
                <w:rFonts w:ascii="宋体" w:hAnsi="宋体" w:cs="宋体" w:eastAsia="宋体" w:hint="default"/>
                <w:w w:val="99"/>
                <w:sz w:val="21"/>
                <w:szCs w:val="21"/>
              </w:rPr>
              <w:t> </w:t>
            </w:r>
            <w:r>
              <w:rPr>
                <w:rFonts w:ascii="宋体" w:hAnsi="宋体" w:cs="宋体" w:eastAsia="宋体" w:hint="default"/>
                <w:sz w:val="21"/>
                <w:szCs w:val="21"/>
              </w:rPr>
              <w:t>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9" w:right="0"/>
              <w:jc w:val="left"/>
              <w:rPr>
                <w:rFonts w:ascii="Arial" w:hAnsi="Arial" w:cs="Arial" w:eastAsia="Arial" w:hint="default"/>
                <w:sz w:val="21"/>
                <w:szCs w:val="21"/>
              </w:rPr>
            </w:pPr>
            <w:r>
              <w:rPr>
                <w:rFonts w:ascii="Arial"/>
                <w:sz w:val="21"/>
              </w:rPr>
              <w:t>115,518,966.80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5" w:right="0"/>
              <w:jc w:val="left"/>
              <w:rPr>
                <w:rFonts w:ascii="Arial" w:hAnsi="Arial" w:cs="Arial" w:eastAsia="Arial" w:hint="default"/>
                <w:sz w:val="21"/>
                <w:szCs w:val="21"/>
              </w:rPr>
            </w:pPr>
            <w:r>
              <w:rPr>
                <w:rFonts w:ascii="Arial"/>
                <w:sz w:val="21"/>
              </w:rPr>
              <w:t>1.58%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1" w:right="0"/>
              <w:jc w:val="left"/>
              <w:rPr>
                <w:rFonts w:ascii="Arial" w:hAnsi="Arial" w:cs="Arial" w:eastAsia="Arial" w:hint="default"/>
                <w:sz w:val="21"/>
                <w:szCs w:val="21"/>
              </w:rPr>
            </w:pPr>
            <w:r>
              <w:rPr>
                <w:rFonts w:ascii="Arial"/>
                <w:sz w:val="21"/>
              </w:rPr>
              <w:t>197,033,327.33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50" w:right="0"/>
              <w:jc w:val="left"/>
              <w:rPr>
                <w:rFonts w:ascii="Arial" w:hAnsi="Arial" w:cs="Arial" w:eastAsia="Arial" w:hint="default"/>
                <w:sz w:val="21"/>
                <w:szCs w:val="21"/>
              </w:rPr>
            </w:pPr>
            <w:r>
              <w:rPr>
                <w:rFonts w:ascii="Arial"/>
                <w:sz w:val="21"/>
              </w:rPr>
              <w:t>3.38%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8" w:right="0"/>
              <w:jc w:val="left"/>
              <w:rPr>
                <w:rFonts w:ascii="Arial" w:hAnsi="Arial" w:cs="Arial" w:eastAsia="Arial" w:hint="default"/>
                <w:sz w:val="21"/>
                <w:szCs w:val="21"/>
              </w:rPr>
            </w:pPr>
            <w:r>
              <w:rPr>
                <w:rFonts w:ascii="Arial"/>
                <w:sz w:val="21"/>
              </w:rPr>
              <w:t>-1.80%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2" w:right="280"/>
              <w:jc w:val="both"/>
              <w:rPr>
                <w:rFonts w:ascii="宋体" w:hAnsi="宋体" w:cs="宋体" w:eastAsia="宋体" w:hint="default"/>
                <w:sz w:val="21"/>
                <w:szCs w:val="21"/>
              </w:rPr>
            </w:pPr>
            <w:r>
              <w:rPr>
                <w:rFonts w:ascii="宋体" w:hAnsi="宋体" w:cs="宋体" w:eastAsia="宋体" w:hint="default"/>
                <w:sz w:val="21"/>
                <w:szCs w:val="21"/>
              </w:rPr>
              <w:t>主要为支付投资</w:t>
            </w:r>
            <w:r>
              <w:rPr>
                <w:rFonts w:ascii="宋体" w:hAnsi="宋体" w:cs="宋体" w:eastAsia="宋体" w:hint="default"/>
                <w:w w:val="99"/>
                <w:sz w:val="21"/>
                <w:szCs w:val="21"/>
              </w:rPr>
              <w:t> </w:t>
            </w:r>
            <w:r>
              <w:rPr>
                <w:rFonts w:ascii="宋体" w:hAnsi="宋体" w:cs="宋体" w:eastAsia="宋体" w:hint="default"/>
                <w:sz w:val="21"/>
                <w:szCs w:val="21"/>
              </w:rPr>
              <w:t>款及限制性股票</w:t>
            </w:r>
            <w:r>
              <w:rPr>
                <w:rFonts w:ascii="宋体" w:hAnsi="宋体" w:cs="宋体" w:eastAsia="宋体" w:hint="default"/>
                <w:w w:val="99"/>
                <w:sz w:val="21"/>
                <w:szCs w:val="21"/>
              </w:rPr>
              <w:t> </w:t>
            </w:r>
            <w:r>
              <w:rPr>
                <w:rFonts w:ascii="宋体" w:hAnsi="宋体" w:cs="宋体" w:eastAsia="宋体" w:hint="default"/>
                <w:sz w:val="21"/>
                <w:szCs w:val="21"/>
              </w:rPr>
              <w:t>解锁的影响</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以公允价值计量的资产和负债" w:id="40"/>
      <w:bookmarkEnd w:id="40"/>
      <w:r>
        <w:rPr>
          <w:b w:val="0"/>
          <w:bCs w:val="0"/>
        </w:rPr>
      </w:r>
      <w:r>
        <w:rPr>
          <w:rFonts w:ascii="Arial" w:hAnsi="Arial" w:cs="Arial" w:eastAsia="Arial" w:hint="default"/>
        </w:rPr>
        <w:t>2</w:t>
      </w:r>
      <w:r>
        <w:rPr/>
        <w:t>、以公允价值计量的资产和负债</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1016" w:top="1060" w:bottom="1200" w:left="1020" w:right="0"/>
        </w:sectPr>
      </w:pPr>
    </w:p>
    <w:p>
      <w:pPr>
        <w:pStyle w:val="Heading3"/>
        <w:spacing w:line="240" w:lineRule="auto" w:before="26"/>
        <w:ind w:right="-19"/>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045" w:space="6873"/>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6"/>
        <w:gridCol w:w="1559"/>
        <w:gridCol w:w="851"/>
        <w:gridCol w:w="992"/>
        <w:gridCol w:w="709"/>
        <w:gridCol w:w="1417"/>
        <w:gridCol w:w="709"/>
        <w:gridCol w:w="487"/>
        <w:gridCol w:w="1569"/>
      </w:tblGrid>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52"/>
              <w:jc w:val="right"/>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50"/>
              <w:jc w:val="center"/>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1" w:right="129"/>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8" w:right="168"/>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168"/>
              <w:jc w:val="both"/>
              <w:rPr>
                <w:rFonts w:ascii="宋体" w:hAnsi="宋体" w:cs="宋体" w:eastAsia="宋体" w:hint="default"/>
                <w:sz w:val="18"/>
                <w:szCs w:val="18"/>
              </w:rPr>
            </w:pPr>
            <w:r>
              <w:rPr>
                <w:rFonts w:ascii="宋体" w:hAnsi="宋体" w:cs="宋体" w:eastAsia="宋体" w:hint="default"/>
                <w:sz w:val="18"/>
                <w:szCs w:val="18"/>
              </w:rPr>
              <w:t>本期 出售 金额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8" w:right="146"/>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4"/>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54,000,000.00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129,000,000.00</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1" w:right="11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 具投资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77,000,000.00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3,340,000.00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80,340,000.00</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2"/>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78,340,000.00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209,340,000.00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42"/>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131,000,000.00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78,340,000.00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209,340,000.00</w:t>
            </w:r>
          </w:p>
        </w:tc>
      </w:tr>
    </w:tbl>
    <w:p>
      <w:pPr>
        <w:pStyle w:val="Heading3"/>
        <w:spacing w:line="268" w:lineRule="auto" w:before="3"/>
        <w:ind w:right="5474"/>
        <w:jc w:val="left"/>
      </w:pPr>
      <w:r>
        <w:rPr/>
        <w:t>其他变动的内容 报告期内公司主要资产计量属性是否发生重大变化</w:t>
      </w:r>
    </w:p>
    <w:p>
      <w:pPr>
        <w:spacing w:line="475" w:lineRule="auto" w:before="7"/>
        <w:ind w:left="112" w:right="726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宋体" w:hAnsi="宋体" w:cs="宋体" w:eastAsia="宋体" w:hint="default"/>
          <w:spacing w:val="-15"/>
          <w:sz w:val="24"/>
          <w:szCs w:val="24"/>
        </w:rPr>
        <w:t> </w:t>
      </w:r>
      <w:r>
        <w:rPr>
          <w:rFonts w:ascii="宋体" w:hAnsi="宋体" w:cs="宋体" w:eastAsia="宋体" w:hint="default"/>
          <w:sz w:val="24"/>
          <w:szCs w:val="24"/>
        </w:rPr>
        <w:t>否</w:t>
      </w:r>
      <w:r>
        <w:rPr>
          <w:rFonts w:ascii="宋体" w:hAnsi="宋体" w:cs="宋体" w:eastAsia="宋体" w:hint="default"/>
          <w:w w:val="99"/>
          <w:sz w:val="24"/>
          <w:szCs w:val="24"/>
        </w:rPr>
        <w:t> </w:t>
      </w:r>
      <w:bookmarkStart w:name="3、截至报告期末的资产权利受限情况" w:id="41"/>
      <w:bookmarkEnd w:id="41"/>
      <w:r>
        <w:rPr>
          <w:rFonts w:ascii="宋体" w:hAnsi="宋体" w:cs="宋体" w:eastAsia="宋体" w:hint="default"/>
          <w:w w:val="99"/>
          <w:sz w:val="24"/>
          <w:szCs w:val="24"/>
        </w:rPr>
      </w:r>
      <w:r>
        <w:rPr>
          <w:rFonts w:ascii="Arial" w:hAnsi="Arial" w:cs="Arial" w:eastAsia="Arial"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4"/>
          <w:szCs w:val="24"/>
        </w:rPr>
        <w:t>无。</w:t>
      </w:r>
    </w:p>
    <w:p>
      <w:pPr>
        <w:pStyle w:val="Heading2"/>
        <w:spacing w:line="240" w:lineRule="auto" w:before="62"/>
        <w:ind w:right="996"/>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总体情况" w:id="43"/>
      <w:bookmarkEnd w:id="43"/>
      <w:r>
        <w:rPr>
          <w:b w:val="0"/>
          <w:bCs w:val="0"/>
        </w:rPr>
      </w:r>
      <w:r>
        <w:rPr>
          <w:rFonts w:ascii="Arial" w:hAnsi="Arial" w:cs="Arial" w:eastAsia="Arial" w:hint="default"/>
        </w:rPr>
        <w:t>1</w:t>
      </w:r>
      <w:r>
        <w:rPr/>
        <w:t>、总体情况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44"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26" w:right="0"/>
              <w:jc w:val="left"/>
              <w:rPr>
                <w:rFonts w:ascii="Arial" w:hAnsi="Arial" w:cs="Arial" w:eastAsia="Arial" w:hint="default"/>
                <w:sz w:val="21"/>
                <w:szCs w:val="21"/>
              </w:rPr>
            </w:pPr>
            <w:r>
              <w:rPr>
                <w:rFonts w:ascii="Arial"/>
                <w:sz w:val="21"/>
              </w:rPr>
              <w:t>412,340,000.00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44" w:right="0"/>
              <w:jc w:val="left"/>
              <w:rPr>
                <w:rFonts w:ascii="Arial" w:hAnsi="Arial" w:cs="Arial" w:eastAsia="Arial" w:hint="default"/>
                <w:sz w:val="21"/>
                <w:szCs w:val="21"/>
              </w:rPr>
            </w:pPr>
            <w:r>
              <w:rPr>
                <w:rFonts w:ascii="Arial"/>
                <w:sz w:val="21"/>
              </w:rPr>
              <w:t>63,100,000.00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w w:val="95"/>
                <w:sz w:val="21"/>
              </w:rPr>
              <w:t>553.47%</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060" w:bottom="1200" w:left="1020" w:right="0"/>
        </w:sectPr>
      </w:pPr>
    </w:p>
    <w:p>
      <w:pPr>
        <w:spacing w:line="240" w:lineRule="auto" w:before="10"/>
        <w:rPr>
          <w:rFonts w:ascii="宋体" w:hAnsi="宋体" w:cs="宋体" w:eastAsia="宋体" w:hint="default"/>
          <w:sz w:val="2"/>
          <w:szCs w:val="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220" w:right="0"/>
        <w:jc w:val="left"/>
        <w:rPr>
          <w:b w:val="0"/>
          <w:bCs w:val="0"/>
        </w:rPr>
      </w:pPr>
      <w:bookmarkStart w:name="2、报告期内获取的重大的股权投资情况" w:id="44"/>
      <w:bookmarkEnd w:id="44"/>
      <w:r>
        <w:rPr>
          <w:b w:val="0"/>
          <w:bCs w:val="0"/>
        </w:rPr>
      </w:r>
      <w:r>
        <w:rPr>
          <w:rFonts w:ascii="Arial" w:hAnsi="Arial" w:cs="Arial" w:eastAsia="Arial" w:hint="default"/>
        </w:rPr>
        <w:t>2</w:t>
      </w:r>
      <w:r>
        <w:rPr/>
        <w:t>、报告期内获取的重大的股权投资情况</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4"/>
          <w:footerReference w:type="default" r:id="rId15"/>
          <w:pgSz w:w="16840" w:h="11910" w:orient="landscape"/>
          <w:pgMar w:header="868" w:footer="1016" w:top="1060" w:bottom="1200" w:left="1220" w:right="400"/>
          <w:pgNumType w:start="34"/>
        </w:sectPr>
      </w:pPr>
    </w:p>
    <w:p>
      <w:pPr>
        <w:pStyle w:val="Heading3"/>
        <w:spacing w:line="240" w:lineRule="auto" w:before="26"/>
        <w:ind w:left="220" w:right="-20"/>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200" w:left="1220" w:right="400"/>
          <w:cols w:num="2" w:equalWidth="0">
            <w:col w:w="2153" w:space="11086"/>
            <w:col w:w="1981"/>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37"/>
        <w:gridCol w:w="1272"/>
        <w:gridCol w:w="565"/>
        <w:gridCol w:w="1590"/>
        <w:gridCol w:w="1041"/>
        <w:gridCol w:w="1007"/>
        <w:gridCol w:w="2752"/>
        <w:gridCol w:w="633"/>
        <w:gridCol w:w="723"/>
        <w:gridCol w:w="600"/>
        <w:gridCol w:w="615"/>
        <w:gridCol w:w="564"/>
        <w:gridCol w:w="1073"/>
        <w:gridCol w:w="1118"/>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4" w:right="172" w:hanging="452"/>
              <w:jc w:val="left"/>
              <w:rPr>
                <w:rFonts w:ascii="宋体" w:hAnsi="宋体" w:cs="宋体" w:eastAsia="宋体" w:hint="default"/>
                <w:sz w:val="18"/>
                <w:szCs w:val="18"/>
              </w:rPr>
            </w:pPr>
            <w:r>
              <w:rPr>
                <w:rFonts w:ascii="宋体" w:hAnsi="宋体" w:cs="宋体" w:eastAsia="宋体" w:hint="default"/>
                <w:sz w:val="18"/>
                <w:szCs w:val="18"/>
              </w:rPr>
              <w:t>被投资公司名 称</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7" w:right="185"/>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2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0" w:right="13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6" w:right="174"/>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5" w:right="11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0"/>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7" w:right="185"/>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北京华宇信息 技术有限公司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6"/>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9"/>
              <w:jc w:val="left"/>
              <w:rPr>
                <w:rFonts w:ascii="宋体" w:hAnsi="宋体" w:cs="宋体" w:eastAsia="宋体" w:hint="default"/>
                <w:sz w:val="18"/>
                <w:szCs w:val="18"/>
              </w:rPr>
            </w:pPr>
            <w:r>
              <w:rPr>
                <w:rFonts w:ascii="宋体" w:hAnsi="宋体" w:cs="宋体" w:eastAsia="宋体" w:hint="default"/>
                <w:sz w:val="18"/>
                <w:szCs w:val="18"/>
              </w:rPr>
              <w:t>增 资</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300,000,000.00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5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4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7" w:right="100"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2"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103" w:right="192"/>
              <w:jc w:val="left"/>
              <w:rPr>
                <w:rFonts w:ascii="Arial" w:hAnsi="Arial" w:cs="Arial" w:eastAsia="Arial" w:hint="default"/>
                <w:sz w:val="18"/>
                <w:szCs w:val="18"/>
              </w:rPr>
            </w:pPr>
            <w:r>
              <w:rPr>
                <w:rFonts w:ascii="Arial"/>
                <w:spacing w:val="-2"/>
                <w:sz w:val="18"/>
              </w:rPr>
              <w:t>www.cninf</w:t>
            </w:r>
            <w:r>
              <w:rPr>
                <w:rFonts w:ascii="Arial"/>
                <w:spacing w:val="-47"/>
                <w:sz w:val="18"/>
              </w:rPr>
              <w:t> </w:t>
            </w:r>
            <w:r>
              <w:rPr>
                <w:rFonts w:ascii="Arial"/>
                <w:spacing w:val="-47"/>
                <w:sz w:val="18"/>
              </w:rPr>
            </w:r>
            <w:r>
              <w:rPr>
                <w:rFonts w:ascii="Arial"/>
                <w:sz w:val="18"/>
              </w:rPr>
              <w:t>o.com.cn</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z w:val="18"/>
                <w:szCs w:val="18"/>
              </w:rPr>
              <w:t>华宇金信（北 </w:t>
            </w:r>
            <w:r>
              <w:rPr>
                <w:rFonts w:ascii="宋体" w:hAnsi="宋体" w:cs="宋体" w:eastAsia="宋体" w:hint="default"/>
                <w:spacing w:val="-6"/>
                <w:sz w:val="18"/>
                <w:szCs w:val="18"/>
              </w:rPr>
              <w:t>京）软件有限公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56"/>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269"/>
              <w:jc w:val="left"/>
              <w:rPr>
                <w:rFonts w:ascii="宋体" w:hAnsi="宋体" w:cs="宋体" w:eastAsia="宋体" w:hint="default"/>
                <w:sz w:val="18"/>
                <w:szCs w:val="18"/>
              </w:rPr>
            </w:pPr>
            <w:r>
              <w:rPr>
                <w:rFonts w:ascii="宋体" w:hAnsi="宋体" w:cs="宋体" w:eastAsia="宋体" w:hint="default"/>
                <w:sz w:val="18"/>
                <w:szCs w:val="18"/>
              </w:rPr>
              <w:t>增 资</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30,000,000.00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4" w:right="15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4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7" w:right="100"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2"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9"/>
              <w:jc w:val="righ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2" w:lineRule="auto"/>
              <w:ind w:left="103" w:right="192"/>
              <w:jc w:val="left"/>
              <w:rPr>
                <w:rFonts w:ascii="Arial" w:hAnsi="Arial" w:cs="Arial" w:eastAsia="Arial" w:hint="default"/>
                <w:sz w:val="18"/>
                <w:szCs w:val="18"/>
              </w:rPr>
            </w:pPr>
            <w:r>
              <w:rPr>
                <w:rFonts w:ascii="Arial"/>
                <w:spacing w:val="-2"/>
                <w:sz w:val="18"/>
              </w:rPr>
              <w:t>www.cninf</w:t>
            </w:r>
            <w:r>
              <w:rPr>
                <w:rFonts w:ascii="Arial"/>
                <w:spacing w:val="-47"/>
                <w:sz w:val="18"/>
              </w:rPr>
              <w:t> </w:t>
            </w:r>
            <w:r>
              <w:rPr>
                <w:rFonts w:ascii="Arial"/>
                <w:spacing w:val="-47"/>
                <w:sz w:val="18"/>
              </w:rPr>
            </w:r>
            <w:r>
              <w:rPr>
                <w:rFonts w:ascii="Arial"/>
                <w:sz w:val="18"/>
              </w:rPr>
              <w:t>o.com.cn</w:t>
            </w:r>
          </w:p>
        </w:tc>
      </w:tr>
      <w:tr>
        <w:trPr>
          <w:trHeight w:val="1650"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42"/>
              <w:jc w:val="both"/>
              <w:rPr>
                <w:rFonts w:ascii="宋体" w:hAnsi="宋体" w:cs="宋体" w:eastAsia="宋体" w:hint="default"/>
                <w:sz w:val="18"/>
                <w:szCs w:val="18"/>
              </w:rPr>
            </w:pPr>
            <w:r>
              <w:rPr>
                <w:rFonts w:ascii="宋体" w:hAnsi="宋体" w:cs="宋体" w:eastAsia="宋体" w:hint="default"/>
                <w:sz w:val="18"/>
                <w:szCs w:val="18"/>
              </w:rPr>
              <w:t>中国司法大数 据研究院有限 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both"/>
              <w:rPr>
                <w:rFonts w:ascii="宋体" w:hAnsi="宋体" w:cs="宋体" w:eastAsia="宋体" w:hint="default"/>
                <w:sz w:val="18"/>
                <w:szCs w:val="18"/>
              </w:rPr>
            </w:pPr>
            <w:r>
              <w:rPr>
                <w:rFonts w:ascii="宋体" w:hAnsi="宋体" w:cs="宋体" w:eastAsia="宋体" w:hint="default"/>
                <w:spacing w:val="-4"/>
                <w:sz w:val="18"/>
                <w:szCs w:val="18"/>
              </w:rPr>
              <w:t>数据处理、技</w:t>
            </w:r>
            <w:r>
              <w:rPr>
                <w:rFonts w:ascii="宋体" w:hAnsi="宋体" w:cs="宋体" w:eastAsia="宋体" w:hint="default"/>
                <w:sz w:val="18"/>
                <w:szCs w:val="18"/>
              </w:rPr>
              <w:t> </w:t>
            </w:r>
            <w:r>
              <w:rPr>
                <w:rFonts w:ascii="宋体" w:hAnsi="宋体" w:cs="宋体" w:eastAsia="宋体" w:hint="default"/>
                <w:spacing w:val="-4"/>
                <w:sz w:val="18"/>
                <w:szCs w:val="18"/>
              </w:rPr>
              <w:t>术开发、技术</w:t>
            </w:r>
            <w:r>
              <w:rPr>
                <w:rFonts w:ascii="宋体" w:hAnsi="宋体" w:cs="宋体" w:eastAsia="宋体" w:hint="default"/>
                <w:sz w:val="18"/>
                <w:szCs w:val="18"/>
              </w:rPr>
              <w:t> </w:t>
            </w:r>
            <w:r>
              <w:rPr>
                <w:rFonts w:ascii="宋体" w:hAnsi="宋体" w:cs="宋体" w:eastAsia="宋体" w:hint="default"/>
                <w:spacing w:val="-4"/>
                <w:sz w:val="18"/>
                <w:szCs w:val="18"/>
              </w:rPr>
              <w:t>转让、技术咨</w:t>
            </w:r>
            <w:r>
              <w:rPr>
                <w:rFonts w:ascii="宋体" w:hAnsi="宋体" w:cs="宋体" w:eastAsia="宋体" w:hint="default"/>
                <w:sz w:val="18"/>
                <w:szCs w:val="18"/>
              </w:rPr>
              <w:t> </w:t>
            </w:r>
            <w:r>
              <w:rPr>
                <w:rFonts w:ascii="宋体" w:hAnsi="宋体" w:cs="宋体" w:eastAsia="宋体" w:hint="default"/>
                <w:spacing w:val="-4"/>
                <w:sz w:val="18"/>
                <w:szCs w:val="18"/>
              </w:rPr>
              <w:t>询、技术服务</w:t>
            </w:r>
            <w:r>
              <w:rPr>
                <w:rFonts w:ascii="宋体" w:hAnsi="宋体" w:cs="宋体" w:eastAsia="宋体" w:hint="default"/>
                <w:sz w:val="18"/>
                <w:szCs w:val="18"/>
              </w:rPr>
              <w:t> 等</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9"/>
              <w:jc w:val="left"/>
              <w:rPr>
                <w:rFonts w:ascii="宋体" w:hAnsi="宋体" w:cs="宋体" w:eastAsia="宋体" w:hint="default"/>
                <w:sz w:val="18"/>
                <w:szCs w:val="18"/>
              </w:rPr>
            </w:pPr>
            <w:r>
              <w:rPr>
                <w:rFonts w:ascii="宋体" w:hAnsi="宋体" w:cs="宋体" w:eastAsia="宋体" w:hint="default"/>
                <w:sz w:val="18"/>
                <w:szCs w:val="18"/>
              </w:rPr>
              <w:t>增 资</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3,340,000.00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7"/>
              <w:jc w:val="both"/>
              <w:rPr>
                <w:rFonts w:ascii="宋体" w:hAnsi="宋体" w:cs="宋体" w:eastAsia="宋体" w:hint="default"/>
                <w:sz w:val="18"/>
                <w:szCs w:val="18"/>
              </w:rPr>
            </w:pPr>
            <w:r>
              <w:rPr>
                <w:rFonts w:ascii="宋体" w:hAnsi="宋体" w:cs="宋体" w:eastAsia="宋体" w:hint="default"/>
                <w:sz w:val="18"/>
                <w:szCs w:val="18"/>
              </w:rPr>
              <w:t>中国电子科技集团公司、人民法 院信息技术服务中心、江苏新视 云科技股份有限公司等</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4" w:right="15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2" w:right="24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07" w:right="100"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22"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62" w:lineRule="auto"/>
              <w:ind w:left="103" w:right="192"/>
              <w:jc w:val="left"/>
              <w:rPr>
                <w:rFonts w:ascii="Arial" w:hAnsi="Arial" w:cs="Arial" w:eastAsia="Arial" w:hint="default"/>
                <w:sz w:val="18"/>
                <w:szCs w:val="18"/>
              </w:rPr>
            </w:pPr>
            <w:r>
              <w:rPr>
                <w:rFonts w:ascii="Arial"/>
                <w:spacing w:val="-2"/>
                <w:sz w:val="18"/>
              </w:rPr>
              <w:t>www.cninf</w:t>
            </w:r>
            <w:r>
              <w:rPr>
                <w:rFonts w:ascii="Arial"/>
                <w:spacing w:val="-47"/>
                <w:sz w:val="18"/>
              </w:rPr>
              <w:t> </w:t>
            </w:r>
            <w:r>
              <w:rPr>
                <w:rFonts w:ascii="Arial"/>
                <w:spacing w:val="-47"/>
                <w:sz w:val="18"/>
              </w:rPr>
            </w:r>
            <w:r>
              <w:rPr>
                <w:rFonts w:ascii="Arial"/>
                <w:sz w:val="18"/>
              </w:rPr>
              <w:t>o.com.cn</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42"/>
              <w:jc w:val="left"/>
              <w:rPr>
                <w:rFonts w:ascii="宋体" w:hAnsi="宋体" w:cs="宋体" w:eastAsia="宋体" w:hint="default"/>
                <w:sz w:val="18"/>
                <w:szCs w:val="18"/>
              </w:rPr>
            </w:pPr>
            <w:r>
              <w:rPr>
                <w:rFonts w:ascii="宋体" w:hAnsi="宋体" w:cs="宋体" w:eastAsia="宋体" w:hint="default"/>
                <w:sz w:val="18"/>
                <w:szCs w:val="18"/>
              </w:rPr>
              <w:t>四川数字金沙 科技有限公司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pacing w:val="-4"/>
                <w:sz w:val="18"/>
                <w:szCs w:val="18"/>
              </w:rPr>
              <w:t>数据处理、软</w:t>
            </w:r>
            <w:r>
              <w:rPr>
                <w:rFonts w:ascii="宋体" w:hAnsi="宋体" w:cs="宋体" w:eastAsia="宋体" w:hint="default"/>
                <w:sz w:val="18"/>
                <w:szCs w:val="18"/>
              </w:rPr>
              <w:t> 件开发与销 </w:t>
            </w:r>
            <w:r>
              <w:rPr>
                <w:rFonts w:ascii="宋体" w:hAnsi="宋体" w:cs="宋体" w:eastAsia="宋体" w:hint="default"/>
                <w:spacing w:val="-4"/>
                <w:sz w:val="18"/>
                <w:szCs w:val="18"/>
              </w:rPr>
              <w:t>售、互联网服</w:t>
            </w:r>
            <w:r>
              <w:rPr>
                <w:rFonts w:ascii="宋体" w:hAnsi="宋体" w:cs="宋体" w:eastAsia="宋体" w:hint="default"/>
                <w:sz w:val="18"/>
                <w:szCs w:val="18"/>
              </w:rPr>
              <w:t> 务等</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69"/>
              <w:jc w:val="left"/>
              <w:rPr>
                <w:rFonts w:ascii="宋体" w:hAnsi="宋体" w:cs="宋体" w:eastAsia="宋体" w:hint="default"/>
                <w:sz w:val="18"/>
                <w:szCs w:val="18"/>
              </w:rPr>
            </w:pPr>
            <w:r>
              <w:rPr>
                <w:rFonts w:ascii="宋体" w:hAnsi="宋体" w:cs="宋体" w:eastAsia="宋体" w:hint="default"/>
                <w:sz w:val="18"/>
                <w:szCs w:val="18"/>
              </w:rPr>
              <w:t>新 设</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18"/>
                <w:szCs w:val="18"/>
              </w:rPr>
            </w:pPr>
            <w:r>
              <w:rPr>
                <w:rFonts w:ascii="Arial"/>
                <w:spacing w:val="-1"/>
                <w:sz w:val="18"/>
              </w:rPr>
              <w:t>4,000,000.00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17"/>
              <w:jc w:val="left"/>
              <w:rPr>
                <w:rFonts w:ascii="宋体" w:hAnsi="宋体" w:cs="宋体" w:eastAsia="宋体" w:hint="default"/>
                <w:sz w:val="18"/>
                <w:szCs w:val="18"/>
              </w:rPr>
            </w:pPr>
            <w:r>
              <w:rPr>
                <w:rFonts w:ascii="宋体" w:hAnsi="宋体" w:cs="宋体" w:eastAsia="宋体" w:hint="default"/>
                <w:sz w:val="18"/>
                <w:szCs w:val="18"/>
              </w:rPr>
              <w:t>四川发展大数据产业投资有限责 任公司</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4" w:right="15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249"/>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7" w:right="100"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22"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62" w:lineRule="auto"/>
              <w:ind w:left="103" w:right="192"/>
              <w:jc w:val="left"/>
              <w:rPr>
                <w:rFonts w:ascii="Arial" w:hAnsi="Arial" w:cs="Arial" w:eastAsia="Arial" w:hint="default"/>
                <w:sz w:val="18"/>
                <w:szCs w:val="18"/>
              </w:rPr>
            </w:pPr>
            <w:r>
              <w:rPr>
                <w:rFonts w:ascii="Arial"/>
                <w:spacing w:val="-2"/>
                <w:sz w:val="18"/>
              </w:rPr>
              <w:t>www.cninf</w:t>
            </w:r>
            <w:r>
              <w:rPr>
                <w:rFonts w:ascii="Arial"/>
                <w:spacing w:val="-47"/>
                <w:sz w:val="18"/>
              </w:rPr>
              <w:t> </w:t>
            </w:r>
            <w:r>
              <w:rPr>
                <w:rFonts w:ascii="Arial"/>
                <w:spacing w:val="-47"/>
                <w:sz w:val="18"/>
              </w:rPr>
            </w:r>
            <w:r>
              <w:rPr>
                <w:rFonts w:ascii="Arial"/>
                <w:sz w:val="18"/>
              </w:rPr>
              <w:t>o.com.cn</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337,340,000.00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Arial" w:hAnsi="Arial" w:cs="Arial" w:eastAsia="Arial" w:hint="default"/>
                <w:sz w:val="18"/>
                <w:szCs w:val="18"/>
              </w:rPr>
            </w:pPr>
            <w:r>
              <w:rPr>
                <w:rFonts w:ascii="Arial"/>
                <w:sz w:val="18"/>
              </w:rPr>
              <w:t>--</w:t>
            </w:r>
          </w:p>
        </w:tc>
        <w:tc>
          <w:tcPr>
            <w:tcW w:w="2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7" w:right="0"/>
              <w:jc w:val="left"/>
              <w:rPr>
                <w:rFonts w:ascii="Arial" w:hAnsi="Arial" w:cs="Arial" w:eastAsia="Arial" w:hint="default"/>
                <w:sz w:val="18"/>
                <w:szCs w:val="18"/>
              </w:rPr>
            </w:pPr>
            <w:r>
              <w:rPr>
                <w:rFonts w:ascii="Arial"/>
                <w:sz w:val="18"/>
              </w:rPr>
              <w:t>--</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Arial" w:hAnsi="Arial" w:cs="Arial" w:eastAsia="Arial" w:hint="default"/>
                <w:sz w:val="18"/>
                <w:szCs w:val="18"/>
              </w:rPr>
            </w:pPr>
            <w:r>
              <w:rPr>
                <w:rFonts w:ascii="Arial"/>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3"/>
              <w:jc w:val="right"/>
              <w:rPr>
                <w:rFonts w:ascii="Arial" w:hAnsi="Arial" w:cs="Arial" w:eastAsia="Arial" w:hint="default"/>
                <w:sz w:val="18"/>
                <w:szCs w:val="18"/>
              </w:rPr>
            </w:pPr>
            <w:r>
              <w:rPr>
                <w:rFonts w:ascii="Arial"/>
                <w:sz w:val="18"/>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6840" w:h="11910" w:orient="landscape"/>
          <w:pgMar w:top="1060" w:bottom="1200" w:left="1220" w:right="400"/>
        </w:sectPr>
      </w:pPr>
    </w:p>
    <w:p>
      <w:pPr>
        <w:spacing w:line="240" w:lineRule="auto" w:before="10"/>
        <w:rPr>
          <w:rFonts w:ascii="宋体" w:hAnsi="宋体" w:cs="宋体" w:eastAsia="宋体" w:hint="default"/>
          <w:sz w:val="2"/>
          <w:szCs w:val="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220" w:right="0"/>
        <w:jc w:val="left"/>
        <w:rPr>
          <w:b w:val="0"/>
          <w:bCs w:val="0"/>
        </w:rPr>
      </w:pPr>
      <w:bookmarkStart w:name="3、报告期内正在进行的重大的非股权投资情况" w:id="45"/>
      <w:bookmarkEnd w:id="45"/>
      <w:r>
        <w:rPr>
          <w:b w:val="0"/>
          <w:bCs w:val="0"/>
        </w:rPr>
      </w:r>
      <w:r>
        <w:rPr>
          <w:rFonts w:ascii="Arial" w:hAnsi="Arial" w:cs="Arial" w:eastAsia="Arial"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20" w:right="0"/>
        <w:jc w:val="left"/>
      </w:pPr>
      <w:r>
        <w:rPr>
          <w:rFonts w:ascii="Arial" w:hAnsi="Arial" w:cs="Arial" w:eastAsia="Arial" w:hint="default"/>
        </w:rPr>
        <w:t>□  </w:t>
      </w:r>
      <w:r>
        <w:rPr/>
        <w:t>适用 √</w:t>
      </w:r>
      <w:r>
        <w:rPr>
          <w:spacing w:val="-15"/>
        </w:rPr>
        <w:t> </w:t>
      </w:r>
      <w:r>
        <w:rPr/>
        <w:t>不适用</w:t>
      </w:r>
    </w:p>
    <w:p>
      <w:pPr>
        <w:spacing w:line="240" w:lineRule="auto" w:before="3"/>
        <w:rPr>
          <w:rFonts w:ascii="宋体" w:hAnsi="宋体" w:cs="宋体" w:eastAsia="宋体" w:hint="default"/>
          <w:sz w:val="23"/>
          <w:szCs w:val="23"/>
        </w:rPr>
      </w:pPr>
    </w:p>
    <w:p>
      <w:pPr>
        <w:pStyle w:val="Heading4"/>
        <w:spacing w:line="240" w:lineRule="auto" w:before="0"/>
        <w:ind w:left="220" w:right="0"/>
        <w:jc w:val="left"/>
        <w:rPr>
          <w:b w:val="0"/>
          <w:bCs w:val="0"/>
        </w:rPr>
      </w:pPr>
      <w:bookmarkStart w:name="4、以公允价值计量的金融资产" w:id="46"/>
      <w:bookmarkEnd w:id="46"/>
      <w:r>
        <w:rPr>
          <w:b w:val="0"/>
          <w:bCs w:val="0"/>
        </w:rPr>
      </w:r>
      <w:r>
        <w:rPr>
          <w:rFonts w:ascii="Arial" w:hAnsi="Arial" w:cs="Arial" w:eastAsia="Arial" w:hint="default"/>
        </w:rPr>
        <w:t>4</w:t>
      </w:r>
      <w:r>
        <w:rPr/>
        <w:t>、以公允价值计量的金融资产</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68" w:footer="1016" w:top="1060" w:bottom="1200" w:left="1220" w:right="1220"/>
        </w:sectPr>
      </w:pPr>
    </w:p>
    <w:p>
      <w:pPr>
        <w:pStyle w:val="Heading3"/>
        <w:spacing w:line="240" w:lineRule="auto" w:before="26"/>
        <w:ind w:left="220" w:right="-20"/>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200" w:left="1220" w:right="1220"/>
          <w:cols w:num="2" w:equalWidth="0">
            <w:col w:w="2153" w:space="11086"/>
            <w:col w:w="1161"/>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47"/>
        <w:gridCol w:w="1564"/>
        <w:gridCol w:w="1337"/>
        <w:gridCol w:w="1672"/>
        <w:gridCol w:w="2046"/>
        <w:gridCol w:w="1150"/>
        <w:gridCol w:w="1105"/>
        <w:gridCol w:w="2295"/>
        <w:gridCol w:w="1052"/>
      </w:tblGrid>
      <w:tr>
        <w:trPr>
          <w:trHeight w:val="714"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2" w:right="12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11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2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8"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6" w:right="187"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Arial" w:hAnsi="Arial" w:cs="Arial" w:eastAsia="Arial" w:hint="default"/>
                <w:sz w:val="18"/>
                <w:szCs w:val="18"/>
              </w:rPr>
            </w:pPr>
            <w:r>
              <w:rPr>
                <w:rFonts w:ascii="Arial"/>
                <w:sz w:val="18"/>
              </w:rPr>
              <w:t>77,000,000.00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3,340,000.00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80,340,000.00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1" w:right="0"/>
              <w:jc w:val="left"/>
              <w:rPr>
                <w:rFonts w:ascii="Arial" w:hAnsi="Arial" w:cs="Arial" w:eastAsia="Arial" w:hint="default"/>
                <w:sz w:val="18"/>
                <w:szCs w:val="18"/>
              </w:rPr>
            </w:pPr>
            <w:r>
              <w:rPr>
                <w:rFonts w:ascii="Arial"/>
                <w:sz w:val="18"/>
              </w:rPr>
              <w:t>54,000,000.00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75,000,000.00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129,000,000.00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 w:right="0"/>
              <w:jc w:val="left"/>
              <w:rPr>
                <w:rFonts w:ascii="Arial" w:hAnsi="Arial" w:cs="Arial" w:eastAsia="Arial" w:hint="default"/>
                <w:sz w:val="18"/>
                <w:szCs w:val="18"/>
              </w:rPr>
            </w:pPr>
            <w:r>
              <w:rPr>
                <w:rFonts w:ascii="Arial"/>
                <w:sz w:val="18"/>
              </w:rPr>
              <w:t>131,000,000.00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672"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78,340,000.00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209,340,000.00</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ind w:left="220" w:right="0"/>
        <w:jc w:val="left"/>
        <w:rPr>
          <w:b w:val="0"/>
          <w:bCs w:val="0"/>
        </w:rPr>
      </w:pPr>
      <w:bookmarkStart w:name="5、募集资金使用情况" w:id="47"/>
      <w:bookmarkEnd w:id="47"/>
      <w:r>
        <w:rPr>
          <w:b w:val="0"/>
          <w:bCs w:val="0"/>
        </w:rPr>
      </w:r>
      <w:r>
        <w:rPr>
          <w:rFonts w:ascii="Arial" w:hAnsi="Arial" w:cs="Arial" w:eastAsia="Arial" w:hint="default"/>
        </w:rPr>
        <w:t>5</w:t>
      </w:r>
      <w:r>
        <w:rPr/>
        <w:t>、募集资金使用情况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20" w:right="0"/>
        <w:jc w:val="left"/>
      </w:pPr>
      <w:r>
        <w:rPr>
          <w:rFonts w:ascii="Arial" w:hAnsi="Arial" w:cs="Arial" w:eastAsia="Arial" w:hint="default"/>
        </w:rPr>
        <w:t>√  </w:t>
      </w:r>
      <w:r>
        <w:rPr/>
        <w:t>适用 □</w:t>
      </w:r>
      <w:r>
        <w:rPr>
          <w:spacing w:val="-14"/>
        </w:rPr>
        <w:t> </w:t>
      </w:r>
      <w:r>
        <w:rPr/>
        <w:t>不适用</w:t>
      </w:r>
    </w:p>
    <w:p>
      <w:pPr>
        <w:spacing w:line="240" w:lineRule="auto" w:before="3"/>
        <w:rPr>
          <w:rFonts w:ascii="宋体" w:hAnsi="宋体" w:cs="宋体" w:eastAsia="宋体" w:hint="default"/>
          <w:sz w:val="23"/>
          <w:szCs w:val="23"/>
        </w:rPr>
      </w:pPr>
    </w:p>
    <w:p>
      <w:pPr>
        <w:pStyle w:val="Heading4"/>
        <w:spacing w:line="240" w:lineRule="auto" w:before="0"/>
        <w:ind w:left="220" w:right="0"/>
        <w:jc w:val="left"/>
        <w:rPr>
          <w:b w:val="0"/>
          <w:bCs w:val="0"/>
        </w:rPr>
      </w:pPr>
      <w:bookmarkStart w:name="（1）募集资金总体使用情况" w:id="48"/>
      <w:bookmarkEnd w:id="48"/>
      <w:r>
        <w:rPr>
          <w:b w:val="0"/>
          <w:bCs w:val="0"/>
        </w:rPr>
      </w:r>
      <w:r>
        <w:rPr/>
        <w:t>（</w:t>
      </w:r>
      <w:r>
        <w:rPr>
          <w:rFonts w:ascii="Arial" w:hAnsi="Arial" w:cs="Arial" w:eastAsia="Arial" w:hint="default"/>
        </w:rPr>
        <w:t>1</w:t>
      </w:r>
      <w:r>
        <w:rPr/>
        <w:t>）募集资金总体使用情况</w:t>
      </w:r>
      <w:r>
        <w:rPr>
          <w:b w:val="0"/>
          <w:bCs w:val="0"/>
        </w:rPr>
      </w: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6840" w:h="11910" w:orient="landscape"/>
          <w:pgMar w:top="1060" w:bottom="1200" w:left="1220" w:right="1220"/>
        </w:sectPr>
      </w:pPr>
    </w:p>
    <w:p>
      <w:pPr>
        <w:pStyle w:val="Heading3"/>
        <w:spacing w:line="240" w:lineRule="auto" w:before="26"/>
        <w:ind w:left="220" w:right="-20"/>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200" w:left="1220" w:right="1220"/>
          <w:cols w:num="2" w:equalWidth="0">
            <w:col w:w="2153" w:space="10906"/>
            <w:col w:w="1341"/>
          </w:cols>
        </w:sectPr>
      </w:pP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22"/>
        <w:gridCol w:w="1410"/>
        <w:gridCol w:w="1490"/>
        <w:gridCol w:w="1564"/>
        <w:gridCol w:w="1711"/>
        <w:gridCol w:w="1074"/>
        <w:gridCol w:w="974"/>
        <w:gridCol w:w="1113"/>
        <w:gridCol w:w="1462"/>
        <w:gridCol w:w="1261"/>
        <w:gridCol w:w="1082"/>
      </w:tblGrid>
      <w:tr>
        <w:trPr>
          <w:trHeight w:val="1338"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17" w:right="146" w:hanging="272"/>
              <w:jc w:val="left"/>
              <w:rPr>
                <w:rFonts w:ascii="宋体" w:hAnsi="宋体" w:cs="宋体" w:eastAsia="宋体" w:hint="default"/>
                <w:sz w:val="18"/>
                <w:szCs w:val="18"/>
              </w:rPr>
            </w:pPr>
            <w:r>
              <w:rPr>
                <w:rFonts w:ascii="宋体" w:hAnsi="宋体" w:cs="宋体" w:eastAsia="宋体" w:hint="default"/>
                <w:sz w:val="18"/>
                <w:szCs w:val="18"/>
              </w:rPr>
              <w:t>本期已使用募集 资金总额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81" w:right="129" w:hanging="452"/>
              <w:jc w:val="left"/>
              <w:rPr>
                <w:rFonts w:ascii="宋体" w:hAnsi="宋体" w:cs="宋体" w:eastAsia="宋体" w:hint="default"/>
                <w:sz w:val="18"/>
                <w:szCs w:val="18"/>
              </w:rPr>
            </w:pPr>
            <w:r>
              <w:rPr>
                <w:rFonts w:ascii="宋体" w:hAnsi="宋体" w:cs="宋体" w:eastAsia="宋体" w:hint="default"/>
                <w:sz w:val="18"/>
                <w:szCs w:val="18"/>
              </w:rPr>
              <w:t>已累计使用募集资 金总额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20"/>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1" w:right="18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65" w:right="185"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5" w:right="174"/>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1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pacing w:val="-3"/>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51,481.18</w:t>
            </w:r>
          </w:p>
        </w:tc>
        <w:tc>
          <w:tcPr>
            <w:tcW w:w="1564"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53,638.72</w:t>
            </w:r>
          </w:p>
        </w:tc>
        <w:tc>
          <w:tcPr>
            <w:tcW w:w="107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48,000</w:t>
            </w:r>
          </w:p>
        </w:tc>
        <w:tc>
          <w:tcPr>
            <w:tcW w:w="1564"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48,022.83</w:t>
            </w:r>
          </w:p>
        </w:tc>
        <w:tc>
          <w:tcPr>
            <w:tcW w:w="107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200" w:left="1220" w:right="1220"/>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22"/>
        <w:gridCol w:w="1410"/>
        <w:gridCol w:w="1490"/>
        <w:gridCol w:w="1564"/>
        <w:gridCol w:w="1711"/>
        <w:gridCol w:w="1074"/>
        <w:gridCol w:w="974"/>
        <w:gridCol w:w="1113"/>
        <w:gridCol w:w="1462"/>
        <w:gridCol w:w="1261"/>
        <w:gridCol w:w="1082"/>
      </w:tblGrid>
      <w:tr>
        <w:trPr>
          <w:trHeight w:val="729" w:hRule="exact"/>
        </w:trPr>
        <w:tc>
          <w:tcPr>
            <w:tcW w:w="102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41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49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104,281.30</w:t>
            </w:r>
          </w:p>
        </w:tc>
        <w:tc>
          <w:tcPr>
            <w:tcW w:w="1564"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48,332.85</w:t>
            </w:r>
          </w:p>
        </w:tc>
        <w:tc>
          <w:tcPr>
            <w:tcW w:w="171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48,332.85</w:t>
            </w:r>
          </w:p>
        </w:tc>
        <w:tc>
          <w:tcPr>
            <w:tcW w:w="1074" w:type="dxa"/>
            <w:tcBorders>
              <w:top w:val="single" w:sz="16" w:space="0" w:color="000000"/>
              <w:left w:val="single" w:sz="4" w:space="0" w:color="000000"/>
              <w:bottom w:val="single" w:sz="4" w:space="0" w:color="000000"/>
              <w:right w:val="single" w:sz="4" w:space="0" w:color="000000"/>
            </w:tcBorders>
          </w:tcPr>
          <w:p>
            <w:pPr/>
          </w:p>
        </w:tc>
        <w:tc>
          <w:tcPr>
            <w:tcW w:w="974" w:type="dxa"/>
            <w:tcBorders>
              <w:top w:val="single" w:sz="16" w:space="0" w:color="000000"/>
              <w:left w:val="single" w:sz="4" w:space="0" w:color="000000"/>
              <w:bottom w:val="single" w:sz="4" w:space="0" w:color="000000"/>
              <w:right w:val="single" w:sz="4" w:space="0" w:color="000000"/>
            </w:tcBorders>
          </w:tcPr>
          <w:p>
            <w:pPr/>
          </w:p>
        </w:tc>
        <w:tc>
          <w:tcPr>
            <w:tcW w:w="111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0.00%</w:t>
            </w:r>
          </w:p>
        </w:tc>
        <w:tc>
          <w:tcPr>
            <w:tcW w:w="146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57,026.80</w:t>
            </w:r>
          </w:p>
        </w:tc>
        <w:tc>
          <w:tcPr>
            <w:tcW w:w="1261"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存放于募集 资金专户中</w:t>
            </w:r>
          </w:p>
        </w:tc>
        <w:tc>
          <w:tcPr>
            <w:tcW w:w="1082"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203,762.48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48,332.85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149,994.40</w:t>
            </w:r>
          </w:p>
        </w:tc>
        <w:tc>
          <w:tcPr>
            <w:tcW w:w="107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57,026.80</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202" w:hRule="exact"/>
        </w:trPr>
        <w:tc>
          <w:tcPr>
            <w:tcW w:w="141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w:hAnsi="Arial" w:cs="Arial" w:eastAsia="Arial"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公司共募集资金四次</w:t>
            </w:r>
            <w:r>
              <w:rPr>
                <w:rFonts w:ascii="宋体" w:hAnsi="宋体" w:cs="宋体" w:eastAsia="宋体" w:hint="default"/>
                <w:spacing w:val="-72"/>
                <w:sz w:val="18"/>
                <w:szCs w:val="18"/>
              </w:rPr>
              <w:t>，</w:t>
            </w:r>
            <w:r>
              <w:rPr>
                <w:rFonts w:ascii="宋体" w:hAnsi="宋体" w:cs="宋体" w:eastAsia="宋体" w:hint="default"/>
                <w:sz w:val="18"/>
                <w:szCs w:val="18"/>
              </w:rPr>
              <w:t>其中两次尚在效益期内</w:t>
            </w:r>
            <w:r>
              <w:rPr>
                <w:rFonts w:ascii="宋体" w:hAnsi="宋体" w:cs="宋体" w:eastAsia="宋体" w:hint="default"/>
                <w:spacing w:val="-75"/>
                <w:sz w:val="18"/>
                <w:szCs w:val="18"/>
              </w:rPr>
              <w:t>。</w:t>
            </w:r>
            <w:r>
              <w:rPr>
                <w:rFonts w:ascii="宋体" w:hAnsi="宋体" w:cs="宋体" w:eastAsia="宋体" w:hint="default"/>
                <w:sz w:val="18"/>
                <w:szCs w:val="18"/>
              </w:rPr>
              <w:t>本次研发项目正实施中</w:t>
            </w:r>
            <w:r>
              <w:rPr>
                <w:rFonts w:ascii="宋体" w:hAnsi="宋体" w:cs="宋体" w:eastAsia="宋体" w:hint="default"/>
                <w:spacing w:val="-75"/>
                <w:sz w:val="18"/>
                <w:szCs w:val="18"/>
              </w:rPr>
              <w:t>，</w:t>
            </w:r>
            <w:r>
              <w:rPr>
                <w:rFonts w:ascii="宋体" w:hAnsi="宋体" w:cs="宋体" w:eastAsia="宋体" w:hint="default"/>
                <w:sz w:val="18"/>
                <w:szCs w:val="18"/>
              </w:rPr>
              <w:t>募集资金总额为</w:t>
            </w:r>
            <w:r>
              <w:rPr>
                <w:rFonts w:ascii="宋体" w:hAnsi="宋体" w:cs="宋体" w:eastAsia="宋体" w:hint="default"/>
                <w:spacing w:val="-45"/>
                <w:sz w:val="18"/>
                <w:szCs w:val="18"/>
              </w:rPr>
              <w:t> </w:t>
            </w:r>
            <w:r>
              <w:rPr>
                <w:rFonts w:ascii="Arial" w:hAnsi="Arial" w:cs="Arial" w:eastAsia="Arial" w:hint="default"/>
                <w:w w:val="99"/>
                <w:sz w:val="18"/>
                <w:szCs w:val="18"/>
              </w:rPr>
              <w:t>203</w:t>
            </w:r>
            <w:r>
              <w:rPr>
                <w:rFonts w:ascii="Arial" w:hAnsi="Arial" w:cs="Arial" w:eastAsia="Arial" w:hint="default"/>
                <w:spacing w:val="-2"/>
                <w:w w:val="99"/>
                <w:sz w:val="18"/>
                <w:szCs w:val="18"/>
              </w:rPr>
              <w:t>,</w:t>
            </w:r>
            <w:r>
              <w:rPr>
                <w:rFonts w:ascii="Arial" w:hAnsi="Arial" w:cs="Arial" w:eastAsia="Arial" w:hint="default"/>
                <w:w w:val="99"/>
                <w:sz w:val="18"/>
                <w:szCs w:val="18"/>
              </w:rPr>
              <w:t>762</w:t>
            </w:r>
            <w:r>
              <w:rPr>
                <w:rFonts w:ascii="Arial" w:hAnsi="Arial" w:cs="Arial" w:eastAsia="Arial" w:hint="default"/>
                <w:spacing w:val="-2"/>
                <w:w w:val="99"/>
                <w:sz w:val="18"/>
                <w:szCs w:val="18"/>
              </w:rPr>
              <w:t>.</w:t>
            </w:r>
            <w:r>
              <w:rPr>
                <w:rFonts w:ascii="Arial" w:hAnsi="Arial" w:cs="Arial" w:eastAsia="Arial" w:hint="default"/>
                <w:w w:val="99"/>
                <w:sz w:val="18"/>
                <w:szCs w:val="18"/>
              </w:rPr>
              <w:t>48</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所产生的利</w:t>
            </w:r>
            <w:r>
              <w:rPr>
                <w:rFonts w:ascii="宋体" w:hAnsi="宋体" w:cs="宋体" w:eastAsia="宋体" w:hint="default"/>
                <w:spacing w:val="-72"/>
                <w:sz w:val="18"/>
                <w:szCs w:val="18"/>
              </w:rPr>
              <w:t>息</w:t>
            </w:r>
            <w:r>
              <w:rPr>
                <w:rFonts w:ascii="宋体" w:hAnsi="宋体" w:cs="宋体" w:eastAsia="宋体" w:hint="default"/>
                <w:sz w:val="18"/>
                <w:szCs w:val="18"/>
              </w:rPr>
              <w:t>（扣除银行手续费</w:t>
            </w:r>
            <w:r>
              <w:rPr>
                <w:rFonts w:ascii="宋体" w:hAnsi="宋体" w:cs="宋体" w:eastAsia="宋体" w:hint="default"/>
                <w:spacing w:val="-75"/>
                <w:sz w:val="18"/>
                <w:szCs w:val="18"/>
              </w:rPr>
              <w:t>）</w:t>
            </w:r>
            <w:r>
              <w:rPr>
                <w:rFonts w:ascii="Arial" w:hAnsi="Arial" w:cs="Arial" w:eastAsia="Arial" w:hint="default"/>
                <w:w w:val="99"/>
                <w:sz w:val="18"/>
                <w:szCs w:val="18"/>
              </w:rPr>
              <w:t>3</w:t>
            </w:r>
            <w:r>
              <w:rPr>
                <w:rFonts w:ascii="Arial" w:hAnsi="Arial" w:cs="Arial" w:eastAsia="Arial" w:hint="default"/>
                <w:w w:val="99"/>
                <w:sz w:val="18"/>
                <w:szCs w:val="18"/>
              </w:rPr>
              <w:t>,</w:t>
            </w:r>
            <w:r>
              <w:rPr>
                <w:rFonts w:ascii="Arial" w:hAnsi="Arial" w:cs="Arial" w:eastAsia="Arial" w:hint="default"/>
                <w:w w:val="99"/>
                <w:sz w:val="18"/>
                <w:szCs w:val="18"/>
              </w:rPr>
              <w:t>2</w:t>
            </w:r>
            <w:r>
              <w:rPr>
                <w:rFonts w:ascii="Arial" w:hAnsi="Arial" w:cs="Arial" w:eastAsia="Arial" w:hint="default"/>
                <w:spacing w:val="-2"/>
                <w:w w:val="99"/>
                <w:sz w:val="18"/>
                <w:szCs w:val="18"/>
              </w:rPr>
              <w:t>5</w:t>
            </w:r>
            <w:r>
              <w:rPr>
                <w:rFonts w:ascii="Arial" w:hAnsi="Arial" w:cs="Arial" w:eastAsia="Arial" w:hint="default"/>
                <w:w w:val="99"/>
                <w:sz w:val="18"/>
                <w:szCs w:val="18"/>
              </w:rPr>
              <w:t>8</w:t>
            </w:r>
            <w:r>
              <w:rPr>
                <w:rFonts w:ascii="Arial" w:hAnsi="Arial" w:cs="Arial" w:eastAsia="Arial" w:hint="default"/>
                <w:w w:val="99"/>
                <w:sz w:val="18"/>
                <w:szCs w:val="18"/>
              </w:rPr>
              <w:t>.</w:t>
            </w:r>
            <w:r>
              <w:rPr>
                <w:rFonts w:ascii="Arial" w:hAnsi="Arial" w:cs="Arial" w:eastAsia="Arial" w:hint="default"/>
                <w:spacing w:val="-2"/>
                <w:w w:val="99"/>
                <w:sz w:val="18"/>
                <w:szCs w:val="18"/>
              </w:rPr>
              <w:t>7</w:t>
            </w:r>
            <w:r>
              <w:rPr>
                <w:rFonts w:ascii="Arial" w:hAnsi="Arial" w:cs="Arial" w:eastAsia="Arial" w:hint="default"/>
                <w:w w:val="99"/>
                <w:sz w:val="18"/>
                <w:szCs w:val="18"/>
              </w:rPr>
              <w:t>2</w:t>
            </w:r>
            <w:r>
              <w:rPr>
                <w:rFonts w:ascii="Arial" w:hAnsi="Arial" w:cs="Arial" w:eastAsia="Arial"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万元，已累计投入</w:t>
            </w:r>
            <w:r>
              <w:rPr>
                <w:rFonts w:ascii="宋体" w:hAnsi="宋体" w:cs="宋体" w:eastAsia="宋体" w:hint="default"/>
                <w:spacing w:val="-48"/>
                <w:sz w:val="18"/>
                <w:szCs w:val="18"/>
              </w:rPr>
              <w:t> </w:t>
            </w:r>
            <w:r>
              <w:rPr>
                <w:rFonts w:ascii="Arial" w:hAnsi="Arial" w:cs="Arial" w:eastAsia="Arial" w:hint="default"/>
                <w:sz w:val="18"/>
                <w:szCs w:val="18"/>
              </w:rPr>
              <w:t>149,994.40</w:t>
            </w:r>
            <w:r>
              <w:rPr>
                <w:rFonts w:ascii="Arial" w:hAnsi="Arial" w:cs="Arial" w:eastAsia="Arial" w:hint="default"/>
                <w:spacing w:val="-12"/>
                <w:sz w:val="18"/>
                <w:szCs w:val="18"/>
              </w:rPr>
              <w:t> </w:t>
            </w:r>
            <w:r>
              <w:rPr>
                <w:rFonts w:ascii="宋体" w:hAnsi="宋体" w:cs="宋体" w:eastAsia="宋体" w:hint="default"/>
                <w:sz w:val="18"/>
                <w:szCs w:val="18"/>
              </w:rPr>
              <w:t>万元，剩余</w:t>
            </w:r>
            <w:r>
              <w:rPr>
                <w:rFonts w:ascii="宋体" w:hAnsi="宋体" w:cs="宋体" w:eastAsia="宋体" w:hint="default"/>
                <w:spacing w:val="-48"/>
                <w:sz w:val="18"/>
                <w:szCs w:val="18"/>
              </w:rPr>
              <w:t> </w:t>
            </w:r>
            <w:r>
              <w:rPr>
                <w:rFonts w:ascii="Arial" w:hAnsi="Arial" w:cs="Arial" w:eastAsia="Arial" w:hint="default"/>
                <w:sz w:val="18"/>
                <w:szCs w:val="18"/>
              </w:rPr>
              <w:t>57,026.80</w:t>
            </w:r>
            <w:r>
              <w:rPr>
                <w:rFonts w:ascii="Arial" w:hAnsi="Arial" w:cs="Arial" w:eastAsia="Arial" w:hint="default"/>
                <w:spacing w:val="-7"/>
                <w:sz w:val="18"/>
                <w:szCs w:val="18"/>
              </w:rPr>
              <w:t> </w:t>
            </w:r>
            <w:r>
              <w:rPr>
                <w:rFonts w:ascii="宋体" w:hAnsi="宋体" w:cs="宋体" w:eastAsia="宋体" w:hint="default"/>
                <w:sz w:val="18"/>
                <w:szCs w:val="18"/>
              </w:rPr>
              <w:t>万元。</w:t>
            </w:r>
          </w:p>
          <w:p>
            <w:pPr>
              <w:pStyle w:val="TableParagraph"/>
              <w:spacing w:line="302" w:lineRule="auto" w:before="104"/>
              <w:ind w:left="103" w:right="101" w:firstLine="360"/>
              <w:jc w:val="lef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、首次公开发行股份并在创业板上市的募集资金：经中国证券监督管理委员会证监许可</w:t>
            </w:r>
            <w:r>
              <w:rPr>
                <w:rFonts w:ascii="Arial" w:hAnsi="Arial" w:cs="Arial" w:eastAsia="Arial" w:hint="default"/>
                <w:spacing w:val="-1"/>
                <w:sz w:val="18"/>
                <w:szCs w:val="18"/>
              </w:rPr>
              <w:t>[2011]1492</w:t>
            </w:r>
            <w:r>
              <w:rPr>
                <w:rFonts w:ascii="Arial" w:hAnsi="Arial" w:cs="Arial" w:eastAsia="Arial" w:hint="default"/>
                <w:spacing w:val="2"/>
                <w:sz w:val="18"/>
                <w:szCs w:val="18"/>
              </w:rPr>
              <w:t> </w:t>
            </w:r>
            <w:r>
              <w:rPr>
                <w:rFonts w:ascii="宋体" w:hAnsi="宋体" w:cs="宋体" w:eastAsia="宋体" w:hint="default"/>
                <w:spacing w:val="-1"/>
                <w:sz w:val="18"/>
                <w:szCs w:val="18"/>
              </w:rPr>
              <w:t>号文核准，公司委托主承销商国信证劵股份有限公司（以下简称“国信证</w:t>
            </w:r>
            <w:r>
              <w:rPr>
                <w:rFonts w:ascii="宋体" w:hAnsi="宋体" w:cs="宋体" w:eastAsia="宋体" w:hint="default"/>
                <w:sz w:val="18"/>
                <w:szCs w:val="18"/>
              </w:rPr>
              <w:t> 劵”）首次公开发行人民币普通股（</w:t>
            </w:r>
            <w:r>
              <w:rPr>
                <w:rFonts w:ascii="Arial" w:hAnsi="Arial" w:cs="Arial" w:eastAsia="Arial" w:hint="default"/>
                <w:sz w:val="18"/>
                <w:szCs w:val="18"/>
              </w:rPr>
              <w:t>A</w:t>
            </w:r>
            <w:r>
              <w:rPr>
                <w:rFonts w:ascii="Arial" w:hAnsi="Arial" w:cs="Arial" w:eastAsia="Arial" w:hint="default"/>
                <w:spacing w:val="-8"/>
                <w:sz w:val="18"/>
                <w:szCs w:val="18"/>
              </w:rPr>
              <w:t> </w:t>
            </w:r>
            <w:r>
              <w:rPr>
                <w:rFonts w:ascii="宋体" w:hAnsi="宋体" w:cs="宋体" w:eastAsia="宋体" w:hint="default"/>
                <w:sz w:val="18"/>
                <w:szCs w:val="18"/>
              </w:rPr>
              <w:t>股）</w:t>
            </w:r>
            <w:r>
              <w:rPr>
                <w:rFonts w:ascii="Arial" w:hAnsi="Arial" w:cs="Arial" w:eastAsia="Arial" w:hint="default"/>
                <w:sz w:val="18"/>
                <w:szCs w:val="18"/>
              </w:rPr>
              <w:t>1,850</w:t>
            </w:r>
            <w:r>
              <w:rPr>
                <w:rFonts w:ascii="Arial" w:hAnsi="Arial" w:cs="Arial" w:eastAsia="Arial" w:hint="default"/>
                <w:spacing w:val="-10"/>
                <w:sz w:val="18"/>
                <w:szCs w:val="18"/>
              </w:rPr>
              <w:t> </w:t>
            </w:r>
            <w:r>
              <w:rPr>
                <w:rFonts w:ascii="宋体" w:hAnsi="宋体" w:cs="宋体" w:eastAsia="宋体" w:hint="default"/>
                <w:sz w:val="18"/>
                <w:szCs w:val="18"/>
              </w:rPr>
              <w:t>万股（每股面值</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元），每股发行价格为</w:t>
            </w:r>
            <w:r>
              <w:rPr>
                <w:rFonts w:ascii="宋体" w:hAnsi="宋体" w:cs="宋体" w:eastAsia="宋体" w:hint="default"/>
                <w:spacing w:val="-48"/>
                <w:sz w:val="18"/>
                <w:szCs w:val="18"/>
              </w:rPr>
              <w:t> </w:t>
            </w:r>
            <w:r>
              <w:rPr>
                <w:rFonts w:ascii="Arial" w:hAnsi="Arial" w:cs="Arial" w:eastAsia="Arial" w:hint="default"/>
                <w:sz w:val="18"/>
                <w:szCs w:val="18"/>
              </w:rPr>
              <w:t>30.80</w:t>
            </w:r>
            <w:r>
              <w:rPr>
                <w:rFonts w:ascii="Arial" w:hAnsi="Arial" w:cs="Arial" w:eastAsia="Arial" w:hint="default"/>
                <w:spacing w:val="-7"/>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Arial" w:hAnsi="Arial" w:cs="Arial" w:eastAsia="Arial" w:hint="default"/>
                <w:spacing w:val="-3"/>
                <w:sz w:val="18"/>
                <w:szCs w:val="18"/>
              </w:rPr>
              <w:t>2011</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10"/>
                <w:sz w:val="18"/>
                <w:szCs w:val="18"/>
              </w:rPr>
              <w:t> </w:t>
            </w:r>
            <w:r>
              <w:rPr>
                <w:rFonts w:ascii="宋体" w:hAnsi="宋体" w:cs="宋体" w:eastAsia="宋体" w:hint="default"/>
                <w:sz w:val="18"/>
                <w:szCs w:val="18"/>
              </w:rPr>
              <w:t>日，本公司共募集资金</w:t>
            </w:r>
            <w:r>
              <w:rPr>
                <w:rFonts w:ascii="宋体" w:hAnsi="宋体" w:cs="宋体" w:eastAsia="宋体" w:hint="default"/>
                <w:spacing w:val="-48"/>
                <w:sz w:val="18"/>
                <w:szCs w:val="18"/>
              </w:rPr>
              <w:t> </w:t>
            </w:r>
            <w:r>
              <w:rPr>
                <w:rFonts w:ascii="Arial" w:hAnsi="Arial" w:cs="Arial" w:eastAsia="Arial" w:hint="default"/>
                <w:sz w:val="18"/>
                <w:szCs w:val="18"/>
              </w:rPr>
              <w:t>52,880.00</w:t>
            </w:r>
            <w:r>
              <w:rPr>
                <w:rFonts w:ascii="Arial" w:hAnsi="Arial" w:cs="Arial" w:eastAsia="Arial" w:hint="default"/>
                <w:spacing w:val="-7"/>
                <w:sz w:val="18"/>
                <w:szCs w:val="18"/>
              </w:rPr>
              <w:t> </w:t>
            </w:r>
            <w:r>
              <w:rPr>
                <w:rFonts w:ascii="宋体" w:hAnsi="宋体" w:cs="宋体" w:eastAsia="宋体" w:hint="default"/>
                <w:sz w:val="18"/>
                <w:szCs w:val="18"/>
              </w:rPr>
              <w:t>万元（已扣除券商</w:t>
            </w:r>
          </w:p>
          <w:p>
            <w:pPr>
              <w:pStyle w:val="TableParagraph"/>
              <w:spacing w:line="240" w:lineRule="auto" w:before="11"/>
              <w:ind w:left="103" w:right="0"/>
              <w:jc w:val="left"/>
              <w:rPr>
                <w:rFonts w:ascii="Arial" w:hAnsi="Arial" w:cs="Arial" w:eastAsia="Arial" w:hint="default"/>
                <w:sz w:val="18"/>
                <w:szCs w:val="18"/>
              </w:rPr>
            </w:pPr>
            <w:r>
              <w:rPr>
                <w:rFonts w:ascii="宋体" w:hAnsi="宋体" w:cs="宋体" w:eastAsia="宋体" w:hint="default"/>
                <w:sz w:val="18"/>
                <w:szCs w:val="18"/>
              </w:rPr>
              <w:t>费用</w:t>
            </w:r>
            <w:r>
              <w:rPr>
                <w:rFonts w:ascii="宋体" w:hAnsi="宋体" w:cs="宋体" w:eastAsia="宋体" w:hint="default"/>
                <w:spacing w:val="-46"/>
                <w:sz w:val="18"/>
                <w:szCs w:val="18"/>
              </w:rPr>
              <w:t> </w:t>
            </w:r>
            <w:r>
              <w:rPr>
                <w:rFonts w:ascii="Arial" w:hAnsi="Arial" w:cs="Arial" w:eastAsia="Arial" w:hint="default"/>
                <w:sz w:val="18"/>
                <w:szCs w:val="18"/>
              </w:rPr>
              <w:t>4100.00</w:t>
            </w:r>
            <w:r>
              <w:rPr>
                <w:rFonts w:ascii="Arial" w:hAnsi="Arial" w:cs="Arial" w:eastAsia="Arial" w:hint="default"/>
                <w:spacing w:val="-10"/>
                <w:sz w:val="18"/>
                <w:szCs w:val="18"/>
              </w:rPr>
              <w:t>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Arial" w:hAnsi="Arial" w:cs="Arial" w:eastAsia="Arial" w:hint="default"/>
                <w:sz w:val="18"/>
                <w:szCs w:val="18"/>
              </w:rPr>
              <w:t>1,398.82</w:t>
            </w:r>
            <w:r>
              <w:rPr>
                <w:rFonts w:ascii="Arial" w:hAnsi="Arial" w:cs="Arial" w:eastAsia="Arial" w:hint="default"/>
                <w:spacing w:val="-8"/>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6"/>
                <w:sz w:val="18"/>
                <w:szCs w:val="18"/>
              </w:rPr>
              <w:t> </w:t>
            </w:r>
            <w:r>
              <w:rPr>
                <w:rFonts w:ascii="Arial" w:hAnsi="Arial" w:cs="Arial" w:eastAsia="Arial" w:hint="default"/>
                <w:sz w:val="18"/>
                <w:szCs w:val="18"/>
              </w:rPr>
              <w:t>51,481.18</w:t>
            </w:r>
            <w:r>
              <w:rPr>
                <w:rFonts w:ascii="Arial" w:hAnsi="Arial" w:cs="Arial" w:eastAsia="Arial" w:hint="default"/>
                <w:spacing w:val="-8"/>
                <w:sz w:val="18"/>
                <w:szCs w:val="18"/>
              </w:rPr>
              <w:t> </w:t>
            </w:r>
            <w:r>
              <w:rPr>
                <w:rFonts w:ascii="宋体" w:hAnsi="宋体" w:cs="宋体" w:eastAsia="宋体" w:hint="default"/>
                <w:sz w:val="18"/>
                <w:szCs w:val="18"/>
              </w:rPr>
              <w:t>万元。该募集资金到位情况已经兴华会计师事务所有限责任公司审验，并于</w:t>
            </w:r>
            <w:r>
              <w:rPr>
                <w:rFonts w:ascii="宋体" w:hAnsi="宋体" w:cs="宋体" w:eastAsia="宋体" w:hint="default"/>
                <w:spacing w:val="-46"/>
                <w:sz w:val="18"/>
                <w:szCs w:val="18"/>
              </w:rPr>
              <w:t> </w:t>
            </w:r>
            <w:r>
              <w:rPr>
                <w:rFonts w:ascii="Arial" w:hAnsi="Arial" w:cs="Arial" w:eastAsia="Arial" w:hint="default"/>
                <w:spacing w:val="-3"/>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pacing w:val="-3"/>
                <w:sz w:val="18"/>
                <w:szCs w:val="18"/>
              </w:rPr>
              <w:t>日出具了（</w:t>
            </w:r>
            <w:r>
              <w:rPr>
                <w:rFonts w:ascii="Arial" w:hAnsi="Arial" w:cs="Arial" w:eastAsia="Arial" w:hint="default"/>
                <w:spacing w:val="-3"/>
                <w:sz w:val="18"/>
                <w:szCs w:val="18"/>
              </w:rPr>
              <w:t>2011</w:t>
            </w:r>
            <w:r>
              <w:rPr>
                <w:rFonts w:ascii="宋体" w:hAnsi="宋体" w:cs="宋体" w:eastAsia="宋体" w:hint="default"/>
                <w:spacing w:val="-3"/>
                <w:sz w:val="18"/>
                <w:szCs w:val="18"/>
              </w:rPr>
              <w:t>）京会兴（验）字第</w:t>
            </w:r>
            <w:r>
              <w:rPr>
                <w:rFonts w:ascii="宋体" w:hAnsi="宋体" w:cs="宋体" w:eastAsia="宋体" w:hint="default"/>
                <w:spacing w:val="-47"/>
                <w:sz w:val="18"/>
                <w:szCs w:val="18"/>
              </w:rPr>
              <w:t> </w:t>
            </w:r>
            <w:r>
              <w:rPr>
                <w:rFonts w:ascii="Arial" w:hAnsi="Arial" w:cs="Arial" w:eastAsia="Arial" w:hint="default"/>
                <w:sz w:val="18"/>
                <w:szCs w:val="18"/>
              </w:rPr>
              <w:t>7-017</w:t>
            </w:r>
            <w:r>
              <w:rPr>
                <w:rFonts w:ascii="Arial" w:hAnsi="Arial" w:cs="Arial" w:eastAsia="Arial" w:hint="default"/>
                <w:spacing w:val="35"/>
                <w:sz w:val="18"/>
                <w:szCs w:val="18"/>
              </w:rPr>
              <w:t> </w:t>
            </w:r>
            <w:r>
              <w:rPr>
                <w:rFonts w:ascii="宋体" w:hAnsi="宋体" w:cs="宋体" w:eastAsia="宋体" w:hint="default"/>
                <w:sz w:val="18"/>
                <w:szCs w:val="18"/>
              </w:rPr>
              <w:t>号《验资报告》。截至</w:t>
            </w:r>
            <w:r>
              <w:rPr>
                <w:rFonts w:ascii="宋体" w:hAnsi="宋体" w:cs="宋体" w:eastAsia="宋体" w:hint="default"/>
                <w:spacing w:val="-49"/>
                <w:sz w:val="18"/>
                <w:szCs w:val="18"/>
              </w:rPr>
              <w:t> </w:t>
            </w:r>
            <w:r>
              <w:rPr>
                <w:rFonts w:ascii="Arial" w:hAnsi="Arial" w:cs="Arial" w:eastAsia="Arial" w:hint="default"/>
                <w:sz w:val="18"/>
                <w:szCs w:val="18"/>
              </w:rPr>
              <w:t>2016</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7"/>
                <w:sz w:val="18"/>
                <w:szCs w:val="18"/>
              </w:rPr>
              <w:t> </w:t>
            </w:r>
            <w:r>
              <w:rPr>
                <w:rFonts w:ascii="Arial" w:hAnsi="Arial" w:cs="Arial" w:eastAsia="Arial" w:hint="default"/>
                <w:sz w:val="18"/>
                <w:szCs w:val="18"/>
              </w:rPr>
              <w:t>53,638.72</w:t>
            </w:r>
            <w:r>
              <w:rPr>
                <w:rFonts w:ascii="Arial" w:hAnsi="Arial" w:cs="Arial" w:eastAsia="Arial" w:hint="default"/>
                <w:spacing w:val="-6"/>
                <w:sz w:val="18"/>
                <w:szCs w:val="18"/>
              </w:rPr>
              <w:t> </w:t>
            </w:r>
            <w:r>
              <w:rPr>
                <w:rFonts w:ascii="宋体" w:hAnsi="宋体" w:cs="宋体" w:eastAsia="宋体" w:hint="default"/>
                <w:sz w:val="18"/>
                <w:szCs w:val="18"/>
              </w:rPr>
              <w:t>万元，超出募集资金的</w:t>
            </w:r>
            <w:r>
              <w:rPr>
                <w:rFonts w:ascii="宋体" w:hAnsi="宋体" w:cs="宋体" w:eastAsia="宋体" w:hint="default"/>
                <w:spacing w:val="-49"/>
                <w:sz w:val="18"/>
                <w:szCs w:val="18"/>
              </w:rPr>
              <w:t> </w:t>
            </w:r>
            <w:r>
              <w:rPr>
                <w:rFonts w:ascii="Arial" w:hAnsi="Arial" w:cs="Arial" w:eastAsia="Arial" w:hint="default"/>
                <w:sz w:val="18"/>
                <w:szCs w:val="18"/>
              </w:rPr>
              <w:t>2,157.54</w:t>
            </w:r>
            <w:r>
              <w:rPr>
                <w:rFonts w:ascii="Arial" w:hAnsi="Arial" w:cs="Arial" w:eastAsia="Arial" w:hint="default"/>
                <w:spacing w:val="-9"/>
                <w:sz w:val="18"/>
                <w:szCs w:val="18"/>
              </w:rPr>
              <w:t> </w:t>
            </w:r>
            <w:r>
              <w:rPr>
                <w:rFonts w:ascii="宋体" w:hAnsi="宋体" w:cs="宋体" w:eastAsia="宋体" w:hint="default"/>
                <w:sz w:val="18"/>
                <w:szCs w:val="18"/>
              </w:rPr>
              <w:t>万元为募集资 金所产生的利息（扣除银行手续费），该次募集资金已全部使用完毕。</w:t>
            </w:r>
          </w:p>
          <w:p>
            <w:pPr>
              <w:pStyle w:val="TableParagraph"/>
              <w:spacing w:line="302" w:lineRule="auto" w:before="70"/>
              <w:ind w:left="103" w:right="101"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、经中国证券监督管理委员会《关于核准北京华宇软件股份有限公司向任刚等发行股份购买资产并募集配套资金的批复》（证监许可〔</w:t>
            </w:r>
            <w:r>
              <w:rPr>
                <w:rFonts w:ascii="Arial" w:hAnsi="Arial" w:cs="Arial" w:eastAsia="Arial" w:hint="default"/>
                <w:sz w:val="18"/>
                <w:szCs w:val="18"/>
              </w:rPr>
              <w:t>2017</w:t>
            </w:r>
            <w:r>
              <w:rPr>
                <w:rFonts w:ascii="宋体" w:hAnsi="宋体" w:cs="宋体" w:eastAsia="宋体" w:hint="default"/>
                <w:sz w:val="18"/>
                <w:szCs w:val="18"/>
              </w:rPr>
              <w:t>〕</w:t>
            </w:r>
            <w:r>
              <w:rPr>
                <w:rFonts w:ascii="Arial" w:hAnsi="Arial" w:cs="Arial" w:eastAsia="Arial" w:hint="default"/>
                <w:sz w:val="18"/>
                <w:szCs w:val="18"/>
              </w:rPr>
              <w:t>1395</w:t>
            </w:r>
            <w:r>
              <w:rPr>
                <w:rFonts w:ascii="Arial" w:hAnsi="Arial" w:cs="Arial" w:eastAsia="Arial" w:hint="default"/>
                <w:spacing w:val="-9"/>
                <w:sz w:val="18"/>
                <w:szCs w:val="18"/>
              </w:rPr>
              <w:t> </w:t>
            </w:r>
            <w:r>
              <w:rPr>
                <w:rFonts w:ascii="宋体" w:hAnsi="宋体" w:cs="宋体" w:eastAsia="宋体" w:hint="default"/>
                <w:sz w:val="18"/>
                <w:szCs w:val="18"/>
              </w:rPr>
              <w:t>号）文件核准，并经深 圳证券交易所同意，公司非公开发行新股募集本次发行股份购买资产的配套资金，确认募集资金不超过</w:t>
            </w:r>
            <w:r>
              <w:rPr>
                <w:rFonts w:ascii="宋体" w:hAnsi="宋体" w:cs="宋体" w:eastAsia="宋体" w:hint="default"/>
                <w:spacing w:val="-51"/>
                <w:sz w:val="18"/>
                <w:szCs w:val="18"/>
              </w:rPr>
              <w:t> </w:t>
            </w:r>
            <w:r>
              <w:rPr>
                <w:rFonts w:ascii="Arial" w:hAnsi="Arial" w:cs="Arial" w:eastAsia="Arial" w:hint="default"/>
                <w:sz w:val="18"/>
                <w:szCs w:val="18"/>
              </w:rPr>
              <w:t>49,000.00</w:t>
            </w:r>
            <w:r>
              <w:rPr>
                <w:rFonts w:ascii="Arial" w:hAnsi="Arial" w:cs="Arial" w:eastAsia="Arial" w:hint="default"/>
                <w:spacing w:val="-11"/>
                <w:sz w:val="18"/>
                <w:szCs w:val="18"/>
              </w:rPr>
              <w:t> </w:t>
            </w:r>
            <w:r>
              <w:rPr>
                <w:rFonts w:ascii="宋体" w:hAnsi="宋体" w:cs="宋体" w:eastAsia="宋体" w:hint="default"/>
                <w:spacing w:val="-3"/>
                <w:sz w:val="18"/>
                <w:szCs w:val="18"/>
              </w:rPr>
              <w:t>万元，公司于</w:t>
            </w:r>
            <w:r>
              <w:rPr>
                <w:rFonts w:ascii="宋体" w:hAnsi="宋体" w:cs="宋体" w:eastAsia="宋体" w:hint="default"/>
                <w:spacing w:val="-51"/>
                <w:sz w:val="18"/>
                <w:szCs w:val="18"/>
              </w:rPr>
              <w:t> </w:t>
            </w:r>
            <w:r>
              <w:rPr>
                <w:rFonts w:ascii="Arial" w:hAnsi="Arial" w:cs="Arial" w:eastAsia="Arial" w:hint="default"/>
                <w:sz w:val="18"/>
                <w:szCs w:val="18"/>
              </w:rPr>
              <w:t>2017</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9</w:t>
            </w:r>
            <w:r>
              <w:rPr>
                <w:rFonts w:ascii="Arial" w:hAnsi="Arial" w:cs="Arial" w:eastAsia="Arial" w:hint="default"/>
                <w:spacing w:val="-11"/>
                <w:sz w:val="18"/>
                <w:szCs w:val="18"/>
              </w:rPr>
              <w:t> </w:t>
            </w:r>
            <w:r>
              <w:rPr>
                <w:rFonts w:ascii="宋体" w:hAnsi="宋体" w:cs="宋体" w:eastAsia="宋体" w:hint="default"/>
                <w:sz w:val="18"/>
                <w:szCs w:val="18"/>
              </w:rPr>
              <w:t>月委托主承销商华泰联合证券有限责任</w:t>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公司（以下简称</w:t>
            </w:r>
            <w:r>
              <w:rPr>
                <w:rFonts w:ascii="Arial" w:hAnsi="Arial" w:cs="Arial" w:eastAsia="Arial" w:hint="default"/>
                <w:sz w:val="18"/>
                <w:szCs w:val="18"/>
              </w:rPr>
              <w:t>"</w:t>
            </w:r>
            <w:r>
              <w:rPr>
                <w:rFonts w:ascii="宋体" w:hAnsi="宋体" w:cs="宋体" w:eastAsia="宋体" w:hint="default"/>
                <w:sz w:val="18"/>
                <w:szCs w:val="18"/>
              </w:rPr>
              <w:t>华泰联合证券</w:t>
            </w:r>
            <w:r>
              <w:rPr>
                <w:rFonts w:ascii="Arial" w:hAnsi="Arial" w:cs="Arial" w:eastAsia="Arial" w:hint="default"/>
                <w:sz w:val="18"/>
                <w:szCs w:val="18"/>
              </w:rPr>
              <w:t>"</w:t>
            </w:r>
            <w:r>
              <w:rPr>
                <w:rFonts w:ascii="宋体" w:hAnsi="宋体" w:cs="宋体" w:eastAsia="宋体" w:hint="default"/>
                <w:sz w:val="18"/>
                <w:szCs w:val="18"/>
              </w:rPr>
              <w:t>）非公开发行数量</w:t>
            </w:r>
            <w:r>
              <w:rPr>
                <w:rFonts w:ascii="宋体" w:hAnsi="宋体" w:cs="宋体" w:eastAsia="宋体" w:hint="default"/>
                <w:spacing w:val="-47"/>
                <w:sz w:val="18"/>
                <w:szCs w:val="18"/>
              </w:rPr>
              <w:t> </w:t>
            </w:r>
            <w:r>
              <w:rPr>
                <w:rFonts w:ascii="Arial" w:hAnsi="Arial" w:cs="Arial" w:eastAsia="Arial" w:hint="default"/>
                <w:sz w:val="18"/>
                <w:szCs w:val="18"/>
              </w:rPr>
              <w:t>3,109.00</w:t>
            </w:r>
            <w:r>
              <w:rPr>
                <w:rFonts w:ascii="Arial" w:hAnsi="Arial" w:cs="Arial" w:eastAsia="Arial" w:hint="default"/>
                <w:spacing w:val="-9"/>
                <w:sz w:val="18"/>
                <w:szCs w:val="18"/>
              </w:rPr>
              <w:t> </w:t>
            </w:r>
            <w:r>
              <w:rPr>
                <w:rFonts w:ascii="宋体" w:hAnsi="宋体" w:cs="宋体" w:eastAsia="宋体" w:hint="default"/>
                <w:sz w:val="18"/>
                <w:szCs w:val="18"/>
              </w:rPr>
              <w:t>万股股份，每股面值</w:t>
            </w:r>
            <w:r>
              <w:rPr>
                <w:rFonts w:ascii="宋体" w:hAnsi="宋体" w:cs="宋体" w:eastAsia="宋体" w:hint="default"/>
                <w:spacing w:val="-47"/>
                <w:sz w:val="18"/>
                <w:szCs w:val="18"/>
              </w:rPr>
              <w:t> </w:t>
            </w:r>
            <w:r>
              <w:rPr>
                <w:rFonts w:ascii="Arial" w:hAnsi="Arial" w:cs="Arial" w:eastAsia="Arial" w:hint="default"/>
                <w:sz w:val="18"/>
                <w:szCs w:val="18"/>
              </w:rPr>
              <w:t>1.00</w:t>
            </w:r>
            <w:r>
              <w:rPr>
                <w:rFonts w:ascii="Arial" w:hAnsi="Arial" w:cs="Arial" w:eastAsia="Arial" w:hint="default"/>
                <w:spacing w:val="-9"/>
                <w:sz w:val="18"/>
                <w:szCs w:val="18"/>
              </w:rPr>
              <w:t> </w:t>
            </w:r>
            <w:r>
              <w:rPr>
                <w:rFonts w:ascii="宋体" w:hAnsi="宋体" w:cs="宋体" w:eastAsia="宋体" w:hint="default"/>
                <w:sz w:val="18"/>
                <w:szCs w:val="18"/>
              </w:rPr>
              <w:t>元，发行价格</w:t>
            </w:r>
            <w:r>
              <w:rPr>
                <w:rFonts w:ascii="宋体" w:hAnsi="宋体" w:cs="宋体" w:eastAsia="宋体" w:hint="default"/>
                <w:spacing w:val="-47"/>
                <w:sz w:val="18"/>
                <w:szCs w:val="18"/>
              </w:rPr>
              <w:t> </w:t>
            </w:r>
            <w:r>
              <w:rPr>
                <w:rFonts w:ascii="Arial" w:hAnsi="Arial" w:cs="Arial" w:eastAsia="Arial" w:hint="default"/>
                <w:sz w:val="18"/>
                <w:szCs w:val="18"/>
              </w:rPr>
              <w:t>15.76</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股，扣除财务顾问费及承销费用</w:t>
            </w:r>
            <w:r>
              <w:rPr>
                <w:rFonts w:ascii="宋体" w:hAnsi="宋体" w:cs="宋体" w:eastAsia="宋体" w:hint="default"/>
                <w:spacing w:val="-47"/>
                <w:sz w:val="18"/>
                <w:szCs w:val="18"/>
              </w:rPr>
              <w:t> </w:t>
            </w:r>
            <w:r>
              <w:rPr>
                <w:rFonts w:ascii="Arial" w:hAnsi="Arial" w:cs="Arial" w:eastAsia="Arial" w:hint="default"/>
                <w:sz w:val="18"/>
                <w:szCs w:val="18"/>
              </w:rPr>
              <w:t>1,000.00</w:t>
            </w:r>
            <w:r>
              <w:rPr>
                <w:rFonts w:ascii="Arial" w:hAnsi="Arial" w:cs="Arial" w:eastAsia="Arial" w:hint="default"/>
                <w:spacing w:val="-11"/>
                <w:sz w:val="18"/>
                <w:szCs w:val="18"/>
              </w:rPr>
              <w:t> </w:t>
            </w:r>
            <w:r>
              <w:rPr>
                <w:rFonts w:ascii="宋体" w:hAnsi="宋体" w:cs="宋体" w:eastAsia="宋体" w:hint="default"/>
                <w:sz w:val="18"/>
                <w:szCs w:val="18"/>
              </w:rPr>
              <w:t>万元后，实际收到募集资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金净额为人民币</w:t>
            </w:r>
            <w:r>
              <w:rPr>
                <w:rFonts w:ascii="宋体" w:hAnsi="宋体" w:cs="宋体" w:eastAsia="宋体" w:hint="default"/>
                <w:spacing w:val="-46"/>
                <w:sz w:val="18"/>
                <w:szCs w:val="18"/>
              </w:rPr>
              <w:t> </w:t>
            </w:r>
            <w:r>
              <w:rPr>
                <w:rFonts w:ascii="Arial" w:hAnsi="Arial" w:cs="Arial" w:eastAsia="Arial" w:hint="default"/>
                <w:sz w:val="18"/>
                <w:szCs w:val="18"/>
              </w:rPr>
              <w:t>48,000.00</w:t>
            </w:r>
            <w:r>
              <w:rPr>
                <w:rFonts w:ascii="Arial" w:hAnsi="Arial" w:cs="Arial" w:eastAsia="Arial" w:hint="default"/>
                <w:spacing w:val="-8"/>
                <w:sz w:val="18"/>
                <w:szCs w:val="18"/>
              </w:rPr>
              <w:t> </w:t>
            </w:r>
            <w:r>
              <w:rPr>
                <w:rFonts w:ascii="宋体" w:hAnsi="宋体" w:cs="宋体" w:eastAsia="宋体" w:hint="default"/>
                <w:sz w:val="18"/>
                <w:szCs w:val="18"/>
              </w:rPr>
              <w:t>万元，该笔资金已由本公司主承销商华泰联合证券于</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日划转至公司指定的本次募集资金专户。上述募集资金净额已经中审华会计师事</w:t>
            </w:r>
          </w:p>
          <w:p>
            <w:pPr>
              <w:pStyle w:val="TableParagraph"/>
              <w:spacing w:line="302" w:lineRule="auto" w:before="63"/>
              <w:ind w:left="103" w:right="152"/>
              <w:jc w:val="left"/>
              <w:rPr>
                <w:rFonts w:ascii="宋体" w:hAnsi="宋体" w:cs="宋体" w:eastAsia="宋体" w:hint="default"/>
                <w:sz w:val="18"/>
                <w:szCs w:val="18"/>
              </w:rPr>
            </w:pPr>
            <w:r>
              <w:rPr>
                <w:rFonts w:ascii="宋体" w:hAnsi="宋体" w:cs="宋体" w:eastAsia="宋体" w:hint="default"/>
                <w:sz w:val="18"/>
                <w:szCs w:val="18"/>
              </w:rPr>
              <w:t>务所（特殊普通合伙）</w:t>
            </w:r>
            <w:r>
              <w:rPr>
                <w:rFonts w:ascii="Arial" w:hAnsi="Arial" w:cs="Arial" w:eastAsia="Arial" w:hint="default"/>
                <w:sz w:val="18"/>
                <w:szCs w:val="18"/>
              </w:rPr>
              <w:t>CAC</w:t>
            </w:r>
            <w:r>
              <w:rPr>
                <w:rFonts w:ascii="Arial" w:hAnsi="Arial" w:cs="Arial" w:eastAsia="Arial" w:hint="default"/>
                <w:spacing w:val="38"/>
                <w:sz w:val="18"/>
                <w:szCs w:val="18"/>
              </w:rPr>
              <w:t> </w:t>
            </w:r>
            <w:r>
              <w:rPr>
                <w:rFonts w:ascii="宋体" w:hAnsi="宋体" w:cs="宋体" w:eastAsia="宋体" w:hint="default"/>
                <w:sz w:val="18"/>
                <w:szCs w:val="18"/>
              </w:rPr>
              <w:t>验字</w:t>
            </w:r>
            <w:r>
              <w:rPr>
                <w:rFonts w:ascii="Arial" w:hAnsi="Arial" w:cs="Arial" w:eastAsia="Arial" w:hint="default"/>
                <w:sz w:val="18"/>
                <w:szCs w:val="18"/>
              </w:rPr>
              <w:t>[2017]0051</w:t>
            </w:r>
            <w:r>
              <w:rPr>
                <w:rFonts w:ascii="Arial" w:hAnsi="Arial" w:cs="Arial" w:eastAsia="Arial" w:hint="default"/>
                <w:spacing w:val="-8"/>
                <w:sz w:val="18"/>
                <w:szCs w:val="18"/>
              </w:rPr>
              <w:t> </w:t>
            </w:r>
            <w:r>
              <w:rPr>
                <w:rFonts w:ascii="宋体" w:hAnsi="宋体" w:cs="宋体" w:eastAsia="宋体" w:hint="default"/>
                <w:sz w:val="18"/>
                <w:szCs w:val="18"/>
              </w:rPr>
              <w:t>号《验资报告》验证。截止</w:t>
            </w:r>
            <w:r>
              <w:rPr>
                <w:rFonts w:ascii="宋体" w:hAnsi="宋体" w:cs="宋体" w:eastAsia="宋体" w:hint="default"/>
                <w:spacing w:val="-48"/>
                <w:sz w:val="18"/>
                <w:szCs w:val="18"/>
              </w:rPr>
              <w:t> </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6"/>
                <w:sz w:val="18"/>
                <w:szCs w:val="18"/>
              </w:rPr>
              <w:t> </w:t>
            </w:r>
            <w:r>
              <w:rPr>
                <w:rFonts w:ascii="Arial" w:hAnsi="Arial" w:cs="Arial" w:eastAsia="Arial" w:hint="default"/>
                <w:sz w:val="18"/>
                <w:szCs w:val="18"/>
              </w:rPr>
              <w:t>48,022.83</w:t>
            </w:r>
            <w:r>
              <w:rPr>
                <w:rFonts w:ascii="Arial" w:hAnsi="Arial" w:cs="Arial" w:eastAsia="Arial" w:hint="default"/>
                <w:spacing w:val="-8"/>
                <w:sz w:val="18"/>
                <w:szCs w:val="18"/>
              </w:rPr>
              <w:t> </w:t>
            </w:r>
            <w:r>
              <w:rPr>
                <w:rFonts w:ascii="宋体" w:hAnsi="宋体" w:cs="宋体" w:eastAsia="宋体" w:hint="default"/>
                <w:sz w:val="18"/>
                <w:szCs w:val="18"/>
              </w:rPr>
              <w:t>万元，超出募集资金的</w:t>
            </w:r>
            <w:r>
              <w:rPr>
                <w:rFonts w:ascii="宋体" w:hAnsi="宋体" w:cs="宋体" w:eastAsia="宋体" w:hint="default"/>
                <w:spacing w:val="-46"/>
                <w:sz w:val="18"/>
                <w:szCs w:val="18"/>
              </w:rPr>
              <w:t> </w:t>
            </w:r>
            <w:r>
              <w:rPr>
                <w:rFonts w:ascii="Arial" w:hAnsi="Arial" w:cs="Arial" w:eastAsia="Arial" w:hint="default"/>
                <w:sz w:val="18"/>
                <w:szCs w:val="18"/>
              </w:rPr>
              <w:t>22.83</w:t>
            </w:r>
            <w:r>
              <w:rPr>
                <w:rFonts w:ascii="Arial" w:hAnsi="Arial" w:cs="Arial" w:eastAsia="Arial" w:hint="default"/>
                <w:spacing w:val="-8"/>
                <w:sz w:val="18"/>
                <w:szCs w:val="18"/>
              </w:rPr>
              <w:t> </w:t>
            </w:r>
            <w:r>
              <w:rPr>
                <w:rFonts w:ascii="宋体" w:hAnsi="宋体" w:cs="宋体" w:eastAsia="宋体" w:hint="default"/>
                <w:sz w:val="18"/>
                <w:szCs w:val="18"/>
              </w:rPr>
              <w:t>万元为募集 资金所产生的利息（扣除银行手续费），该次募集资已全部使用完毕。</w:t>
            </w:r>
          </w:p>
          <w:p>
            <w:pPr>
              <w:pStyle w:val="TableParagraph"/>
              <w:spacing w:line="240" w:lineRule="auto" w:before="68"/>
              <w:ind w:left="46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、经中国证券监督管理委员会《关于核准北京华宇软件股份有限公司非公开发行股票的批复》（证监许可</w:t>
            </w:r>
            <w:r>
              <w:rPr>
                <w:rFonts w:ascii="Arial" w:hAnsi="Arial" w:cs="Arial" w:eastAsia="Arial" w:hint="default"/>
                <w:sz w:val="18"/>
                <w:szCs w:val="18"/>
              </w:rPr>
              <w:t>[2018]2187</w:t>
            </w:r>
            <w:r>
              <w:rPr>
                <w:rFonts w:ascii="Arial" w:hAnsi="Arial" w:cs="Arial" w:eastAsia="Arial" w:hint="default"/>
                <w:spacing w:val="-12"/>
                <w:sz w:val="18"/>
                <w:szCs w:val="18"/>
              </w:rPr>
              <w:t> </w:t>
            </w:r>
            <w:r>
              <w:rPr>
                <w:rFonts w:ascii="宋体" w:hAnsi="宋体" w:cs="宋体" w:eastAsia="宋体" w:hint="default"/>
                <w:sz w:val="18"/>
                <w:szCs w:val="18"/>
              </w:rPr>
              <w:t>号）核准，公司于</w:t>
            </w:r>
            <w:r>
              <w:rPr>
                <w:rFonts w:ascii="宋体" w:hAnsi="宋体" w:cs="宋体" w:eastAsia="宋体" w:hint="default"/>
                <w:spacing w:val="-51"/>
                <w:sz w:val="18"/>
                <w:szCs w:val="18"/>
              </w:rPr>
              <w:t> </w:t>
            </w: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月非公开发行人民币普通</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Arial" w:hAnsi="Arial" w:cs="Arial" w:eastAsia="Arial" w:hint="default"/>
                <w:sz w:val="18"/>
                <w:szCs w:val="18"/>
              </w:rPr>
              <w:t>55,938,493</w:t>
            </w:r>
            <w:r>
              <w:rPr>
                <w:rFonts w:ascii="Arial" w:hAnsi="Arial" w:cs="Arial" w:eastAsia="Arial" w:hint="default"/>
                <w:spacing w:val="-12"/>
                <w:sz w:val="18"/>
                <w:szCs w:val="18"/>
              </w:rPr>
              <w:t> </w:t>
            </w:r>
            <w:r>
              <w:rPr>
                <w:rFonts w:ascii="宋体" w:hAnsi="宋体" w:cs="宋体" w:eastAsia="宋体" w:hint="default"/>
                <w:sz w:val="18"/>
                <w:szCs w:val="18"/>
              </w:rPr>
              <w:t>股，每股面值人民币</w:t>
            </w:r>
            <w:r>
              <w:rPr>
                <w:rFonts w:ascii="宋体" w:hAnsi="宋体" w:cs="宋体" w:eastAsia="宋体" w:hint="default"/>
                <w:spacing w:val="-49"/>
                <w:sz w:val="18"/>
                <w:szCs w:val="18"/>
              </w:rPr>
              <w:t> </w:t>
            </w:r>
            <w:r>
              <w:rPr>
                <w:rFonts w:ascii="Arial" w:hAnsi="Arial" w:cs="Arial" w:eastAsia="Arial" w:hint="default"/>
                <w:sz w:val="18"/>
                <w:szCs w:val="18"/>
              </w:rPr>
              <w:t>1.00</w:t>
            </w:r>
            <w:r>
              <w:rPr>
                <w:rFonts w:ascii="Arial" w:hAnsi="Arial" w:cs="Arial" w:eastAsia="Arial" w:hint="default"/>
                <w:spacing w:val="-11"/>
                <w:sz w:val="18"/>
                <w:szCs w:val="18"/>
              </w:rPr>
              <w:t> </w:t>
            </w:r>
            <w:r>
              <w:rPr>
                <w:rFonts w:ascii="宋体" w:hAnsi="宋体" w:cs="宋体" w:eastAsia="宋体" w:hint="default"/>
                <w:sz w:val="18"/>
                <w:szCs w:val="18"/>
              </w:rPr>
              <w:t>元，发行价格为</w:t>
            </w:r>
            <w:r>
              <w:rPr>
                <w:rFonts w:ascii="宋体" w:hAnsi="宋体" w:cs="宋体" w:eastAsia="宋体" w:hint="default"/>
                <w:spacing w:val="-49"/>
                <w:sz w:val="18"/>
                <w:szCs w:val="18"/>
              </w:rPr>
              <w:t> </w:t>
            </w:r>
            <w:r>
              <w:rPr>
                <w:rFonts w:ascii="Arial" w:hAnsi="Arial" w:cs="Arial" w:eastAsia="Arial" w:hint="default"/>
                <w:sz w:val="18"/>
                <w:szCs w:val="18"/>
              </w:rPr>
              <w:t>18.86</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9"/>
                <w:sz w:val="18"/>
                <w:szCs w:val="18"/>
              </w:rPr>
              <w:t> </w:t>
            </w:r>
            <w:r>
              <w:rPr>
                <w:rFonts w:ascii="Arial" w:hAnsi="Arial" w:cs="Arial" w:eastAsia="Arial" w:hint="default"/>
                <w:sz w:val="18"/>
                <w:szCs w:val="18"/>
              </w:rPr>
              <w:t>105,500.00</w:t>
            </w:r>
            <w:r>
              <w:rPr>
                <w:rFonts w:ascii="Arial" w:hAnsi="Arial" w:cs="Arial" w:eastAsia="Arial" w:hint="default"/>
                <w:spacing w:val="-11"/>
                <w:sz w:val="18"/>
                <w:szCs w:val="18"/>
              </w:rPr>
              <w:t> </w:t>
            </w:r>
            <w:r>
              <w:rPr>
                <w:rFonts w:ascii="宋体" w:hAnsi="宋体" w:cs="宋体" w:eastAsia="宋体" w:hint="default"/>
                <w:sz w:val="18"/>
                <w:szCs w:val="18"/>
              </w:rPr>
              <w:t>万元，扣除与发行有关的承销费及保荐费、验资费等费用</w:t>
            </w:r>
            <w:r>
              <w:rPr>
                <w:rFonts w:ascii="宋体" w:hAnsi="宋体" w:cs="宋体" w:eastAsia="宋体" w:hint="default"/>
                <w:spacing w:val="-49"/>
                <w:sz w:val="18"/>
                <w:szCs w:val="18"/>
              </w:rPr>
              <w:t> </w:t>
            </w:r>
            <w:r>
              <w:rPr>
                <w:rFonts w:ascii="Arial" w:hAnsi="Arial" w:cs="Arial" w:eastAsia="Arial" w:hint="default"/>
                <w:sz w:val="18"/>
                <w:szCs w:val="18"/>
              </w:rPr>
              <w:t>1,218.7</w:t>
            </w:r>
            <w:r>
              <w:rPr>
                <w:rFonts w:ascii="Arial" w:hAnsi="Arial" w:cs="Arial" w:eastAsia="Arial" w:hint="default"/>
                <w:spacing w:val="-11"/>
                <w:sz w:val="18"/>
                <w:szCs w:val="18"/>
              </w:rPr>
              <w:t> </w:t>
            </w:r>
            <w:r>
              <w:rPr>
                <w:rFonts w:ascii="宋体" w:hAnsi="宋体" w:cs="宋体" w:eastAsia="宋体" w:hint="default"/>
                <w:sz w:val="18"/>
                <w:szCs w:val="18"/>
              </w:rPr>
              <w:t>万元 后，实际募集资金净额为</w:t>
            </w:r>
            <w:r>
              <w:rPr>
                <w:rFonts w:ascii="宋体" w:hAnsi="宋体" w:cs="宋体" w:eastAsia="宋体" w:hint="default"/>
                <w:spacing w:val="-49"/>
                <w:sz w:val="18"/>
                <w:szCs w:val="18"/>
              </w:rPr>
              <w:t> </w:t>
            </w:r>
            <w:r>
              <w:rPr>
                <w:rFonts w:ascii="Arial" w:hAnsi="Arial" w:cs="Arial" w:eastAsia="Arial" w:hint="default"/>
                <w:sz w:val="18"/>
                <w:szCs w:val="18"/>
              </w:rPr>
              <w:t>104,281.30</w:t>
            </w:r>
            <w:r>
              <w:rPr>
                <w:rFonts w:ascii="Arial" w:hAnsi="Arial" w:cs="Arial" w:eastAsia="Arial" w:hint="default"/>
                <w:spacing w:val="-12"/>
                <w:sz w:val="18"/>
                <w:szCs w:val="18"/>
              </w:rPr>
              <w:t> </w:t>
            </w:r>
            <w:r>
              <w:rPr>
                <w:rFonts w:ascii="宋体" w:hAnsi="宋体" w:cs="宋体" w:eastAsia="宋体" w:hint="default"/>
                <w:sz w:val="18"/>
                <w:szCs w:val="18"/>
              </w:rPr>
              <w:t>万元。上述募集资金已经大华会计师事务所（特殊普通合伙）大华验字</w:t>
            </w:r>
            <w:r>
              <w:rPr>
                <w:rFonts w:ascii="Arial" w:hAnsi="Arial" w:cs="Arial" w:eastAsia="Arial" w:hint="default"/>
                <w:sz w:val="18"/>
                <w:szCs w:val="18"/>
              </w:rPr>
              <w:t>[2019]000124</w:t>
            </w:r>
            <w:r>
              <w:rPr>
                <w:rFonts w:ascii="Arial" w:hAnsi="Arial" w:cs="Arial" w:eastAsia="Arial" w:hint="default"/>
                <w:spacing w:val="-10"/>
                <w:sz w:val="18"/>
                <w:szCs w:val="18"/>
              </w:rPr>
              <w:t> </w:t>
            </w:r>
            <w:r>
              <w:rPr>
                <w:rFonts w:ascii="宋体" w:hAnsi="宋体" w:cs="宋体" w:eastAsia="宋体" w:hint="default"/>
                <w:sz w:val="18"/>
                <w:szCs w:val="18"/>
              </w:rPr>
              <w:t>号《验资报告》验证。</w:t>
            </w:r>
          </w:p>
        </w:tc>
      </w:tr>
    </w:tbl>
    <w:p>
      <w:pPr>
        <w:spacing w:line="240" w:lineRule="auto" w:before="4"/>
        <w:rPr>
          <w:rFonts w:ascii="宋体" w:hAnsi="宋体" w:cs="宋体" w:eastAsia="宋体" w:hint="default"/>
          <w:sz w:val="19"/>
          <w:szCs w:val="19"/>
        </w:rPr>
      </w:pPr>
    </w:p>
    <w:p>
      <w:pPr>
        <w:pStyle w:val="Heading4"/>
        <w:spacing w:line="240" w:lineRule="auto"/>
        <w:ind w:left="220" w:right="0"/>
        <w:jc w:val="left"/>
        <w:rPr>
          <w:b w:val="0"/>
          <w:bCs w:val="0"/>
        </w:rPr>
      </w:pPr>
      <w:bookmarkStart w:name="（2）募集资金承诺项目情况" w:id="49"/>
      <w:bookmarkEnd w:id="49"/>
      <w:r>
        <w:rPr>
          <w:b w:val="0"/>
          <w:bCs w:val="0"/>
        </w:rPr>
      </w:r>
      <w:r>
        <w:rPr/>
        <w:t>（</w:t>
      </w:r>
      <w:r>
        <w:rPr>
          <w:rFonts w:ascii="Arial" w:hAnsi="Arial" w:cs="Arial" w:eastAsia="Arial" w:hint="default"/>
        </w:rPr>
        <w:t>2</w:t>
      </w:r>
      <w:r>
        <w:rPr/>
        <w:t>）募集资金承诺项目情况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220" w:right="0"/>
        <w:jc w:val="left"/>
      </w:pPr>
      <w:r>
        <w:rPr>
          <w:rFonts w:ascii="Arial" w:hAnsi="Arial" w:cs="Arial" w:eastAsia="Arial" w:hint="default"/>
        </w:rPr>
        <w:t>√  </w:t>
      </w:r>
      <w:r>
        <w:rPr/>
        <w:t>适用 □</w:t>
      </w:r>
      <w:r>
        <w:rPr>
          <w:spacing w:val="-14"/>
        </w:rPr>
        <w:t> </w:t>
      </w:r>
      <w:r>
        <w:rPr/>
        <w:t>不适用</w:t>
      </w:r>
    </w:p>
    <w:p>
      <w:pPr>
        <w:spacing w:after="0" w:line="240" w:lineRule="auto"/>
        <w:jc w:val="left"/>
        <w:sectPr>
          <w:pgSz w:w="16840" w:h="11910" w:orient="landscape"/>
          <w:pgMar w:header="868" w:footer="1016" w:top="1060" w:bottom="1200" w:left="1220" w:right="1220"/>
        </w:sectPr>
      </w:pPr>
    </w:p>
    <w:p>
      <w:pPr>
        <w:spacing w:line="240" w:lineRule="auto" w:before="10"/>
        <w:rPr>
          <w:rFonts w:ascii="宋体" w:hAnsi="宋体" w:cs="宋体" w:eastAsia="宋体" w:hint="default"/>
          <w:sz w:val="2"/>
          <w:szCs w:val="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spacing w:before="20"/>
        <w:ind w:left="0" w:right="21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412"/>
        <w:gridCol w:w="1141"/>
        <w:gridCol w:w="1176"/>
        <w:gridCol w:w="1125"/>
        <w:gridCol w:w="1068"/>
        <w:gridCol w:w="1105"/>
        <w:gridCol w:w="1028"/>
        <w:gridCol w:w="1159"/>
        <w:gridCol w:w="1079"/>
        <w:gridCol w:w="1023"/>
        <w:gridCol w:w="850"/>
        <w:gridCol w:w="997"/>
      </w:tblGrid>
      <w:tr>
        <w:trPr>
          <w:trHeight w:val="1338"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11" w:right="120" w:hanging="992"/>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175" w:right="114" w:hanging="60"/>
              <w:jc w:val="both"/>
              <w:rPr>
                <w:rFonts w:ascii="Arial" w:hAnsi="Arial" w:cs="Arial" w:eastAsia="Arial" w:hint="default"/>
                <w:sz w:val="18"/>
                <w:szCs w:val="18"/>
              </w:rPr>
            </w:pPr>
            <w:r>
              <w:rPr>
                <w:rFonts w:ascii="宋体" w:hAnsi="宋体" w:cs="宋体" w:eastAsia="宋体" w:hint="default"/>
                <w:sz w:val="18"/>
                <w:szCs w:val="18"/>
              </w:rPr>
              <w:t>是否已变更 项目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3" w:right="13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7" w:right="106"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0" w:right="166"/>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6" w:right="186"/>
              <w:jc w:val="both"/>
              <w:rPr>
                <w:rFonts w:ascii="Arial" w:hAnsi="Arial" w:cs="Arial" w:eastAsia="Arial" w:hint="default"/>
                <w:sz w:val="18"/>
                <w:szCs w:val="18"/>
              </w:rPr>
            </w:pPr>
            <w:r>
              <w:rPr>
                <w:rFonts w:ascii="宋体" w:hAnsi="宋体" w:cs="宋体" w:eastAsia="宋体" w:hint="default"/>
                <w:sz w:val="18"/>
                <w:szCs w:val="18"/>
              </w:rPr>
              <w:t>截至期末 累计投入 金额</w:t>
            </w:r>
            <w:r>
              <w:rPr>
                <w:rFonts w:ascii="Arial" w:hAnsi="Arial" w:cs="Arial" w:eastAsia="Arial" w:hint="default"/>
                <w:sz w:val="18"/>
                <w:szCs w:val="18"/>
              </w:rPr>
              <w:t>(2)</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2"/>
              <w:ind w:left="149" w:right="146"/>
              <w:jc w:val="center"/>
              <w:rPr>
                <w:rFonts w:ascii="Arial" w:hAnsi="Arial" w:cs="Arial" w:eastAsia="Arial" w:hint="default"/>
                <w:sz w:val="18"/>
                <w:szCs w:val="18"/>
              </w:rPr>
            </w:pPr>
            <w:r>
              <w:rPr>
                <w:rFonts w:ascii="宋体" w:hAnsi="宋体" w:cs="宋体" w:eastAsia="宋体" w:hint="default"/>
                <w:sz w:val="18"/>
                <w:szCs w:val="18"/>
              </w:rPr>
              <w:t>截至期末 投资进度 </w:t>
            </w: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Arial" w:hAnsi="Arial" w:cs="Arial" w:eastAsia="Arial" w:hint="default"/>
                <w:sz w:val="18"/>
                <w:szCs w:val="18"/>
              </w:rPr>
              <w:t>(2)/(1)</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5" w:right="1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3" w:right="17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146"/>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9" w:right="14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2" w:right="13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41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一、</w:t>
            </w:r>
            <w:r>
              <w:rPr>
                <w:rFonts w:ascii="Arial" w:hAnsi="Arial" w:cs="Arial" w:eastAsia="Arial" w:hint="default"/>
                <w:sz w:val="18"/>
                <w:szCs w:val="18"/>
              </w:rPr>
              <w:t>1.</w:t>
            </w:r>
            <w:r>
              <w:rPr>
                <w:rFonts w:ascii="宋体" w:hAnsi="宋体" w:cs="宋体" w:eastAsia="宋体" w:hint="default"/>
                <w:sz w:val="18"/>
                <w:szCs w:val="18"/>
              </w:rPr>
              <w:t>数字法院智能管理系 统</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5,982.04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5,230.44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5,230.38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3,073.58</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14,721.41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电子检务管理系统</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5,583.54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3,488.10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3,488.08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590.62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3,312.80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商业智能分析应用平台</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2,485.70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1,329.65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1,329.63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740.55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5,170.09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68"/>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华宇政务应用支撑和研发 平台</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1,973.52</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1,001.14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1,001.08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2,741.44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103" w:right="168"/>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信息应用运维管理与服务 系统</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3,452.72</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3,450.78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3,450.78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Arial" w:hAnsi="Arial" w:cs="Arial" w:eastAsia="Arial"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1,195.55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5,149.97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01"/>
              <w:jc w:val="left"/>
              <w:rPr>
                <w:rFonts w:ascii="宋体" w:hAnsi="宋体" w:cs="宋体" w:eastAsia="宋体" w:hint="default"/>
                <w:sz w:val="18"/>
                <w:szCs w:val="18"/>
              </w:rPr>
            </w:pPr>
            <w:r>
              <w:rPr>
                <w:rFonts w:ascii="宋体" w:hAnsi="宋体" w:cs="宋体" w:eastAsia="宋体" w:hint="default"/>
                <w:spacing w:val="-9"/>
                <w:w w:val="99"/>
                <w:sz w:val="18"/>
                <w:szCs w:val="18"/>
              </w:rPr>
              <w:t>二、</w:t>
            </w:r>
            <w:r>
              <w:rPr>
                <w:rFonts w:ascii="Arial" w:hAnsi="Arial" w:cs="Arial" w:eastAsia="Arial" w:hint="default"/>
                <w:spacing w:val="-9"/>
                <w:w w:val="99"/>
                <w:sz w:val="18"/>
                <w:szCs w:val="18"/>
              </w:rPr>
              <w:t>1.</w:t>
            </w:r>
            <w:r>
              <w:rPr>
                <w:rFonts w:ascii="宋体" w:hAnsi="宋体" w:cs="宋体" w:eastAsia="宋体" w:hint="default"/>
                <w:spacing w:val="-9"/>
                <w:w w:val="99"/>
                <w:sz w:val="18"/>
                <w:szCs w:val="18"/>
              </w:rPr>
              <w:t>购买联奕科技</w:t>
            </w:r>
            <w:r>
              <w:rPr>
                <w:rFonts w:ascii="宋体" w:hAnsi="宋体" w:cs="宋体" w:eastAsia="宋体" w:hint="default"/>
                <w:spacing w:val="-37"/>
                <w:w w:val="99"/>
                <w:sz w:val="18"/>
                <w:szCs w:val="18"/>
              </w:rPr>
              <w:t> </w:t>
            </w:r>
            <w:r>
              <w:rPr>
                <w:rFonts w:ascii="Arial" w:hAnsi="Arial" w:cs="Arial" w:eastAsia="Arial" w:hint="default"/>
                <w:spacing w:val="-1"/>
                <w:w w:val="99"/>
                <w:sz w:val="18"/>
                <w:szCs w:val="18"/>
              </w:rPr>
              <w:t>100%</w:t>
            </w:r>
            <w:r>
              <w:rPr>
                <w:rFonts w:ascii="宋体" w:hAnsi="宋体" w:cs="宋体" w:eastAsia="宋体" w:hint="default"/>
                <w:spacing w:val="-1"/>
                <w:w w:val="99"/>
                <w:sz w:val="18"/>
                <w:szCs w:val="18"/>
              </w:rPr>
              <w:t>股</w:t>
            </w:r>
            <w:r>
              <w:rPr>
                <w:rFonts w:ascii="宋体" w:hAnsi="宋体" w:cs="宋体" w:eastAsia="宋体" w:hint="default"/>
                <w:spacing w:val="-87"/>
                <w:w w:val="99"/>
                <w:sz w:val="18"/>
                <w:szCs w:val="18"/>
              </w:rPr>
              <w:t> </w:t>
            </w:r>
            <w:r>
              <w:rPr>
                <w:rFonts w:ascii="宋体" w:hAnsi="宋体" w:cs="宋体" w:eastAsia="宋体" w:hint="default"/>
                <w:sz w:val="18"/>
                <w:szCs w:val="18"/>
              </w:rPr>
              <w:t>权现金对价并募集配套资金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48,000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47,771.72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47,771.72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14,486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33,205.40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103" w:right="16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购买联奕科技募集配套资 金补充流动资金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228.28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18"/>
                <w:szCs w:val="18"/>
              </w:rPr>
            </w:pPr>
            <w:r>
              <w:rPr>
                <w:rFonts w:ascii="Arial"/>
                <w:spacing w:val="-2"/>
                <w:sz w:val="18"/>
              </w:rPr>
              <w:t>251.11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宋体" w:hAnsi="宋体" w:cs="宋体" w:eastAsia="宋体" w:hint="default"/>
                <w:sz w:val="18"/>
                <w:szCs w:val="18"/>
              </w:rPr>
              <w:t>三、 </w:t>
            </w:r>
            <w:r>
              <w:rPr>
                <w:rFonts w:ascii="Arial" w:hAnsi="Arial" w:cs="Arial" w:eastAsia="Arial" w:hint="default"/>
                <w:sz w:val="18"/>
                <w:szCs w:val="18"/>
              </w:rPr>
              <w:t>1.  </w:t>
            </w:r>
            <w:r>
              <w:rPr>
                <w:rFonts w:ascii="宋体" w:hAnsi="宋体" w:cs="宋体" w:eastAsia="宋体" w:hint="default"/>
                <w:sz w:val="18"/>
                <w:szCs w:val="18"/>
              </w:rPr>
              <w:t>华宇新一代法律</w:t>
            </w:r>
            <w:r>
              <w:rPr>
                <w:rFonts w:ascii="宋体" w:hAnsi="宋体" w:cs="宋体" w:eastAsia="宋体" w:hint="default"/>
                <w:spacing w:val="-59"/>
                <w:sz w:val="18"/>
                <w:szCs w:val="18"/>
              </w:rPr>
              <w:t> </w:t>
            </w:r>
            <w:r>
              <w:rPr>
                <w:rFonts w:ascii="Arial" w:hAnsi="Arial" w:cs="Arial" w:eastAsia="Arial" w:hint="default"/>
                <w:sz w:val="18"/>
                <w:szCs w:val="18"/>
              </w:rPr>
              <w:t>AI</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平台建设项目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54,000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54,000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12,329.85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12,329.85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22.83%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37"/>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38"/>
                <w:sz w:val="18"/>
                <w:szCs w:val="18"/>
              </w:rPr>
              <w:t> </w:t>
            </w:r>
            <w:r>
              <w:rPr>
                <w:rFonts w:ascii="宋体" w:hAnsi="宋体" w:cs="宋体" w:eastAsia="宋体" w:hint="default"/>
                <w:sz w:val="18"/>
                <w:szCs w:val="18"/>
              </w:rPr>
              <w:t>华宇安全可靠软件适配 研发及集成测试中心建设项 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4,165.03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4,165.03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27.77%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2"/>
        <w:gridCol w:w="1141"/>
        <w:gridCol w:w="1176"/>
        <w:gridCol w:w="1125"/>
        <w:gridCol w:w="1068"/>
        <w:gridCol w:w="1105"/>
        <w:gridCol w:w="1028"/>
        <w:gridCol w:w="1159"/>
        <w:gridCol w:w="1079"/>
        <w:gridCol w:w="1023"/>
        <w:gridCol w:w="850"/>
        <w:gridCol w:w="997"/>
      </w:tblGrid>
      <w:tr>
        <w:trPr>
          <w:trHeight w:val="729" w:hRule="exact"/>
        </w:trPr>
        <w:tc>
          <w:tcPr>
            <w:tcW w:w="2412" w:type="dxa"/>
            <w:tcBorders>
              <w:top w:val="single" w:sz="16" w:space="0" w:color="000000"/>
              <w:left w:val="single" w:sz="4" w:space="0" w:color="000000"/>
              <w:bottom w:val="single" w:sz="4" w:space="0" w:color="000000"/>
              <w:right w:val="single" w:sz="4" w:space="0" w:color="000000"/>
            </w:tcBorders>
          </w:tcPr>
          <w:p>
            <w:pPr>
              <w:pStyle w:val="TableParagraph"/>
              <w:spacing w:line="302" w:lineRule="auto" w:before="51"/>
              <w:ind w:left="103" w:right="257"/>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8"/>
                <w:sz w:val="18"/>
                <w:szCs w:val="18"/>
              </w:rPr>
              <w:t> </w:t>
            </w:r>
            <w:r>
              <w:rPr>
                <w:rFonts w:ascii="宋体" w:hAnsi="宋体" w:cs="宋体" w:eastAsia="宋体" w:hint="default"/>
                <w:sz w:val="18"/>
                <w:szCs w:val="18"/>
              </w:rPr>
              <w:t>基于数据驱动的智慧市 场监管平台建设项目</w:t>
            </w:r>
          </w:p>
        </w:tc>
        <w:tc>
          <w:tcPr>
            <w:tcW w:w="114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4,900</w:t>
            </w:r>
          </w:p>
        </w:tc>
        <w:tc>
          <w:tcPr>
            <w:tcW w:w="112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4,900</w:t>
            </w:r>
          </w:p>
        </w:tc>
        <w:tc>
          <w:tcPr>
            <w:tcW w:w="106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1,456.67</w:t>
            </w:r>
          </w:p>
        </w:tc>
        <w:tc>
          <w:tcPr>
            <w:tcW w:w="110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1,456.67</w:t>
            </w:r>
          </w:p>
        </w:tc>
        <w:tc>
          <w:tcPr>
            <w:tcW w:w="102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29.73%</w:t>
            </w:r>
          </w:p>
        </w:tc>
        <w:tc>
          <w:tcPr>
            <w:tcW w:w="11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16" w:space="0" w:color="000000"/>
              <w:left w:val="single" w:sz="4" w:space="0" w:color="000000"/>
              <w:bottom w:val="single" w:sz="4" w:space="0" w:color="000000"/>
              <w:right w:val="single" w:sz="4" w:space="0" w:color="000000"/>
            </w:tcBorders>
          </w:tcPr>
          <w:p>
            <w:pPr/>
          </w:p>
        </w:tc>
        <w:tc>
          <w:tcPr>
            <w:tcW w:w="1023" w:type="dxa"/>
            <w:tcBorders>
              <w:top w:val="single" w:sz="16" w:space="0" w:color="000000"/>
              <w:left w:val="single" w:sz="4" w:space="0" w:color="000000"/>
              <w:bottom w:val="single" w:sz="4" w:space="0" w:color="000000"/>
              <w:right w:val="single" w:sz="4" w:space="0" w:color="000000"/>
            </w:tcBorders>
          </w:tcPr>
          <w:p>
            <w:pPr/>
          </w:p>
        </w:tc>
        <w:tc>
          <w:tcPr>
            <w:tcW w:w="85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38"/>
                <w:sz w:val="18"/>
                <w:szCs w:val="18"/>
              </w:rPr>
              <w:t> </w:t>
            </w:r>
            <w:r>
              <w:rPr>
                <w:rFonts w:ascii="宋体" w:hAnsi="宋体" w:cs="宋体" w:eastAsia="宋体" w:hint="default"/>
                <w:sz w:val="18"/>
                <w:szCs w:val="18"/>
              </w:rPr>
              <w:t>补充流动资金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30,381.30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30,381.30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30,381.30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30,381.30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3"/>
              <w:jc w:val="right"/>
              <w:rPr>
                <w:rFonts w:ascii="Arial" w:hAnsi="Arial" w:cs="Arial" w:eastAsia="Arial" w:hint="default"/>
                <w:sz w:val="18"/>
                <w:szCs w:val="18"/>
              </w:rPr>
            </w:pPr>
            <w:r>
              <w:rPr>
                <w:rFonts w:ascii="Arial"/>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171,758.82</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166,781.41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48,332.85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110,855.63</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center"/>
              <w:rPr>
                <w:rFonts w:ascii="Arial" w:hAnsi="Arial" w:cs="Arial" w:eastAsia="Arial" w:hint="default"/>
                <w:sz w:val="18"/>
                <w:szCs w:val="18"/>
              </w:rPr>
            </w:pPr>
            <w:r>
              <w:rPr>
                <w:rFonts w:ascii="Arial"/>
                <w:sz w:val="18"/>
              </w:rPr>
              <w:t>20,086.30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Arial" w:hAnsi="Arial" w:cs="Arial" w:eastAsia="Arial" w:hint="default"/>
                <w:sz w:val="18"/>
                <w:szCs w:val="18"/>
              </w:rPr>
            </w:pPr>
            <w:r>
              <w:rPr>
                <w:rFonts w:ascii="Arial"/>
                <w:sz w:val="18"/>
              </w:rPr>
              <w:t>64,301.11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30"/>
              <w:jc w:val="right"/>
              <w:rPr>
                <w:rFonts w:ascii="Arial" w:hAnsi="Arial" w:cs="Arial" w:eastAsia="Arial" w:hint="default"/>
                <w:sz w:val="18"/>
                <w:szCs w:val="18"/>
              </w:rPr>
            </w:pPr>
            <w:r>
              <w:rPr>
                <w:rFonts w:ascii="Arial"/>
                <w:sz w:val="18"/>
              </w:rPr>
              <w:t>--</w:t>
            </w:r>
          </w:p>
        </w:tc>
      </w:tr>
      <w:tr>
        <w:trPr>
          <w:trHeight w:val="402" w:hRule="exact"/>
        </w:trPr>
        <w:tc>
          <w:tcPr>
            <w:tcW w:w="141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
              <w:jc w:val="left"/>
              <w:rPr>
                <w:rFonts w:ascii="宋体" w:hAnsi="宋体" w:cs="宋体" w:eastAsia="宋体" w:hint="default"/>
                <w:sz w:val="18"/>
                <w:szCs w:val="18"/>
              </w:rPr>
            </w:pPr>
            <w:r>
              <w:rPr>
                <w:rFonts w:ascii="宋体" w:hAnsi="宋体" w:cs="宋体" w:eastAsia="宋体" w:hint="default"/>
                <w:spacing w:val="-2"/>
                <w:sz w:val="18"/>
                <w:szCs w:val="18"/>
              </w:rPr>
              <w:t>一、</w:t>
            </w:r>
            <w:r>
              <w:rPr>
                <w:rFonts w:ascii="Arial" w:hAnsi="Arial" w:cs="Arial" w:eastAsia="Arial" w:hint="default"/>
                <w:spacing w:val="-2"/>
                <w:sz w:val="18"/>
                <w:szCs w:val="18"/>
              </w:rPr>
              <w:t>1.</w:t>
            </w:r>
            <w:r>
              <w:rPr>
                <w:rFonts w:ascii="宋体" w:hAnsi="宋体" w:cs="宋体" w:eastAsia="宋体" w:hint="default"/>
                <w:spacing w:val="-2"/>
                <w:sz w:val="18"/>
                <w:szCs w:val="18"/>
              </w:rPr>
              <w:t>收购华宇金信（北京）</w:t>
            </w:r>
            <w:r>
              <w:rPr>
                <w:rFonts w:ascii="宋体" w:hAnsi="宋体" w:cs="宋体" w:eastAsia="宋体" w:hint="default"/>
                <w:sz w:val="18"/>
                <w:szCs w:val="18"/>
              </w:rPr>
              <w:t> 软件有限公司</w:t>
            </w:r>
            <w:r>
              <w:rPr>
                <w:rFonts w:ascii="宋体" w:hAnsi="宋体" w:cs="宋体" w:eastAsia="宋体" w:hint="default"/>
                <w:spacing w:val="-48"/>
                <w:sz w:val="18"/>
                <w:szCs w:val="18"/>
              </w:rPr>
              <w:t> </w:t>
            </w:r>
            <w:r>
              <w:rPr>
                <w:rFonts w:ascii="Arial" w:hAnsi="Arial" w:cs="Arial" w:eastAsia="Arial" w:hint="default"/>
                <w:sz w:val="18"/>
                <w:szCs w:val="18"/>
              </w:rPr>
              <w:t>51%</w:t>
            </w:r>
            <w:r>
              <w:rPr>
                <w:rFonts w:ascii="宋体" w:hAnsi="宋体" w:cs="宋体" w:eastAsia="宋体" w:hint="default"/>
                <w:sz w:val="18"/>
                <w:szCs w:val="18"/>
              </w:rPr>
              <w:t>股权</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1,173</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1,173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1,173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6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建设实施“华宇（大连） 研发基地项目”</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10,153.42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68"/>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参股深圳市捷视飞通科技 股份有限公司</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68"/>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收购上海浦东华宇信息技 术有限公司</w:t>
            </w:r>
            <w:r>
              <w:rPr>
                <w:rFonts w:ascii="宋体" w:hAnsi="宋体" w:cs="宋体" w:eastAsia="宋体" w:hint="default"/>
                <w:spacing w:val="-50"/>
                <w:sz w:val="18"/>
                <w:szCs w:val="18"/>
              </w:rPr>
              <w:t> </w:t>
            </w:r>
            <w:r>
              <w:rPr>
                <w:rFonts w:ascii="Arial" w:hAnsi="Arial" w:cs="Arial" w:eastAsia="Arial" w:hint="default"/>
                <w:sz w:val="18"/>
                <w:szCs w:val="18"/>
              </w:rPr>
              <w:t>90.185%</w:t>
            </w:r>
            <w:r>
              <w:rPr>
                <w:rFonts w:ascii="宋体" w:hAnsi="宋体" w:cs="宋体" w:eastAsia="宋体" w:hint="default"/>
                <w:sz w:val="18"/>
                <w:szCs w:val="18"/>
              </w:rPr>
              <w:t>股权</w:t>
            </w:r>
          </w:p>
        </w:tc>
        <w:tc>
          <w:tcPr>
            <w:tcW w:w="114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5,500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5,500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5,500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3"/>
              <w:jc w:val="right"/>
              <w:rPr>
                <w:rFonts w:ascii="Arial" w:hAnsi="Arial" w:cs="Arial" w:eastAsia="Arial" w:hint="default"/>
                <w:sz w:val="18"/>
                <w:szCs w:val="18"/>
              </w:rPr>
            </w:pPr>
            <w:r>
              <w:rPr>
                <w:rFonts w:ascii="Arial"/>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3,000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30"/>
              <w:jc w:val="right"/>
              <w:rPr>
                <w:rFonts w:ascii="Arial" w:hAnsi="Arial" w:cs="Arial" w:eastAsia="Arial" w:hint="default"/>
                <w:sz w:val="18"/>
                <w:szCs w:val="18"/>
              </w:rPr>
            </w:pPr>
            <w:r>
              <w:rPr>
                <w:rFonts w:ascii="Arial"/>
                <w:sz w:val="18"/>
              </w:rPr>
              <w:t>--</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03"/>
              <w:jc w:val="right"/>
              <w:rPr>
                <w:rFonts w:ascii="Arial" w:hAnsi="Arial" w:cs="Arial" w:eastAsia="Arial" w:hint="default"/>
                <w:sz w:val="18"/>
                <w:szCs w:val="18"/>
              </w:rPr>
            </w:pPr>
            <w:r>
              <w:rPr>
                <w:rFonts w:ascii="Arial"/>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16,312.35</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16,312.35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16,312.35</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30"/>
              <w:jc w:val="right"/>
              <w:rPr>
                <w:rFonts w:ascii="Arial" w:hAnsi="Arial" w:cs="Arial" w:eastAsia="Arial" w:hint="default"/>
                <w:sz w:val="18"/>
                <w:szCs w:val="18"/>
              </w:rPr>
            </w:pPr>
            <w:r>
              <w:rPr>
                <w:rFonts w:ascii="Arial"/>
                <w:sz w:val="18"/>
              </w:rPr>
              <w:t>--</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3"/>
              <w:jc w:val="right"/>
              <w:rPr>
                <w:rFonts w:ascii="Arial" w:hAnsi="Arial" w:cs="Arial" w:eastAsia="Arial" w:hint="default"/>
                <w:sz w:val="18"/>
                <w:szCs w:val="18"/>
              </w:rPr>
            </w:pPr>
            <w:r>
              <w:rPr>
                <w:rFonts w:ascii="Arial"/>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38,985.35</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38,985.35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39,138.77</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107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30"/>
              <w:jc w:val="right"/>
              <w:rPr>
                <w:rFonts w:ascii="Arial" w:hAnsi="Arial" w:cs="Arial" w:eastAsia="Arial" w:hint="default"/>
                <w:sz w:val="18"/>
                <w:szCs w:val="18"/>
              </w:rPr>
            </w:pPr>
            <w:r>
              <w:rPr>
                <w:rFonts w:ascii="Arial"/>
                <w:sz w:val="18"/>
              </w:rPr>
              <w:t>--</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03"/>
              <w:jc w:val="right"/>
              <w:rPr>
                <w:rFonts w:ascii="Arial" w:hAnsi="Arial" w:cs="Arial" w:eastAsia="Arial" w:hint="default"/>
                <w:sz w:val="18"/>
                <w:szCs w:val="18"/>
              </w:rPr>
            </w:pPr>
            <w:r>
              <w:rPr>
                <w:rFonts w:ascii="Arial"/>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210,744.17</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205,766.76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48,332.85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149,994.4</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Arial" w:hAnsi="Arial" w:cs="Arial" w:eastAsia="Arial" w:hint="default"/>
                <w:sz w:val="18"/>
                <w:szCs w:val="18"/>
              </w:rPr>
            </w:pPr>
            <w:r>
              <w:rPr>
                <w:rFonts w:ascii="Arial"/>
                <w:sz w:val="18"/>
              </w:rPr>
              <w:t>20,086.30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Arial" w:hAnsi="Arial" w:cs="Arial" w:eastAsia="Arial" w:hint="default"/>
                <w:sz w:val="18"/>
                <w:szCs w:val="18"/>
              </w:rPr>
            </w:pPr>
            <w:r>
              <w:rPr>
                <w:rFonts w:ascii="Arial"/>
                <w:sz w:val="18"/>
              </w:rPr>
              <w:t>64,301.11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30"/>
              <w:jc w:val="right"/>
              <w:rPr>
                <w:rFonts w:ascii="Arial" w:hAnsi="Arial" w:cs="Arial" w:eastAsia="Arial" w:hint="default"/>
                <w:sz w:val="18"/>
                <w:szCs w:val="18"/>
              </w:rPr>
            </w:pPr>
            <w:r>
              <w:rPr>
                <w:rFonts w:ascii="Arial"/>
                <w:sz w:val="18"/>
              </w:rPr>
              <w:t>--</w:t>
            </w:r>
          </w:p>
        </w:tc>
      </w:tr>
      <w:tr>
        <w:trPr>
          <w:trHeight w:val="2002"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5"/>
                <w:sz w:val="18"/>
                <w:szCs w:val="18"/>
              </w:rPr>
              <w:t>的情况和原因（分具体项目）</w:t>
            </w:r>
          </w:p>
        </w:tc>
        <w:tc>
          <w:tcPr>
            <w:tcW w:w="117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2"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Arial" w:hAnsi="Arial" w:cs="Arial" w:eastAsia="Arial" w:hint="default"/>
                <w:spacing w:val="-3"/>
                <w:sz w:val="18"/>
                <w:szCs w:val="18"/>
              </w:rPr>
              <w:t>2011</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10</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26</w:t>
            </w:r>
            <w:r>
              <w:rPr>
                <w:rFonts w:ascii="Arial" w:hAnsi="Arial" w:cs="Arial" w:eastAsia="Arial" w:hint="default"/>
                <w:spacing w:val="-12"/>
                <w:sz w:val="18"/>
                <w:szCs w:val="18"/>
              </w:rPr>
              <w:t> </w:t>
            </w:r>
            <w:r>
              <w:rPr>
                <w:rFonts w:ascii="宋体" w:hAnsi="宋体" w:cs="宋体" w:eastAsia="宋体" w:hint="default"/>
                <w:sz w:val="18"/>
                <w:szCs w:val="18"/>
              </w:rPr>
              <w:t>日在深圳证券交易所创业板挂牌上市，在此之前公司尚未取得募集资金，由于存在资金缺口，公司在</w:t>
            </w:r>
            <w:r>
              <w:rPr>
                <w:rFonts w:ascii="宋体" w:hAnsi="宋体" w:cs="宋体" w:eastAsia="宋体" w:hint="default"/>
                <w:spacing w:val="-50"/>
                <w:sz w:val="18"/>
                <w:szCs w:val="18"/>
              </w:rPr>
              <w:t> </w:t>
            </w:r>
            <w:r>
              <w:rPr>
                <w:rFonts w:ascii="Arial" w:hAnsi="Arial" w:cs="Arial" w:eastAsia="Arial" w:hint="default"/>
                <w:sz w:val="18"/>
                <w:szCs w:val="18"/>
              </w:rPr>
              <w:t>2009</w:t>
            </w:r>
            <w:r>
              <w:rPr>
                <w:rFonts w:ascii="Arial" w:hAnsi="Arial" w:cs="Arial" w:eastAsia="Arial" w:hint="default"/>
                <w:spacing w:val="28"/>
                <w:sz w:val="18"/>
                <w:szCs w:val="18"/>
              </w:rPr>
              <w:t> </w:t>
            </w:r>
            <w:r>
              <w:rPr>
                <w:rFonts w:ascii="宋体" w:hAnsi="宋体" w:cs="宋体" w:eastAsia="宋体" w:hint="default"/>
                <w:sz w:val="18"/>
                <w:szCs w:val="18"/>
              </w:rPr>
              <w:t>年或</w:t>
            </w:r>
            <w:r>
              <w:rPr>
                <w:rFonts w:ascii="宋体" w:hAnsi="宋体" w:cs="宋体" w:eastAsia="宋体" w:hint="default"/>
                <w:spacing w:val="-50"/>
                <w:sz w:val="18"/>
                <w:szCs w:val="18"/>
              </w:rPr>
              <w:t> </w:t>
            </w:r>
            <w:r>
              <w:rPr>
                <w:rFonts w:ascii="Arial" w:hAnsi="Arial" w:cs="Arial" w:eastAsia="Arial" w:hint="default"/>
                <w:sz w:val="18"/>
                <w:szCs w:val="18"/>
              </w:rPr>
              <w:t>2010</w:t>
            </w:r>
            <w:r>
              <w:rPr>
                <w:rFonts w:ascii="Arial" w:hAnsi="Arial" w:cs="Arial" w:eastAsia="Arial" w:hint="default"/>
                <w:w w:val="99"/>
                <w:sz w:val="18"/>
                <w:szCs w:val="18"/>
              </w:rPr>
              <w:t> </w:t>
            </w:r>
            <w:r>
              <w:rPr>
                <w:rFonts w:ascii="宋体" w:hAnsi="宋体" w:cs="宋体" w:eastAsia="宋体" w:hint="default"/>
                <w:sz w:val="18"/>
                <w:szCs w:val="18"/>
              </w:rPr>
              <w:t>年起仅以自筹资金的方式对五个募集资金投资项目进行了小规模投入，也取得了部分阶段性成果，但总体来说并未按照募集资金投资项目原定计划 进行实施。近两年业界基于云计算、物联网等技术的应用逐渐成熟，将成为未来一段时期内行业信息化建设的重点和亮点，结合公司主营行业信息 化建设的要求和特点，增加对这些技术的应用将带来更大的经济效益和社会效益。</w:t>
            </w:r>
          </w:p>
          <w:p>
            <w:pPr>
              <w:pStyle w:val="TableParagraph"/>
              <w:spacing w:line="316" w:lineRule="auto" w:before="63"/>
              <w:ind w:left="103" w:right="116" w:firstLine="360"/>
              <w:jc w:val="both"/>
              <w:rPr>
                <w:rFonts w:ascii="宋体" w:hAnsi="宋体" w:cs="宋体" w:eastAsia="宋体" w:hint="default"/>
                <w:sz w:val="18"/>
                <w:szCs w:val="18"/>
              </w:rPr>
            </w:pPr>
            <w:r>
              <w:rPr>
                <w:rFonts w:ascii="宋体" w:hAnsi="宋体" w:cs="宋体" w:eastAsia="宋体" w:hint="default"/>
                <w:sz w:val="18"/>
                <w:szCs w:val="18"/>
              </w:rPr>
              <w:t>因此，华宇软件在对市场情况进行充分分析后，对五个募集资金投资项目的研发计划做了相应的调整，使募集资金投资项目更具市场性和领先 性，符合公司长期发展的需要。截止目前，公司五个募集资金投资项目均已按计划结项。</w:t>
            </w:r>
          </w:p>
        </w:tc>
      </w:tr>
      <w:tr>
        <w:trPr>
          <w:trHeight w:val="402" w:hRule="exact"/>
        </w:trPr>
        <w:tc>
          <w:tcPr>
            <w:tcW w:w="3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6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0"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超募资金的金额、用途及使</w:t>
            </w:r>
          </w:p>
        </w:tc>
        <w:tc>
          <w:tcPr>
            <w:tcW w:w="117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headerReference w:type="default" r:id="rId16"/>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2"/>
        <w:gridCol w:w="11751"/>
      </w:tblGrid>
      <w:tr>
        <w:trPr>
          <w:trHeight w:val="373" w:hRule="exact"/>
        </w:trPr>
        <w:tc>
          <w:tcPr>
            <w:tcW w:w="2412" w:type="dxa"/>
            <w:tcBorders>
              <w:top w:val="single" w:sz="16"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用进展情况</w:t>
            </w:r>
          </w:p>
        </w:tc>
        <w:tc>
          <w:tcPr>
            <w:tcW w:w="1175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根据本公司《招股说明书》披露的情况，公司首次公开发行并上市募集资金拟投向“数字法院智能管理系统”、“电子检务管理系统”等五个</w:t>
            </w:r>
          </w:p>
        </w:tc>
      </w:tr>
      <w:tr>
        <w:trPr>
          <w:trHeight w:val="337"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项目，投资总额为</w:t>
            </w:r>
            <w:r>
              <w:rPr>
                <w:rFonts w:ascii="宋体" w:hAnsi="宋体" w:cs="宋体" w:eastAsia="宋体" w:hint="default"/>
                <w:spacing w:val="-48"/>
                <w:sz w:val="18"/>
                <w:szCs w:val="18"/>
              </w:rPr>
              <w:t> </w:t>
            </w:r>
            <w:r>
              <w:rPr>
                <w:rFonts w:ascii="Arial" w:hAnsi="Arial" w:cs="Arial" w:eastAsia="Arial" w:hint="default"/>
                <w:sz w:val="18"/>
                <w:szCs w:val="18"/>
              </w:rPr>
              <w:t>19,477.52</w:t>
            </w:r>
            <w:r>
              <w:rPr>
                <w:rFonts w:ascii="Arial" w:hAnsi="Arial" w:cs="Arial" w:eastAsia="Arial" w:hint="default"/>
                <w:spacing w:val="-10"/>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8"/>
                <w:sz w:val="18"/>
                <w:szCs w:val="18"/>
              </w:rPr>
              <w:t> </w:t>
            </w:r>
            <w:r>
              <w:rPr>
                <w:rFonts w:ascii="Arial" w:hAnsi="Arial" w:cs="Arial" w:eastAsia="Arial" w:hint="default"/>
                <w:sz w:val="18"/>
                <w:szCs w:val="18"/>
              </w:rPr>
              <w:t>51,481.18</w:t>
            </w:r>
            <w:r>
              <w:rPr>
                <w:rFonts w:ascii="Arial" w:hAnsi="Arial" w:cs="Arial" w:eastAsia="Arial" w:hint="default"/>
                <w:spacing w:val="-10"/>
                <w:sz w:val="18"/>
                <w:szCs w:val="18"/>
              </w:rPr>
              <w:t> </w:t>
            </w:r>
            <w:r>
              <w:rPr>
                <w:rFonts w:ascii="宋体" w:hAnsi="宋体" w:cs="宋体" w:eastAsia="宋体" w:hint="default"/>
                <w:sz w:val="18"/>
                <w:szCs w:val="18"/>
              </w:rPr>
              <w:t>万元，超募资金为</w:t>
            </w:r>
            <w:r>
              <w:rPr>
                <w:rFonts w:ascii="宋体" w:hAnsi="宋体" w:cs="宋体" w:eastAsia="宋体" w:hint="default"/>
                <w:spacing w:val="-48"/>
                <w:sz w:val="18"/>
                <w:szCs w:val="18"/>
              </w:rPr>
              <w:t> </w:t>
            </w:r>
            <w:r>
              <w:rPr>
                <w:rFonts w:ascii="Arial" w:hAnsi="Arial" w:cs="Arial" w:eastAsia="Arial" w:hint="default"/>
                <w:sz w:val="18"/>
                <w:szCs w:val="18"/>
              </w:rPr>
              <w:t>32,003.66</w:t>
            </w:r>
            <w:r>
              <w:rPr>
                <w:rFonts w:ascii="Arial" w:hAnsi="Arial" w:cs="Arial" w:eastAsia="Arial" w:hint="default"/>
                <w:spacing w:val="-10"/>
                <w:sz w:val="18"/>
                <w:szCs w:val="18"/>
              </w:rPr>
              <w:t> </w:t>
            </w:r>
            <w:r>
              <w:rPr>
                <w:rFonts w:ascii="宋体" w:hAnsi="宋体" w:cs="宋体" w:eastAsia="宋体" w:hint="default"/>
                <w:sz w:val="18"/>
                <w:szCs w:val="18"/>
              </w:rPr>
              <w:t>万元。公司超募资金使用情况如下：</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w:t>
            </w:r>
            <w:r>
              <w:rPr>
                <w:rFonts w:ascii="Arial" w:hAnsi="Arial" w:cs="Arial" w:eastAsia="Arial" w:hint="default"/>
                <w:spacing w:val="-3"/>
                <w:sz w:val="18"/>
                <w:szCs w:val="18"/>
              </w:rPr>
              <w:t>2011</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13</w:t>
            </w:r>
            <w:r>
              <w:rPr>
                <w:rFonts w:ascii="Arial" w:hAnsi="Arial" w:cs="Arial" w:eastAsia="Arial" w:hint="default"/>
                <w:spacing w:val="-10"/>
                <w:sz w:val="18"/>
                <w:szCs w:val="18"/>
              </w:rPr>
              <w:t> </w:t>
            </w:r>
            <w:r>
              <w:rPr>
                <w:rFonts w:ascii="宋体" w:hAnsi="宋体" w:cs="宋体" w:eastAsia="宋体" w:hint="default"/>
                <w:sz w:val="18"/>
                <w:szCs w:val="18"/>
              </w:rPr>
              <w:t>日，公司第四届董事会第十次会议审议通过了《使用部分超募资金偿还银行贷款和永久补充流动资金的议案》，同意使用</w:t>
            </w:r>
          </w:p>
        </w:tc>
      </w:tr>
      <w:tr>
        <w:trPr>
          <w:trHeight w:val="33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9"/>
                <w:sz w:val="18"/>
                <w:szCs w:val="18"/>
              </w:rPr>
              <w:t> </w:t>
            </w:r>
            <w:r>
              <w:rPr>
                <w:rFonts w:ascii="宋体" w:hAnsi="宋体" w:cs="宋体" w:eastAsia="宋体" w:hint="default"/>
                <w:sz w:val="18"/>
                <w:szCs w:val="18"/>
              </w:rPr>
              <w:t>万元偿还银行贷款及</w:t>
            </w:r>
            <w:r>
              <w:rPr>
                <w:rFonts w:ascii="宋体" w:hAnsi="宋体" w:cs="宋体" w:eastAsia="宋体" w:hint="default"/>
                <w:spacing w:val="-47"/>
                <w:sz w:val="18"/>
                <w:szCs w:val="18"/>
              </w:rPr>
              <w:t> </w:t>
            </w:r>
            <w:r>
              <w:rPr>
                <w:rFonts w:ascii="Arial" w:hAnsi="Arial" w:cs="Arial" w:eastAsia="Arial" w:hint="default"/>
                <w:sz w:val="18"/>
                <w:szCs w:val="18"/>
              </w:rPr>
              <w:t>3,400</w:t>
            </w:r>
            <w:r>
              <w:rPr>
                <w:rFonts w:ascii="Arial" w:hAnsi="Arial" w:cs="Arial" w:eastAsia="Arial" w:hint="default"/>
                <w:spacing w:val="-9"/>
                <w:sz w:val="18"/>
                <w:szCs w:val="18"/>
              </w:rPr>
              <w:t> </w:t>
            </w:r>
            <w:r>
              <w:rPr>
                <w:rFonts w:ascii="宋体" w:hAnsi="宋体" w:cs="宋体" w:eastAsia="宋体" w:hint="default"/>
                <w:sz w:val="18"/>
                <w:szCs w:val="18"/>
              </w:rPr>
              <w:t>万元用于永久补充流动资金。</w:t>
            </w:r>
          </w:p>
        </w:tc>
      </w:tr>
      <w:tr>
        <w:trPr>
          <w:trHeight w:val="33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日，公司第四届董事会第十三次会议审议通过了《使用超募资金收购航宇金信（北京）软件有限公司</w:t>
            </w:r>
            <w:r>
              <w:rPr>
                <w:rFonts w:ascii="宋体" w:hAnsi="宋体" w:cs="宋体" w:eastAsia="宋体" w:hint="default"/>
                <w:spacing w:val="-46"/>
                <w:sz w:val="18"/>
                <w:szCs w:val="18"/>
              </w:rPr>
              <w:t> </w:t>
            </w:r>
            <w:r>
              <w:rPr>
                <w:rFonts w:ascii="Arial" w:hAnsi="Arial" w:cs="Arial" w:eastAsia="Arial" w:hint="default"/>
                <w:sz w:val="18"/>
                <w:szCs w:val="18"/>
              </w:rPr>
              <w:t>51%</w:t>
            </w:r>
            <w:r>
              <w:rPr>
                <w:rFonts w:ascii="宋体" w:hAnsi="宋体" w:cs="宋体" w:eastAsia="宋体" w:hint="default"/>
                <w:sz w:val="18"/>
                <w:szCs w:val="18"/>
              </w:rPr>
              <w:t>股权的议案》，</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7"/>
                <w:sz w:val="18"/>
                <w:szCs w:val="18"/>
              </w:rPr>
              <w:t> </w:t>
            </w:r>
            <w:r>
              <w:rPr>
                <w:rFonts w:ascii="Arial" w:hAnsi="Arial" w:cs="Arial" w:eastAsia="Arial" w:hint="default"/>
                <w:sz w:val="18"/>
                <w:szCs w:val="18"/>
              </w:rPr>
              <w:t>1,173</w:t>
            </w:r>
            <w:r>
              <w:rPr>
                <w:rFonts w:ascii="Arial" w:hAnsi="Arial" w:cs="Arial" w:eastAsia="Arial" w:hint="default"/>
                <w:spacing w:val="-9"/>
                <w:sz w:val="18"/>
                <w:szCs w:val="18"/>
              </w:rPr>
              <w:t> </w:t>
            </w:r>
            <w:r>
              <w:rPr>
                <w:rFonts w:ascii="宋体" w:hAnsi="宋体" w:cs="宋体" w:eastAsia="宋体" w:hint="default"/>
                <w:sz w:val="18"/>
                <w:szCs w:val="18"/>
              </w:rPr>
              <w:t>万元向陈京念先生收购航宇金信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r>
              <w:rPr>
                <w:rFonts w:ascii="宋体" w:hAnsi="宋体" w:cs="宋体" w:eastAsia="宋体" w:hint="default"/>
                <w:spacing w:val="-47"/>
                <w:sz w:val="18"/>
                <w:szCs w:val="18"/>
              </w:rPr>
              <w:t> </w:t>
            </w:r>
            <w:r>
              <w:rPr>
                <w:rFonts w:ascii="Arial" w:hAnsi="Arial" w:cs="Arial" w:eastAsia="Arial" w:hint="default"/>
                <w:sz w:val="18"/>
                <w:szCs w:val="18"/>
              </w:rPr>
              <w:t>51%</w:t>
            </w:r>
            <w:r>
              <w:rPr>
                <w:rFonts w:ascii="宋体" w:hAnsi="宋体" w:cs="宋体" w:eastAsia="宋体" w:hint="default"/>
                <w:sz w:val="18"/>
                <w:szCs w:val="18"/>
              </w:rPr>
              <w:t>的股权。</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17"/>
              <w:jc w:val="left"/>
              <w:rPr>
                <w:rFonts w:ascii="宋体" w:hAnsi="宋体" w:cs="宋体" w:eastAsia="宋体" w:hint="default"/>
                <w:sz w:val="18"/>
                <w:szCs w:val="18"/>
              </w:rPr>
            </w:pPr>
            <w:r>
              <w:rPr>
                <w:rFonts w:ascii="Arial" w:hAnsi="Arial" w:cs="Arial" w:eastAsia="Arial" w:hint="default"/>
                <w:spacing w:val="-3"/>
                <w:sz w:val="18"/>
                <w:szCs w:val="18"/>
              </w:rPr>
              <w:t>3</w:t>
            </w:r>
            <w:r>
              <w:rPr>
                <w:rFonts w:ascii="宋体" w:hAnsi="宋体" w:cs="宋体" w:eastAsia="宋体" w:hint="default"/>
                <w:spacing w:val="-3"/>
                <w:sz w:val="18"/>
                <w:szCs w:val="18"/>
              </w:rPr>
              <w:t>、</w:t>
            </w:r>
            <w:r>
              <w:rPr>
                <w:rFonts w:ascii="Arial" w:hAnsi="Arial" w:cs="Arial" w:eastAsia="Arial" w:hint="default"/>
                <w:spacing w:val="-3"/>
                <w:sz w:val="18"/>
                <w:szCs w:val="18"/>
              </w:rPr>
              <w:t>2012</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12</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Arial" w:hAnsi="Arial" w:cs="Arial" w:eastAsia="Arial" w:hint="default"/>
                <w:sz w:val="18"/>
                <w:szCs w:val="18"/>
              </w:rPr>
              <w:t>26</w:t>
            </w:r>
            <w:r>
              <w:rPr>
                <w:rFonts w:ascii="Arial" w:hAnsi="Arial" w:cs="Arial" w:eastAsia="Arial" w:hint="default"/>
                <w:spacing w:val="-22"/>
                <w:sz w:val="18"/>
                <w:szCs w:val="18"/>
              </w:rPr>
              <w:t> </w:t>
            </w:r>
            <w:r>
              <w:rPr>
                <w:rFonts w:ascii="宋体" w:hAnsi="宋体" w:cs="宋体" w:eastAsia="宋体" w:hint="default"/>
                <w:sz w:val="18"/>
                <w:szCs w:val="18"/>
              </w:rPr>
              <w:t>日，公司第四届董事会第二十二次会议审议通过了《关于使用超募资金建设实施“华宇（大连）研发基地项目”的议案》，</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亿元建设实施“华宇（大连）研发基地项目”。超募资金</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亿元将分两次以增资方式注入华宇（大连）信息服务有限公司，截</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至目前，首次注资</w:t>
            </w:r>
            <w:r>
              <w:rPr>
                <w:rFonts w:ascii="宋体" w:hAnsi="宋体" w:cs="宋体" w:eastAsia="宋体" w:hint="default"/>
                <w:spacing w:val="-47"/>
                <w:sz w:val="18"/>
                <w:szCs w:val="18"/>
              </w:rPr>
              <w:t> </w:t>
            </w:r>
            <w:r>
              <w:rPr>
                <w:rFonts w:ascii="Arial" w:hAnsi="Arial" w:cs="Arial" w:eastAsia="Arial" w:hint="default"/>
                <w:sz w:val="18"/>
                <w:szCs w:val="18"/>
              </w:rPr>
              <w:t>6,000</w:t>
            </w:r>
            <w:r>
              <w:rPr>
                <w:rFonts w:ascii="Arial" w:hAnsi="Arial" w:cs="Arial" w:eastAsia="Arial" w:hint="default"/>
                <w:spacing w:val="-9"/>
                <w:sz w:val="18"/>
                <w:szCs w:val="18"/>
              </w:rPr>
              <w:t> </w:t>
            </w:r>
            <w:r>
              <w:rPr>
                <w:rFonts w:ascii="宋体" w:hAnsi="宋体" w:cs="宋体" w:eastAsia="宋体" w:hint="default"/>
                <w:sz w:val="18"/>
                <w:szCs w:val="18"/>
              </w:rPr>
              <w:t>万元及第二次注资</w:t>
            </w:r>
            <w:r>
              <w:rPr>
                <w:rFonts w:ascii="宋体" w:hAnsi="宋体" w:cs="宋体" w:eastAsia="宋体" w:hint="default"/>
                <w:spacing w:val="-47"/>
                <w:sz w:val="18"/>
                <w:szCs w:val="18"/>
              </w:rPr>
              <w:t> </w:t>
            </w:r>
            <w:r>
              <w:rPr>
                <w:rFonts w:ascii="Arial" w:hAnsi="Arial" w:cs="Arial" w:eastAsia="Arial" w:hint="default"/>
                <w:sz w:val="18"/>
                <w:szCs w:val="18"/>
              </w:rPr>
              <w:t>4,000</w:t>
            </w:r>
            <w:r>
              <w:rPr>
                <w:rFonts w:ascii="Arial" w:hAnsi="Arial" w:cs="Arial" w:eastAsia="Arial" w:hint="default"/>
                <w:spacing w:val="-9"/>
                <w:sz w:val="18"/>
                <w:szCs w:val="18"/>
              </w:rPr>
              <w:t> </w:t>
            </w:r>
            <w:r>
              <w:rPr>
                <w:rFonts w:ascii="宋体" w:hAnsi="宋体" w:cs="宋体" w:eastAsia="宋体" w:hint="default"/>
                <w:sz w:val="18"/>
                <w:szCs w:val="18"/>
              </w:rPr>
              <w:t>万元均已完成，大连华宇注册资金增至</w:t>
            </w:r>
            <w:r>
              <w:rPr>
                <w:rFonts w:ascii="宋体" w:hAnsi="宋体" w:cs="宋体" w:eastAsia="宋体" w:hint="default"/>
                <w:spacing w:val="-47"/>
                <w:sz w:val="18"/>
                <w:szCs w:val="18"/>
              </w:rPr>
              <w:t> </w:t>
            </w:r>
            <w:r>
              <w:rPr>
                <w:rFonts w:ascii="Arial" w:hAnsi="Arial" w:cs="Arial" w:eastAsia="Arial" w:hint="default"/>
                <w:sz w:val="18"/>
                <w:szCs w:val="18"/>
              </w:rPr>
              <w:t>12,000</w:t>
            </w:r>
            <w:r>
              <w:rPr>
                <w:rFonts w:ascii="Arial" w:hAnsi="Arial" w:cs="Arial" w:eastAsia="Arial" w:hint="default"/>
                <w:spacing w:val="-9"/>
                <w:sz w:val="18"/>
                <w:szCs w:val="18"/>
              </w:rPr>
              <w:t> </w:t>
            </w:r>
            <w:r>
              <w:rPr>
                <w:rFonts w:ascii="宋体" w:hAnsi="宋体" w:cs="宋体" w:eastAsia="宋体" w:hint="default"/>
                <w:sz w:val="18"/>
                <w:szCs w:val="18"/>
              </w:rPr>
              <w:t>万元。</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Arial" w:hAnsi="Arial" w:cs="Arial" w:eastAsia="Arial" w:hint="default"/>
                <w:sz w:val="18"/>
                <w:szCs w:val="18"/>
              </w:rPr>
            </w:pPr>
            <w:r>
              <w:rPr>
                <w:rFonts w:ascii="Arial" w:hAnsi="Arial" w:cs="Arial" w:eastAsia="Arial" w:hint="default"/>
                <w:spacing w:val="-9"/>
                <w:sz w:val="18"/>
                <w:szCs w:val="18"/>
              </w:rPr>
              <w:t>4</w:t>
            </w:r>
            <w:r>
              <w:rPr>
                <w:rFonts w:ascii="宋体" w:hAnsi="宋体" w:cs="宋体" w:eastAsia="宋体" w:hint="default"/>
                <w:spacing w:val="-9"/>
                <w:sz w:val="18"/>
                <w:szCs w:val="18"/>
              </w:rPr>
              <w:t>、</w:t>
            </w:r>
            <w:r>
              <w:rPr>
                <w:rFonts w:ascii="Arial" w:hAnsi="Arial" w:cs="Arial" w:eastAsia="Arial" w:hint="default"/>
                <w:spacing w:val="-9"/>
                <w:sz w:val="18"/>
                <w:szCs w:val="18"/>
              </w:rPr>
              <w:t>2013</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22</w:t>
            </w:r>
            <w:r>
              <w:rPr>
                <w:rFonts w:ascii="Arial" w:hAnsi="Arial" w:cs="Arial" w:eastAsia="Arial" w:hint="default"/>
                <w:spacing w:val="-6"/>
                <w:sz w:val="18"/>
                <w:szCs w:val="18"/>
              </w:rPr>
              <w:t> </w:t>
            </w:r>
            <w:r>
              <w:rPr>
                <w:rFonts w:ascii="宋体" w:hAnsi="宋体" w:cs="宋体" w:eastAsia="宋体" w:hint="default"/>
                <w:spacing w:val="-4"/>
                <w:sz w:val="18"/>
                <w:szCs w:val="18"/>
              </w:rPr>
              <w:t>日，公司第四届董事会第二十六次会议审议通过了《使用部分超募资金永久补充流动资金的议案》，同意使用超募资金</w:t>
            </w:r>
            <w:r>
              <w:rPr>
                <w:rFonts w:ascii="宋体" w:hAnsi="宋体" w:cs="宋体" w:eastAsia="宋体" w:hint="default"/>
                <w:spacing w:val="-46"/>
                <w:sz w:val="18"/>
                <w:szCs w:val="18"/>
              </w:rPr>
              <w:t> </w:t>
            </w:r>
            <w:r>
              <w:rPr>
                <w:rFonts w:ascii="Arial" w:hAnsi="Arial" w:cs="Arial" w:eastAsia="Arial" w:hint="default"/>
                <w:sz w:val="18"/>
                <w:szCs w:val="18"/>
              </w:rPr>
              <w:t>6,400</w:t>
            </w:r>
          </w:p>
        </w:tc>
      </w:tr>
      <w:tr>
        <w:trPr>
          <w:trHeight w:val="327"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w:t>
            </w:r>
          </w:p>
        </w:tc>
      </w:tr>
      <w:tr>
        <w:trPr>
          <w:trHeight w:val="33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3" w:right="0"/>
              <w:jc w:val="left"/>
              <w:rPr>
                <w:rFonts w:ascii="Arial" w:hAnsi="Arial" w:cs="Arial" w:eastAsia="Arial" w:hint="default"/>
                <w:sz w:val="18"/>
                <w:szCs w:val="18"/>
              </w:rPr>
            </w:pPr>
            <w:r>
              <w:rPr>
                <w:rFonts w:ascii="Arial" w:hAnsi="Arial" w:cs="Arial" w:eastAsia="Arial" w:hint="default"/>
                <w:spacing w:val="-9"/>
                <w:sz w:val="18"/>
                <w:szCs w:val="18"/>
              </w:rPr>
              <w:t>5</w:t>
            </w:r>
            <w:r>
              <w:rPr>
                <w:rFonts w:ascii="宋体" w:hAnsi="宋体" w:cs="宋体" w:eastAsia="宋体" w:hint="default"/>
                <w:spacing w:val="-9"/>
                <w:sz w:val="18"/>
                <w:szCs w:val="18"/>
              </w:rPr>
              <w:t>、</w:t>
            </w:r>
            <w:r>
              <w:rPr>
                <w:rFonts w:ascii="Arial" w:hAnsi="Arial" w:cs="Arial" w:eastAsia="Arial" w:hint="default"/>
                <w:spacing w:val="-9"/>
                <w:sz w:val="18"/>
                <w:szCs w:val="18"/>
              </w:rPr>
              <w:t>2013</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15</w:t>
            </w:r>
            <w:r>
              <w:rPr>
                <w:rFonts w:ascii="Arial" w:hAnsi="Arial" w:cs="Arial" w:eastAsia="Arial" w:hint="default"/>
                <w:spacing w:val="-6"/>
                <w:sz w:val="18"/>
                <w:szCs w:val="18"/>
              </w:rPr>
              <w:t> </w:t>
            </w:r>
            <w:r>
              <w:rPr>
                <w:rFonts w:ascii="宋体" w:hAnsi="宋体" w:cs="宋体" w:eastAsia="宋体" w:hint="default"/>
                <w:spacing w:val="-4"/>
                <w:sz w:val="18"/>
                <w:szCs w:val="18"/>
              </w:rPr>
              <w:t>日，公司第四届董事会第二十八次会议审议通过了《使用部分超募资金暂时补充流动资金的议案》，同意使用超募资金</w:t>
            </w:r>
            <w:r>
              <w:rPr>
                <w:rFonts w:ascii="宋体" w:hAnsi="宋体" w:cs="宋体" w:eastAsia="宋体" w:hint="default"/>
                <w:spacing w:val="-46"/>
                <w:sz w:val="18"/>
                <w:szCs w:val="18"/>
              </w:rPr>
              <w:t> </w:t>
            </w:r>
            <w:r>
              <w:rPr>
                <w:rFonts w:ascii="Arial" w:hAnsi="Arial" w:cs="Arial" w:eastAsia="Arial" w:hint="default"/>
                <w:sz w:val="18"/>
                <w:szCs w:val="18"/>
              </w:rPr>
              <w:t>5,000</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万元用于暂时补充流动资金。</w:t>
            </w: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日，公司已将人民币</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8"/>
                <w:sz w:val="18"/>
                <w:szCs w:val="18"/>
              </w:rPr>
              <w:t> </w:t>
            </w:r>
            <w:r>
              <w:rPr>
                <w:rFonts w:ascii="宋体" w:hAnsi="宋体" w:cs="宋体" w:eastAsia="宋体" w:hint="default"/>
                <w:sz w:val="18"/>
                <w:szCs w:val="18"/>
              </w:rPr>
              <w:t>万元归还至原超募资金存放账户。同时，公司将上述募集资金归还情况</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9"/>
                <w:sz w:val="18"/>
                <w:szCs w:val="18"/>
              </w:rPr>
              <w:t> </w:t>
            </w:r>
            <w:r>
              <w:rPr>
                <w:rFonts w:ascii="宋体" w:hAnsi="宋体" w:cs="宋体" w:eastAsia="宋体" w:hint="default"/>
                <w:sz w:val="18"/>
                <w:szCs w:val="18"/>
              </w:rPr>
              <w:t>万元暂时补充流动资金已一次性归还完毕。</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日，公司第五届董事会第六次会议审议通过了《使用部分超募资金暂时补充流动资金的议案》，同意使用超募资金</w:t>
            </w:r>
            <w:r>
              <w:rPr>
                <w:rFonts w:ascii="宋体" w:hAnsi="宋体" w:cs="宋体" w:eastAsia="宋体" w:hint="default"/>
                <w:spacing w:val="-48"/>
                <w:sz w:val="18"/>
                <w:szCs w:val="18"/>
              </w:rPr>
              <w:t> </w:t>
            </w:r>
            <w:r>
              <w:rPr>
                <w:rFonts w:ascii="Arial" w:hAnsi="Arial" w:cs="Arial" w:eastAsia="Arial" w:hint="default"/>
                <w:sz w:val="18"/>
                <w:szCs w:val="18"/>
              </w:rPr>
              <w:t>5,000</w:t>
            </w:r>
            <w:r>
              <w:rPr>
                <w:rFonts w:ascii="Arial" w:hAnsi="Arial" w:cs="Arial" w:eastAsia="Arial" w:hint="default"/>
                <w:spacing w:val="-10"/>
                <w:sz w:val="18"/>
                <w:szCs w:val="18"/>
              </w:rPr>
              <w:t> </w:t>
            </w:r>
            <w:r>
              <w:rPr>
                <w:rFonts w:ascii="宋体" w:hAnsi="宋体" w:cs="宋体" w:eastAsia="宋体" w:hint="default"/>
                <w:sz w:val="18"/>
                <w:szCs w:val="18"/>
              </w:rPr>
              <w:t>万</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元用于暂时补充流动资金。</w:t>
            </w: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日，公司已将人民币</w:t>
            </w:r>
            <w:r>
              <w:rPr>
                <w:rFonts w:ascii="宋体" w:hAnsi="宋体" w:cs="宋体" w:eastAsia="宋体" w:hint="default"/>
                <w:spacing w:val="-48"/>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万元归还至原超募资金存放账户。同时，公司将上述募集资金归还情况通知</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9"/>
                <w:sz w:val="18"/>
                <w:szCs w:val="18"/>
              </w:rPr>
              <w:t> </w:t>
            </w:r>
            <w:r>
              <w:rPr>
                <w:rFonts w:ascii="宋体" w:hAnsi="宋体" w:cs="宋体" w:eastAsia="宋体" w:hint="default"/>
                <w:sz w:val="18"/>
                <w:szCs w:val="18"/>
              </w:rPr>
              <w:t>万元暂时补充流动资金已一次性归还完毕。</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日，公司第五届董事会第九次会议审议通过了《使用部分超募资金永久补充流动资金》，同意使用超募资金</w:t>
            </w:r>
            <w:r>
              <w:rPr>
                <w:rFonts w:ascii="宋体" w:hAnsi="宋体" w:cs="宋体" w:eastAsia="宋体" w:hint="default"/>
                <w:spacing w:val="-46"/>
                <w:sz w:val="18"/>
                <w:szCs w:val="18"/>
              </w:rPr>
              <w:t> </w:t>
            </w:r>
            <w:r>
              <w:rPr>
                <w:rFonts w:ascii="Arial" w:hAnsi="Arial" w:cs="Arial" w:eastAsia="Arial" w:hint="default"/>
                <w:sz w:val="18"/>
                <w:szCs w:val="18"/>
              </w:rPr>
              <w:t>3,000</w:t>
            </w:r>
            <w:r>
              <w:rPr>
                <w:rFonts w:ascii="Arial" w:hAnsi="Arial" w:cs="Arial" w:eastAsia="Arial" w:hint="default"/>
                <w:spacing w:val="-8"/>
                <w:sz w:val="18"/>
                <w:szCs w:val="18"/>
              </w:rPr>
              <w:t> </w:t>
            </w:r>
            <w:r>
              <w:rPr>
                <w:rFonts w:ascii="宋体" w:hAnsi="宋体" w:cs="宋体" w:eastAsia="宋体" w:hint="default"/>
                <w:sz w:val="18"/>
                <w:szCs w:val="18"/>
              </w:rPr>
              <w:t>万元用</w:t>
            </w:r>
          </w:p>
        </w:tc>
      </w:tr>
      <w:tr>
        <w:trPr>
          <w:trHeight w:val="327"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于永久补充流动资金。</w:t>
            </w:r>
          </w:p>
        </w:tc>
      </w:tr>
      <w:tr>
        <w:trPr>
          <w:trHeight w:val="33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日，公司第五届董事会第十三次会议审议通过了《关于部分募投项目结项并将结余资金转超募资金的议案》，同意将公司</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募投项目“商业智能分析应用平台”和“华宇政务应用支撑和研发平台”的结余募集资金</w:t>
            </w:r>
            <w:r>
              <w:rPr>
                <w:rFonts w:ascii="宋体" w:hAnsi="宋体" w:cs="宋体" w:eastAsia="宋体" w:hint="default"/>
                <w:spacing w:val="-48"/>
                <w:sz w:val="18"/>
                <w:szCs w:val="18"/>
              </w:rPr>
              <w:t> </w:t>
            </w:r>
            <w:r>
              <w:rPr>
                <w:rFonts w:ascii="Arial" w:hAnsi="Arial" w:cs="Arial" w:eastAsia="Arial" w:hint="default"/>
                <w:sz w:val="18"/>
                <w:szCs w:val="18"/>
              </w:rPr>
              <w:t>2,300.32</w:t>
            </w:r>
            <w:r>
              <w:rPr>
                <w:rFonts w:ascii="Arial" w:hAnsi="Arial" w:cs="Arial" w:eastAsia="Arial" w:hint="default"/>
                <w:spacing w:val="-10"/>
                <w:sz w:val="18"/>
                <w:szCs w:val="18"/>
              </w:rPr>
              <w:t> </w:t>
            </w:r>
            <w:r>
              <w:rPr>
                <w:rFonts w:ascii="宋体" w:hAnsi="宋体" w:cs="宋体" w:eastAsia="宋体" w:hint="default"/>
                <w:sz w:val="18"/>
                <w:szCs w:val="18"/>
              </w:rPr>
              <w:t>万元（含利息收入）转为超募资金管理。</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日，公司第五届董事会第十四次会议通过《关于使用超募资金参股深圳市捷视飞通科技有限公司的议案》，同意使用超募</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9"/>
                <w:sz w:val="18"/>
                <w:szCs w:val="18"/>
              </w:rPr>
              <w:t> </w:t>
            </w:r>
            <w:r>
              <w:rPr>
                <w:rFonts w:ascii="宋体" w:hAnsi="宋体" w:cs="宋体" w:eastAsia="宋体" w:hint="default"/>
                <w:sz w:val="18"/>
                <w:szCs w:val="18"/>
              </w:rPr>
              <w:t>万元以增资的形式投资深圳市捷视飞通科技有限公司。</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63"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9</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15</w:t>
            </w:r>
            <w:r>
              <w:rPr>
                <w:rFonts w:ascii="Arial" w:hAnsi="Arial" w:cs="Arial" w:eastAsia="Arial" w:hint="default"/>
                <w:spacing w:val="-12"/>
                <w:sz w:val="18"/>
                <w:szCs w:val="18"/>
              </w:rPr>
              <w:t> </w:t>
            </w:r>
            <w:r>
              <w:rPr>
                <w:rFonts w:ascii="宋体" w:hAnsi="宋体" w:cs="宋体" w:eastAsia="宋体" w:hint="default"/>
                <w:sz w:val="18"/>
                <w:szCs w:val="18"/>
              </w:rPr>
              <w:t>日，公司第五届董事会第十四次会议决议审议通过《关于使用部分超募资金支付公司发行股份及支付现金购买资产现金对</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价的议案》，同意以发行股份及支付现金的方式购买马勤等</w:t>
            </w:r>
            <w:r>
              <w:rPr>
                <w:rFonts w:ascii="宋体" w:hAnsi="宋体" w:cs="宋体" w:eastAsia="宋体" w:hint="default"/>
                <w:spacing w:val="-47"/>
                <w:sz w:val="18"/>
                <w:szCs w:val="18"/>
              </w:rPr>
              <w:t> </w:t>
            </w:r>
            <w:r>
              <w:rPr>
                <w:rFonts w:ascii="Arial" w:hAnsi="Arial" w:cs="Arial" w:eastAsia="Arial" w:hint="default"/>
                <w:spacing w:val="-6"/>
                <w:sz w:val="18"/>
                <w:szCs w:val="18"/>
              </w:rPr>
              <w:t>11</w:t>
            </w:r>
            <w:r>
              <w:rPr>
                <w:rFonts w:ascii="Arial" w:hAnsi="Arial" w:cs="Arial" w:eastAsia="Arial" w:hint="default"/>
                <w:spacing w:val="-11"/>
                <w:sz w:val="18"/>
                <w:szCs w:val="18"/>
              </w:rPr>
              <w:t> </w:t>
            </w:r>
            <w:r>
              <w:rPr>
                <w:rFonts w:ascii="宋体" w:hAnsi="宋体" w:cs="宋体" w:eastAsia="宋体" w:hint="default"/>
                <w:sz w:val="18"/>
                <w:szCs w:val="18"/>
              </w:rPr>
              <w:t>名交易对方合计持有的上海浦东中软科技发展有限公司</w:t>
            </w:r>
            <w:r>
              <w:rPr>
                <w:rFonts w:ascii="宋体" w:hAnsi="宋体" w:cs="宋体" w:eastAsia="宋体" w:hint="default"/>
                <w:spacing w:val="-47"/>
                <w:sz w:val="18"/>
                <w:szCs w:val="18"/>
              </w:rPr>
              <w:t> </w:t>
            </w:r>
            <w:r>
              <w:rPr>
                <w:rFonts w:ascii="Arial" w:hAnsi="Arial" w:cs="Arial" w:eastAsia="Arial" w:hint="default"/>
                <w:sz w:val="18"/>
                <w:szCs w:val="18"/>
              </w:rPr>
              <w:t>90.185%</w:t>
            </w:r>
            <w:r>
              <w:rPr>
                <w:rFonts w:ascii="宋体" w:hAnsi="宋体" w:cs="宋体" w:eastAsia="宋体" w:hint="default"/>
                <w:sz w:val="18"/>
                <w:szCs w:val="18"/>
              </w:rPr>
              <w:t>股权，交易总额为</w:t>
            </w:r>
          </w:p>
        </w:tc>
      </w:tr>
      <w:tr>
        <w:trPr>
          <w:trHeight w:val="33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Arial" w:hAnsi="Arial" w:cs="Arial" w:eastAsia="Arial" w:hint="default"/>
                <w:sz w:val="18"/>
                <w:szCs w:val="18"/>
              </w:rPr>
              <w:t>13,527.75</w:t>
            </w:r>
            <w:r>
              <w:rPr>
                <w:rFonts w:ascii="Arial" w:hAnsi="Arial" w:cs="Arial" w:eastAsia="Arial" w:hint="default"/>
                <w:spacing w:val="-10"/>
                <w:sz w:val="18"/>
                <w:szCs w:val="18"/>
              </w:rPr>
              <w:t> </w:t>
            </w:r>
            <w:r>
              <w:rPr>
                <w:rFonts w:ascii="宋体" w:hAnsi="宋体" w:cs="宋体" w:eastAsia="宋体" w:hint="default"/>
                <w:sz w:val="18"/>
                <w:szCs w:val="18"/>
              </w:rPr>
              <w:t>万元，其中使用超募资金</w:t>
            </w:r>
            <w:r>
              <w:rPr>
                <w:rFonts w:ascii="宋体" w:hAnsi="宋体" w:cs="宋体" w:eastAsia="宋体" w:hint="default"/>
                <w:spacing w:val="-48"/>
                <w:sz w:val="18"/>
                <w:szCs w:val="18"/>
              </w:rPr>
              <w:t> </w:t>
            </w:r>
            <w:r>
              <w:rPr>
                <w:rFonts w:ascii="Arial" w:hAnsi="Arial" w:cs="Arial" w:eastAsia="Arial" w:hint="default"/>
                <w:sz w:val="18"/>
                <w:szCs w:val="18"/>
              </w:rPr>
              <w:t>5,500</w:t>
            </w:r>
            <w:r>
              <w:rPr>
                <w:rFonts w:ascii="Arial" w:hAnsi="Arial" w:cs="Arial" w:eastAsia="Arial" w:hint="default"/>
                <w:spacing w:val="-10"/>
                <w:sz w:val="18"/>
                <w:szCs w:val="18"/>
              </w:rPr>
              <w:t> </w:t>
            </w:r>
            <w:r>
              <w:rPr>
                <w:rFonts w:ascii="宋体" w:hAnsi="宋体" w:cs="宋体" w:eastAsia="宋体" w:hint="default"/>
                <w:sz w:val="18"/>
                <w:szCs w:val="18"/>
              </w:rPr>
              <w:t>万元支付本次交易的部分现金对价，不足部分由公司以自有资金支付。</w:t>
            </w:r>
          </w:p>
        </w:tc>
      </w:tr>
      <w:tr>
        <w:trPr>
          <w:trHeight w:val="331"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Arial" w:hAnsi="Arial" w:cs="Arial" w:eastAsia="Arial" w:hint="default"/>
                <w:spacing w:val="-4"/>
                <w:sz w:val="18"/>
                <w:szCs w:val="18"/>
              </w:rPr>
              <w:t>11</w:t>
            </w:r>
            <w:r>
              <w:rPr>
                <w:rFonts w:ascii="宋体" w:hAnsi="宋体" w:cs="宋体" w:eastAsia="宋体" w:hint="default"/>
                <w:spacing w:val="-4"/>
                <w:sz w:val="18"/>
                <w:szCs w:val="18"/>
              </w:rPr>
              <w:t>、</w:t>
            </w:r>
            <w:r>
              <w:rPr>
                <w:rFonts w:ascii="Arial" w:hAnsi="Arial" w:cs="Arial" w:eastAsia="Arial" w:hint="default"/>
                <w:spacing w:val="-4"/>
                <w:sz w:val="18"/>
                <w:szCs w:val="18"/>
              </w:rPr>
              <w:t>2016</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4</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25</w:t>
            </w:r>
            <w:r>
              <w:rPr>
                <w:rFonts w:ascii="Arial" w:hAnsi="Arial" w:cs="Arial" w:eastAsia="Arial" w:hint="default"/>
                <w:spacing w:val="-11"/>
                <w:sz w:val="18"/>
                <w:szCs w:val="18"/>
              </w:rPr>
              <w:t> </w:t>
            </w:r>
            <w:r>
              <w:rPr>
                <w:rFonts w:ascii="宋体" w:hAnsi="宋体" w:cs="宋体" w:eastAsia="宋体" w:hint="default"/>
                <w:sz w:val="18"/>
                <w:szCs w:val="18"/>
              </w:rPr>
              <w:t>日，公司第五届董事会第二十五次会议决议审议通过了《使用</w:t>
            </w:r>
            <w:r>
              <w:rPr>
                <w:rFonts w:ascii="宋体" w:hAnsi="宋体" w:cs="宋体" w:eastAsia="宋体" w:hint="default"/>
                <w:spacing w:val="-54"/>
                <w:sz w:val="18"/>
                <w:szCs w:val="18"/>
              </w:rPr>
              <w:t> </w:t>
            </w:r>
            <w:r>
              <w:rPr>
                <w:rFonts w:ascii="Arial" w:hAnsi="Arial" w:cs="Arial" w:eastAsia="Arial" w:hint="default"/>
                <w:sz w:val="18"/>
                <w:szCs w:val="18"/>
              </w:rPr>
              <w:t>IPO</w:t>
            </w:r>
            <w:r>
              <w:rPr>
                <w:rFonts w:ascii="Arial" w:hAnsi="Arial" w:cs="Arial" w:eastAsia="Arial" w:hint="default"/>
                <w:spacing w:val="-11"/>
                <w:sz w:val="18"/>
                <w:szCs w:val="18"/>
              </w:rPr>
              <w:t> </w:t>
            </w:r>
            <w:r>
              <w:rPr>
                <w:rFonts w:ascii="宋体" w:hAnsi="宋体" w:cs="宋体" w:eastAsia="宋体" w:hint="default"/>
                <w:sz w:val="18"/>
                <w:szCs w:val="18"/>
              </w:rPr>
              <w:t>超募资金项目节余资金永久补充流动资金的议案》，同</w:t>
            </w:r>
          </w:p>
        </w:tc>
      </w:tr>
      <w:tr>
        <w:trPr>
          <w:trHeight w:val="351"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意使用超募资金项目节余资金永久补充流动资金。</w:t>
            </w:r>
          </w:p>
        </w:tc>
      </w:tr>
    </w:tbl>
    <w:p>
      <w:pPr>
        <w:spacing w:after="0" w:line="240" w:lineRule="auto"/>
        <w:jc w:val="left"/>
        <w:rPr>
          <w:rFonts w:ascii="宋体" w:hAnsi="宋体" w:cs="宋体" w:eastAsia="宋体" w:hint="default"/>
          <w:sz w:val="18"/>
          <w:szCs w:val="18"/>
        </w:rPr>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2"/>
        <w:gridCol w:w="11751"/>
      </w:tblGrid>
      <w:tr>
        <w:trPr>
          <w:trHeight w:val="377" w:hRule="exact"/>
        </w:trPr>
        <w:tc>
          <w:tcPr>
            <w:tcW w:w="2412" w:type="dxa"/>
            <w:tcBorders>
              <w:top w:val="single" w:sz="16" w:space="0" w:color="000000"/>
              <w:left w:val="single" w:sz="4" w:space="0" w:color="000000"/>
              <w:bottom w:val="single" w:sz="4" w:space="0" w:color="000000"/>
              <w:right w:val="single" w:sz="4" w:space="0" w:color="000000"/>
            </w:tcBorders>
            <w:shd w:val="clear" w:color="auto" w:fill="D2D2D2"/>
          </w:tcPr>
          <w:p>
            <w:pPr/>
          </w:p>
        </w:tc>
        <w:tc>
          <w:tcPr>
            <w:tcW w:w="117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截止目前，以上计划已经实施完毕。</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2412" w:type="dxa"/>
            <w:vMerge/>
            <w:tcBorders>
              <w:left w:val="single" w:sz="4" w:space="0" w:color="000000"/>
              <w:right w:val="single" w:sz="4" w:space="0" w:color="000000"/>
            </w:tcBorders>
            <w:shd w:val="clear" w:color="auto" w:fill="D2D2D2"/>
          </w:tcPr>
          <w:p>
            <w:pP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2412" w:type="dxa"/>
            <w:vMerge/>
            <w:tcBorders>
              <w:left w:val="single" w:sz="4" w:space="0" w:color="000000"/>
              <w:bottom w:val="single" w:sz="4" w:space="0" w:color="000000"/>
              <w:right w:val="single" w:sz="4" w:space="0" w:color="000000"/>
            </w:tcBorders>
            <w:shd w:val="clear" w:color="auto" w:fill="D2D2D2"/>
          </w:tcPr>
          <w:p>
            <w:pP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年第一次临时股东大会审议通过，“信息应用运维管理与服务系统”项目变更由公司全资子公司华宇信息实施。该项目拟使用募</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集资金投资额为</w:t>
            </w:r>
            <w:r>
              <w:rPr>
                <w:rFonts w:ascii="宋体" w:hAnsi="宋体" w:cs="宋体" w:eastAsia="宋体" w:hint="default"/>
                <w:spacing w:val="-48"/>
                <w:sz w:val="18"/>
                <w:szCs w:val="18"/>
              </w:rPr>
              <w:t> </w:t>
            </w:r>
            <w:r>
              <w:rPr>
                <w:rFonts w:ascii="Arial" w:hAnsi="Arial" w:cs="Arial" w:eastAsia="Arial" w:hint="default"/>
                <w:sz w:val="18"/>
                <w:szCs w:val="18"/>
              </w:rPr>
              <w:t>3,452.72</w:t>
            </w:r>
            <w:r>
              <w:rPr>
                <w:rFonts w:ascii="Arial" w:hAnsi="Arial" w:cs="Arial" w:eastAsia="Arial" w:hint="default"/>
                <w:spacing w:val="-10"/>
                <w:sz w:val="18"/>
                <w:szCs w:val="18"/>
              </w:rPr>
              <w:t> </w:t>
            </w:r>
            <w:r>
              <w:rPr>
                <w:rFonts w:ascii="宋体" w:hAnsi="宋体" w:cs="宋体" w:eastAsia="宋体" w:hint="default"/>
                <w:sz w:val="18"/>
                <w:szCs w:val="18"/>
              </w:rPr>
              <w:t>万元，由公司以增资的方式注入华宇信息并全部用于该项目的建设。</w:t>
            </w:r>
          </w:p>
        </w:tc>
      </w:tr>
      <w:tr>
        <w:trPr>
          <w:trHeight w:val="402" w:hRule="exact"/>
        </w:trPr>
        <w:tc>
          <w:tcPr>
            <w:tcW w:w="2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2412" w:type="dxa"/>
            <w:vMerge/>
            <w:tcBorders>
              <w:left w:val="single" w:sz="4" w:space="0" w:color="000000"/>
              <w:bottom w:val="single" w:sz="4" w:space="0" w:color="000000"/>
              <w:right w:val="single" w:sz="4" w:space="0" w:color="000000"/>
            </w:tcBorders>
            <w:shd w:val="clear" w:color="auto" w:fill="D2D2D2"/>
          </w:tcPr>
          <w:p>
            <w:pP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01" w:firstLine="360"/>
              <w:jc w:val="left"/>
              <w:rPr>
                <w:rFonts w:ascii="宋体" w:hAnsi="宋体" w:cs="宋体" w:eastAsia="宋体" w:hint="default"/>
                <w:sz w:val="18"/>
                <w:szCs w:val="18"/>
              </w:rPr>
            </w:pPr>
            <w:r>
              <w:rPr>
                <w:rFonts w:ascii="Arial" w:hAnsi="Arial" w:cs="Arial" w:eastAsia="Arial" w:hint="default"/>
                <w:spacing w:val="-2"/>
                <w:sz w:val="18"/>
                <w:szCs w:val="18"/>
              </w:rPr>
              <w:t>1</w:t>
            </w:r>
            <w:r>
              <w:rPr>
                <w:rFonts w:ascii="宋体" w:hAnsi="宋体" w:cs="宋体" w:eastAsia="宋体" w:hint="default"/>
                <w:spacing w:val="-2"/>
                <w:sz w:val="18"/>
                <w:szCs w:val="18"/>
              </w:rPr>
              <w:t>、首次公开发行股票募集资金：为加快项目建设以满足公司发展需要，在募集资金到位前公司先行以自筹资金支付数字法院智能管理系统项目</w:t>
            </w:r>
            <w:r>
              <w:rPr>
                <w:rFonts w:ascii="宋体" w:hAnsi="宋体" w:cs="宋体" w:eastAsia="宋体" w:hint="default"/>
                <w:sz w:val="18"/>
                <w:szCs w:val="18"/>
              </w:rPr>
              <w:t> 款项</w:t>
            </w:r>
            <w:r>
              <w:rPr>
                <w:rFonts w:ascii="宋体" w:hAnsi="宋体" w:cs="宋体" w:eastAsia="宋体" w:hint="default"/>
                <w:spacing w:val="-47"/>
                <w:sz w:val="18"/>
                <w:szCs w:val="18"/>
              </w:rPr>
              <w:t> </w:t>
            </w:r>
            <w:r>
              <w:rPr>
                <w:rFonts w:ascii="Arial" w:hAnsi="Arial" w:cs="Arial" w:eastAsia="Arial" w:hint="default"/>
                <w:sz w:val="18"/>
                <w:szCs w:val="18"/>
              </w:rPr>
              <w:t>2647.99</w:t>
            </w:r>
            <w:r>
              <w:rPr>
                <w:rFonts w:ascii="Arial" w:hAnsi="Arial" w:cs="Arial" w:eastAsia="Arial" w:hint="default"/>
                <w:spacing w:val="-11"/>
                <w:sz w:val="18"/>
                <w:szCs w:val="18"/>
              </w:rPr>
              <w:t> </w:t>
            </w:r>
            <w:r>
              <w:rPr>
                <w:rFonts w:ascii="宋体" w:hAnsi="宋体" w:cs="宋体" w:eastAsia="宋体" w:hint="default"/>
                <w:sz w:val="18"/>
                <w:szCs w:val="18"/>
              </w:rPr>
              <w:t>万元、电子检务管理系统项目款项</w:t>
            </w:r>
            <w:r>
              <w:rPr>
                <w:rFonts w:ascii="宋体" w:hAnsi="宋体" w:cs="宋体" w:eastAsia="宋体" w:hint="default"/>
                <w:spacing w:val="-47"/>
                <w:sz w:val="18"/>
                <w:szCs w:val="18"/>
              </w:rPr>
              <w:t> </w:t>
            </w:r>
            <w:r>
              <w:rPr>
                <w:rFonts w:ascii="Arial" w:hAnsi="Arial" w:cs="Arial" w:eastAsia="Arial" w:hint="default"/>
                <w:sz w:val="18"/>
                <w:szCs w:val="18"/>
              </w:rPr>
              <w:t>2320.67</w:t>
            </w:r>
            <w:r>
              <w:rPr>
                <w:rFonts w:ascii="Arial" w:hAnsi="Arial" w:cs="Arial" w:eastAsia="Arial" w:hint="default"/>
                <w:spacing w:val="-9"/>
                <w:sz w:val="18"/>
                <w:szCs w:val="18"/>
              </w:rPr>
              <w:t> </w:t>
            </w:r>
            <w:r>
              <w:rPr>
                <w:rFonts w:ascii="宋体" w:hAnsi="宋体" w:cs="宋体" w:eastAsia="宋体" w:hint="default"/>
                <w:sz w:val="18"/>
                <w:szCs w:val="18"/>
              </w:rPr>
              <w:t>万元、商业智能分析应用平台项目款项</w:t>
            </w:r>
            <w:r>
              <w:rPr>
                <w:rFonts w:ascii="宋体" w:hAnsi="宋体" w:cs="宋体" w:eastAsia="宋体" w:hint="default"/>
                <w:spacing w:val="-47"/>
                <w:sz w:val="18"/>
                <w:szCs w:val="18"/>
              </w:rPr>
              <w:t> </w:t>
            </w:r>
            <w:r>
              <w:rPr>
                <w:rFonts w:ascii="Arial" w:hAnsi="Arial" w:cs="Arial" w:eastAsia="Arial" w:hint="default"/>
                <w:sz w:val="18"/>
                <w:szCs w:val="18"/>
              </w:rPr>
              <w:t>154.71</w:t>
            </w:r>
            <w:r>
              <w:rPr>
                <w:rFonts w:ascii="Arial" w:hAnsi="Arial" w:cs="Arial" w:eastAsia="Arial" w:hint="default"/>
                <w:spacing w:val="-9"/>
                <w:sz w:val="18"/>
                <w:szCs w:val="18"/>
              </w:rPr>
              <w:t> </w:t>
            </w:r>
            <w:r>
              <w:rPr>
                <w:rFonts w:ascii="宋体" w:hAnsi="宋体" w:cs="宋体" w:eastAsia="宋体" w:hint="default"/>
                <w:sz w:val="18"/>
                <w:szCs w:val="18"/>
              </w:rPr>
              <w:t>万元、华宇政务应用支撑和研发平台项目</w:t>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款项</w:t>
            </w:r>
            <w:r>
              <w:rPr>
                <w:rFonts w:ascii="宋体" w:hAnsi="宋体" w:cs="宋体" w:eastAsia="宋体" w:hint="default"/>
                <w:spacing w:val="-48"/>
                <w:sz w:val="18"/>
                <w:szCs w:val="18"/>
              </w:rPr>
              <w:t> </w:t>
            </w:r>
            <w:r>
              <w:rPr>
                <w:rFonts w:ascii="Arial" w:hAnsi="Arial" w:cs="Arial" w:eastAsia="Arial" w:hint="default"/>
                <w:sz w:val="18"/>
                <w:szCs w:val="18"/>
              </w:rPr>
              <w:t>157.97</w:t>
            </w:r>
            <w:r>
              <w:rPr>
                <w:rFonts w:ascii="Arial" w:hAnsi="Arial" w:cs="Arial" w:eastAsia="Arial" w:hint="default"/>
                <w:spacing w:val="-10"/>
                <w:sz w:val="18"/>
                <w:szCs w:val="18"/>
              </w:rPr>
              <w:t> </w:t>
            </w:r>
            <w:r>
              <w:rPr>
                <w:rFonts w:ascii="宋体" w:hAnsi="宋体" w:cs="宋体" w:eastAsia="宋体" w:hint="default"/>
                <w:spacing w:val="-3"/>
                <w:sz w:val="18"/>
                <w:szCs w:val="18"/>
              </w:rPr>
              <w:t>万元。</w:t>
            </w:r>
            <w:r>
              <w:rPr>
                <w:rFonts w:ascii="Arial" w:hAnsi="Arial" w:cs="Arial" w:eastAsia="Arial" w:hint="default"/>
                <w:spacing w:val="-3"/>
                <w:sz w:val="18"/>
                <w:szCs w:val="18"/>
              </w:rPr>
              <w:t>2011</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r>
              <w:rPr>
                <w:rFonts w:ascii="Arial" w:hAnsi="Arial" w:cs="Arial" w:eastAsia="Arial" w:hint="default"/>
                <w:spacing w:val="-10"/>
                <w:sz w:val="18"/>
                <w:szCs w:val="18"/>
              </w:rPr>
              <w:t> </w:t>
            </w:r>
            <w:r>
              <w:rPr>
                <w:rFonts w:ascii="宋体" w:hAnsi="宋体" w:cs="宋体" w:eastAsia="宋体" w:hint="default"/>
                <w:sz w:val="18"/>
                <w:szCs w:val="18"/>
              </w:rPr>
              <w:t>日，公司第四届董事会第十次会议审核通过了《关于用募集资金置换预先已投入募集资金项目的自筹资金的议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案》，同意公司用募集资金</w:t>
            </w:r>
            <w:r>
              <w:rPr>
                <w:rFonts w:ascii="宋体" w:hAnsi="宋体" w:cs="宋体" w:eastAsia="宋体" w:hint="default"/>
                <w:spacing w:val="-47"/>
                <w:sz w:val="18"/>
                <w:szCs w:val="18"/>
              </w:rPr>
              <w:t> </w:t>
            </w:r>
            <w:r>
              <w:rPr>
                <w:rFonts w:ascii="Arial" w:hAnsi="Arial" w:cs="Arial" w:eastAsia="Arial" w:hint="default"/>
                <w:sz w:val="18"/>
                <w:szCs w:val="18"/>
              </w:rPr>
              <w:t>5281.34</w:t>
            </w:r>
            <w:r>
              <w:rPr>
                <w:rFonts w:ascii="Arial" w:hAnsi="Arial" w:cs="Arial" w:eastAsia="Arial" w:hint="default"/>
                <w:spacing w:val="-11"/>
                <w:sz w:val="18"/>
                <w:szCs w:val="18"/>
              </w:rPr>
              <w:t> </w:t>
            </w:r>
            <w:r>
              <w:rPr>
                <w:rFonts w:ascii="宋体" w:hAnsi="宋体" w:cs="宋体" w:eastAsia="宋体" w:hint="default"/>
                <w:sz w:val="18"/>
                <w:szCs w:val="18"/>
              </w:rPr>
              <w:t>万元置换预先已投入募集资金投资项目的自筹资金。目前，相关资金已完成置换。</w:t>
            </w:r>
          </w:p>
          <w:p>
            <w:pPr>
              <w:pStyle w:val="TableParagraph"/>
              <w:spacing w:line="302" w:lineRule="auto" w:before="104"/>
              <w:ind w:left="103" w:right="101"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年非公开发行股票募集资金：在资金到位前公司先行以自筹资金支付新一代法律</w:t>
            </w:r>
            <w:r>
              <w:rPr>
                <w:rFonts w:ascii="宋体" w:hAnsi="宋体" w:cs="宋体" w:eastAsia="宋体" w:hint="default"/>
                <w:spacing w:val="-48"/>
                <w:sz w:val="18"/>
                <w:szCs w:val="18"/>
              </w:rPr>
              <w:t> </w:t>
            </w:r>
            <w:r>
              <w:rPr>
                <w:rFonts w:ascii="Arial" w:hAnsi="Arial" w:cs="Arial" w:eastAsia="Arial" w:hint="default"/>
                <w:sz w:val="18"/>
                <w:szCs w:val="18"/>
              </w:rPr>
              <w:t>AI</w:t>
            </w:r>
            <w:r>
              <w:rPr>
                <w:rFonts w:ascii="Arial" w:hAnsi="Arial" w:cs="Arial" w:eastAsia="Arial" w:hint="default"/>
                <w:spacing w:val="34"/>
                <w:sz w:val="18"/>
                <w:szCs w:val="18"/>
              </w:rPr>
              <w:t> </w:t>
            </w:r>
            <w:r>
              <w:rPr>
                <w:rFonts w:ascii="宋体" w:hAnsi="宋体" w:cs="宋体" w:eastAsia="宋体" w:hint="default"/>
                <w:sz w:val="18"/>
                <w:szCs w:val="18"/>
              </w:rPr>
              <w:t>平台建设项目</w:t>
            </w:r>
            <w:r>
              <w:rPr>
                <w:rFonts w:ascii="宋体" w:hAnsi="宋体" w:cs="宋体" w:eastAsia="宋体" w:hint="default"/>
                <w:spacing w:val="-48"/>
                <w:sz w:val="18"/>
                <w:szCs w:val="18"/>
              </w:rPr>
              <w:t> </w:t>
            </w:r>
            <w:r>
              <w:rPr>
                <w:rFonts w:ascii="Arial" w:hAnsi="Arial" w:cs="Arial" w:eastAsia="Arial" w:hint="default"/>
                <w:sz w:val="18"/>
                <w:szCs w:val="18"/>
              </w:rPr>
              <w:t>5,978.26</w:t>
            </w:r>
            <w:r>
              <w:rPr>
                <w:rFonts w:ascii="Arial" w:hAnsi="Arial" w:cs="Arial" w:eastAsia="Arial" w:hint="default"/>
                <w:spacing w:val="-10"/>
                <w:sz w:val="18"/>
                <w:szCs w:val="18"/>
              </w:rPr>
              <w:t> </w:t>
            </w:r>
            <w:r>
              <w:rPr>
                <w:rFonts w:ascii="宋体" w:hAnsi="宋体" w:cs="宋体" w:eastAsia="宋体" w:hint="default"/>
                <w:sz w:val="18"/>
                <w:szCs w:val="18"/>
              </w:rPr>
              <w:t>万元、安全可靠软件适配 研发及集成测试中心建设项目</w:t>
            </w:r>
            <w:r>
              <w:rPr>
                <w:rFonts w:ascii="宋体" w:hAnsi="宋体" w:cs="宋体" w:eastAsia="宋体" w:hint="default"/>
                <w:spacing w:val="-47"/>
                <w:sz w:val="18"/>
                <w:szCs w:val="18"/>
              </w:rPr>
              <w:t> </w:t>
            </w:r>
            <w:r>
              <w:rPr>
                <w:rFonts w:ascii="Arial" w:hAnsi="Arial" w:cs="Arial" w:eastAsia="Arial" w:hint="default"/>
                <w:sz w:val="18"/>
                <w:szCs w:val="18"/>
              </w:rPr>
              <w:t>1,966.52</w:t>
            </w:r>
            <w:r>
              <w:rPr>
                <w:rFonts w:ascii="Arial" w:hAnsi="Arial" w:cs="Arial" w:eastAsia="Arial" w:hint="default"/>
                <w:spacing w:val="-9"/>
                <w:sz w:val="18"/>
                <w:szCs w:val="18"/>
              </w:rPr>
              <w:t> </w:t>
            </w:r>
            <w:r>
              <w:rPr>
                <w:rFonts w:ascii="宋体" w:hAnsi="宋体" w:cs="宋体" w:eastAsia="宋体" w:hint="default"/>
                <w:sz w:val="18"/>
                <w:szCs w:val="18"/>
              </w:rPr>
              <w:t>万元、基于数据驱动的智慧市场监管平台建设项目</w:t>
            </w:r>
            <w:r>
              <w:rPr>
                <w:rFonts w:ascii="宋体" w:hAnsi="宋体" w:cs="宋体" w:eastAsia="宋体" w:hint="default"/>
                <w:spacing w:val="-47"/>
                <w:sz w:val="18"/>
                <w:szCs w:val="18"/>
              </w:rPr>
              <w:t> </w:t>
            </w:r>
            <w:r>
              <w:rPr>
                <w:rFonts w:ascii="Arial" w:hAnsi="Arial" w:cs="Arial" w:eastAsia="Arial" w:hint="default"/>
                <w:sz w:val="18"/>
                <w:szCs w:val="18"/>
              </w:rPr>
              <w:t>535.62</w:t>
            </w:r>
            <w:r>
              <w:rPr>
                <w:rFonts w:ascii="Arial" w:hAnsi="Arial" w:cs="Arial" w:eastAsia="Arial" w:hint="default"/>
                <w:spacing w:val="-9"/>
                <w:sz w:val="18"/>
                <w:szCs w:val="18"/>
              </w:rPr>
              <w:t> </w:t>
            </w:r>
            <w:r>
              <w:rPr>
                <w:rFonts w:ascii="宋体" w:hAnsi="宋体" w:cs="宋体" w:eastAsia="宋体" w:hint="default"/>
                <w:sz w:val="18"/>
                <w:szCs w:val="18"/>
              </w:rPr>
              <w:t>万元。</w:t>
            </w: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9"/>
                <w:sz w:val="18"/>
                <w:szCs w:val="18"/>
              </w:rPr>
              <w:t> </w:t>
            </w:r>
            <w:r>
              <w:rPr>
                <w:rFonts w:ascii="宋体" w:hAnsi="宋体" w:cs="宋体" w:eastAsia="宋体" w:hint="default"/>
                <w:sz w:val="18"/>
                <w:szCs w:val="18"/>
              </w:rPr>
              <w:t>日，公司第六届董事会第</w:t>
            </w:r>
          </w:p>
          <w:p>
            <w:pPr>
              <w:pStyle w:val="TableParagraph"/>
              <w:spacing w:line="302"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四十四次会议审议通过了《关于使用募集资金置换前期已投入募投项目自筹资金的议案》，同意公司用募集资金置换</w:t>
            </w:r>
            <w:r>
              <w:rPr>
                <w:rFonts w:ascii="宋体" w:hAnsi="宋体" w:cs="宋体" w:eastAsia="宋体" w:hint="default"/>
                <w:spacing w:val="-72"/>
                <w:sz w:val="18"/>
                <w:szCs w:val="18"/>
              </w:rPr>
              <w:t> </w:t>
            </w:r>
            <w:r>
              <w:rPr>
                <w:rFonts w:ascii="Arial" w:hAnsi="Arial" w:cs="Arial" w:eastAsia="Arial" w:hint="default"/>
                <w:sz w:val="18"/>
                <w:szCs w:val="18"/>
              </w:rPr>
              <w:t>8,480.40</w:t>
            </w:r>
            <w:r>
              <w:rPr>
                <w:rFonts w:ascii="Arial" w:hAnsi="Arial" w:cs="Arial" w:eastAsia="Arial" w:hint="default"/>
                <w:spacing w:val="-32"/>
                <w:sz w:val="18"/>
                <w:szCs w:val="18"/>
              </w:rPr>
              <w:t> </w:t>
            </w:r>
            <w:r>
              <w:rPr>
                <w:rFonts w:ascii="宋体" w:hAnsi="宋体" w:cs="宋体" w:eastAsia="宋体" w:hint="default"/>
                <w:sz w:val="18"/>
                <w:szCs w:val="18"/>
              </w:rPr>
              <w:t>万元预先已投入募集 资金投资项目的自筹资金。目前，相关资金已完成置换。</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37"/>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0"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footerReference w:type="default" r:id="rId17"/>
          <w:pgSz w:w="16840" w:h="11910" w:orient="landscape"/>
          <w:pgMar w:footer="1016" w:header="868" w:top="1060" w:bottom="1200" w:left="1220" w:right="1220"/>
          <w:pgNumType w:start="4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2"/>
        <w:gridCol w:w="11751"/>
      </w:tblGrid>
      <w:tr>
        <w:trPr>
          <w:trHeight w:val="397" w:hRule="exact"/>
        </w:trPr>
        <w:tc>
          <w:tcPr>
            <w:tcW w:w="2412" w:type="dxa"/>
            <w:tcBorders>
              <w:top w:val="single" w:sz="16" w:space="0" w:color="000000"/>
              <w:left w:val="single" w:sz="4" w:space="0" w:color="000000"/>
              <w:bottom w:val="nil" w:sz="6" w:space="0" w:color="auto"/>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的金额及原因</w:t>
            </w:r>
          </w:p>
        </w:tc>
        <w:tc>
          <w:tcPr>
            <w:tcW w:w="1175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、首次公开发行股票募集资金：</w:t>
            </w:r>
          </w:p>
        </w:tc>
      </w:tr>
      <w:tr>
        <w:trPr>
          <w:trHeight w:val="328"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16"/>
              <w:jc w:val="right"/>
              <w:rPr>
                <w:rFonts w:ascii="宋体" w:hAnsi="宋体" w:cs="宋体" w:eastAsia="宋体" w:hint="default"/>
                <w:sz w:val="18"/>
                <w:szCs w:val="18"/>
              </w:rPr>
            </w:pPr>
            <w:r>
              <w:rPr>
                <w:rFonts w:ascii="宋体" w:hAnsi="宋体" w:cs="宋体" w:eastAsia="宋体" w:hint="default"/>
                <w:sz w:val="18"/>
                <w:szCs w:val="18"/>
              </w:rPr>
              <w:t>公司募投项目“数字法院智能管理系统”、“电子检务管理系统”、“信息应用运维管理与服务系统”、“商业智能分析应用平台”、“华宇</w:t>
            </w:r>
          </w:p>
        </w:tc>
      </w:tr>
      <w:tr>
        <w:trPr>
          <w:trHeight w:val="31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政务应用支撑和研发平台”已按照计划时间结项，共使用募集资金</w:t>
            </w:r>
            <w:r>
              <w:rPr>
                <w:rFonts w:ascii="宋体" w:hAnsi="宋体" w:cs="宋体" w:eastAsia="宋体" w:hint="default"/>
                <w:spacing w:val="-51"/>
                <w:sz w:val="18"/>
                <w:szCs w:val="18"/>
              </w:rPr>
              <w:t> </w:t>
            </w:r>
            <w:r>
              <w:rPr>
                <w:rFonts w:ascii="Arial" w:hAnsi="Arial" w:cs="Arial" w:eastAsia="Arial" w:hint="default"/>
                <w:sz w:val="18"/>
                <w:szCs w:val="18"/>
              </w:rPr>
              <w:t>14,499.95</w:t>
            </w:r>
            <w:r>
              <w:rPr>
                <w:rFonts w:ascii="Arial" w:hAnsi="Arial" w:cs="Arial" w:eastAsia="Arial" w:hint="default"/>
                <w:spacing w:val="-10"/>
                <w:sz w:val="18"/>
                <w:szCs w:val="18"/>
              </w:rPr>
              <w:t> </w:t>
            </w:r>
            <w:r>
              <w:rPr>
                <w:rFonts w:ascii="宋体" w:hAnsi="宋体" w:cs="宋体" w:eastAsia="宋体" w:hint="default"/>
                <w:sz w:val="18"/>
                <w:szCs w:val="18"/>
              </w:rPr>
              <w:t>万元，募集资金专户结余资金</w:t>
            </w:r>
            <w:r>
              <w:rPr>
                <w:rFonts w:ascii="宋体" w:hAnsi="宋体" w:cs="宋体" w:eastAsia="宋体" w:hint="default"/>
                <w:spacing w:val="-51"/>
                <w:sz w:val="18"/>
                <w:szCs w:val="18"/>
              </w:rPr>
              <w:t> </w:t>
            </w:r>
            <w:r>
              <w:rPr>
                <w:rFonts w:ascii="Arial" w:hAnsi="Arial" w:cs="Arial" w:eastAsia="Arial" w:hint="default"/>
                <w:sz w:val="18"/>
                <w:szCs w:val="18"/>
              </w:rPr>
              <w:t>5,650.97</w:t>
            </w:r>
            <w:r>
              <w:rPr>
                <w:rFonts w:ascii="Arial" w:hAnsi="Arial" w:cs="Arial" w:eastAsia="Arial" w:hint="default"/>
                <w:spacing w:val="-13"/>
                <w:sz w:val="18"/>
                <w:szCs w:val="18"/>
              </w:rPr>
              <w:t> </w:t>
            </w:r>
            <w:r>
              <w:rPr>
                <w:rFonts w:ascii="宋体" w:hAnsi="宋体" w:cs="宋体" w:eastAsia="宋体" w:hint="default"/>
                <w:spacing w:val="-3"/>
                <w:sz w:val="18"/>
                <w:szCs w:val="18"/>
              </w:rPr>
              <w:t>万元（含利息）。上述项目产</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1"/>
                <w:sz w:val="18"/>
                <w:szCs w:val="18"/>
              </w:rPr>
              <w:t>生结余资金，主要是设备投入、备用金较原计划减少导致。募投项目环境设备投入中，超过</w:t>
            </w:r>
            <w:r>
              <w:rPr>
                <w:rFonts w:ascii="宋体" w:hAnsi="宋体" w:cs="宋体" w:eastAsia="宋体" w:hint="default"/>
                <w:spacing w:val="-17"/>
                <w:sz w:val="18"/>
                <w:szCs w:val="18"/>
              </w:rPr>
              <w:t> </w:t>
            </w:r>
            <w:r>
              <w:rPr>
                <w:rFonts w:ascii="Arial" w:hAnsi="Arial" w:cs="Arial" w:eastAsia="Arial" w:hint="default"/>
                <w:spacing w:val="-1"/>
                <w:sz w:val="18"/>
                <w:szCs w:val="18"/>
              </w:rPr>
              <w:t>70%</w:t>
            </w:r>
            <w:r>
              <w:rPr>
                <w:rFonts w:ascii="宋体" w:hAnsi="宋体" w:cs="宋体" w:eastAsia="宋体" w:hint="default"/>
                <w:spacing w:val="-1"/>
                <w:sz w:val="18"/>
                <w:szCs w:val="18"/>
              </w:rPr>
              <w:t>的投入为研发支撑环境和交付测试环境。公司采用</w:t>
            </w:r>
          </w:p>
        </w:tc>
      </w:tr>
      <w:tr>
        <w:trPr>
          <w:trHeight w:val="308"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云计算、虚拟化等技术手段节省设备投资；国产设备厂商给予了应用开发商更多支持，减少了设备环境的投入；上述募投项目在执行过程中没有出</w:t>
            </w:r>
          </w:p>
        </w:tc>
      </w:tr>
      <w:tr>
        <w:trPr>
          <w:trHeight w:val="31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现意外、特殊情况，原预算中的预留备用金未予动用。</w:t>
            </w:r>
            <w:r>
              <w:rPr>
                <w:rFonts w:ascii="Arial" w:hAnsi="Arial" w:cs="Arial" w:eastAsia="Arial" w:hint="default"/>
                <w:sz w:val="18"/>
                <w:szCs w:val="18"/>
              </w:rPr>
              <w:t>2014</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29</w:t>
            </w:r>
            <w:r>
              <w:rPr>
                <w:rFonts w:ascii="Arial" w:hAnsi="Arial" w:cs="Arial" w:eastAsia="Arial" w:hint="default"/>
                <w:spacing w:val="-10"/>
                <w:sz w:val="18"/>
                <w:szCs w:val="18"/>
              </w:rPr>
              <w:t> </w:t>
            </w:r>
            <w:r>
              <w:rPr>
                <w:rFonts w:ascii="宋体" w:hAnsi="宋体" w:cs="宋体" w:eastAsia="宋体" w:hint="default"/>
                <w:sz w:val="18"/>
                <w:szCs w:val="18"/>
              </w:rPr>
              <w:t>日，公司第五届董事会第十一次会议审议通过了《关于部分募投项目结项并</w:t>
            </w:r>
          </w:p>
        </w:tc>
      </w:tr>
      <w:tr>
        <w:trPr>
          <w:trHeight w:val="308"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使用结余募集资金及利息永久补充流动资金的议案》，同意将公司募投项目“数字法院智能管理系统”、“电子检务管理系统”和“信息应用运维</w:t>
            </w:r>
          </w:p>
        </w:tc>
      </w:tr>
      <w:tr>
        <w:trPr>
          <w:trHeight w:val="31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Arial" w:hAnsi="Arial" w:cs="Arial" w:eastAsia="Arial" w:hint="default"/>
                <w:sz w:val="18"/>
                <w:szCs w:val="18"/>
              </w:rPr>
            </w:pPr>
            <w:r>
              <w:rPr>
                <w:rFonts w:ascii="宋体" w:hAnsi="宋体" w:cs="宋体" w:eastAsia="宋体" w:hint="default"/>
                <w:spacing w:val="-5"/>
                <w:sz w:val="18"/>
                <w:szCs w:val="18"/>
              </w:rPr>
              <w:t>管理与服务系统”的结余募集资金（含利息收入）</w:t>
            </w:r>
            <w:r>
              <w:rPr>
                <w:rFonts w:ascii="Arial" w:hAnsi="Arial" w:cs="Arial" w:eastAsia="Arial" w:hint="default"/>
                <w:spacing w:val="-5"/>
                <w:sz w:val="18"/>
                <w:szCs w:val="18"/>
              </w:rPr>
              <w:t>3,350.65</w:t>
            </w:r>
            <w:r>
              <w:rPr>
                <w:rFonts w:ascii="Arial" w:hAnsi="Arial" w:cs="Arial" w:eastAsia="Arial" w:hint="default"/>
                <w:spacing w:val="26"/>
                <w:sz w:val="18"/>
                <w:szCs w:val="18"/>
              </w:rPr>
              <w:t> </w:t>
            </w:r>
            <w:r>
              <w:rPr>
                <w:rFonts w:ascii="宋体" w:hAnsi="宋体" w:cs="宋体" w:eastAsia="宋体" w:hint="default"/>
                <w:spacing w:val="-3"/>
                <w:sz w:val="18"/>
                <w:szCs w:val="18"/>
              </w:rPr>
              <w:t>万元永久补充流动资金，用于公司主营业务相关新产品的研发及新业务的市场拓展。</w:t>
            </w:r>
            <w:r>
              <w:rPr>
                <w:rFonts w:ascii="Arial" w:hAnsi="Arial" w:cs="Arial" w:eastAsia="Arial" w:hint="default"/>
                <w:spacing w:val="-3"/>
                <w:sz w:val="18"/>
                <w:szCs w:val="18"/>
              </w:rPr>
              <w:t>2014</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日，公司第五届董事会第十三次会议审议通过了《关于部分募投项目结项并将结余资金转超募资金的议案》，同意将公司募投项目“商</w:t>
            </w:r>
          </w:p>
        </w:tc>
      </w:tr>
      <w:tr>
        <w:trPr>
          <w:trHeight w:val="31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1"/>
                <w:sz w:val="18"/>
                <w:szCs w:val="18"/>
              </w:rPr>
              <w:t>业智能分析应用平台”和“华宇政务应用支撑和研发平台”的结余募集资金</w:t>
            </w:r>
            <w:r>
              <w:rPr>
                <w:rFonts w:ascii="宋体" w:hAnsi="宋体" w:cs="宋体" w:eastAsia="宋体" w:hint="default"/>
                <w:sz w:val="18"/>
                <w:szCs w:val="18"/>
              </w:rPr>
              <w:t> </w:t>
            </w:r>
            <w:r>
              <w:rPr>
                <w:rFonts w:ascii="Arial" w:hAnsi="Arial" w:cs="Arial" w:eastAsia="Arial" w:hint="default"/>
                <w:spacing w:val="-1"/>
                <w:sz w:val="18"/>
                <w:szCs w:val="18"/>
              </w:rPr>
              <w:t>2,300.32</w:t>
            </w:r>
            <w:r>
              <w:rPr>
                <w:rFonts w:ascii="Arial" w:hAnsi="Arial" w:cs="Arial" w:eastAsia="Arial" w:hint="default"/>
                <w:spacing w:val="-23"/>
                <w:sz w:val="18"/>
                <w:szCs w:val="18"/>
              </w:rPr>
              <w:t> </w:t>
            </w:r>
            <w:r>
              <w:rPr>
                <w:rFonts w:ascii="宋体" w:hAnsi="宋体" w:cs="宋体" w:eastAsia="宋体" w:hint="default"/>
                <w:spacing w:val="-2"/>
                <w:sz w:val="18"/>
                <w:szCs w:val="18"/>
              </w:rPr>
              <w:t>万元（含利息收入）转为超募资金管理。目前，结余资金已全</w:t>
            </w:r>
          </w:p>
        </w:tc>
      </w:tr>
      <w:tr>
        <w:trPr>
          <w:trHeight w:val="327"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部处理完毕。</w:t>
            </w:r>
          </w:p>
        </w:tc>
      </w:tr>
      <w:tr>
        <w:trPr>
          <w:trHeight w:val="356"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、前次发行股份购买资产并募集配套资金（</w:t>
            </w: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tc>
      </w:tr>
      <w:tr>
        <w:trPr>
          <w:trHeight w:val="332" w:hRule="exact"/>
        </w:trPr>
        <w:tc>
          <w:tcPr>
            <w:tcW w:w="2412" w:type="dxa"/>
            <w:tcBorders>
              <w:top w:val="nil" w:sz="6" w:space="0" w:color="auto"/>
              <w:left w:val="single" w:sz="4" w:space="0" w:color="000000"/>
              <w:bottom w:val="nil" w:sz="6" w:space="0" w:color="auto"/>
              <w:right w:val="single" w:sz="4" w:space="0" w:color="000000"/>
            </w:tcBorders>
            <w:shd w:val="clear" w:color="auto" w:fill="D2D2D2"/>
          </w:tcPr>
          <w:p>
            <w:pPr/>
          </w:p>
        </w:tc>
        <w:tc>
          <w:tcPr>
            <w:tcW w:w="11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52"/>
              <w:jc w:val="right"/>
              <w:rPr>
                <w:rFonts w:ascii="宋体" w:hAnsi="宋体" w:cs="宋体" w:eastAsia="宋体" w:hint="default"/>
                <w:sz w:val="18"/>
                <w:szCs w:val="18"/>
              </w:rPr>
            </w:pPr>
            <w:r>
              <w:rPr>
                <w:rFonts w:ascii="宋体" w:hAnsi="宋体" w:cs="宋体" w:eastAsia="宋体" w:hint="default"/>
                <w:sz w:val="18"/>
                <w:szCs w:val="18"/>
              </w:rPr>
              <w:t>公司募投项目“购买联奕科技</w:t>
            </w:r>
            <w:r>
              <w:rPr>
                <w:rFonts w:ascii="宋体" w:hAnsi="宋体" w:cs="宋体" w:eastAsia="宋体" w:hint="default"/>
                <w:spacing w:val="-49"/>
                <w:sz w:val="18"/>
                <w:szCs w:val="18"/>
              </w:rPr>
              <w:t> </w:t>
            </w:r>
            <w:r>
              <w:rPr>
                <w:rFonts w:ascii="Arial" w:hAnsi="Arial" w:cs="Arial" w:eastAsia="Arial" w:hint="default"/>
                <w:sz w:val="18"/>
                <w:szCs w:val="18"/>
              </w:rPr>
              <w:t>100%</w:t>
            </w:r>
            <w:r>
              <w:rPr>
                <w:rFonts w:ascii="宋体" w:hAnsi="宋体" w:cs="宋体" w:eastAsia="宋体" w:hint="default"/>
                <w:sz w:val="18"/>
                <w:szCs w:val="18"/>
              </w:rPr>
              <w:t>股权”累计募集资金</w:t>
            </w:r>
            <w:r>
              <w:rPr>
                <w:rFonts w:ascii="宋体" w:hAnsi="宋体" w:cs="宋体" w:eastAsia="宋体" w:hint="default"/>
                <w:spacing w:val="-49"/>
                <w:sz w:val="18"/>
                <w:szCs w:val="18"/>
              </w:rPr>
              <w:t> </w:t>
            </w:r>
            <w:r>
              <w:rPr>
                <w:rFonts w:ascii="Arial" w:hAnsi="Arial" w:cs="Arial" w:eastAsia="Arial" w:hint="default"/>
                <w:sz w:val="18"/>
                <w:szCs w:val="18"/>
              </w:rPr>
              <w:t>48,000</w:t>
            </w:r>
            <w:r>
              <w:rPr>
                <w:rFonts w:ascii="Arial" w:hAnsi="Arial" w:cs="Arial" w:eastAsia="Arial" w:hint="default"/>
                <w:spacing w:val="-11"/>
                <w:sz w:val="18"/>
                <w:szCs w:val="18"/>
              </w:rPr>
              <w:t> </w:t>
            </w:r>
            <w:r>
              <w:rPr>
                <w:rFonts w:ascii="宋体" w:hAnsi="宋体" w:cs="宋体" w:eastAsia="宋体" w:hint="default"/>
                <w:sz w:val="18"/>
                <w:szCs w:val="18"/>
              </w:rPr>
              <w:t>万元，累计投入金额为</w:t>
            </w:r>
            <w:r>
              <w:rPr>
                <w:rFonts w:ascii="宋体" w:hAnsi="宋体" w:cs="宋体" w:eastAsia="宋体" w:hint="default"/>
                <w:spacing w:val="-49"/>
                <w:sz w:val="18"/>
                <w:szCs w:val="18"/>
              </w:rPr>
              <w:t> </w:t>
            </w:r>
            <w:r>
              <w:rPr>
                <w:rFonts w:ascii="Arial" w:hAnsi="Arial" w:cs="Arial" w:eastAsia="Arial" w:hint="default"/>
                <w:sz w:val="18"/>
                <w:szCs w:val="18"/>
              </w:rPr>
              <w:t>47,771.72</w:t>
            </w:r>
            <w:r>
              <w:rPr>
                <w:rFonts w:ascii="Arial" w:hAnsi="Arial" w:cs="Arial" w:eastAsia="Arial" w:hint="default"/>
                <w:spacing w:val="-11"/>
                <w:sz w:val="18"/>
                <w:szCs w:val="18"/>
              </w:rPr>
              <w:t> </w:t>
            </w:r>
            <w:r>
              <w:rPr>
                <w:rFonts w:ascii="宋体" w:hAnsi="宋体" w:cs="宋体" w:eastAsia="宋体" w:hint="default"/>
                <w:sz w:val="18"/>
                <w:szCs w:val="18"/>
              </w:rPr>
              <w:t>万元，剩余募集资金余额</w:t>
            </w:r>
            <w:r>
              <w:rPr>
                <w:rFonts w:ascii="宋体" w:hAnsi="宋体" w:cs="宋体" w:eastAsia="宋体" w:hint="default"/>
                <w:spacing w:val="-49"/>
                <w:sz w:val="18"/>
                <w:szCs w:val="18"/>
              </w:rPr>
              <w:t> </w:t>
            </w:r>
            <w:r>
              <w:rPr>
                <w:rFonts w:ascii="Arial" w:hAnsi="Arial" w:cs="Arial" w:eastAsia="Arial" w:hint="default"/>
                <w:sz w:val="18"/>
                <w:szCs w:val="18"/>
              </w:rPr>
              <w:t>251.11</w:t>
            </w:r>
            <w:r>
              <w:rPr>
                <w:rFonts w:ascii="Arial" w:hAnsi="Arial" w:cs="Arial" w:eastAsia="Arial" w:hint="default"/>
                <w:spacing w:val="-12"/>
                <w:sz w:val="18"/>
                <w:szCs w:val="18"/>
              </w:rPr>
              <w:t> </w:t>
            </w:r>
            <w:r>
              <w:rPr>
                <w:rFonts w:ascii="宋体" w:hAnsi="宋体" w:cs="宋体" w:eastAsia="宋体" w:hint="default"/>
                <w:sz w:val="18"/>
                <w:szCs w:val="18"/>
              </w:rPr>
              <w:t>万元（含</w:t>
            </w:r>
          </w:p>
        </w:tc>
      </w:tr>
      <w:tr>
        <w:trPr>
          <w:trHeight w:val="352"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利息收入净额</w:t>
            </w:r>
            <w:r>
              <w:rPr>
                <w:rFonts w:ascii="宋体" w:hAnsi="宋体" w:cs="宋体" w:eastAsia="宋体" w:hint="default"/>
                <w:spacing w:val="-47"/>
                <w:sz w:val="18"/>
                <w:szCs w:val="18"/>
              </w:rPr>
              <w:t> </w:t>
            </w:r>
            <w:r>
              <w:rPr>
                <w:rFonts w:ascii="Arial" w:hAnsi="Arial" w:cs="Arial" w:eastAsia="Arial" w:hint="default"/>
                <w:sz w:val="18"/>
                <w:szCs w:val="18"/>
              </w:rPr>
              <w:t>22.83</w:t>
            </w:r>
            <w:r>
              <w:rPr>
                <w:rFonts w:ascii="Arial" w:hAnsi="Arial" w:cs="Arial" w:eastAsia="Arial" w:hint="default"/>
                <w:spacing w:val="-9"/>
                <w:sz w:val="18"/>
                <w:szCs w:val="18"/>
              </w:rPr>
              <w:t> </w:t>
            </w:r>
            <w:r>
              <w:rPr>
                <w:rFonts w:ascii="宋体" w:hAnsi="宋体" w:cs="宋体" w:eastAsia="宋体" w:hint="default"/>
                <w:sz w:val="18"/>
                <w:szCs w:val="18"/>
              </w:rPr>
              <w:t>万元）系支付现金对价和相关中介费用后剩余的金额，该金额用于补充流动资金。目前，结余资金已全部使用完毕。</w:t>
            </w:r>
          </w:p>
        </w:tc>
      </w:tr>
      <w:tr>
        <w:trPr>
          <w:trHeight w:val="361" w:hRule="exact"/>
        </w:trPr>
        <w:tc>
          <w:tcPr>
            <w:tcW w:w="24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w:t>
            </w:r>
          </w:p>
        </w:tc>
        <w:tc>
          <w:tcPr>
            <w:tcW w:w="11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日，尚未使用的募集资金余额为</w:t>
            </w:r>
            <w:r>
              <w:rPr>
                <w:rFonts w:ascii="宋体" w:hAnsi="宋体" w:cs="宋体" w:eastAsia="宋体" w:hint="default"/>
                <w:spacing w:val="-5"/>
                <w:sz w:val="18"/>
                <w:szCs w:val="18"/>
              </w:rPr>
              <w:t> </w:t>
            </w:r>
            <w:r>
              <w:rPr>
                <w:rFonts w:ascii="Arial" w:hAnsi="Arial" w:cs="Arial" w:eastAsia="Arial" w:hint="default"/>
                <w:sz w:val="18"/>
                <w:szCs w:val="18"/>
              </w:rPr>
              <w:t>57,026.80</w:t>
            </w:r>
            <w:r>
              <w:rPr>
                <w:rFonts w:ascii="Arial" w:hAnsi="Arial" w:cs="Arial" w:eastAsia="Arial" w:hint="default"/>
                <w:spacing w:val="-6"/>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其中</w:t>
            </w:r>
            <w:r>
              <w:rPr>
                <w:rFonts w:ascii="Arial" w:hAnsi="Arial" w:cs="Arial" w:eastAsia="Arial" w:hint="default"/>
                <w:sz w:val="18"/>
                <w:szCs w:val="18"/>
              </w:rPr>
              <w:t>,18,026.80</w:t>
            </w:r>
            <w:r>
              <w:rPr>
                <w:rFonts w:ascii="Arial" w:hAnsi="Arial" w:cs="Arial" w:eastAsia="Arial" w:hint="default"/>
                <w:spacing w:val="-9"/>
                <w:sz w:val="18"/>
                <w:szCs w:val="18"/>
              </w:rPr>
              <w:t> </w:t>
            </w:r>
            <w:r>
              <w:rPr>
                <w:rFonts w:ascii="宋体" w:hAnsi="宋体" w:cs="宋体" w:eastAsia="宋体" w:hint="default"/>
                <w:sz w:val="18"/>
                <w:szCs w:val="18"/>
              </w:rPr>
              <w:t>万元存放于募集资金专户中</w:t>
            </w:r>
            <w:r>
              <w:rPr>
                <w:rFonts w:ascii="Arial" w:hAnsi="Arial" w:cs="Arial" w:eastAsia="Arial" w:hint="default"/>
                <w:sz w:val="18"/>
                <w:szCs w:val="18"/>
              </w:rPr>
              <w:t>(</w:t>
            </w:r>
            <w:r>
              <w:rPr>
                <w:rFonts w:ascii="宋体" w:hAnsi="宋体" w:cs="宋体" w:eastAsia="宋体" w:hint="default"/>
                <w:sz w:val="18"/>
                <w:szCs w:val="18"/>
              </w:rPr>
              <w:t>含存款利息</w:t>
            </w:r>
            <w:r>
              <w:rPr>
                <w:rFonts w:ascii="Arial" w:hAnsi="Arial" w:cs="Arial" w:eastAsia="Arial" w:hint="default"/>
                <w:sz w:val="18"/>
                <w:szCs w:val="18"/>
              </w:rPr>
              <w:t>)</w:t>
            </w:r>
            <w:r>
              <w:rPr>
                <w:rFonts w:ascii="宋体" w:hAnsi="宋体" w:cs="宋体" w:eastAsia="宋体" w:hint="default"/>
                <w:sz w:val="18"/>
                <w:szCs w:val="18"/>
              </w:rPr>
              <w:t>，购买结构性</w:t>
            </w:r>
          </w:p>
        </w:tc>
      </w:tr>
      <w:tr>
        <w:trPr>
          <w:trHeight w:val="353" w:hRule="exact"/>
        </w:trPr>
        <w:tc>
          <w:tcPr>
            <w:tcW w:w="24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11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pacing w:val="-48"/>
                <w:sz w:val="18"/>
                <w:szCs w:val="18"/>
              </w:rPr>
              <w:t> </w:t>
            </w:r>
            <w:r>
              <w:rPr>
                <w:rFonts w:ascii="Arial" w:hAnsi="Arial" w:cs="Arial" w:eastAsia="Arial" w:hint="default"/>
                <w:sz w:val="18"/>
                <w:szCs w:val="18"/>
              </w:rPr>
              <w:t>39,000.00</w:t>
            </w:r>
            <w:r>
              <w:rPr>
                <w:rFonts w:ascii="Arial" w:hAnsi="Arial" w:cs="Arial" w:eastAsia="Arial" w:hint="default"/>
                <w:spacing w:val="-10"/>
                <w:sz w:val="18"/>
                <w:szCs w:val="18"/>
              </w:rPr>
              <w:t> </w:t>
            </w:r>
            <w:r>
              <w:rPr>
                <w:rFonts w:ascii="宋体" w:hAnsi="宋体" w:cs="宋体" w:eastAsia="宋体" w:hint="default"/>
                <w:sz w:val="18"/>
                <w:szCs w:val="18"/>
              </w:rPr>
              <w:t>万元。</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本公司不存在募集资金使用的其他情况。本公司已披露的募集资金相关信息及时、真实、准确、完整披露，不存在募集资金管理违规情况。</w:t>
            </w:r>
          </w:p>
        </w:tc>
      </w:tr>
    </w:tbl>
    <w:p>
      <w:pPr>
        <w:spacing w:after="0" w:line="240" w:lineRule="auto"/>
        <w:jc w:val="left"/>
        <w:rPr>
          <w:rFonts w:ascii="宋体" w:hAnsi="宋体" w:cs="宋体" w:eastAsia="宋体" w:hint="default"/>
          <w:sz w:val="18"/>
          <w:szCs w:val="18"/>
        </w:rPr>
        <w:sectPr>
          <w:pgSz w:w="16840" w:h="11910" w:orient="landscape"/>
          <w:pgMar w:header="868" w:footer="1016" w:top="1060" w:bottom="1200" w:left="1220" w:right="122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ind w:right="996"/>
        <w:jc w:val="left"/>
        <w:rPr>
          <w:b w:val="0"/>
          <w:bCs w:val="0"/>
        </w:rPr>
      </w:pPr>
      <w:bookmarkStart w:name="（3）募集资金变更项目情况" w:id="50"/>
      <w:bookmarkEnd w:id="50"/>
      <w:r>
        <w:rPr>
          <w:b w:val="0"/>
          <w:bCs w:val="0"/>
        </w:rPr>
      </w:r>
      <w:r>
        <w:rPr/>
        <w:t>（</w:t>
      </w:r>
      <w:r>
        <w:rPr>
          <w:rFonts w:ascii="Arial" w:hAnsi="Arial" w:cs="Arial" w:eastAsia="Arial" w:hint="default"/>
        </w:rPr>
        <w:t>3</w:t>
      </w:r>
      <w:r>
        <w:rPr/>
        <w:t>）募集资金变更项目情况</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8"/>
          <w:footerReference w:type="default" r:id="rId19"/>
          <w:pgSz w:w="11910" w:h="16840"/>
          <w:pgMar w:header="878" w:footer="1016" w:top="1100" w:bottom="1200" w:left="1020" w:right="0"/>
          <w:pgNumType w:start="42"/>
        </w:sectPr>
      </w:pPr>
    </w:p>
    <w:p>
      <w:pPr>
        <w:pStyle w:val="Heading3"/>
        <w:spacing w:line="240" w:lineRule="auto" w:before="26"/>
        <w:ind w:right="-19"/>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045" w:space="6693"/>
            <w:col w:w="21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65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93" w:right="111"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14" w:right="111"/>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4" w:right="111"/>
              <w:jc w:val="both"/>
              <w:rPr>
                <w:rFonts w:ascii="Arial" w:hAnsi="Arial" w:cs="Arial" w:eastAsia="Arial" w:hint="default"/>
                <w:sz w:val="18"/>
                <w:szCs w:val="18"/>
              </w:rPr>
            </w:pPr>
            <w:r>
              <w:rPr>
                <w:rFonts w:ascii="宋体" w:hAnsi="宋体" w:cs="宋体" w:eastAsia="宋体" w:hint="default"/>
                <w:sz w:val="18"/>
                <w:szCs w:val="18"/>
              </w:rPr>
              <w:t>变更后项 目拟投入 募集资金 总额</w:t>
            </w:r>
            <w:r>
              <w:rPr>
                <w:rFonts w:ascii="Arial" w:hAnsi="Arial" w:cs="Arial" w:eastAsia="Arial"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1"/>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1" w:right="113"/>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2"/>
              <w:ind w:left="1" w:right="0"/>
              <w:jc w:val="center"/>
              <w:rPr>
                <w:rFonts w:ascii="Arial" w:hAnsi="Arial" w:cs="Arial" w:eastAsia="Arial" w:hint="default"/>
                <w:sz w:val="18"/>
                <w:szCs w:val="18"/>
              </w:rPr>
            </w:pPr>
            <w:r>
              <w:rPr>
                <w:rFonts w:ascii="Arial"/>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40" w:lineRule="auto"/>
              <w:ind w:left="112" w:right="111"/>
              <w:jc w:val="center"/>
              <w:rPr>
                <w:rFonts w:ascii="Arial" w:hAnsi="Arial" w:cs="Arial" w:eastAsia="Arial" w:hint="default"/>
                <w:sz w:val="18"/>
                <w:szCs w:val="18"/>
              </w:rPr>
            </w:pPr>
            <w:r>
              <w:rPr>
                <w:rFonts w:ascii="宋体" w:hAnsi="宋体" w:cs="宋体" w:eastAsia="宋体" w:hint="default"/>
                <w:sz w:val="18"/>
                <w:szCs w:val="18"/>
              </w:rPr>
              <w:t>截至期末 投资进度 </w:t>
            </w:r>
            <w:r>
              <w:rPr>
                <w:rFonts w:ascii="Arial" w:hAnsi="Arial" w:cs="Arial" w:eastAsia="Arial" w:hint="default"/>
                <w:sz w:val="18"/>
                <w:szCs w:val="18"/>
              </w:rPr>
              <w:t>(3)=(2)/(</w:t>
            </w:r>
          </w:p>
          <w:p>
            <w:pPr>
              <w:pStyle w:val="TableParagraph"/>
              <w:spacing w:line="240" w:lineRule="auto" w:before="20"/>
              <w:ind w:left="1" w:right="0"/>
              <w:jc w:val="center"/>
              <w:rPr>
                <w:rFonts w:ascii="Arial" w:hAnsi="Arial" w:cs="Arial" w:eastAsia="Arial" w:hint="default"/>
                <w:sz w:val="18"/>
                <w:szCs w:val="18"/>
              </w:rPr>
            </w:pPr>
            <w:r>
              <w:rPr>
                <w:rFonts w:ascii="Arial"/>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4" w:right="11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信息应用 运维管理 与服务系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3"/>
              <w:jc w:val="both"/>
              <w:rPr>
                <w:rFonts w:ascii="宋体" w:hAnsi="宋体" w:cs="宋体" w:eastAsia="宋体" w:hint="default"/>
                <w:sz w:val="18"/>
                <w:szCs w:val="18"/>
              </w:rPr>
            </w:pPr>
            <w:r>
              <w:rPr>
                <w:rFonts w:ascii="宋体" w:hAnsi="宋体" w:cs="宋体" w:eastAsia="宋体" w:hint="default"/>
                <w:sz w:val="18"/>
                <w:szCs w:val="18"/>
              </w:rPr>
              <w:t>信息应用 运维管理 与服务系 统</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3,450.78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3,450.78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 w:right="0"/>
              <w:jc w:val="center"/>
              <w:rPr>
                <w:rFonts w:ascii="Arial" w:hAnsi="Arial" w:cs="Arial" w:eastAsia="Arial" w:hint="default"/>
                <w:sz w:val="18"/>
                <w:szCs w:val="18"/>
              </w:rPr>
            </w:pPr>
            <w:r>
              <w:rPr>
                <w:rFonts w:ascii="Arial"/>
                <w:sz w:val="18"/>
              </w:rPr>
              <w:t>100.00%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31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1,195.55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3,450.78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3,450.78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Arial" w:hAnsi="Arial" w:cs="Arial" w:eastAsia="Arial" w:hint="default"/>
                <w:sz w:val="18"/>
                <w:szCs w:val="18"/>
              </w:rPr>
            </w:pPr>
            <w:r>
              <w:rPr>
                <w:rFonts w:ascii="Arial"/>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1,195.55</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Arial" w:hAnsi="Arial" w:cs="Arial" w:eastAsia="Arial"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6"/>
                <w:sz w:val="18"/>
                <w:szCs w:val="18"/>
              </w:rPr>
              <w:t> </w:t>
            </w:r>
            <w:r>
              <w:rPr>
                <w:rFonts w:ascii="Arial" w:hAnsi="Arial" w:cs="Arial" w:eastAsia="Arial" w:hint="default"/>
                <w:w w:val="99"/>
                <w:sz w:val="18"/>
                <w:szCs w:val="18"/>
              </w:rPr>
              <w:t>2012</w:t>
            </w:r>
            <w:r>
              <w:rPr>
                <w:rFonts w:ascii="Arial" w:hAnsi="Arial" w:cs="Arial" w:eastAsia="Arial" w:hint="default"/>
                <w:spacing w:val="-1"/>
                <w:w w:val="99"/>
                <w:sz w:val="18"/>
                <w:szCs w:val="18"/>
              </w:rPr>
              <w:t> </w:t>
            </w:r>
            <w:r>
              <w:rPr>
                <w:rFonts w:ascii="宋体" w:hAnsi="宋体" w:cs="宋体" w:eastAsia="宋体" w:hint="default"/>
                <w:spacing w:val="-3"/>
                <w:w w:val="99"/>
                <w:sz w:val="18"/>
                <w:szCs w:val="18"/>
              </w:rPr>
              <w:t>年第一次临时股东大会审议通过，</w:t>
            </w:r>
            <w:r>
              <w:rPr>
                <w:rFonts w:ascii="Arial" w:hAnsi="Arial" w:cs="Arial" w:eastAsia="Arial" w:hint="default"/>
                <w:spacing w:val="-3"/>
                <w:w w:val="99"/>
                <w:sz w:val="18"/>
                <w:szCs w:val="18"/>
              </w:rPr>
              <w:t>"</w:t>
            </w:r>
            <w:r>
              <w:rPr>
                <w:rFonts w:ascii="宋体" w:hAnsi="宋体" w:cs="宋体" w:eastAsia="宋体" w:hint="default"/>
                <w:spacing w:val="-3"/>
                <w:w w:val="99"/>
                <w:sz w:val="18"/>
                <w:szCs w:val="18"/>
              </w:rPr>
              <w:t>信息应用运维管理与服务系统</w:t>
            </w:r>
            <w:r>
              <w:rPr>
                <w:rFonts w:ascii="Arial" w:hAnsi="Arial" w:cs="Arial" w:eastAsia="Arial" w:hint="default"/>
                <w:spacing w:val="-3"/>
                <w:w w:val="99"/>
                <w:sz w:val="18"/>
                <w:szCs w:val="18"/>
              </w:rPr>
              <w:t>"</w:t>
            </w:r>
            <w:r>
              <w:rPr>
                <w:rFonts w:ascii="宋体" w:hAnsi="宋体" w:cs="宋体" w:eastAsia="宋体" w:hint="default"/>
                <w:spacing w:val="-3"/>
                <w:w w:val="99"/>
                <w:sz w:val="18"/>
                <w:szCs w:val="18"/>
              </w:rPr>
              <w:t>项目</w:t>
            </w:r>
            <w:r>
              <w:rPr>
                <w:rFonts w:ascii="宋体" w:hAnsi="宋体" w:cs="宋体" w:eastAsia="宋体" w:hint="default"/>
                <w:spacing w:val="-87"/>
                <w:w w:val="99"/>
                <w:sz w:val="18"/>
                <w:szCs w:val="18"/>
              </w:rPr>
              <w:t> </w:t>
            </w:r>
            <w:r>
              <w:rPr>
                <w:rFonts w:ascii="宋体" w:hAnsi="宋体" w:cs="宋体" w:eastAsia="宋体" w:hint="default"/>
                <w:sz w:val="18"/>
                <w:szCs w:val="18"/>
              </w:rPr>
              <w:t>变更由公司全资子公司华宇信息实施。</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8"/>
              <w:jc w:val="left"/>
              <w:rPr>
                <w:rFonts w:ascii="Arial" w:hAnsi="Arial" w:cs="Arial" w:eastAsia="Arial" w:hint="default"/>
                <w:sz w:val="18"/>
                <w:szCs w:val="18"/>
              </w:rPr>
            </w:pPr>
            <w:r>
              <w:rPr>
                <w:rFonts w:ascii="宋体" w:hAnsi="宋体" w:cs="宋体" w:eastAsia="宋体" w:hint="default"/>
                <w:sz w:val="18"/>
                <w:szCs w:val="18"/>
              </w:rPr>
              <w:t>未达到计划进度或预计收益的情 况和原因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996"/>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出售重大资产情况" w:id="52"/>
      <w:bookmarkEnd w:id="52"/>
      <w:r>
        <w:rPr>
          <w:b w:val="0"/>
          <w:bCs w:val="0"/>
        </w:rPr>
      </w:r>
      <w:r>
        <w:rPr>
          <w:rFonts w:ascii="Arial" w:hAnsi="Arial" w:cs="Arial" w:eastAsia="Arial" w:hint="default"/>
        </w:rPr>
        <w:t>1</w:t>
      </w:r>
      <w:r>
        <w:rPr/>
        <w:t>、出售重大资产情况</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7634"/>
        <w:jc w:val="left"/>
      </w:pPr>
      <w:r>
        <w:rPr>
          <w:rFonts w:ascii="Arial" w:hAnsi="Arial" w:cs="Arial" w:eastAsia="Arial" w:hint="default"/>
        </w:rPr>
        <w:t>□ </w:t>
      </w:r>
      <w:r>
        <w:rPr/>
        <w:t>适用 √</w:t>
      </w:r>
      <w:r>
        <w:rPr>
          <w:spacing w:val="-15"/>
        </w:rPr>
        <w:t> </w:t>
      </w:r>
      <w:r>
        <w:rPr/>
        <w:t>不适用</w:t>
      </w:r>
      <w:r>
        <w:rPr>
          <w:w w:val="99"/>
        </w:rPr>
        <w:t> </w:t>
      </w:r>
      <w:r>
        <w:rPr/>
        <w:t>公司报告期未出售重大资产。</w:t>
      </w:r>
    </w:p>
    <w:p>
      <w:pPr>
        <w:spacing w:line="240" w:lineRule="auto" w:before="8"/>
        <w:rPr>
          <w:rFonts w:ascii="宋体" w:hAnsi="宋体" w:cs="宋体" w:eastAsia="宋体" w:hint="default"/>
          <w:sz w:val="23"/>
          <w:szCs w:val="23"/>
        </w:rPr>
      </w:pPr>
    </w:p>
    <w:p>
      <w:pPr>
        <w:pStyle w:val="Heading4"/>
        <w:spacing w:line="240" w:lineRule="auto" w:before="0"/>
        <w:ind w:right="996"/>
        <w:jc w:val="left"/>
        <w:rPr>
          <w:b w:val="0"/>
          <w:bCs w:val="0"/>
        </w:rPr>
      </w:pPr>
      <w:bookmarkStart w:name="2、出售重大股权情况" w:id="53"/>
      <w:bookmarkEnd w:id="53"/>
      <w:r>
        <w:rPr>
          <w:b w:val="0"/>
          <w:bCs w:val="0"/>
        </w:rPr>
      </w:r>
      <w:r>
        <w:rPr>
          <w:rFonts w:ascii="Arial" w:hAnsi="Arial" w:cs="Arial" w:eastAsia="Arial" w:hint="default"/>
        </w:rPr>
        <w:t>2</w:t>
      </w:r>
      <w:r>
        <w:rPr/>
        <w:t>、出售重大股权情况</w:t>
      </w:r>
      <w:r>
        <w:rPr>
          <w:b w:val="0"/>
          <w:bCs w:val="0"/>
        </w:rPr>
      </w:r>
    </w:p>
    <w:p>
      <w:pPr>
        <w:spacing w:line="240" w:lineRule="auto" w:before="11"/>
        <w:rPr>
          <w:rFonts w:ascii="宋体" w:hAnsi="宋体" w:cs="宋体" w:eastAsia="宋体" w:hint="default"/>
          <w:b/>
          <w:bCs/>
          <w:sz w:val="22"/>
          <w:szCs w:val="22"/>
        </w:rPr>
      </w:pPr>
    </w:p>
    <w:p>
      <w:pPr>
        <w:spacing w:line="444" w:lineRule="auto" w:before="0"/>
        <w:ind w:left="112" w:right="7862"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七、主要控股参股公司分析" w:id="54"/>
      <w:bookmarkEnd w:id="54"/>
      <w:r>
        <w:rPr>
          <w:rFonts w:ascii="宋体" w:hAnsi="宋体" w:cs="宋体" w:eastAsia="宋体" w:hint="default"/>
          <w:w w:val="99"/>
          <w:sz w:val="24"/>
          <w:szCs w:val="24"/>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after="0" w:line="444" w:lineRule="auto"/>
        <w:jc w:val="left"/>
        <w:rPr>
          <w:rFonts w:ascii="宋体" w:hAnsi="宋体" w:cs="宋体" w:eastAsia="宋体" w:hint="default"/>
          <w:sz w:val="24"/>
          <w:szCs w:val="24"/>
        </w:rPr>
        <w:sectPr>
          <w:type w:val="continuous"/>
          <w:pgSz w:w="11910" w:h="16840"/>
          <w:pgMar w:top="1060" w:bottom="1200" w:left="1020" w:right="0"/>
        </w:sectPr>
      </w:pPr>
    </w:p>
    <w:p>
      <w:pPr>
        <w:pStyle w:val="Heading3"/>
        <w:spacing w:line="240" w:lineRule="auto" w:before="94"/>
        <w:ind w:right="-16"/>
        <w:jc w:val="left"/>
      </w:pPr>
      <w:r>
        <w:rPr>
          <w:rFonts w:ascii="Arial" w:hAnsi="Arial" w:cs="Arial" w:eastAsia="Arial" w:hint="default"/>
        </w:rPr>
        <w:t>√  </w:t>
      </w:r>
      <w:r>
        <w:rPr/>
        <w:t>适用 □</w:t>
      </w:r>
      <w:r>
        <w:rPr>
          <w:spacing w:val="-14"/>
        </w:rPr>
        <w:t> </w:t>
      </w:r>
      <w:r>
        <w:rPr/>
        <w:t>不适用</w:t>
      </w:r>
    </w:p>
    <w:p>
      <w:pPr>
        <w:pStyle w:val="Heading3"/>
        <w:spacing w:line="240" w:lineRule="auto" w:before="21"/>
        <w:ind w:right="-16"/>
        <w:jc w:val="left"/>
      </w:pPr>
      <w:r>
        <w:rPr/>
        <w:t>主要子公司及对公司净利润影响达</w:t>
      </w:r>
      <w:r>
        <w:rPr>
          <w:spacing w:val="-64"/>
        </w:rPr>
        <w:t> </w:t>
      </w:r>
      <w:r>
        <w:rPr>
          <w:rFonts w:ascii="Arial" w:hAnsi="Arial" w:cs="Arial" w:eastAsia="Arial"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6413" w:space="2505"/>
            <w:col w:w="197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89"/>
        <w:gridCol w:w="975"/>
        <w:gridCol w:w="1231"/>
        <w:gridCol w:w="1045"/>
        <w:gridCol w:w="1046"/>
        <w:gridCol w:w="1045"/>
        <w:gridCol w:w="1045"/>
        <w:gridCol w:w="1045"/>
        <w:gridCol w:w="1046"/>
      </w:tblGrid>
      <w:tr>
        <w:trPr>
          <w:trHeight w:val="402" w:hRule="exact"/>
        </w:trPr>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4"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55"/>
              <w:jc w:val="both"/>
              <w:rPr>
                <w:rFonts w:ascii="宋体" w:hAnsi="宋体" w:cs="宋体" w:eastAsia="宋体" w:hint="default"/>
                <w:sz w:val="18"/>
                <w:szCs w:val="18"/>
              </w:rPr>
            </w:pPr>
            <w:r>
              <w:rPr>
                <w:rFonts w:ascii="宋体" w:hAnsi="宋体" w:cs="宋体" w:eastAsia="宋体" w:hint="default"/>
                <w:sz w:val="18"/>
                <w:szCs w:val="18"/>
              </w:rPr>
              <w:t>北京华宇 信息技术 有限公司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8"/>
                <w:szCs w:val="18"/>
              </w:rPr>
            </w:pPr>
            <w:r>
              <w:rPr>
                <w:rFonts w:ascii="Arial"/>
                <w:sz w:val="18"/>
              </w:rPr>
              <w:t>2,897,513</w:t>
            </w:r>
          </w:p>
          <w:p>
            <w:pPr>
              <w:pStyle w:val="TableParagraph"/>
              <w:spacing w:line="240" w:lineRule="auto" w:before="105"/>
              <w:ind w:left="333" w:right="0"/>
              <w:jc w:val="left"/>
              <w:rPr>
                <w:rFonts w:ascii="Arial" w:hAnsi="Arial" w:cs="Arial" w:eastAsia="Arial" w:hint="default"/>
                <w:sz w:val="18"/>
                <w:szCs w:val="18"/>
              </w:rPr>
            </w:pPr>
            <w:r>
              <w:rPr>
                <w:rFonts w:ascii="Arial"/>
                <w:sz w:val="18"/>
              </w:rPr>
              <w:t>,013.59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Arial" w:hAnsi="Arial" w:cs="Arial" w:eastAsia="Arial" w:hint="default"/>
                <w:sz w:val="18"/>
                <w:szCs w:val="18"/>
              </w:rPr>
            </w:pPr>
            <w:r>
              <w:rPr>
                <w:rFonts w:ascii="Arial"/>
                <w:sz w:val="18"/>
              </w:rPr>
              <w:t>1,684,101</w:t>
            </w:r>
          </w:p>
          <w:p>
            <w:pPr>
              <w:pStyle w:val="TableParagraph"/>
              <w:spacing w:line="240" w:lineRule="auto" w:before="105"/>
              <w:ind w:left="230" w:right="0"/>
              <w:jc w:val="center"/>
              <w:rPr>
                <w:rFonts w:ascii="Arial" w:hAnsi="Arial" w:cs="Arial" w:eastAsia="Arial" w:hint="default"/>
                <w:sz w:val="18"/>
                <w:szCs w:val="18"/>
              </w:rPr>
            </w:pPr>
            <w:r>
              <w:rPr>
                <w:rFonts w:ascii="Arial"/>
                <w:sz w:val="18"/>
              </w:rPr>
              <w:t>,838.69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Arial" w:hAnsi="Arial" w:cs="Arial" w:eastAsia="Arial" w:hint="default"/>
                <w:sz w:val="18"/>
                <w:szCs w:val="18"/>
              </w:rPr>
            </w:pPr>
            <w:r>
              <w:rPr>
                <w:rFonts w:ascii="Arial"/>
                <w:sz w:val="18"/>
              </w:rPr>
              <w:t>2,439,317</w:t>
            </w:r>
          </w:p>
          <w:p>
            <w:pPr>
              <w:pStyle w:val="TableParagraph"/>
              <w:spacing w:line="240" w:lineRule="auto" w:before="105"/>
              <w:ind w:left="228" w:right="0"/>
              <w:jc w:val="center"/>
              <w:rPr>
                <w:rFonts w:ascii="Arial" w:hAnsi="Arial" w:cs="Arial" w:eastAsia="Arial" w:hint="default"/>
                <w:sz w:val="18"/>
                <w:szCs w:val="18"/>
              </w:rPr>
            </w:pPr>
            <w:r>
              <w:rPr>
                <w:rFonts w:ascii="Arial"/>
                <w:sz w:val="18"/>
              </w:rPr>
              <w:t>,976.34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left"/>
              <w:rPr>
                <w:rFonts w:ascii="Arial" w:hAnsi="Arial" w:cs="Arial" w:eastAsia="Arial" w:hint="default"/>
                <w:sz w:val="18"/>
                <w:szCs w:val="18"/>
              </w:rPr>
            </w:pPr>
            <w:r>
              <w:rPr>
                <w:rFonts w:ascii="Arial"/>
                <w:sz w:val="18"/>
              </w:rPr>
              <w:t>412,053,2</w:t>
            </w:r>
          </w:p>
          <w:p>
            <w:pPr>
              <w:pStyle w:val="TableParagraph"/>
              <w:spacing w:line="240" w:lineRule="auto" w:before="105"/>
              <w:ind w:left="481" w:right="0"/>
              <w:jc w:val="left"/>
              <w:rPr>
                <w:rFonts w:ascii="Arial" w:hAnsi="Arial" w:cs="Arial" w:eastAsia="Arial" w:hint="default"/>
                <w:sz w:val="18"/>
                <w:szCs w:val="18"/>
              </w:rPr>
            </w:pPr>
            <w:r>
              <w:rPr>
                <w:rFonts w:ascii="Arial"/>
                <w:sz w:val="18"/>
              </w:rPr>
              <w:t>62.07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8"/>
                <w:szCs w:val="18"/>
              </w:rPr>
            </w:pPr>
            <w:r>
              <w:rPr>
                <w:rFonts w:ascii="Arial"/>
                <w:sz w:val="18"/>
              </w:rPr>
              <w:t>371,064,4</w:t>
            </w:r>
          </w:p>
          <w:p>
            <w:pPr>
              <w:pStyle w:val="TableParagraph"/>
              <w:spacing w:line="240" w:lineRule="auto" w:before="105"/>
              <w:ind w:left="482" w:right="0"/>
              <w:jc w:val="left"/>
              <w:rPr>
                <w:rFonts w:ascii="Arial" w:hAnsi="Arial" w:cs="Arial" w:eastAsia="Arial" w:hint="default"/>
                <w:sz w:val="18"/>
                <w:szCs w:val="18"/>
              </w:rPr>
            </w:pPr>
            <w:r>
              <w:rPr>
                <w:rFonts w:ascii="Arial"/>
                <w:sz w:val="18"/>
              </w:rPr>
              <w:t>16.89</w:t>
            </w:r>
          </w:p>
        </w:tc>
      </w:tr>
    </w:tbl>
    <w:p>
      <w:pPr>
        <w:spacing w:after="0" w:line="240" w:lineRule="auto"/>
        <w:jc w:val="left"/>
        <w:rPr>
          <w:rFonts w:ascii="Arial" w:hAnsi="Arial" w:cs="Arial" w:eastAsia="Arial" w:hint="default"/>
          <w:sz w:val="18"/>
          <w:szCs w:val="18"/>
        </w:rPr>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89"/>
        <w:gridCol w:w="975"/>
        <w:gridCol w:w="1231"/>
        <w:gridCol w:w="1045"/>
        <w:gridCol w:w="1046"/>
        <w:gridCol w:w="1045"/>
        <w:gridCol w:w="1045"/>
        <w:gridCol w:w="1045"/>
        <w:gridCol w:w="1046"/>
      </w:tblGrid>
      <w:tr>
        <w:trPr>
          <w:trHeight w:val="714"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5"/>
              <w:jc w:val="left"/>
              <w:rPr>
                <w:rFonts w:ascii="宋体" w:hAnsi="宋体" w:cs="宋体" w:eastAsia="宋体" w:hint="default"/>
                <w:sz w:val="18"/>
                <w:szCs w:val="18"/>
              </w:rPr>
            </w:pPr>
            <w:r>
              <w:rPr>
                <w:rFonts w:ascii="宋体" w:hAnsi="宋体" w:cs="宋体" w:eastAsia="宋体" w:hint="default"/>
                <w:sz w:val="18"/>
                <w:szCs w:val="18"/>
              </w:rPr>
              <w:t>联奕科技 有限公司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17"/>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8,250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Arial" w:hAnsi="Arial" w:cs="Arial" w:eastAsia="Arial" w:hint="default"/>
                <w:sz w:val="18"/>
                <w:szCs w:val="18"/>
              </w:rPr>
            </w:pPr>
            <w:r>
              <w:rPr>
                <w:rFonts w:ascii="Arial"/>
                <w:sz w:val="18"/>
              </w:rPr>
              <w:t>708,721,7</w:t>
            </w:r>
          </w:p>
          <w:p>
            <w:pPr>
              <w:pStyle w:val="TableParagraph"/>
              <w:spacing w:line="240" w:lineRule="auto" w:before="105"/>
              <w:ind w:left="482" w:right="0"/>
              <w:jc w:val="left"/>
              <w:rPr>
                <w:rFonts w:ascii="Arial" w:hAnsi="Arial" w:cs="Arial" w:eastAsia="Arial" w:hint="default"/>
                <w:sz w:val="18"/>
                <w:szCs w:val="18"/>
              </w:rPr>
            </w:pPr>
            <w:r>
              <w:rPr>
                <w:rFonts w:ascii="Arial"/>
                <w:sz w:val="18"/>
              </w:rPr>
              <w:t>01.06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Arial" w:hAnsi="Arial" w:cs="Arial" w:eastAsia="Arial" w:hint="default"/>
                <w:sz w:val="18"/>
                <w:szCs w:val="18"/>
              </w:rPr>
            </w:pPr>
            <w:r>
              <w:rPr>
                <w:rFonts w:ascii="Arial"/>
                <w:sz w:val="18"/>
              </w:rPr>
              <w:t>524,545,8</w:t>
            </w:r>
          </w:p>
          <w:p>
            <w:pPr>
              <w:pStyle w:val="TableParagraph"/>
              <w:spacing w:line="240" w:lineRule="auto" w:before="105"/>
              <w:ind w:left="483" w:right="0"/>
              <w:jc w:val="left"/>
              <w:rPr>
                <w:rFonts w:ascii="Arial" w:hAnsi="Arial" w:cs="Arial" w:eastAsia="Arial" w:hint="default"/>
                <w:sz w:val="18"/>
                <w:szCs w:val="18"/>
              </w:rPr>
            </w:pPr>
            <w:r>
              <w:rPr>
                <w:rFonts w:ascii="Arial"/>
                <w:sz w:val="18"/>
              </w:rPr>
              <w:t>27.37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Arial" w:hAnsi="Arial" w:cs="Arial" w:eastAsia="Arial" w:hint="default"/>
                <w:sz w:val="18"/>
                <w:szCs w:val="18"/>
              </w:rPr>
            </w:pPr>
            <w:r>
              <w:rPr>
                <w:rFonts w:ascii="Arial"/>
                <w:sz w:val="18"/>
              </w:rPr>
              <w:t>708,020,1</w:t>
            </w:r>
          </w:p>
          <w:p>
            <w:pPr>
              <w:pStyle w:val="TableParagraph"/>
              <w:spacing w:line="240" w:lineRule="auto" w:before="105"/>
              <w:ind w:left="482" w:right="0"/>
              <w:jc w:val="left"/>
              <w:rPr>
                <w:rFonts w:ascii="Arial" w:hAnsi="Arial" w:cs="Arial" w:eastAsia="Arial" w:hint="default"/>
                <w:sz w:val="18"/>
                <w:szCs w:val="18"/>
              </w:rPr>
            </w:pPr>
            <w:r>
              <w:rPr>
                <w:rFonts w:ascii="Arial"/>
                <w:sz w:val="18"/>
              </w:rPr>
              <w:t>02.30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Arial" w:hAnsi="Arial" w:cs="Arial" w:eastAsia="Arial" w:hint="default"/>
                <w:sz w:val="18"/>
                <w:szCs w:val="18"/>
              </w:rPr>
            </w:pPr>
            <w:r>
              <w:rPr>
                <w:rFonts w:ascii="Arial"/>
                <w:sz w:val="18"/>
              </w:rPr>
              <w:t>151,612,0</w:t>
            </w:r>
          </w:p>
          <w:p>
            <w:pPr>
              <w:pStyle w:val="TableParagraph"/>
              <w:spacing w:line="240" w:lineRule="auto" w:before="105"/>
              <w:ind w:left="481" w:right="0"/>
              <w:jc w:val="left"/>
              <w:rPr>
                <w:rFonts w:ascii="Arial" w:hAnsi="Arial" w:cs="Arial" w:eastAsia="Arial" w:hint="default"/>
                <w:sz w:val="18"/>
                <w:szCs w:val="18"/>
              </w:rPr>
            </w:pPr>
            <w:r>
              <w:rPr>
                <w:rFonts w:ascii="Arial"/>
                <w:sz w:val="18"/>
              </w:rPr>
              <w:t>90.05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Arial" w:hAnsi="Arial" w:cs="Arial" w:eastAsia="Arial" w:hint="default"/>
                <w:sz w:val="18"/>
                <w:szCs w:val="18"/>
              </w:rPr>
            </w:pPr>
            <w:r>
              <w:rPr>
                <w:rFonts w:ascii="Arial"/>
                <w:sz w:val="18"/>
              </w:rPr>
              <w:t>141,186,2</w:t>
            </w:r>
          </w:p>
          <w:p>
            <w:pPr>
              <w:pStyle w:val="TableParagraph"/>
              <w:spacing w:line="240" w:lineRule="auto" w:before="105"/>
              <w:ind w:left="482" w:right="0"/>
              <w:jc w:val="left"/>
              <w:rPr>
                <w:rFonts w:ascii="Arial" w:hAnsi="Arial" w:cs="Arial" w:eastAsia="Arial" w:hint="default"/>
                <w:sz w:val="18"/>
                <w:szCs w:val="18"/>
              </w:rPr>
            </w:pPr>
            <w:r>
              <w:rPr>
                <w:rFonts w:ascii="Arial"/>
                <w:sz w:val="18"/>
              </w:rPr>
              <w:t>99.97</w:t>
            </w:r>
          </w:p>
        </w:tc>
      </w:tr>
      <w:tr>
        <w:trPr>
          <w:trHeight w:val="358" w:hRule="exact"/>
        </w:trPr>
        <w:tc>
          <w:tcPr>
            <w:tcW w:w="10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975"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5"/>
              <w:jc w:val="left"/>
              <w:rPr>
                <w:rFonts w:ascii="宋体" w:hAnsi="宋体" w:cs="宋体" w:eastAsia="宋体" w:hint="default"/>
                <w:sz w:val="18"/>
                <w:szCs w:val="18"/>
              </w:rPr>
            </w:pPr>
            <w:r>
              <w:rPr>
                <w:rFonts w:ascii="宋体" w:hAnsi="宋体" w:cs="宋体" w:eastAsia="宋体" w:hint="default"/>
                <w:sz w:val="18"/>
                <w:szCs w:val="18"/>
              </w:rPr>
              <w:t>华宇信息 技术有限</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3,000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244,321,4</w:t>
            </w:r>
          </w:p>
          <w:p>
            <w:pPr>
              <w:pStyle w:val="TableParagraph"/>
              <w:spacing w:line="240" w:lineRule="auto" w:before="105"/>
              <w:ind w:left="482" w:right="0"/>
              <w:jc w:val="left"/>
              <w:rPr>
                <w:rFonts w:ascii="Arial" w:hAnsi="Arial" w:cs="Arial" w:eastAsia="Arial" w:hint="default"/>
                <w:sz w:val="18"/>
                <w:szCs w:val="18"/>
              </w:rPr>
            </w:pPr>
            <w:r>
              <w:rPr>
                <w:rFonts w:ascii="Arial"/>
                <w:sz w:val="18"/>
              </w:rPr>
              <w:t>33.89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205,294,8</w:t>
            </w:r>
          </w:p>
          <w:p>
            <w:pPr>
              <w:pStyle w:val="TableParagraph"/>
              <w:spacing w:line="240" w:lineRule="auto" w:before="105"/>
              <w:ind w:left="483" w:right="0"/>
              <w:jc w:val="left"/>
              <w:rPr>
                <w:rFonts w:ascii="Arial" w:hAnsi="Arial" w:cs="Arial" w:eastAsia="Arial" w:hint="default"/>
                <w:sz w:val="18"/>
                <w:szCs w:val="18"/>
              </w:rPr>
            </w:pPr>
            <w:r>
              <w:rPr>
                <w:rFonts w:ascii="Arial"/>
                <w:sz w:val="18"/>
              </w:rPr>
              <w:t>16.06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1" w:right="0"/>
              <w:jc w:val="left"/>
              <w:rPr>
                <w:rFonts w:ascii="Arial" w:hAnsi="Arial" w:cs="Arial" w:eastAsia="Arial" w:hint="default"/>
                <w:sz w:val="18"/>
                <w:szCs w:val="18"/>
              </w:rPr>
            </w:pPr>
            <w:r>
              <w:rPr>
                <w:rFonts w:ascii="Arial"/>
                <w:sz w:val="18"/>
              </w:rPr>
              <w:t>181,361,1</w:t>
            </w:r>
          </w:p>
          <w:p>
            <w:pPr>
              <w:pStyle w:val="TableParagraph"/>
              <w:spacing w:line="240" w:lineRule="auto" w:before="105"/>
              <w:ind w:left="482" w:right="0"/>
              <w:jc w:val="left"/>
              <w:rPr>
                <w:rFonts w:ascii="Arial" w:hAnsi="Arial" w:cs="Arial" w:eastAsia="Arial" w:hint="default"/>
                <w:sz w:val="18"/>
                <w:szCs w:val="18"/>
              </w:rPr>
            </w:pPr>
            <w:r>
              <w:rPr>
                <w:rFonts w:ascii="Arial"/>
                <w:sz w:val="18"/>
              </w:rPr>
              <w:t>77.50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3" w:right="0"/>
              <w:jc w:val="left"/>
              <w:rPr>
                <w:rFonts w:ascii="Arial" w:hAnsi="Arial" w:cs="Arial" w:eastAsia="Arial" w:hint="default"/>
                <w:sz w:val="18"/>
                <w:szCs w:val="18"/>
              </w:rPr>
            </w:pPr>
            <w:r>
              <w:rPr>
                <w:rFonts w:ascii="Arial"/>
                <w:sz w:val="18"/>
              </w:rPr>
              <w:t>54,694,35</w:t>
            </w:r>
          </w:p>
          <w:p>
            <w:pPr>
              <w:pStyle w:val="TableParagraph"/>
              <w:spacing w:line="240" w:lineRule="auto" w:before="105"/>
              <w:ind w:left="581" w:right="0"/>
              <w:jc w:val="left"/>
              <w:rPr>
                <w:rFonts w:ascii="Arial" w:hAnsi="Arial" w:cs="Arial" w:eastAsia="Arial" w:hint="default"/>
                <w:sz w:val="18"/>
                <w:szCs w:val="18"/>
              </w:rPr>
            </w:pPr>
            <w:r>
              <w:rPr>
                <w:rFonts w:ascii="Arial"/>
                <w:sz w:val="18"/>
              </w:rPr>
              <w:t>7.44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49,758,70</w:t>
            </w:r>
          </w:p>
          <w:p>
            <w:pPr>
              <w:pStyle w:val="TableParagraph"/>
              <w:spacing w:line="240" w:lineRule="auto" w:before="105"/>
              <w:ind w:left="583" w:right="0"/>
              <w:jc w:val="left"/>
              <w:rPr>
                <w:rFonts w:ascii="Arial" w:hAnsi="Arial" w:cs="Arial" w:eastAsia="Arial" w:hint="default"/>
                <w:sz w:val="18"/>
                <w:szCs w:val="18"/>
              </w:rPr>
            </w:pPr>
            <w:r>
              <w:rPr>
                <w:rFonts w:ascii="Arial"/>
                <w:sz w:val="18"/>
              </w:rPr>
              <w:t>2.53</w:t>
            </w:r>
          </w:p>
        </w:tc>
      </w:tr>
      <w:tr>
        <w:trPr>
          <w:trHeight w:val="352" w:hRule="exact"/>
        </w:trPr>
        <w:tc>
          <w:tcPr>
            <w:tcW w:w="10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5"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5"/>
              <w:jc w:val="both"/>
              <w:rPr>
                <w:rFonts w:ascii="宋体" w:hAnsi="宋体" w:cs="宋体" w:eastAsia="宋体" w:hint="default"/>
                <w:sz w:val="18"/>
                <w:szCs w:val="18"/>
              </w:rPr>
            </w:pPr>
            <w:r>
              <w:rPr>
                <w:rFonts w:ascii="宋体" w:hAnsi="宋体" w:cs="宋体" w:eastAsia="宋体" w:hint="default"/>
                <w:sz w:val="18"/>
                <w:szCs w:val="18"/>
              </w:rPr>
              <w:t>北京万户 网络技术 有限公司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8"/>
                <w:szCs w:val="18"/>
              </w:rPr>
            </w:pPr>
            <w:r>
              <w:rPr>
                <w:rFonts w:ascii="Arial"/>
                <w:sz w:val="18"/>
              </w:rPr>
              <w:t>232,917,2</w:t>
            </w:r>
          </w:p>
          <w:p>
            <w:pPr>
              <w:pStyle w:val="TableParagraph"/>
              <w:spacing w:line="240" w:lineRule="auto" w:before="105"/>
              <w:ind w:left="482" w:right="0"/>
              <w:jc w:val="left"/>
              <w:rPr>
                <w:rFonts w:ascii="Arial" w:hAnsi="Arial" w:cs="Arial" w:eastAsia="Arial" w:hint="default"/>
                <w:sz w:val="18"/>
                <w:szCs w:val="18"/>
              </w:rPr>
            </w:pPr>
            <w:r>
              <w:rPr>
                <w:rFonts w:ascii="Arial"/>
                <w:sz w:val="18"/>
              </w:rPr>
              <w:t>28.97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8"/>
                <w:szCs w:val="18"/>
              </w:rPr>
            </w:pPr>
            <w:r>
              <w:rPr>
                <w:rFonts w:ascii="Arial"/>
                <w:sz w:val="18"/>
              </w:rPr>
              <w:t>176,610,5</w:t>
            </w:r>
          </w:p>
          <w:p>
            <w:pPr>
              <w:pStyle w:val="TableParagraph"/>
              <w:spacing w:line="240" w:lineRule="auto" w:before="105"/>
              <w:ind w:left="483" w:right="0"/>
              <w:jc w:val="left"/>
              <w:rPr>
                <w:rFonts w:ascii="Arial" w:hAnsi="Arial" w:cs="Arial" w:eastAsia="Arial" w:hint="default"/>
                <w:sz w:val="18"/>
                <w:szCs w:val="18"/>
              </w:rPr>
            </w:pPr>
            <w:r>
              <w:rPr>
                <w:rFonts w:ascii="Arial"/>
                <w:sz w:val="18"/>
              </w:rPr>
              <w:t>84.48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Arial" w:hAnsi="Arial" w:cs="Arial" w:eastAsia="Arial" w:hint="default"/>
                <w:sz w:val="18"/>
                <w:szCs w:val="18"/>
              </w:rPr>
            </w:pPr>
            <w:r>
              <w:rPr>
                <w:rFonts w:ascii="Arial"/>
                <w:sz w:val="18"/>
              </w:rPr>
              <w:t>148,351,8</w:t>
            </w:r>
          </w:p>
          <w:p>
            <w:pPr>
              <w:pStyle w:val="TableParagraph"/>
              <w:spacing w:line="240" w:lineRule="auto" w:before="105"/>
              <w:ind w:left="482" w:right="0"/>
              <w:jc w:val="left"/>
              <w:rPr>
                <w:rFonts w:ascii="Arial" w:hAnsi="Arial" w:cs="Arial" w:eastAsia="Arial" w:hint="default"/>
                <w:sz w:val="18"/>
                <w:szCs w:val="18"/>
              </w:rPr>
            </w:pPr>
            <w:r>
              <w:rPr>
                <w:rFonts w:ascii="Arial"/>
                <w:sz w:val="18"/>
              </w:rPr>
              <w:t>09.59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left"/>
              <w:rPr>
                <w:rFonts w:ascii="Arial" w:hAnsi="Arial" w:cs="Arial" w:eastAsia="Arial" w:hint="default"/>
                <w:sz w:val="18"/>
                <w:szCs w:val="18"/>
              </w:rPr>
            </w:pPr>
            <w:r>
              <w:rPr>
                <w:rFonts w:ascii="Arial"/>
                <w:sz w:val="18"/>
              </w:rPr>
              <w:t>36,308,42</w:t>
            </w:r>
          </w:p>
          <w:p>
            <w:pPr>
              <w:pStyle w:val="TableParagraph"/>
              <w:spacing w:line="240" w:lineRule="auto" w:before="105"/>
              <w:ind w:left="596" w:right="0"/>
              <w:jc w:val="left"/>
              <w:rPr>
                <w:rFonts w:ascii="Arial" w:hAnsi="Arial" w:cs="Arial" w:eastAsia="Arial" w:hint="default"/>
                <w:sz w:val="18"/>
                <w:szCs w:val="18"/>
              </w:rPr>
            </w:pPr>
            <w:r>
              <w:rPr>
                <w:rFonts w:ascii="Arial"/>
                <w:spacing w:val="-3"/>
                <w:sz w:val="18"/>
              </w:rPr>
              <w:t>1.11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Arial" w:hAnsi="Arial" w:cs="Arial" w:eastAsia="Arial" w:hint="default"/>
                <w:sz w:val="18"/>
                <w:szCs w:val="18"/>
              </w:rPr>
            </w:pPr>
            <w:r>
              <w:rPr>
                <w:rFonts w:ascii="Arial"/>
                <w:sz w:val="18"/>
              </w:rPr>
              <w:t>31,942,22</w:t>
            </w:r>
          </w:p>
          <w:p>
            <w:pPr>
              <w:pStyle w:val="TableParagraph"/>
              <w:spacing w:line="240" w:lineRule="auto" w:before="105"/>
              <w:ind w:left="583" w:right="0"/>
              <w:jc w:val="left"/>
              <w:rPr>
                <w:rFonts w:ascii="Arial" w:hAnsi="Arial" w:cs="Arial" w:eastAsia="Arial" w:hint="default"/>
                <w:sz w:val="18"/>
                <w:szCs w:val="18"/>
              </w:rPr>
            </w:pPr>
            <w:r>
              <w:rPr>
                <w:rFonts w:ascii="Arial"/>
                <w:sz w:val="18"/>
              </w:rPr>
              <w:t>3.86</w:t>
            </w:r>
          </w:p>
        </w:tc>
      </w:tr>
      <w:tr>
        <w:trPr>
          <w:trHeight w:val="358" w:hRule="exact"/>
        </w:trPr>
        <w:tc>
          <w:tcPr>
            <w:tcW w:w="10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华宇（大</w:t>
            </w:r>
          </w:p>
        </w:tc>
        <w:tc>
          <w:tcPr>
            <w:tcW w:w="975"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6"/>
                <w:sz w:val="18"/>
                <w:szCs w:val="18"/>
              </w:rPr>
              <w:t>连）信息服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务有限公</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亿</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237,731,6</w:t>
            </w:r>
          </w:p>
          <w:p>
            <w:pPr>
              <w:pStyle w:val="TableParagraph"/>
              <w:spacing w:line="240" w:lineRule="auto" w:before="105"/>
              <w:ind w:left="482" w:right="0"/>
              <w:jc w:val="left"/>
              <w:rPr>
                <w:rFonts w:ascii="Arial" w:hAnsi="Arial" w:cs="Arial" w:eastAsia="Arial" w:hint="default"/>
                <w:sz w:val="18"/>
                <w:szCs w:val="18"/>
              </w:rPr>
            </w:pPr>
            <w:r>
              <w:rPr>
                <w:rFonts w:ascii="Arial"/>
                <w:sz w:val="18"/>
              </w:rPr>
              <w:t>12.44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7" w:right="0"/>
              <w:jc w:val="left"/>
              <w:rPr>
                <w:rFonts w:ascii="Arial" w:hAnsi="Arial" w:cs="Arial" w:eastAsia="Arial" w:hint="default"/>
                <w:sz w:val="18"/>
                <w:szCs w:val="18"/>
              </w:rPr>
            </w:pPr>
            <w:r>
              <w:rPr>
                <w:rFonts w:ascii="Arial"/>
                <w:sz w:val="18"/>
              </w:rPr>
              <w:t>183,211,1</w:t>
            </w:r>
          </w:p>
          <w:p>
            <w:pPr>
              <w:pStyle w:val="TableParagraph"/>
              <w:spacing w:line="240" w:lineRule="auto" w:before="105"/>
              <w:ind w:left="483" w:right="0"/>
              <w:jc w:val="left"/>
              <w:rPr>
                <w:rFonts w:ascii="Arial" w:hAnsi="Arial" w:cs="Arial" w:eastAsia="Arial" w:hint="default"/>
                <w:sz w:val="18"/>
                <w:szCs w:val="18"/>
              </w:rPr>
            </w:pPr>
            <w:r>
              <w:rPr>
                <w:rFonts w:ascii="Arial"/>
                <w:sz w:val="18"/>
              </w:rPr>
              <w:t>24.75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6" w:right="0"/>
              <w:jc w:val="left"/>
              <w:rPr>
                <w:rFonts w:ascii="Arial" w:hAnsi="Arial" w:cs="Arial" w:eastAsia="Arial" w:hint="default"/>
                <w:sz w:val="18"/>
                <w:szCs w:val="18"/>
              </w:rPr>
            </w:pPr>
            <w:r>
              <w:rPr>
                <w:rFonts w:ascii="Arial"/>
                <w:sz w:val="18"/>
              </w:rPr>
              <w:t>116,853,9</w:t>
            </w:r>
          </w:p>
          <w:p>
            <w:pPr>
              <w:pStyle w:val="TableParagraph"/>
              <w:spacing w:line="240" w:lineRule="auto" w:before="105"/>
              <w:ind w:left="482" w:right="0"/>
              <w:jc w:val="left"/>
              <w:rPr>
                <w:rFonts w:ascii="Arial" w:hAnsi="Arial" w:cs="Arial" w:eastAsia="Arial" w:hint="default"/>
                <w:sz w:val="18"/>
                <w:szCs w:val="18"/>
              </w:rPr>
            </w:pPr>
            <w:r>
              <w:rPr>
                <w:rFonts w:ascii="Arial"/>
                <w:sz w:val="18"/>
              </w:rPr>
              <w:t>78.78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3" w:right="0"/>
              <w:jc w:val="left"/>
              <w:rPr>
                <w:rFonts w:ascii="Arial" w:hAnsi="Arial" w:cs="Arial" w:eastAsia="Arial" w:hint="default"/>
                <w:sz w:val="18"/>
                <w:szCs w:val="18"/>
              </w:rPr>
            </w:pPr>
            <w:r>
              <w:rPr>
                <w:rFonts w:ascii="Arial"/>
                <w:sz w:val="18"/>
              </w:rPr>
              <w:t>13,945,42</w:t>
            </w:r>
          </w:p>
          <w:p>
            <w:pPr>
              <w:pStyle w:val="TableParagraph"/>
              <w:spacing w:line="240" w:lineRule="auto" w:before="105"/>
              <w:ind w:left="581" w:right="0"/>
              <w:jc w:val="left"/>
              <w:rPr>
                <w:rFonts w:ascii="Arial" w:hAnsi="Arial" w:cs="Arial" w:eastAsia="Arial" w:hint="default"/>
                <w:sz w:val="18"/>
                <w:szCs w:val="18"/>
              </w:rPr>
            </w:pPr>
            <w:r>
              <w:rPr>
                <w:rFonts w:ascii="Arial"/>
                <w:sz w:val="18"/>
              </w:rPr>
              <w:t>7.37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14,062,77</w:t>
            </w:r>
          </w:p>
          <w:p>
            <w:pPr>
              <w:pStyle w:val="TableParagraph"/>
              <w:spacing w:line="240" w:lineRule="auto" w:before="105"/>
              <w:ind w:left="583" w:right="0"/>
              <w:jc w:val="left"/>
              <w:rPr>
                <w:rFonts w:ascii="Arial" w:hAnsi="Arial" w:cs="Arial" w:eastAsia="Arial" w:hint="default"/>
                <w:sz w:val="18"/>
                <w:szCs w:val="18"/>
              </w:rPr>
            </w:pPr>
            <w:r>
              <w:rPr>
                <w:rFonts w:ascii="Arial"/>
                <w:sz w:val="18"/>
              </w:rPr>
              <w:t>7.55</w:t>
            </w:r>
          </w:p>
        </w:tc>
      </w:tr>
      <w:tr>
        <w:trPr>
          <w:trHeight w:val="352" w:hRule="exact"/>
        </w:trPr>
        <w:tc>
          <w:tcPr>
            <w:tcW w:w="10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5"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5"/>
              <w:jc w:val="both"/>
              <w:rPr>
                <w:rFonts w:ascii="宋体" w:hAnsi="宋体" w:cs="宋体" w:eastAsia="宋体" w:hint="default"/>
                <w:sz w:val="18"/>
                <w:szCs w:val="18"/>
              </w:rPr>
            </w:pPr>
            <w:r>
              <w:rPr>
                <w:rFonts w:ascii="宋体" w:hAnsi="宋体" w:cs="宋体" w:eastAsia="宋体" w:hint="default"/>
                <w:sz w:val="18"/>
                <w:szCs w:val="18"/>
              </w:rPr>
              <w:t>北京华宇 元典信息 服务有限 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软件开发与 </w:t>
            </w:r>
            <w:r>
              <w:rPr>
                <w:rFonts w:ascii="宋体" w:hAnsi="宋体" w:cs="宋体" w:eastAsia="宋体" w:hint="default"/>
                <w:spacing w:val="-11"/>
                <w:sz w:val="18"/>
                <w:szCs w:val="18"/>
              </w:rPr>
              <w:t>销售、技术咨</w:t>
            </w:r>
            <w:r>
              <w:rPr>
                <w:rFonts w:ascii="宋体" w:hAnsi="宋体" w:cs="宋体" w:eastAsia="宋体" w:hint="default"/>
                <w:sz w:val="18"/>
                <w:szCs w:val="18"/>
              </w:rPr>
              <w:t> 询</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6,000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2" w:right="0"/>
              <w:jc w:val="left"/>
              <w:rPr>
                <w:rFonts w:ascii="Arial" w:hAnsi="Arial" w:cs="Arial" w:eastAsia="Arial" w:hint="default"/>
                <w:sz w:val="18"/>
                <w:szCs w:val="18"/>
              </w:rPr>
            </w:pPr>
            <w:r>
              <w:rPr>
                <w:rFonts w:ascii="Arial"/>
                <w:sz w:val="18"/>
              </w:rPr>
              <w:t>64,105,06</w:t>
            </w:r>
          </w:p>
          <w:p>
            <w:pPr>
              <w:pStyle w:val="TableParagraph"/>
              <w:spacing w:line="240" w:lineRule="auto" w:before="105"/>
              <w:ind w:left="583" w:right="0"/>
              <w:jc w:val="left"/>
              <w:rPr>
                <w:rFonts w:ascii="Arial" w:hAnsi="Arial" w:cs="Arial" w:eastAsia="Arial" w:hint="default"/>
                <w:sz w:val="18"/>
                <w:szCs w:val="18"/>
              </w:rPr>
            </w:pPr>
            <w:r>
              <w:rPr>
                <w:rFonts w:ascii="Arial"/>
                <w:sz w:val="18"/>
              </w:rPr>
              <w:t>0.51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2" w:right="0"/>
              <w:jc w:val="left"/>
              <w:rPr>
                <w:rFonts w:ascii="Arial" w:hAnsi="Arial" w:cs="Arial" w:eastAsia="Arial" w:hint="default"/>
                <w:sz w:val="18"/>
                <w:szCs w:val="18"/>
              </w:rPr>
            </w:pPr>
            <w:r>
              <w:rPr>
                <w:rFonts w:ascii="Arial"/>
                <w:sz w:val="18"/>
              </w:rPr>
              <w:t>47,917,24</w:t>
            </w:r>
          </w:p>
          <w:p>
            <w:pPr>
              <w:pStyle w:val="TableParagraph"/>
              <w:spacing w:line="240" w:lineRule="auto" w:before="105"/>
              <w:ind w:left="581" w:right="0"/>
              <w:jc w:val="left"/>
              <w:rPr>
                <w:rFonts w:ascii="Arial" w:hAnsi="Arial" w:cs="Arial" w:eastAsia="Arial" w:hint="default"/>
                <w:sz w:val="18"/>
                <w:szCs w:val="18"/>
              </w:rPr>
            </w:pPr>
            <w:r>
              <w:rPr>
                <w:rFonts w:ascii="Arial"/>
                <w:sz w:val="18"/>
              </w:rPr>
              <w:t>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1" w:right="0"/>
              <w:jc w:val="left"/>
              <w:rPr>
                <w:rFonts w:ascii="Arial" w:hAnsi="Arial" w:cs="Arial" w:eastAsia="Arial" w:hint="default"/>
                <w:sz w:val="18"/>
                <w:szCs w:val="18"/>
              </w:rPr>
            </w:pPr>
            <w:r>
              <w:rPr>
                <w:rFonts w:ascii="Arial"/>
                <w:sz w:val="18"/>
              </w:rPr>
              <w:t>52,807,68</w:t>
            </w:r>
          </w:p>
          <w:p>
            <w:pPr>
              <w:pStyle w:val="TableParagraph"/>
              <w:spacing w:line="240" w:lineRule="auto" w:before="105"/>
              <w:ind w:left="582" w:right="0"/>
              <w:jc w:val="left"/>
              <w:rPr>
                <w:rFonts w:ascii="Arial" w:hAnsi="Arial" w:cs="Arial" w:eastAsia="Arial" w:hint="default"/>
                <w:sz w:val="18"/>
                <w:szCs w:val="18"/>
              </w:rPr>
            </w:pPr>
            <w:r>
              <w:rPr>
                <w:rFonts w:ascii="Arial"/>
                <w:sz w:val="18"/>
              </w:rPr>
              <w:t>5.54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3" w:right="0"/>
              <w:jc w:val="left"/>
              <w:rPr>
                <w:rFonts w:ascii="Arial" w:hAnsi="Arial" w:cs="Arial" w:eastAsia="Arial" w:hint="default"/>
                <w:sz w:val="18"/>
                <w:szCs w:val="18"/>
              </w:rPr>
            </w:pPr>
            <w:r>
              <w:rPr>
                <w:rFonts w:ascii="Arial"/>
                <w:sz w:val="18"/>
              </w:rPr>
              <w:t>14,479,40</w:t>
            </w:r>
          </w:p>
          <w:p>
            <w:pPr>
              <w:pStyle w:val="TableParagraph"/>
              <w:spacing w:line="240" w:lineRule="auto" w:before="105"/>
              <w:ind w:left="581" w:right="0"/>
              <w:jc w:val="left"/>
              <w:rPr>
                <w:rFonts w:ascii="Arial" w:hAnsi="Arial" w:cs="Arial" w:eastAsia="Arial" w:hint="default"/>
                <w:sz w:val="18"/>
                <w:szCs w:val="18"/>
              </w:rPr>
            </w:pPr>
            <w:r>
              <w:rPr>
                <w:rFonts w:ascii="Arial"/>
                <w:sz w:val="18"/>
              </w:rPr>
              <w:t>5.76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2" w:right="0"/>
              <w:jc w:val="left"/>
              <w:rPr>
                <w:rFonts w:ascii="Arial" w:hAnsi="Arial" w:cs="Arial" w:eastAsia="Arial" w:hint="default"/>
                <w:sz w:val="18"/>
                <w:szCs w:val="18"/>
              </w:rPr>
            </w:pPr>
            <w:r>
              <w:rPr>
                <w:rFonts w:ascii="Arial"/>
                <w:sz w:val="18"/>
              </w:rPr>
              <w:t>14,055,36</w:t>
            </w:r>
          </w:p>
          <w:p>
            <w:pPr>
              <w:pStyle w:val="TableParagraph"/>
              <w:spacing w:line="240" w:lineRule="auto" w:before="105"/>
              <w:ind w:left="583" w:right="0"/>
              <w:jc w:val="left"/>
              <w:rPr>
                <w:rFonts w:ascii="Arial" w:hAnsi="Arial" w:cs="Arial" w:eastAsia="Arial" w:hint="default"/>
                <w:sz w:val="18"/>
                <w:szCs w:val="18"/>
              </w:rPr>
            </w:pPr>
            <w:r>
              <w:rPr>
                <w:rFonts w:ascii="Arial"/>
                <w:sz w:val="18"/>
              </w:rPr>
              <w:t>2.23</w:t>
            </w:r>
          </w:p>
        </w:tc>
      </w:tr>
      <w:tr>
        <w:trPr>
          <w:trHeight w:val="1026" w:hRule="exact"/>
        </w:trPr>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5"/>
              <w:jc w:val="both"/>
              <w:rPr>
                <w:rFonts w:ascii="宋体" w:hAnsi="宋体" w:cs="宋体" w:eastAsia="宋体" w:hint="default"/>
                <w:sz w:val="18"/>
                <w:szCs w:val="18"/>
              </w:rPr>
            </w:pPr>
            <w:r>
              <w:rPr>
                <w:rFonts w:ascii="宋体" w:hAnsi="宋体" w:cs="宋体" w:eastAsia="宋体" w:hint="default"/>
                <w:sz w:val="18"/>
                <w:szCs w:val="18"/>
              </w:rPr>
              <w:t>广州华宇 信息技术 有限公司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 w:right="0"/>
              <w:jc w:val="left"/>
              <w:rPr>
                <w:rFonts w:ascii="Arial" w:hAnsi="Arial" w:cs="Arial" w:eastAsia="Arial" w:hint="default"/>
                <w:sz w:val="18"/>
                <w:szCs w:val="18"/>
              </w:rPr>
            </w:pPr>
            <w:r>
              <w:rPr>
                <w:rFonts w:ascii="Arial"/>
                <w:sz w:val="18"/>
              </w:rPr>
              <w:t>138,370,4</w:t>
            </w:r>
          </w:p>
          <w:p>
            <w:pPr>
              <w:pStyle w:val="TableParagraph"/>
              <w:spacing w:line="240" w:lineRule="auto" w:before="105"/>
              <w:ind w:left="482" w:right="0"/>
              <w:jc w:val="left"/>
              <w:rPr>
                <w:rFonts w:ascii="Arial" w:hAnsi="Arial" w:cs="Arial" w:eastAsia="Arial" w:hint="default"/>
                <w:sz w:val="18"/>
                <w:szCs w:val="18"/>
              </w:rPr>
            </w:pPr>
            <w:r>
              <w:rPr>
                <w:rFonts w:ascii="Arial"/>
                <w:sz w:val="18"/>
              </w:rPr>
              <w:t>72.57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left"/>
              <w:rPr>
                <w:rFonts w:ascii="Arial" w:hAnsi="Arial" w:cs="Arial" w:eastAsia="Arial" w:hint="default"/>
                <w:sz w:val="18"/>
                <w:szCs w:val="18"/>
              </w:rPr>
            </w:pPr>
            <w:r>
              <w:rPr>
                <w:rFonts w:ascii="Arial"/>
                <w:sz w:val="18"/>
              </w:rPr>
              <w:t>115,390,9</w:t>
            </w:r>
          </w:p>
          <w:p>
            <w:pPr>
              <w:pStyle w:val="TableParagraph"/>
              <w:spacing w:line="240" w:lineRule="auto" w:before="105"/>
              <w:ind w:left="483" w:right="0"/>
              <w:jc w:val="left"/>
              <w:rPr>
                <w:rFonts w:ascii="Arial" w:hAnsi="Arial" w:cs="Arial" w:eastAsia="Arial" w:hint="default"/>
                <w:sz w:val="18"/>
                <w:szCs w:val="18"/>
              </w:rPr>
            </w:pPr>
            <w:r>
              <w:rPr>
                <w:rFonts w:ascii="Arial"/>
                <w:sz w:val="18"/>
              </w:rPr>
              <w:t>75.52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 w:right="0"/>
              <w:jc w:val="left"/>
              <w:rPr>
                <w:rFonts w:ascii="Arial" w:hAnsi="Arial" w:cs="Arial" w:eastAsia="Arial" w:hint="default"/>
                <w:sz w:val="18"/>
                <w:szCs w:val="18"/>
              </w:rPr>
            </w:pPr>
            <w:r>
              <w:rPr>
                <w:rFonts w:ascii="Arial"/>
                <w:sz w:val="18"/>
              </w:rPr>
              <w:t>65,386,50</w:t>
            </w:r>
          </w:p>
          <w:p>
            <w:pPr>
              <w:pStyle w:val="TableParagraph"/>
              <w:spacing w:line="240" w:lineRule="auto" w:before="105"/>
              <w:ind w:left="582" w:right="0"/>
              <w:jc w:val="left"/>
              <w:rPr>
                <w:rFonts w:ascii="Arial" w:hAnsi="Arial" w:cs="Arial" w:eastAsia="Arial" w:hint="default"/>
                <w:sz w:val="18"/>
                <w:szCs w:val="18"/>
              </w:rPr>
            </w:pPr>
            <w:r>
              <w:rPr>
                <w:rFonts w:ascii="Arial"/>
                <w:sz w:val="18"/>
              </w:rPr>
              <w:t>5.73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3" w:right="0"/>
              <w:jc w:val="left"/>
              <w:rPr>
                <w:rFonts w:ascii="Arial" w:hAnsi="Arial" w:cs="Arial" w:eastAsia="Arial" w:hint="default"/>
                <w:sz w:val="18"/>
                <w:szCs w:val="18"/>
              </w:rPr>
            </w:pPr>
            <w:r>
              <w:rPr>
                <w:rFonts w:ascii="Arial"/>
                <w:sz w:val="18"/>
              </w:rPr>
              <w:t>-7,132,18</w:t>
            </w:r>
          </w:p>
          <w:p>
            <w:pPr>
              <w:pStyle w:val="TableParagraph"/>
              <w:spacing w:line="240" w:lineRule="auto" w:before="105"/>
              <w:ind w:left="581" w:right="0"/>
              <w:jc w:val="left"/>
              <w:rPr>
                <w:rFonts w:ascii="Arial" w:hAnsi="Arial" w:cs="Arial" w:eastAsia="Arial" w:hint="default"/>
                <w:sz w:val="18"/>
                <w:szCs w:val="18"/>
              </w:rPr>
            </w:pPr>
            <w:r>
              <w:rPr>
                <w:rFonts w:ascii="Arial"/>
                <w:sz w:val="18"/>
              </w:rPr>
              <w:t>3.70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Arial" w:hAnsi="Arial" w:cs="Arial" w:eastAsia="Arial" w:hint="default"/>
                <w:sz w:val="18"/>
                <w:szCs w:val="18"/>
              </w:rPr>
            </w:pPr>
            <w:r>
              <w:rPr>
                <w:rFonts w:ascii="Arial"/>
                <w:sz w:val="18"/>
              </w:rPr>
              <w:t>-5,031,16</w:t>
            </w:r>
          </w:p>
          <w:p>
            <w:pPr>
              <w:pStyle w:val="TableParagraph"/>
              <w:spacing w:line="240" w:lineRule="auto" w:before="105"/>
              <w:ind w:left="583" w:right="0"/>
              <w:jc w:val="left"/>
              <w:rPr>
                <w:rFonts w:ascii="Arial" w:hAnsi="Arial" w:cs="Arial" w:eastAsia="Arial" w:hint="default"/>
                <w:sz w:val="18"/>
                <w:szCs w:val="18"/>
              </w:rPr>
            </w:pPr>
            <w:r>
              <w:rPr>
                <w:rFonts w:ascii="Arial"/>
                <w:sz w:val="18"/>
              </w:rPr>
              <w:t>4.98</w:t>
            </w:r>
          </w:p>
        </w:tc>
      </w:tr>
      <w:tr>
        <w:trPr>
          <w:trHeight w:val="356" w:hRule="exact"/>
        </w:trPr>
        <w:tc>
          <w:tcPr>
            <w:tcW w:w="10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北京亿信</w:t>
            </w:r>
          </w:p>
        </w:tc>
        <w:tc>
          <w:tcPr>
            <w:tcW w:w="975"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0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5"/>
              <w:jc w:val="left"/>
              <w:rPr>
                <w:rFonts w:ascii="宋体" w:hAnsi="宋体" w:cs="宋体" w:eastAsia="宋体" w:hint="default"/>
                <w:sz w:val="18"/>
                <w:szCs w:val="18"/>
              </w:rPr>
            </w:pPr>
            <w:r>
              <w:rPr>
                <w:rFonts w:ascii="宋体" w:hAnsi="宋体" w:cs="宋体" w:eastAsia="宋体" w:hint="default"/>
                <w:sz w:val="18"/>
                <w:szCs w:val="18"/>
              </w:rPr>
              <w:t>华辰软件 有限责任</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1,250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32" w:right="0"/>
              <w:jc w:val="left"/>
              <w:rPr>
                <w:rFonts w:ascii="Arial" w:hAnsi="Arial" w:cs="Arial" w:eastAsia="Arial" w:hint="default"/>
                <w:sz w:val="18"/>
                <w:szCs w:val="18"/>
              </w:rPr>
            </w:pPr>
            <w:r>
              <w:rPr>
                <w:rFonts w:ascii="Arial"/>
                <w:sz w:val="18"/>
              </w:rPr>
              <w:t>214,237,3</w:t>
            </w:r>
          </w:p>
          <w:p>
            <w:pPr>
              <w:pStyle w:val="TableParagraph"/>
              <w:spacing w:line="240" w:lineRule="auto" w:before="105"/>
              <w:ind w:left="482" w:right="0"/>
              <w:jc w:val="left"/>
              <w:rPr>
                <w:rFonts w:ascii="Arial" w:hAnsi="Arial" w:cs="Arial" w:eastAsia="Arial" w:hint="default"/>
                <w:sz w:val="18"/>
                <w:szCs w:val="18"/>
              </w:rPr>
            </w:pPr>
            <w:r>
              <w:rPr>
                <w:rFonts w:ascii="Arial"/>
                <w:sz w:val="18"/>
              </w:rPr>
              <w:t>24.36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47" w:right="0"/>
              <w:jc w:val="left"/>
              <w:rPr>
                <w:rFonts w:ascii="Arial" w:hAnsi="Arial" w:cs="Arial" w:eastAsia="Arial" w:hint="default"/>
                <w:sz w:val="18"/>
                <w:szCs w:val="18"/>
              </w:rPr>
            </w:pPr>
            <w:r>
              <w:rPr>
                <w:rFonts w:ascii="Arial"/>
                <w:sz w:val="18"/>
              </w:rPr>
              <w:t>113,390,2</w:t>
            </w:r>
          </w:p>
          <w:p>
            <w:pPr>
              <w:pStyle w:val="TableParagraph"/>
              <w:spacing w:line="240" w:lineRule="auto" w:before="105"/>
              <w:ind w:left="483" w:right="0"/>
              <w:jc w:val="left"/>
              <w:rPr>
                <w:rFonts w:ascii="Arial" w:hAnsi="Arial" w:cs="Arial" w:eastAsia="Arial" w:hint="default"/>
                <w:sz w:val="18"/>
                <w:szCs w:val="18"/>
              </w:rPr>
            </w:pPr>
            <w:r>
              <w:rPr>
                <w:rFonts w:ascii="Arial"/>
                <w:sz w:val="18"/>
              </w:rPr>
              <w:t>97.16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31" w:right="0"/>
              <w:jc w:val="left"/>
              <w:rPr>
                <w:rFonts w:ascii="Arial" w:hAnsi="Arial" w:cs="Arial" w:eastAsia="Arial" w:hint="default"/>
                <w:sz w:val="18"/>
                <w:szCs w:val="18"/>
              </w:rPr>
            </w:pPr>
            <w:r>
              <w:rPr>
                <w:rFonts w:ascii="Arial"/>
                <w:sz w:val="18"/>
              </w:rPr>
              <w:t>159,935,6</w:t>
            </w:r>
          </w:p>
          <w:p>
            <w:pPr>
              <w:pStyle w:val="TableParagraph"/>
              <w:spacing w:line="240" w:lineRule="auto" w:before="105"/>
              <w:ind w:left="482" w:right="0"/>
              <w:jc w:val="left"/>
              <w:rPr>
                <w:rFonts w:ascii="Arial" w:hAnsi="Arial" w:cs="Arial" w:eastAsia="Arial" w:hint="default"/>
                <w:sz w:val="18"/>
                <w:szCs w:val="18"/>
              </w:rPr>
            </w:pPr>
            <w:r>
              <w:rPr>
                <w:rFonts w:ascii="Arial"/>
                <w:sz w:val="18"/>
              </w:rPr>
              <w:t>47.26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73" w:right="0"/>
              <w:jc w:val="left"/>
              <w:rPr>
                <w:rFonts w:ascii="Arial" w:hAnsi="Arial" w:cs="Arial" w:eastAsia="Arial" w:hint="default"/>
                <w:sz w:val="18"/>
                <w:szCs w:val="18"/>
              </w:rPr>
            </w:pPr>
            <w:r>
              <w:rPr>
                <w:rFonts w:ascii="Arial"/>
                <w:sz w:val="18"/>
              </w:rPr>
              <w:t>-21,861,0</w:t>
            </w:r>
          </w:p>
          <w:p>
            <w:pPr>
              <w:pStyle w:val="TableParagraph"/>
              <w:spacing w:line="240" w:lineRule="auto" w:before="105"/>
              <w:ind w:left="481" w:right="0"/>
              <w:jc w:val="left"/>
              <w:rPr>
                <w:rFonts w:ascii="Arial" w:hAnsi="Arial" w:cs="Arial" w:eastAsia="Arial" w:hint="default"/>
                <w:sz w:val="18"/>
                <w:szCs w:val="18"/>
              </w:rPr>
            </w:pPr>
            <w:r>
              <w:rPr>
                <w:rFonts w:ascii="Arial"/>
                <w:sz w:val="18"/>
              </w:rPr>
              <w:t>24.05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72" w:right="0"/>
              <w:jc w:val="left"/>
              <w:rPr>
                <w:rFonts w:ascii="Arial" w:hAnsi="Arial" w:cs="Arial" w:eastAsia="Arial" w:hint="default"/>
                <w:sz w:val="18"/>
                <w:szCs w:val="18"/>
              </w:rPr>
            </w:pPr>
            <w:r>
              <w:rPr>
                <w:rFonts w:ascii="Arial"/>
                <w:sz w:val="18"/>
              </w:rPr>
              <w:t>-17,952,2</w:t>
            </w:r>
          </w:p>
          <w:p>
            <w:pPr>
              <w:pStyle w:val="TableParagraph"/>
              <w:spacing w:line="240" w:lineRule="auto" w:before="105"/>
              <w:ind w:left="482" w:right="0"/>
              <w:jc w:val="left"/>
              <w:rPr>
                <w:rFonts w:ascii="Arial" w:hAnsi="Arial" w:cs="Arial" w:eastAsia="Arial" w:hint="default"/>
                <w:sz w:val="18"/>
                <w:szCs w:val="18"/>
              </w:rPr>
            </w:pPr>
            <w:r>
              <w:rPr>
                <w:rFonts w:ascii="Arial"/>
                <w:sz w:val="18"/>
              </w:rPr>
              <w:t>27.28</w:t>
            </w:r>
          </w:p>
        </w:tc>
      </w:tr>
      <w:tr>
        <w:trPr>
          <w:trHeight w:val="352" w:hRule="exact"/>
        </w:trPr>
        <w:tc>
          <w:tcPr>
            <w:tcW w:w="10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5"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华宇金信</w:t>
            </w:r>
          </w:p>
        </w:tc>
        <w:tc>
          <w:tcPr>
            <w:tcW w:w="975"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pacing w:val="-6"/>
                <w:sz w:val="18"/>
                <w:szCs w:val="18"/>
              </w:rPr>
              <w:t>（北京）软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件有限公</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7"/>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8,000</w:t>
            </w:r>
            <w:r>
              <w:rPr>
                <w:rFonts w:ascii="Arial" w:hAnsi="Arial" w:cs="Arial" w:eastAsia="Arial" w:hint="default"/>
                <w:spacing w:val="-7"/>
                <w:sz w:val="18"/>
                <w:szCs w:val="18"/>
              </w:rPr>
              <w:t> </w:t>
            </w:r>
            <w:r>
              <w:rPr>
                <w:rFonts w:ascii="宋体" w:hAnsi="宋体" w:cs="宋体" w:eastAsia="宋体" w:hint="default"/>
                <w:sz w:val="18"/>
                <w:szCs w:val="18"/>
              </w:rPr>
              <w:t>万</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272,620,7</w:t>
            </w:r>
          </w:p>
          <w:p>
            <w:pPr>
              <w:pStyle w:val="TableParagraph"/>
              <w:spacing w:line="240" w:lineRule="auto" w:before="105"/>
              <w:ind w:left="482" w:right="0"/>
              <w:jc w:val="left"/>
              <w:rPr>
                <w:rFonts w:ascii="Arial" w:hAnsi="Arial" w:cs="Arial" w:eastAsia="Arial" w:hint="default"/>
                <w:sz w:val="18"/>
                <w:szCs w:val="18"/>
              </w:rPr>
            </w:pPr>
            <w:r>
              <w:rPr>
                <w:rFonts w:ascii="Arial"/>
                <w:sz w:val="18"/>
              </w:rPr>
              <w:t>83.58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2" w:right="0"/>
              <w:jc w:val="left"/>
              <w:rPr>
                <w:rFonts w:ascii="Arial" w:hAnsi="Arial" w:cs="Arial" w:eastAsia="Arial" w:hint="default"/>
                <w:sz w:val="18"/>
                <w:szCs w:val="18"/>
              </w:rPr>
            </w:pPr>
            <w:r>
              <w:rPr>
                <w:rFonts w:ascii="Arial"/>
                <w:sz w:val="18"/>
              </w:rPr>
              <w:t>134,470,7</w:t>
            </w:r>
          </w:p>
          <w:p>
            <w:pPr>
              <w:pStyle w:val="TableParagraph"/>
              <w:spacing w:line="240" w:lineRule="auto" w:before="105"/>
              <w:ind w:left="483" w:right="0"/>
              <w:jc w:val="left"/>
              <w:rPr>
                <w:rFonts w:ascii="Arial" w:hAnsi="Arial" w:cs="Arial" w:eastAsia="Arial" w:hint="default"/>
                <w:sz w:val="18"/>
                <w:szCs w:val="18"/>
              </w:rPr>
            </w:pPr>
            <w:r>
              <w:rPr>
                <w:rFonts w:ascii="Arial"/>
                <w:sz w:val="18"/>
              </w:rPr>
              <w:t>45.38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1" w:right="0"/>
              <w:jc w:val="left"/>
              <w:rPr>
                <w:rFonts w:ascii="Arial" w:hAnsi="Arial" w:cs="Arial" w:eastAsia="Arial" w:hint="default"/>
                <w:sz w:val="18"/>
                <w:szCs w:val="18"/>
              </w:rPr>
            </w:pPr>
            <w:r>
              <w:rPr>
                <w:rFonts w:ascii="Arial"/>
                <w:sz w:val="18"/>
              </w:rPr>
              <w:t>128,830,6</w:t>
            </w:r>
          </w:p>
          <w:p>
            <w:pPr>
              <w:pStyle w:val="TableParagraph"/>
              <w:spacing w:line="240" w:lineRule="auto" w:before="105"/>
              <w:ind w:left="482" w:right="0"/>
              <w:jc w:val="left"/>
              <w:rPr>
                <w:rFonts w:ascii="Arial" w:hAnsi="Arial" w:cs="Arial" w:eastAsia="Arial" w:hint="default"/>
                <w:sz w:val="18"/>
                <w:szCs w:val="18"/>
              </w:rPr>
            </w:pPr>
            <w:r>
              <w:rPr>
                <w:rFonts w:ascii="Arial"/>
                <w:sz w:val="18"/>
              </w:rPr>
              <w:t>06.91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73" w:right="0"/>
              <w:jc w:val="left"/>
              <w:rPr>
                <w:rFonts w:ascii="Arial" w:hAnsi="Arial" w:cs="Arial" w:eastAsia="Arial" w:hint="default"/>
                <w:sz w:val="18"/>
                <w:szCs w:val="18"/>
              </w:rPr>
            </w:pPr>
            <w:r>
              <w:rPr>
                <w:rFonts w:ascii="Arial"/>
                <w:sz w:val="18"/>
              </w:rPr>
              <w:t>-42,792,8</w:t>
            </w:r>
          </w:p>
          <w:p>
            <w:pPr>
              <w:pStyle w:val="TableParagraph"/>
              <w:spacing w:line="240" w:lineRule="auto" w:before="105"/>
              <w:ind w:left="481" w:right="0"/>
              <w:jc w:val="left"/>
              <w:rPr>
                <w:rFonts w:ascii="Arial" w:hAnsi="Arial" w:cs="Arial" w:eastAsia="Arial" w:hint="default"/>
                <w:sz w:val="18"/>
                <w:szCs w:val="18"/>
              </w:rPr>
            </w:pPr>
            <w:r>
              <w:rPr>
                <w:rFonts w:ascii="Arial"/>
                <w:sz w:val="18"/>
              </w:rPr>
              <w:t>82.13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72" w:right="0"/>
              <w:jc w:val="left"/>
              <w:rPr>
                <w:rFonts w:ascii="Arial" w:hAnsi="Arial" w:cs="Arial" w:eastAsia="Arial" w:hint="default"/>
                <w:sz w:val="18"/>
                <w:szCs w:val="18"/>
              </w:rPr>
            </w:pPr>
            <w:r>
              <w:rPr>
                <w:rFonts w:ascii="Arial"/>
                <w:sz w:val="18"/>
              </w:rPr>
              <w:t>-35,765,2</w:t>
            </w:r>
          </w:p>
          <w:p>
            <w:pPr>
              <w:pStyle w:val="TableParagraph"/>
              <w:spacing w:line="240" w:lineRule="auto" w:before="105"/>
              <w:ind w:left="482" w:right="0"/>
              <w:jc w:val="left"/>
              <w:rPr>
                <w:rFonts w:ascii="Arial" w:hAnsi="Arial" w:cs="Arial" w:eastAsia="Arial" w:hint="default"/>
                <w:sz w:val="18"/>
                <w:szCs w:val="18"/>
              </w:rPr>
            </w:pPr>
            <w:r>
              <w:rPr>
                <w:rFonts w:ascii="Arial"/>
                <w:sz w:val="18"/>
              </w:rPr>
              <w:t>89.32</w:t>
            </w:r>
          </w:p>
        </w:tc>
      </w:tr>
      <w:tr>
        <w:trPr>
          <w:trHeight w:val="352" w:hRule="exact"/>
        </w:trPr>
        <w:tc>
          <w:tcPr>
            <w:tcW w:w="10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5"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Heading3"/>
        <w:spacing w:line="301" w:lineRule="exact"/>
        <w:ind w:right="996"/>
        <w:jc w:val="left"/>
      </w:pPr>
      <w:r>
        <w:rPr/>
        <w:t>报告期内取得和处置子公司的情况</w:t>
      </w:r>
    </w:p>
    <w:p>
      <w:pPr>
        <w:pStyle w:val="Heading3"/>
        <w:spacing w:line="240" w:lineRule="auto" w:before="43"/>
        <w:ind w:right="996"/>
        <w:jc w:val="left"/>
      </w:pPr>
      <w:r>
        <w:rPr>
          <w:rFonts w:ascii="Arial" w:hAnsi="Arial" w:cs="Arial" w:eastAsia="Arial" w:hint="default"/>
        </w:rPr>
        <w:t>√  </w:t>
      </w:r>
      <w:r>
        <w:rPr/>
        <w:t>适用 □</w:t>
      </w:r>
      <w:r>
        <w:rPr>
          <w:spacing w:val="-14"/>
        </w:rPr>
        <w:t> </w:t>
      </w:r>
      <w:r>
        <w:rPr/>
        <w:t>不适用</w:t>
      </w:r>
    </w:p>
    <w:p>
      <w:pPr>
        <w:spacing w:line="240" w:lineRule="auto" w:before="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270"/>
        <w:gridCol w:w="2063"/>
        <w:gridCol w:w="5236"/>
      </w:tblGrid>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66" w:right="125" w:hanging="540"/>
              <w:jc w:val="left"/>
              <w:rPr>
                <w:rFonts w:ascii="宋体" w:hAnsi="宋体" w:cs="宋体" w:eastAsia="宋体" w:hint="default"/>
                <w:sz w:val="18"/>
                <w:szCs w:val="18"/>
              </w:rPr>
            </w:pPr>
            <w:r>
              <w:rPr>
                <w:rFonts w:ascii="宋体" w:hAnsi="宋体" w:cs="宋体" w:eastAsia="宋体" w:hint="default"/>
                <w:sz w:val="18"/>
                <w:szCs w:val="18"/>
              </w:rPr>
              <w:t>报告期内取得和处置子 公司方式</w:t>
            </w:r>
          </w:p>
        </w:tc>
        <w:tc>
          <w:tcPr>
            <w:tcW w:w="5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6"/>
              <w:jc w:val="left"/>
              <w:rPr>
                <w:rFonts w:ascii="宋体" w:hAnsi="宋体" w:cs="宋体" w:eastAsia="宋体" w:hint="default"/>
                <w:sz w:val="18"/>
                <w:szCs w:val="18"/>
              </w:rPr>
            </w:pPr>
            <w:r>
              <w:rPr>
                <w:rFonts w:ascii="宋体" w:hAnsi="宋体" w:cs="宋体" w:eastAsia="宋体" w:hint="default"/>
                <w:sz w:val="18"/>
                <w:szCs w:val="18"/>
              </w:rPr>
              <w:t>广州数字方舟信息技术股 份有限公司</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减资</w:t>
            </w:r>
          </w:p>
        </w:tc>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81"/>
              <w:jc w:val="left"/>
              <w:rPr>
                <w:rFonts w:ascii="宋体" w:hAnsi="宋体" w:cs="宋体" w:eastAsia="宋体" w:hint="default"/>
                <w:sz w:val="18"/>
                <w:szCs w:val="18"/>
              </w:rPr>
            </w:pPr>
            <w:r>
              <w:rPr>
                <w:rFonts w:ascii="宋体" w:hAnsi="宋体" w:cs="宋体" w:eastAsia="宋体" w:hint="default"/>
                <w:sz w:val="18"/>
                <w:szCs w:val="18"/>
              </w:rPr>
              <w:t>广州华宇本次减资退出数字方舟有助于公司将管理源更加聚焦 在核心业务领域，促进的持续稳定增长提升公司资产经营效率。</w:t>
            </w:r>
          </w:p>
        </w:tc>
      </w:tr>
    </w:tbl>
    <w:p>
      <w:pPr>
        <w:pStyle w:val="Heading3"/>
        <w:spacing w:line="298" w:lineRule="exact"/>
        <w:ind w:left="595" w:right="996"/>
        <w:jc w:val="left"/>
      </w:pPr>
      <w:r>
        <w:rPr/>
        <w:t>主要控股参股公司情况说明</w:t>
      </w:r>
    </w:p>
    <w:p>
      <w:pPr>
        <w:pStyle w:val="Heading3"/>
        <w:spacing w:line="261" w:lineRule="auto" w:before="46"/>
        <w:ind w:left="595" w:right="1127"/>
        <w:jc w:val="left"/>
      </w:pPr>
      <w:r>
        <w:rPr/>
        <w:t>（</w:t>
      </w:r>
      <w:r>
        <w:rPr>
          <w:rFonts w:ascii="Arial" w:hAnsi="Arial" w:cs="Arial" w:eastAsia="Arial" w:hint="default"/>
        </w:rPr>
        <w:t>1</w:t>
      </w:r>
      <w:r>
        <w:rPr/>
        <w:t>）华宇信息 </w:t>
      </w:r>
      <w:r>
        <w:rPr>
          <w:spacing w:val="-2"/>
        </w:rPr>
        <w:t>华宇信息成立于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9</w:t>
      </w:r>
      <w:r>
        <w:rPr>
          <w:spacing w:val="-2"/>
        </w:rPr>
        <w:t>日，注册资本</w:t>
      </w:r>
      <w:r>
        <w:rPr>
          <w:rFonts w:ascii="Arial" w:hAnsi="Arial" w:cs="Arial" w:eastAsia="Arial" w:hint="default"/>
          <w:spacing w:val="-2"/>
        </w:rPr>
        <w:t>6</w:t>
      </w:r>
      <w:r>
        <w:rPr>
          <w:spacing w:val="-2"/>
        </w:rPr>
        <w:t>亿元，住所为北京市海淀区中关村东路</w:t>
      </w:r>
      <w:r>
        <w:rPr>
          <w:rFonts w:ascii="Arial" w:hAnsi="Arial" w:cs="Arial" w:eastAsia="Arial" w:hint="default"/>
          <w:spacing w:val="-2"/>
        </w:rPr>
        <w:t>1</w:t>
      </w:r>
      <w:r>
        <w:rPr>
          <w:spacing w:val="-2"/>
        </w:rPr>
        <w:t>号院</w:t>
      </w:r>
    </w:p>
    <w:p>
      <w:pPr>
        <w:pStyle w:val="Heading3"/>
        <w:spacing w:line="266" w:lineRule="auto" w:before="2"/>
        <w:ind w:right="1125"/>
        <w:jc w:val="both"/>
      </w:pPr>
      <w:r>
        <w:rPr>
          <w:rFonts w:ascii="Arial" w:hAnsi="Arial" w:cs="Arial" w:eastAsia="Arial" w:hint="default"/>
          <w:spacing w:val="-3"/>
        </w:rPr>
        <w:t>8</w:t>
      </w:r>
      <w:r>
        <w:rPr>
          <w:spacing w:val="-3"/>
        </w:rPr>
        <w:t>号楼</w:t>
      </w:r>
      <w:r>
        <w:rPr>
          <w:rFonts w:ascii="Arial" w:hAnsi="Arial" w:cs="Arial" w:eastAsia="Arial" w:hint="default"/>
          <w:spacing w:val="-3"/>
        </w:rPr>
        <w:t>21</w:t>
      </w:r>
      <w:r>
        <w:rPr>
          <w:spacing w:val="-3"/>
        </w:rPr>
        <w:t>层</w:t>
      </w:r>
      <w:r>
        <w:rPr>
          <w:rFonts w:ascii="Arial" w:hAnsi="Arial" w:cs="Arial" w:eastAsia="Arial" w:hint="default"/>
          <w:spacing w:val="-3"/>
        </w:rPr>
        <w:t>C2301</w:t>
      </w:r>
      <w:r>
        <w:rPr>
          <w:spacing w:val="-3"/>
        </w:rPr>
        <w:t>，</w:t>
      </w:r>
      <w:r>
        <w:rPr>
          <w:rFonts w:ascii="Arial" w:hAnsi="Arial" w:cs="Arial" w:eastAsia="Arial" w:hint="default"/>
          <w:spacing w:val="-3"/>
        </w:rPr>
        <w:t>C2302</w:t>
      </w:r>
      <w:r>
        <w:rPr>
          <w:spacing w:val="-3"/>
        </w:rPr>
        <w:t>。华宇信息专注于电子政务领域的软件与信息服务，为客户的信息</w:t>
      </w:r>
      <w:r>
        <w:rPr>
          <w:spacing w:val="-83"/>
        </w:rPr>
        <w:t> </w:t>
      </w:r>
      <w:r>
        <w:rPr>
          <w:spacing w:val="-83"/>
        </w:rPr>
      </w:r>
      <w:r>
        <w:rPr/>
        <w:t>化事业提供全方位的解决方案与服务。业务范围涵盖法院、检察院、司法行政、政法委、纪</w:t>
      </w:r>
      <w:r>
        <w:rPr>
          <w:spacing w:val="-89"/>
        </w:rPr>
        <w:t> </w:t>
      </w:r>
      <w:r>
        <w:rPr>
          <w:spacing w:val="-89"/>
        </w:rPr>
      </w:r>
      <w:r>
        <w:rPr/>
        <w:t>检监察、公安、各级党委和政府部门。公司持有华宇信息</w:t>
      </w:r>
      <w:r>
        <w:rPr>
          <w:rFonts w:ascii="Arial" w:hAnsi="Arial" w:cs="Arial" w:eastAsia="Arial" w:hint="default"/>
        </w:rPr>
        <w:t>100%</w:t>
      </w:r>
      <w:r>
        <w:rPr/>
        <w:t>股权。</w:t>
      </w:r>
    </w:p>
    <w:p>
      <w:pPr>
        <w:spacing w:after="0" w:line="266" w:lineRule="auto"/>
        <w:jc w:val="both"/>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40" w:lineRule="auto" w:before="26"/>
        <w:ind w:left="595" w:right="996"/>
        <w:jc w:val="left"/>
      </w:pPr>
      <w:r>
        <w:rPr/>
        <w:t>报告期末，总资产</w:t>
      </w:r>
      <w:r>
        <w:rPr>
          <w:rFonts w:ascii="Arial" w:hAnsi="Arial" w:cs="Arial" w:eastAsia="Arial" w:hint="default"/>
        </w:rPr>
        <w:t>28.98</w:t>
      </w:r>
      <w:r>
        <w:rPr/>
        <w:t>亿元，净资产</w:t>
      </w:r>
      <w:r>
        <w:rPr>
          <w:rFonts w:ascii="Arial" w:hAnsi="Arial" w:cs="Arial" w:eastAsia="Arial" w:hint="default"/>
        </w:rPr>
        <w:t>16.84</w:t>
      </w:r>
      <w:r>
        <w:rPr/>
        <w:t>亿元；报告期内，实现净利润</w:t>
      </w:r>
      <w:r>
        <w:rPr>
          <w:rFonts w:ascii="Arial" w:hAnsi="Arial" w:cs="Arial" w:eastAsia="Arial" w:hint="default"/>
        </w:rPr>
        <w:t>3.71</w:t>
      </w:r>
      <w:r>
        <w:rPr/>
        <w:t>亿元。</w:t>
      </w:r>
    </w:p>
    <w:p>
      <w:pPr>
        <w:pStyle w:val="Heading3"/>
        <w:spacing w:line="259" w:lineRule="auto" w:before="29"/>
        <w:ind w:left="595" w:right="996"/>
        <w:jc w:val="left"/>
      </w:pPr>
      <w:r>
        <w:rPr/>
        <w:t>（</w:t>
      </w:r>
      <w:r>
        <w:rPr>
          <w:rFonts w:ascii="Arial" w:hAnsi="Arial" w:cs="Arial" w:eastAsia="Arial" w:hint="default"/>
        </w:rPr>
        <w:t>2</w:t>
      </w:r>
      <w:r>
        <w:rPr/>
        <w:t>）联奕科技 联奕科技成立于</w:t>
      </w:r>
      <w:r>
        <w:rPr>
          <w:rFonts w:ascii="Arial" w:hAnsi="Arial" w:cs="Arial" w:eastAsia="Arial" w:hint="default"/>
        </w:rPr>
        <w:t>2004</w:t>
      </w:r>
      <w:r>
        <w:rPr/>
        <w:t>年</w:t>
      </w:r>
      <w:r>
        <w:rPr>
          <w:rFonts w:ascii="Arial" w:hAnsi="Arial" w:cs="Arial" w:eastAsia="Arial" w:hint="default"/>
        </w:rPr>
        <w:t>7</w:t>
      </w:r>
      <w:r>
        <w:rPr/>
        <w:t>月</w:t>
      </w:r>
      <w:r>
        <w:rPr>
          <w:rFonts w:ascii="Arial" w:hAnsi="Arial" w:cs="Arial" w:eastAsia="Arial" w:hint="default"/>
        </w:rPr>
        <w:t>5</w:t>
      </w:r>
      <w:r>
        <w:rPr/>
        <w:t>日，注册资本</w:t>
      </w:r>
      <w:r>
        <w:rPr>
          <w:rFonts w:ascii="Arial" w:hAnsi="Arial" w:cs="Arial" w:eastAsia="Arial" w:hint="default"/>
        </w:rPr>
        <w:t>8,250</w:t>
      </w:r>
      <w:r>
        <w:rPr/>
        <w:t>万元，住所为广州市天河区科韵路</w:t>
      </w:r>
      <w:r>
        <w:rPr>
          <w:rFonts w:ascii="Arial" w:hAnsi="Arial" w:cs="Arial" w:eastAsia="Arial" w:hint="default"/>
        </w:rPr>
        <w:t>16</w:t>
      </w:r>
      <w:r>
        <w:rPr/>
        <w:t>号</w:t>
      </w:r>
    </w:p>
    <w:p>
      <w:pPr>
        <w:pStyle w:val="Heading3"/>
        <w:spacing w:line="259" w:lineRule="auto" w:before="7"/>
        <w:ind w:right="996"/>
        <w:jc w:val="left"/>
      </w:pPr>
      <w:r>
        <w:rPr>
          <w:spacing w:val="-1"/>
        </w:rPr>
        <w:t>自编</w:t>
      </w:r>
      <w:r>
        <w:rPr>
          <w:rFonts w:ascii="Arial" w:hAnsi="Arial" w:cs="Arial" w:eastAsia="Arial" w:hint="default"/>
          <w:spacing w:val="-1"/>
        </w:rPr>
        <w:t>1</w:t>
      </w:r>
      <w:r>
        <w:rPr>
          <w:spacing w:val="-1"/>
        </w:rPr>
        <w:t>栋</w:t>
      </w:r>
      <w:r>
        <w:rPr>
          <w:rFonts w:ascii="Arial" w:hAnsi="Arial" w:cs="Arial" w:eastAsia="Arial" w:hint="default"/>
          <w:spacing w:val="-1"/>
        </w:rPr>
        <w:t>501</w:t>
      </w:r>
      <w:r>
        <w:rPr>
          <w:spacing w:val="-1"/>
        </w:rPr>
        <w:t>。联奕科技是国内领先的智慧校园综合解决方案服务商，业务覆盖微服务软件产</w:t>
      </w:r>
      <w:r>
        <w:rPr>
          <w:spacing w:val="-97"/>
        </w:rPr>
        <w:t> </w:t>
      </w:r>
      <w:r>
        <w:rPr>
          <w:spacing w:val="-97"/>
        </w:rPr>
      </w:r>
      <w:r>
        <w:rPr/>
        <w:t>品、“互联网</w:t>
      </w:r>
      <w:r>
        <w:rPr>
          <w:rFonts w:ascii="Arial" w:hAnsi="Arial" w:cs="Arial" w:eastAsia="Arial" w:hint="default"/>
        </w:rPr>
        <w:t>+</w:t>
      </w:r>
      <w:r>
        <w:rPr/>
        <w:t>”服务及智慧校园整体解决方案。公司持有联奕科技</w:t>
      </w:r>
      <w:r>
        <w:rPr>
          <w:rFonts w:ascii="Arial" w:hAnsi="Arial" w:cs="Arial" w:eastAsia="Arial" w:hint="default"/>
        </w:rPr>
        <w:t>100%</w:t>
      </w:r>
      <w:r>
        <w:rPr/>
        <w:t>股权。</w:t>
      </w:r>
    </w:p>
    <w:p>
      <w:pPr>
        <w:pStyle w:val="Heading3"/>
        <w:spacing w:line="259" w:lineRule="auto" w:before="7"/>
        <w:ind w:right="996" w:firstLine="482"/>
        <w:jc w:val="left"/>
      </w:pPr>
      <w:r>
        <w:rPr/>
        <w:t>报告期末，总资产</w:t>
      </w:r>
      <w:r>
        <w:rPr>
          <w:rFonts w:ascii="Arial" w:hAnsi="Arial" w:cs="Arial" w:eastAsia="Arial" w:hint="default"/>
        </w:rPr>
        <w:t>7.09</w:t>
      </w:r>
      <w:r>
        <w:rPr/>
        <w:t>亿元，净资产</w:t>
      </w:r>
      <w:r>
        <w:rPr>
          <w:rFonts w:ascii="Arial" w:hAnsi="Arial" w:cs="Arial" w:eastAsia="Arial" w:hint="default"/>
        </w:rPr>
        <w:t>5.25</w:t>
      </w:r>
      <w:r>
        <w:rPr/>
        <w:t>亿元；报告期内，纳入合并报表的净利润</w:t>
      </w:r>
      <w:r>
        <w:rPr>
          <w:rFonts w:ascii="Arial" w:hAnsi="Arial" w:cs="Arial" w:eastAsia="Arial" w:hint="default"/>
        </w:rPr>
        <w:t>1.41</w:t>
      </w:r>
      <w:r>
        <w:rPr>
          <w:rFonts w:ascii="Arial" w:hAnsi="Arial" w:cs="Arial" w:eastAsia="Arial" w:hint="default"/>
          <w:w w:val="99"/>
        </w:rPr>
        <w:t> </w:t>
      </w:r>
      <w:r>
        <w:rPr/>
        <w:t>亿元。</w:t>
      </w:r>
    </w:p>
    <w:p>
      <w:pPr>
        <w:pStyle w:val="Heading3"/>
        <w:spacing w:line="259" w:lineRule="auto" w:before="26"/>
        <w:ind w:left="595" w:right="1119"/>
        <w:jc w:val="left"/>
      </w:pPr>
      <w:r>
        <w:rPr/>
        <w:t>（</w:t>
      </w:r>
      <w:r>
        <w:rPr>
          <w:rFonts w:ascii="Arial" w:hAnsi="Arial" w:cs="Arial" w:eastAsia="Arial" w:hint="default"/>
        </w:rPr>
        <w:t>3</w:t>
      </w:r>
      <w:r>
        <w:rPr/>
        <w:t>）浦东华宇 </w:t>
      </w:r>
      <w:r>
        <w:rPr>
          <w:spacing w:val="-2"/>
        </w:rPr>
        <w:t>浦东华宇成立于</w:t>
      </w:r>
      <w:r>
        <w:rPr>
          <w:rFonts w:ascii="Arial" w:hAnsi="Arial" w:cs="Arial" w:eastAsia="Arial" w:hint="default"/>
          <w:spacing w:val="-2"/>
        </w:rPr>
        <w:t>2000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3</w:t>
      </w:r>
      <w:r>
        <w:rPr>
          <w:spacing w:val="-2"/>
        </w:rPr>
        <w:t>日，注册资金人民币</w:t>
      </w:r>
      <w:r>
        <w:rPr>
          <w:rFonts w:ascii="Arial" w:hAnsi="Arial" w:cs="Arial" w:eastAsia="Arial" w:hint="default"/>
          <w:spacing w:val="-2"/>
        </w:rPr>
        <w:t>3,000</w:t>
      </w:r>
      <w:r>
        <w:rPr>
          <w:spacing w:val="-2"/>
        </w:rPr>
        <w:t>万元，住所为中国</w:t>
      </w:r>
      <w:r>
        <w:rPr>
          <w:rFonts w:ascii="Arial" w:hAnsi="Arial" w:cs="Arial" w:eastAsia="Arial" w:hint="default"/>
          <w:spacing w:val="-2"/>
        </w:rPr>
        <w:t>(</w:t>
      </w:r>
      <w:r>
        <w:rPr>
          <w:spacing w:val="-2"/>
        </w:rPr>
        <w:t>上海</w:t>
      </w:r>
      <w:r>
        <w:rPr>
          <w:rFonts w:ascii="Arial" w:hAnsi="Arial" w:cs="Arial" w:eastAsia="Arial" w:hint="default"/>
          <w:spacing w:val="-2"/>
        </w:rPr>
        <w:t>)</w:t>
      </w:r>
      <w:r>
        <w:rPr>
          <w:spacing w:val="-2"/>
        </w:rPr>
        <w:t>自由贸易</w:t>
      </w:r>
    </w:p>
    <w:p>
      <w:pPr>
        <w:pStyle w:val="Heading3"/>
        <w:spacing w:line="266" w:lineRule="auto" w:before="7"/>
        <w:ind w:right="1130"/>
        <w:jc w:val="both"/>
      </w:pPr>
      <w:r>
        <w:rPr/>
        <w:t>试验区祖冲之路</w:t>
      </w:r>
      <w:r>
        <w:rPr>
          <w:rFonts w:ascii="Arial" w:hAnsi="Arial" w:cs="Arial" w:eastAsia="Arial" w:hint="default"/>
        </w:rPr>
        <w:t>899</w:t>
      </w:r>
      <w:r>
        <w:rPr/>
        <w:t>号</w:t>
      </w:r>
      <w:r>
        <w:rPr>
          <w:rFonts w:ascii="Arial" w:hAnsi="Arial" w:cs="Arial" w:eastAsia="Arial" w:hint="default"/>
        </w:rPr>
        <w:t>2</w:t>
      </w:r>
      <w:r>
        <w:rPr/>
        <w:t>幢</w:t>
      </w:r>
      <w:r>
        <w:rPr>
          <w:rFonts w:ascii="Arial" w:hAnsi="Arial" w:cs="Arial" w:eastAsia="Arial" w:hint="default"/>
        </w:rPr>
        <w:t>4</w:t>
      </w:r>
      <w:r>
        <w:rPr/>
        <w:t>层。浦东华宇主要服务于华东地区客户，致力于公检法、金融、</w:t>
      </w:r>
      <w:r>
        <w:rPr>
          <w:spacing w:val="-46"/>
        </w:rPr>
        <w:t> </w:t>
      </w:r>
      <w:r>
        <w:rPr>
          <w:spacing w:val="-46"/>
        </w:rPr>
      </w:r>
      <w:r>
        <w:rPr/>
        <w:t>证券、保险、食品药品等业务领域的集成开发与技术服务，以软件开发带动系统集成、信息</w:t>
      </w:r>
      <w:r>
        <w:rPr>
          <w:spacing w:val="-89"/>
        </w:rPr>
        <w:t> </w:t>
      </w:r>
      <w:r>
        <w:rPr>
          <w:spacing w:val="-89"/>
        </w:rPr>
      </w:r>
      <w:r>
        <w:rPr/>
        <w:t>安全和信息技术咨询。公司持有浦东华宇</w:t>
      </w:r>
      <w:r>
        <w:rPr>
          <w:rFonts w:ascii="Arial" w:hAnsi="Arial" w:cs="Arial" w:eastAsia="Arial" w:hint="default"/>
        </w:rPr>
        <w:t>100%</w:t>
      </w:r>
      <w:r>
        <w:rPr/>
        <w:t>的股权。</w:t>
      </w:r>
    </w:p>
    <w:p>
      <w:pPr>
        <w:pStyle w:val="Heading3"/>
        <w:spacing w:line="261" w:lineRule="auto"/>
        <w:ind w:right="996" w:firstLine="482"/>
        <w:jc w:val="left"/>
      </w:pPr>
      <w:r>
        <w:rPr>
          <w:spacing w:val="-4"/>
        </w:rPr>
        <w:t>报告期末，浦东华宇总资产</w:t>
      </w:r>
      <w:r>
        <w:rPr>
          <w:rFonts w:ascii="Arial" w:hAnsi="Arial" w:cs="Arial" w:eastAsia="Arial" w:hint="default"/>
          <w:spacing w:val="-4"/>
        </w:rPr>
        <w:t>2.44</w:t>
      </w:r>
      <w:r>
        <w:rPr>
          <w:spacing w:val="-4"/>
        </w:rPr>
        <w:t>亿元，净资产</w:t>
      </w:r>
      <w:r>
        <w:rPr>
          <w:rFonts w:ascii="Arial" w:hAnsi="Arial" w:cs="Arial" w:eastAsia="Arial" w:hint="default"/>
          <w:spacing w:val="-4"/>
        </w:rPr>
        <w:t>2.05</w:t>
      </w:r>
      <w:r>
        <w:rPr>
          <w:spacing w:val="-4"/>
        </w:rPr>
        <w:t>亿元；报告期内，实现净利润</w:t>
      </w:r>
      <w:r>
        <w:rPr>
          <w:rFonts w:ascii="Arial" w:hAnsi="Arial" w:cs="Arial" w:eastAsia="Arial" w:hint="default"/>
          <w:spacing w:val="-4"/>
        </w:rPr>
        <w:t>4,975.87</w:t>
      </w:r>
      <w:r>
        <w:rPr>
          <w:rFonts w:ascii="Arial" w:hAnsi="Arial" w:cs="Arial" w:eastAsia="Arial" w:hint="default"/>
          <w:w w:val="99"/>
        </w:rPr>
        <w:t> </w:t>
      </w:r>
      <w:r>
        <w:rPr/>
        <w:t>万元。</w:t>
      </w:r>
    </w:p>
    <w:p>
      <w:pPr>
        <w:pStyle w:val="Heading3"/>
        <w:spacing w:line="259" w:lineRule="auto" w:before="22"/>
        <w:ind w:left="595" w:right="996"/>
        <w:jc w:val="left"/>
      </w:pPr>
      <w:r>
        <w:rPr/>
        <w:t>（</w:t>
      </w:r>
      <w:r>
        <w:rPr>
          <w:rFonts w:ascii="Arial" w:hAnsi="Arial" w:cs="Arial" w:eastAsia="Arial" w:hint="default"/>
        </w:rPr>
        <w:t>4</w:t>
      </w:r>
      <w:r>
        <w:rPr/>
        <w:t>）万户网络 </w:t>
      </w:r>
      <w:r>
        <w:rPr>
          <w:spacing w:val="-2"/>
        </w:rPr>
        <w:t>万户网络成立于</w:t>
      </w:r>
      <w:r>
        <w:rPr>
          <w:rFonts w:ascii="Arial" w:hAnsi="Arial" w:cs="Arial" w:eastAsia="Arial" w:hint="default"/>
          <w:spacing w:val="-2"/>
        </w:rPr>
        <w:t>2003</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12</w:t>
      </w:r>
      <w:r>
        <w:rPr>
          <w:spacing w:val="-2"/>
        </w:rPr>
        <w:t>日，注册资金人民币</w:t>
      </w:r>
      <w:r>
        <w:rPr>
          <w:rFonts w:ascii="Arial" w:hAnsi="Arial" w:cs="Arial" w:eastAsia="Arial" w:hint="default"/>
          <w:spacing w:val="-2"/>
        </w:rPr>
        <w:t>5,000</w:t>
      </w:r>
      <w:r>
        <w:rPr>
          <w:spacing w:val="-2"/>
        </w:rPr>
        <w:t>万元，住所为北京市北京经济技</w:t>
      </w:r>
    </w:p>
    <w:p>
      <w:pPr>
        <w:pStyle w:val="Heading3"/>
        <w:spacing w:line="261" w:lineRule="auto" w:before="7"/>
        <w:ind w:right="996"/>
        <w:jc w:val="left"/>
      </w:pPr>
      <w:r>
        <w:rPr/>
        <w:t>术开发区科谷一街</w:t>
      </w:r>
      <w:r>
        <w:rPr>
          <w:rFonts w:ascii="Arial" w:hAnsi="Arial" w:cs="Arial" w:eastAsia="Arial" w:hint="default"/>
        </w:rPr>
        <w:t>10</w:t>
      </w:r>
      <w:r>
        <w:rPr/>
        <w:t>号院</w:t>
      </w:r>
      <w:r>
        <w:rPr>
          <w:rFonts w:ascii="Arial" w:hAnsi="Arial" w:cs="Arial" w:eastAsia="Arial" w:hint="default"/>
        </w:rPr>
        <w:t>11</w:t>
      </w:r>
      <w:r>
        <w:rPr/>
        <w:t>号楼</w:t>
      </w:r>
      <w:r>
        <w:rPr>
          <w:rFonts w:ascii="Arial" w:hAnsi="Arial" w:cs="Arial" w:eastAsia="Arial" w:hint="default"/>
        </w:rPr>
        <w:t>8</w:t>
      </w:r>
      <w:r>
        <w:rPr/>
        <w:t>层</w:t>
      </w:r>
      <w:r>
        <w:rPr>
          <w:rFonts w:ascii="Arial" w:hAnsi="Arial" w:cs="Arial" w:eastAsia="Arial" w:hint="default"/>
        </w:rPr>
        <w:t>801</w:t>
      </w:r>
      <w:r>
        <w:rPr/>
        <w:t>。万户网络专注于协同办公系统（</w:t>
      </w:r>
      <w:r>
        <w:rPr>
          <w:rFonts w:ascii="Arial" w:hAnsi="Arial" w:cs="Arial" w:eastAsia="Arial" w:hint="default"/>
        </w:rPr>
        <w:t>OA</w:t>
      </w:r>
      <w:r>
        <w:rPr/>
        <w:t>），为客户高</w:t>
      </w:r>
      <w:r>
        <w:rPr>
          <w:spacing w:val="-69"/>
        </w:rPr>
        <w:t> </w:t>
      </w:r>
      <w:r>
        <w:rPr>
          <w:spacing w:val="-69"/>
        </w:rPr>
      </w:r>
      <w:r>
        <w:rPr/>
        <w:t>效协同的工作提供信息化支持。公司持有万户网络</w:t>
      </w:r>
      <w:r>
        <w:rPr>
          <w:rFonts w:ascii="Arial" w:hAnsi="Arial" w:cs="Arial" w:eastAsia="Arial" w:hint="default"/>
        </w:rPr>
        <w:t>100%</w:t>
      </w:r>
      <w:r>
        <w:rPr/>
        <w:t>的股权。</w:t>
      </w:r>
    </w:p>
    <w:p>
      <w:pPr>
        <w:pStyle w:val="Heading3"/>
        <w:spacing w:line="261" w:lineRule="auto" w:before="2"/>
        <w:ind w:right="996" w:firstLine="482"/>
        <w:jc w:val="left"/>
      </w:pPr>
      <w:r>
        <w:rPr/>
        <w:t>报告期末，万户网络总资产</w:t>
      </w:r>
      <w:r>
        <w:rPr>
          <w:rFonts w:ascii="Arial" w:hAnsi="Arial" w:cs="Arial" w:eastAsia="Arial" w:hint="default"/>
        </w:rPr>
        <w:t>2.33</w:t>
      </w:r>
      <w:r>
        <w:rPr/>
        <w:t>亿元，净资产</w:t>
      </w:r>
      <w:r>
        <w:rPr>
          <w:rFonts w:ascii="Arial" w:hAnsi="Arial" w:cs="Arial" w:eastAsia="Arial" w:hint="default"/>
        </w:rPr>
        <w:t>1.77</w:t>
      </w:r>
      <w:r>
        <w:rPr/>
        <w:t>亿元；报告期内，纳入合并报表的净 利润</w:t>
      </w:r>
      <w:r>
        <w:rPr>
          <w:rFonts w:ascii="Arial" w:hAnsi="Arial" w:cs="Arial" w:eastAsia="Arial" w:hint="default"/>
        </w:rPr>
        <w:t>3,194.22</w:t>
      </w:r>
      <w:r>
        <w:rPr/>
        <w:t>万元。</w:t>
      </w:r>
    </w:p>
    <w:p>
      <w:pPr>
        <w:pStyle w:val="Heading3"/>
        <w:spacing w:line="261" w:lineRule="auto" w:before="2"/>
        <w:ind w:left="595" w:right="996"/>
        <w:jc w:val="left"/>
      </w:pPr>
      <w:r>
        <w:rPr/>
        <w:t>（</w:t>
      </w:r>
      <w:r>
        <w:rPr>
          <w:rFonts w:ascii="Arial" w:hAnsi="Arial" w:cs="Arial" w:eastAsia="Arial" w:hint="default"/>
        </w:rPr>
        <w:t>5</w:t>
      </w:r>
      <w:r>
        <w:rPr/>
        <w:t>）大连华宇 </w:t>
      </w:r>
      <w:r>
        <w:rPr>
          <w:spacing w:val="-1"/>
        </w:rPr>
        <w:t>大连华宇成立于</w:t>
      </w:r>
      <w:r>
        <w:rPr>
          <w:rFonts w:ascii="Arial" w:hAnsi="Arial" w:cs="Arial" w:eastAsia="Arial" w:hint="default"/>
          <w:spacing w:val="-1"/>
        </w:rPr>
        <w:t>2012</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19</w:t>
      </w:r>
      <w:r>
        <w:rPr>
          <w:spacing w:val="-1"/>
        </w:rPr>
        <w:t>日，注册资金</w:t>
      </w:r>
      <w:r>
        <w:rPr>
          <w:rFonts w:ascii="Arial" w:hAnsi="Arial" w:cs="Arial" w:eastAsia="Arial" w:hint="default"/>
          <w:spacing w:val="-1"/>
        </w:rPr>
        <w:t>1.2</w:t>
      </w:r>
      <w:r>
        <w:rPr>
          <w:spacing w:val="-1"/>
        </w:rPr>
        <w:t>亿元，住所为辽宁省大连市甘井子区春田</w:t>
      </w:r>
    </w:p>
    <w:p>
      <w:pPr>
        <w:pStyle w:val="Heading3"/>
        <w:spacing w:line="261" w:lineRule="auto" w:before="2"/>
        <w:ind w:right="996"/>
        <w:jc w:val="left"/>
      </w:pPr>
      <w:r>
        <w:rPr>
          <w:spacing w:val="-3"/>
        </w:rPr>
        <w:t>园</w:t>
      </w:r>
      <w:r>
        <w:rPr>
          <w:rFonts w:ascii="Arial" w:hAnsi="Arial" w:cs="Arial" w:eastAsia="Arial" w:hint="default"/>
          <w:spacing w:val="-3"/>
        </w:rPr>
        <w:t>C-4-501</w:t>
      </w:r>
      <w:r>
        <w:rPr>
          <w:spacing w:val="-3"/>
        </w:rPr>
        <w:t>。大连华宇主要从事自有软件产品研发、软件项目开发和售后服务等业务，为集团</w:t>
      </w:r>
      <w:r>
        <w:rPr>
          <w:spacing w:val="-98"/>
        </w:rPr>
        <w:t> </w:t>
      </w:r>
      <w:r>
        <w:rPr>
          <w:spacing w:val="-98"/>
        </w:rPr>
      </w:r>
      <w:r>
        <w:rPr/>
        <w:t>的快速发展和技术创新提供技术开发平台。公司持有大连华宇</w:t>
      </w:r>
      <w:r>
        <w:rPr>
          <w:rFonts w:ascii="Arial" w:hAnsi="Arial" w:cs="Arial" w:eastAsia="Arial" w:hint="default"/>
        </w:rPr>
        <w:t>100%</w:t>
      </w:r>
      <w:r>
        <w:rPr/>
        <w:t>的股权。</w:t>
      </w:r>
    </w:p>
    <w:p>
      <w:pPr>
        <w:pStyle w:val="Heading3"/>
        <w:spacing w:line="259" w:lineRule="auto" w:before="2"/>
        <w:ind w:right="996" w:firstLine="482"/>
        <w:jc w:val="left"/>
      </w:pPr>
      <w:r>
        <w:rPr>
          <w:spacing w:val="-4"/>
        </w:rPr>
        <w:t>报告期末，大连华宇总资产</w:t>
      </w:r>
      <w:r>
        <w:rPr>
          <w:rFonts w:ascii="Arial" w:hAnsi="Arial" w:cs="Arial" w:eastAsia="Arial" w:hint="default"/>
          <w:spacing w:val="-4"/>
        </w:rPr>
        <w:t>2.38</w:t>
      </w:r>
      <w:r>
        <w:rPr>
          <w:spacing w:val="-4"/>
        </w:rPr>
        <w:t>亿元，净资产</w:t>
      </w:r>
      <w:r>
        <w:rPr>
          <w:rFonts w:ascii="Arial" w:hAnsi="Arial" w:cs="Arial" w:eastAsia="Arial" w:hint="default"/>
          <w:spacing w:val="-4"/>
        </w:rPr>
        <w:t>1.83</w:t>
      </w:r>
      <w:r>
        <w:rPr>
          <w:spacing w:val="-4"/>
        </w:rPr>
        <w:t>亿元；报告期内，实现净利润</w:t>
      </w:r>
      <w:r>
        <w:rPr>
          <w:rFonts w:ascii="Arial" w:hAnsi="Arial" w:cs="Arial" w:eastAsia="Arial" w:hint="default"/>
          <w:spacing w:val="-4"/>
        </w:rPr>
        <w:t>1,406.28</w:t>
      </w:r>
      <w:r>
        <w:rPr>
          <w:rFonts w:ascii="Arial" w:hAnsi="Arial" w:cs="Arial" w:eastAsia="Arial" w:hint="default"/>
          <w:w w:val="99"/>
        </w:rPr>
        <w:t> </w:t>
      </w:r>
      <w:r>
        <w:rPr/>
        <w:t>万元。</w:t>
      </w:r>
    </w:p>
    <w:p>
      <w:pPr>
        <w:pStyle w:val="Heading3"/>
        <w:spacing w:line="261" w:lineRule="auto" w:before="26"/>
        <w:ind w:left="595" w:right="996"/>
        <w:jc w:val="left"/>
      </w:pPr>
      <w:r>
        <w:rPr/>
        <w:t>（</w:t>
      </w:r>
      <w:r>
        <w:rPr>
          <w:rFonts w:ascii="Arial" w:hAnsi="Arial" w:cs="Arial" w:eastAsia="Arial" w:hint="default"/>
        </w:rPr>
        <w:t>6</w:t>
      </w:r>
      <w:r>
        <w:rPr/>
        <w:t>）华宇元典 </w:t>
      </w:r>
      <w:r>
        <w:rPr>
          <w:spacing w:val="-2"/>
        </w:rPr>
        <w:t>华宇元典成立于</w:t>
      </w:r>
      <w:r>
        <w:rPr>
          <w:rFonts w:ascii="Arial" w:hAnsi="Arial" w:cs="Arial" w:eastAsia="Arial" w:hint="default"/>
          <w:spacing w:val="-2"/>
        </w:rPr>
        <w:t>2016</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25</w:t>
      </w:r>
      <w:r>
        <w:rPr>
          <w:spacing w:val="-2"/>
        </w:rPr>
        <w:t>日，注册资本人民币</w:t>
      </w:r>
      <w:r>
        <w:rPr>
          <w:rFonts w:ascii="Arial" w:hAnsi="Arial" w:cs="Arial" w:eastAsia="Arial" w:hint="default"/>
          <w:spacing w:val="-2"/>
        </w:rPr>
        <w:t>6,000</w:t>
      </w:r>
      <w:r>
        <w:rPr>
          <w:spacing w:val="-2"/>
        </w:rPr>
        <w:t>万元，住所为北京市海淀区中关</w:t>
      </w:r>
    </w:p>
    <w:p>
      <w:pPr>
        <w:pStyle w:val="Heading3"/>
        <w:spacing w:line="268" w:lineRule="auto" w:before="2"/>
        <w:ind w:right="1007"/>
        <w:jc w:val="left"/>
      </w:pPr>
      <w:r>
        <w:rPr>
          <w:spacing w:val="-3"/>
        </w:rPr>
        <w:t>村东路</w:t>
      </w:r>
      <w:r>
        <w:rPr>
          <w:rFonts w:ascii="Arial" w:hAnsi="Arial" w:cs="Arial" w:eastAsia="Arial" w:hint="default"/>
          <w:spacing w:val="-3"/>
        </w:rPr>
        <w:t>1</w:t>
      </w:r>
      <w:r>
        <w:rPr>
          <w:spacing w:val="-3"/>
        </w:rPr>
        <w:t>号院</w:t>
      </w:r>
      <w:r>
        <w:rPr>
          <w:rFonts w:ascii="Arial" w:hAnsi="Arial" w:cs="Arial" w:eastAsia="Arial" w:hint="default"/>
          <w:spacing w:val="-3"/>
        </w:rPr>
        <w:t>8</w:t>
      </w:r>
      <w:r>
        <w:rPr>
          <w:spacing w:val="-3"/>
        </w:rPr>
        <w:t>号楼</w:t>
      </w:r>
      <w:r>
        <w:rPr>
          <w:rFonts w:ascii="Arial" w:hAnsi="Arial" w:cs="Arial" w:eastAsia="Arial" w:hint="default"/>
          <w:spacing w:val="-3"/>
        </w:rPr>
        <w:t>21</w:t>
      </w:r>
      <w:r>
        <w:rPr>
          <w:spacing w:val="-3"/>
        </w:rPr>
        <w:t>层</w:t>
      </w:r>
      <w:r>
        <w:rPr>
          <w:rFonts w:ascii="Arial" w:hAnsi="Arial" w:cs="Arial" w:eastAsia="Arial" w:hint="default"/>
          <w:spacing w:val="-3"/>
        </w:rPr>
        <w:t>C2303</w:t>
      </w:r>
      <w:r>
        <w:rPr>
          <w:spacing w:val="-3"/>
        </w:rPr>
        <w:t>。华宇元典专注于法律人工智能深度研发，运用自然语言处理、</w:t>
      </w:r>
      <w:r>
        <w:rPr>
          <w:spacing w:val="-112"/>
        </w:rPr>
        <w:t> </w:t>
      </w:r>
      <w:r>
        <w:rPr>
          <w:spacing w:val="-112"/>
        </w:rPr>
      </w:r>
      <w:r>
        <w:rPr/>
        <w:t>数据挖掘、机器学习、知识工程等技术，打造法律智能产品，为法官、检察官、律师、其他</w:t>
      </w:r>
      <w:r>
        <w:rPr>
          <w:spacing w:val="-89"/>
        </w:rPr>
        <w:t> </w:t>
      </w:r>
      <w:r>
        <w:rPr>
          <w:spacing w:val="-89"/>
        </w:rPr>
      </w:r>
      <w:r>
        <w:rPr/>
        <w:t>诉讼参与者、法律研究者、立法工作者、企业法务、社会公众和征信机构等提供领先的法律</w:t>
      </w:r>
      <w:r>
        <w:rPr>
          <w:spacing w:val="-89"/>
        </w:rPr>
        <w:t> </w:t>
      </w:r>
      <w:r>
        <w:rPr>
          <w:spacing w:val="-89"/>
        </w:rPr>
      </w:r>
      <w:r>
        <w:rPr/>
        <w:t>数据服务及产品。公司持有华宇元典</w:t>
      </w:r>
      <w:r>
        <w:rPr>
          <w:rFonts w:ascii="Arial" w:hAnsi="Arial" w:cs="Arial" w:eastAsia="Arial" w:hint="default"/>
        </w:rPr>
        <w:t>30%</w:t>
      </w:r>
      <w:r>
        <w:rPr/>
        <w:t>的股权。</w:t>
      </w:r>
    </w:p>
    <w:p>
      <w:pPr>
        <w:pStyle w:val="Heading3"/>
        <w:spacing w:line="325" w:lineRule="exact"/>
        <w:ind w:left="595" w:right="996"/>
        <w:jc w:val="left"/>
      </w:pPr>
      <w:r>
        <w:rPr/>
        <w:t>报告期末，华宇元典总资产</w:t>
      </w:r>
      <w:r>
        <w:rPr>
          <w:rFonts w:ascii="Arial" w:hAnsi="Arial" w:cs="Arial" w:eastAsia="Arial" w:hint="default"/>
        </w:rPr>
        <w:t>6410.51</w:t>
      </w:r>
      <w:r>
        <w:rPr/>
        <w:t>万元，净资产</w:t>
      </w:r>
      <w:r>
        <w:rPr>
          <w:rFonts w:ascii="Arial" w:hAnsi="Arial" w:cs="Arial" w:eastAsia="Arial" w:hint="default"/>
        </w:rPr>
        <w:t>4791.72</w:t>
      </w:r>
      <w:r>
        <w:rPr/>
        <w:t>万元；报告期内，实现净利润</w:t>
      </w:r>
    </w:p>
    <w:p>
      <w:pPr>
        <w:pStyle w:val="Heading3"/>
        <w:spacing w:line="240" w:lineRule="auto" w:before="29"/>
        <w:ind w:right="996"/>
        <w:jc w:val="left"/>
      </w:pPr>
      <w:r>
        <w:rPr>
          <w:rFonts w:ascii="Arial" w:hAnsi="Arial" w:cs="Arial" w:eastAsia="Arial" w:hint="default"/>
        </w:rPr>
        <w:t>1,405.54</w:t>
      </w:r>
      <w:r>
        <w:rPr/>
        <w:t>万元。</w:t>
      </w:r>
    </w:p>
    <w:p>
      <w:pPr>
        <w:pStyle w:val="Heading3"/>
        <w:spacing w:line="259" w:lineRule="auto" w:before="26"/>
        <w:ind w:left="595" w:right="996"/>
        <w:jc w:val="left"/>
        <w:rPr>
          <w:rFonts w:ascii="Arial" w:hAnsi="Arial" w:cs="Arial" w:eastAsia="Arial" w:hint="default"/>
        </w:rPr>
      </w:pPr>
      <w:r>
        <w:rPr/>
        <w:t>（</w:t>
      </w:r>
      <w:r>
        <w:rPr>
          <w:rFonts w:ascii="Arial" w:hAnsi="Arial" w:cs="Arial" w:eastAsia="Arial" w:hint="default"/>
        </w:rPr>
        <w:t>7</w:t>
      </w:r>
      <w:r>
        <w:rPr/>
        <w:t>）广州华宇 </w:t>
      </w:r>
      <w:r>
        <w:rPr>
          <w:spacing w:val="-5"/>
          <w:w w:val="99"/>
        </w:rPr>
        <w:t>广州华宇成立于</w:t>
      </w:r>
      <w:r>
        <w:rPr>
          <w:rFonts w:ascii="Arial" w:hAnsi="Arial" w:cs="Arial" w:eastAsia="Arial" w:hint="default"/>
          <w:spacing w:val="-5"/>
          <w:w w:val="99"/>
        </w:rPr>
        <w:t>2007</w:t>
      </w:r>
      <w:r>
        <w:rPr>
          <w:spacing w:val="-5"/>
          <w:w w:val="99"/>
        </w:rPr>
        <w:t>年</w:t>
      </w:r>
      <w:r>
        <w:rPr>
          <w:rFonts w:ascii="Arial" w:hAnsi="Arial" w:cs="Arial" w:eastAsia="Arial" w:hint="default"/>
          <w:spacing w:val="-5"/>
          <w:w w:val="99"/>
        </w:rPr>
        <w:t>9</w:t>
      </w:r>
      <w:r>
        <w:rPr>
          <w:spacing w:val="-5"/>
          <w:w w:val="99"/>
        </w:rPr>
        <w:t>月</w:t>
      </w:r>
      <w:r>
        <w:rPr>
          <w:rFonts w:ascii="Arial" w:hAnsi="Arial" w:cs="Arial" w:eastAsia="Arial" w:hint="default"/>
          <w:spacing w:val="-5"/>
          <w:w w:val="99"/>
        </w:rPr>
        <w:t>11</w:t>
      </w:r>
      <w:r>
        <w:rPr>
          <w:spacing w:val="-5"/>
          <w:w w:val="99"/>
        </w:rPr>
        <w:t>日，注册资本</w:t>
      </w:r>
      <w:r>
        <w:rPr>
          <w:rFonts w:ascii="Arial" w:hAnsi="Arial" w:cs="Arial" w:eastAsia="Arial" w:hint="default"/>
          <w:spacing w:val="-5"/>
          <w:w w:val="99"/>
        </w:rPr>
        <w:t>2,000</w:t>
      </w:r>
      <w:r>
        <w:rPr>
          <w:spacing w:val="-5"/>
          <w:w w:val="99"/>
        </w:rPr>
        <w:t>万元，住所为广州市海珠区阅江中路</w:t>
      </w:r>
      <w:r>
        <w:rPr>
          <w:rFonts w:ascii="Arial" w:hAnsi="Arial" w:cs="Arial" w:eastAsia="Arial" w:hint="default"/>
          <w:spacing w:val="-5"/>
          <w:w w:val="99"/>
        </w:rPr>
        <w:t>688</w:t>
      </w:r>
      <w:r>
        <w:rPr>
          <w:rFonts w:ascii="Arial" w:hAnsi="Arial" w:cs="Arial" w:eastAsia="Arial" w:hint="default"/>
          <w:spacing w:val="-5"/>
        </w:rPr>
      </w:r>
    </w:p>
    <w:p>
      <w:pPr>
        <w:pStyle w:val="Heading3"/>
        <w:spacing w:line="261" w:lineRule="auto" w:before="7"/>
        <w:ind w:right="1127"/>
        <w:jc w:val="left"/>
      </w:pPr>
      <w:r>
        <w:rPr/>
        <w:t>号保利国际广场北塔</w:t>
      </w:r>
      <w:r>
        <w:rPr>
          <w:rFonts w:ascii="Arial" w:hAnsi="Arial" w:cs="Arial" w:eastAsia="Arial" w:hint="default"/>
        </w:rPr>
        <w:t>15</w:t>
      </w:r>
      <w:r>
        <w:rPr/>
        <w:t>层。广州华宇主要服务于华南地区法律科技领域的客户，专注于电子</w:t>
      </w:r>
      <w:r>
        <w:rPr>
          <w:spacing w:val="-110"/>
        </w:rPr>
        <w:t> </w:t>
      </w:r>
      <w:r>
        <w:rPr>
          <w:spacing w:val="-110"/>
        </w:rPr>
      </w:r>
      <w:r>
        <w:rPr/>
        <w:t>政务领域的相关产品开发、平台建设及应用系统整合集成。公司持有广州华宇</w:t>
      </w:r>
      <w:r>
        <w:rPr>
          <w:rFonts w:ascii="Arial" w:hAnsi="Arial" w:cs="Arial" w:eastAsia="Arial" w:hint="default"/>
        </w:rPr>
        <w:t>100%</w:t>
      </w:r>
      <w:r>
        <w:rPr/>
        <w:t>股权。</w:t>
      </w:r>
    </w:p>
    <w:p>
      <w:pPr>
        <w:spacing w:after="0" w:line="261" w:lineRule="auto"/>
        <w:jc w:val="left"/>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1" w:lineRule="auto" w:before="26"/>
        <w:ind w:right="996" w:firstLine="482"/>
        <w:jc w:val="left"/>
      </w:pPr>
      <w:r>
        <w:rPr>
          <w:spacing w:val="-1"/>
        </w:rPr>
        <w:t>报告期末，广州华宇总资产</w:t>
      </w:r>
      <w:r>
        <w:rPr>
          <w:rFonts w:ascii="Arial" w:hAnsi="Arial" w:cs="Arial" w:eastAsia="Arial" w:hint="default"/>
          <w:spacing w:val="-1"/>
        </w:rPr>
        <w:t>1.38</w:t>
      </w:r>
      <w:r>
        <w:rPr>
          <w:spacing w:val="-1"/>
        </w:rPr>
        <w:t>亿元，净资产</w:t>
      </w:r>
      <w:r>
        <w:rPr>
          <w:rFonts w:ascii="Arial" w:hAnsi="Arial" w:cs="Arial" w:eastAsia="Arial" w:hint="default"/>
          <w:spacing w:val="-1"/>
        </w:rPr>
        <w:t>1.15</w:t>
      </w:r>
      <w:r>
        <w:rPr>
          <w:spacing w:val="-1"/>
        </w:rPr>
        <w:t>亿元；报告期内，实现净利润</w:t>
      </w:r>
      <w:r>
        <w:rPr>
          <w:rFonts w:ascii="Arial" w:hAnsi="Arial" w:cs="Arial" w:eastAsia="Arial" w:hint="default"/>
          <w:spacing w:val="-1"/>
        </w:rPr>
        <w:t>-503.12</w:t>
      </w:r>
      <w:r>
        <w:rPr>
          <w:rFonts w:ascii="Arial" w:hAnsi="Arial" w:cs="Arial" w:eastAsia="Arial" w:hint="default"/>
          <w:w w:val="99"/>
        </w:rPr>
        <w:t> </w:t>
      </w:r>
      <w:r>
        <w:rPr/>
        <w:t>万元。</w:t>
      </w:r>
    </w:p>
    <w:p>
      <w:pPr>
        <w:pStyle w:val="Heading3"/>
        <w:spacing w:line="261" w:lineRule="auto" w:before="22"/>
        <w:ind w:left="595" w:right="996"/>
        <w:jc w:val="left"/>
      </w:pPr>
      <w:r>
        <w:rPr/>
        <w:t>（</w:t>
      </w:r>
      <w:r>
        <w:rPr>
          <w:rFonts w:ascii="Arial" w:hAnsi="Arial" w:cs="Arial" w:eastAsia="Arial" w:hint="default"/>
        </w:rPr>
        <w:t>8</w:t>
      </w:r>
      <w:r>
        <w:rPr/>
        <w:t>）亿信华辰 亿信华辰成立于</w:t>
      </w:r>
      <w:r>
        <w:rPr>
          <w:rFonts w:ascii="Arial" w:hAnsi="Arial" w:cs="Arial" w:eastAsia="Arial" w:hint="default"/>
        </w:rPr>
        <w:t>2006</w:t>
      </w:r>
      <w:r>
        <w:rPr/>
        <w:t>年</w:t>
      </w:r>
      <w:r>
        <w:rPr>
          <w:rFonts w:ascii="Arial" w:hAnsi="Arial" w:cs="Arial" w:eastAsia="Arial" w:hint="default"/>
        </w:rPr>
        <w:t>10</w:t>
      </w:r>
      <w:r>
        <w:rPr/>
        <w:t>月</w:t>
      </w:r>
      <w:r>
        <w:rPr>
          <w:rFonts w:ascii="Arial" w:hAnsi="Arial" w:cs="Arial" w:eastAsia="Arial" w:hint="default"/>
        </w:rPr>
        <w:t>31</w:t>
      </w:r>
      <w:r>
        <w:rPr/>
        <w:t>日，注册资本</w:t>
      </w:r>
      <w:r>
        <w:rPr>
          <w:rFonts w:ascii="Arial" w:hAnsi="Arial" w:cs="Arial" w:eastAsia="Arial" w:hint="default"/>
        </w:rPr>
        <w:t>1,250</w:t>
      </w:r>
      <w:r>
        <w:rPr/>
        <w:t>万元，住所为北京市海淀区西小口路</w:t>
      </w:r>
    </w:p>
    <w:p>
      <w:pPr>
        <w:pStyle w:val="Heading3"/>
        <w:spacing w:line="266" w:lineRule="auto" w:before="2"/>
        <w:ind w:right="1128"/>
        <w:jc w:val="both"/>
      </w:pPr>
      <w:r>
        <w:rPr>
          <w:rFonts w:ascii="Arial" w:hAnsi="Arial" w:cs="Arial" w:eastAsia="Arial" w:hint="default"/>
          <w:spacing w:val="-3"/>
          <w:w w:val="99"/>
        </w:rPr>
        <w:t>66</w:t>
      </w:r>
      <w:r>
        <w:rPr>
          <w:spacing w:val="-3"/>
          <w:w w:val="99"/>
        </w:rPr>
        <w:t>号中关村东升科技园</w:t>
      </w:r>
      <w:r>
        <w:rPr>
          <w:rFonts w:ascii="Arial" w:hAnsi="Arial" w:cs="Arial" w:eastAsia="Arial" w:hint="default"/>
          <w:spacing w:val="-3"/>
          <w:w w:val="99"/>
        </w:rPr>
        <w:t>B-2</w:t>
      </w:r>
      <w:r>
        <w:rPr>
          <w:spacing w:val="-3"/>
          <w:w w:val="99"/>
        </w:rPr>
        <w:t>号楼</w:t>
      </w:r>
      <w:r>
        <w:rPr>
          <w:rFonts w:ascii="Arial" w:hAnsi="Arial" w:cs="Arial" w:eastAsia="Arial" w:hint="default"/>
          <w:spacing w:val="-3"/>
          <w:w w:val="99"/>
        </w:rPr>
        <w:t>5</w:t>
      </w:r>
      <w:r>
        <w:rPr>
          <w:spacing w:val="-3"/>
          <w:w w:val="99"/>
        </w:rPr>
        <w:t>层</w:t>
      </w:r>
      <w:r>
        <w:rPr>
          <w:rFonts w:ascii="Arial" w:hAnsi="Arial" w:cs="Arial" w:eastAsia="Arial" w:hint="default"/>
          <w:spacing w:val="-3"/>
          <w:w w:val="99"/>
        </w:rPr>
        <w:t>A502</w:t>
      </w:r>
      <w:r>
        <w:rPr>
          <w:spacing w:val="-3"/>
          <w:w w:val="99"/>
        </w:rPr>
        <w:t>室。亿信华辰长期专注于大数据领域相关技术和应用</w:t>
      </w:r>
      <w:r>
        <w:rPr>
          <w:spacing w:val="-84"/>
          <w:w w:val="99"/>
        </w:rPr>
        <w:t> </w:t>
      </w:r>
      <w:r>
        <w:rPr>
          <w:spacing w:val="-84"/>
          <w:w w:val="99"/>
        </w:rPr>
      </w:r>
      <w:r>
        <w:rPr/>
        <w:t>解决方案的研究和实践，商业智能领域相关产品的研发和推广，数据采集与分析应用领域的</w:t>
      </w:r>
      <w:r>
        <w:rPr>
          <w:spacing w:val="-89"/>
        </w:rPr>
        <w:t> </w:t>
      </w:r>
      <w:r>
        <w:rPr>
          <w:spacing w:val="-89"/>
        </w:rPr>
      </w:r>
      <w:r>
        <w:rPr/>
        <w:t>咨询与服务。公司持有亿信华辰</w:t>
      </w:r>
      <w:r>
        <w:rPr>
          <w:rFonts w:ascii="Arial" w:hAnsi="Arial" w:cs="Arial" w:eastAsia="Arial" w:hint="default"/>
        </w:rPr>
        <w:t>80%</w:t>
      </w:r>
      <w:r>
        <w:rPr/>
        <w:t>股权。</w:t>
      </w:r>
    </w:p>
    <w:p>
      <w:pPr>
        <w:pStyle w:val="Heading3"/>
        <w:spacing w:line="259" w:lineRule="auto"/>
        <w:ind w:right="996" w:firstLine="482"/>
        <w:jc w:val="left"/>
      </w:pPr>
      <w:r>
        <w:rPr>
          <w:spacing w:val="-5"/>
        </w:rPr>
        <w:t>报告期末，亿信华辰总资产</w:t>
      </w:r>
      <w:r>
        <w:rPr>
          <w:rFonts w:ascii="Arial" w:hAnsi="Arial" w:cs="Arial" w:eastAsia="Arial" w:hint="default"/>
          <w:spacing w:val="-5"/>
        </w:rPr>
        <w:t>2.14</w:t>
      </w:r>
      <w:r>
        <w:rPr>
          <w:spacing w:val="-5"/>
        </w:rPr>
        <w:t>亿元，净资产</w:t>
      </w:r>
      <w:r>
        <w:rPr>
          <w:rFonts w:ascii="Arial" w:hAnsi="Arial" w:cs="Arial" w:eastAsia="Arial" w:hint="default"/>
          <w:spacing w:val="-5"/>
        </w:rPr>
        <w:t>1.13</w:t>
      </w:r>
      <w:r>
        <w:rPr>
          <w:spacing w:val="-5"/>
        </w:rPr>
        <w:t>亿元；报告期内，实现净利润</w:t>
      </w:r>
      <w:r>
        <w:rPr>
          <w:rFonts w:ascii="Arial" w:hAnsi="Arial" w:cs="Arial" w:eastAsia="Arial" w:hint="default"/>
          <w:spacing w:val="-5"/>
        </w:rPr>
        <w:t>-1,795.22</w:t>
      </w:r>
      <w:r>
        <w:rPr>
          <w:rFonts w:ascii="Arial" w:hAnsi="Arial" w:cs="Arial" w:eastAsia="Arial" w:hint="default"/>
          <w:w w:val="99"/>
        </w:rPr>
        <w:t> </w:t>
      </w:r>
      <w:r>
        <w:rPr/>
        <w:t>万元。</w:t>
      </w:r>
    </w:p>
    <w:p>
      <w:pPr>
        <w:pStyle w:val="Heading3"/>
        <w:spacing w:line="259" w:lineRule="auto" w:before="26"/>
        <w:ind w:left="595" w:right="996"/>
        <w:jc w:val="left"/>
      </w:pPr>
      <w:r>
        <w:rPr/>
        <w:t>（</w:t>
      </w:r>
      <w:r>
        <w:rPr>
          <w:rFonts w:ascii="Arial" w:hAnsi="Arial" w:cs="Arial" w:eastAsia="Arial" w:hint="default"/>
        </w:rPr>
        <w:t>9</w:t>
      </w:r>
      <w:r>
        <w:rPr/>
        <w:t>）华宇金信 </w:t>
      </w:r>
      <w:r>
        <w:rPr>
          <w:spacing w:val="-2"/>
        </w:rPr>
        <w:t>华宇金信成立于</w:t>
      </w:r>
      <w:r>
        <w:rPr>
          <w:rFonts w:ascii="Arial" w:hAnsi="Arial" w:cs="Arial" w:eastAsia="Arial" w:hint="default"/>
          <w:spacing w:val="-2"/>
        </w:rPr>
        <w:t>2007</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26</w:t>
      </w:r>
      <w:r>
        <w:rPr>
          <w:spacing w:val="-2"/>
        </w:rPr>
        <w:t>日，注册资本</w:t>
      </w:r>
      <w:r>
        <w:rPr>
          <w:rFonts w:ascii="Arial" w:hAnsi="Arial" w:cs="Arial" w:eastAsia="Arial" w:hint="default"/>
          <w:spacing w:val="-2"/>
        </w:rPr>
        <w:t>8,000</w:t>
      </w:r>
      <w:r>
        <w:rPr>
          <w:spacing w:val="-2"/>
        </w:rPr>
        <w:t>万元，住所为北京市北京经济技术开发</w:t>
      </w:r>
    </w:p>
    <w:p>
      <w:pPr>
        <w:pStyle w:val="Heading3"/>
        <w:spacing w:line="266" w:lineRule="auto" w:before="7"/>
        <w:ind w:right="1129"/>
        <w:jc w:val="both"/>
      </w:pPr>
      <w:r>
        <w:rPr>
          <w:spacing w:val="-2"/>
        </w:rPr>
        <w:t>区科谷一街</w:t>
      </w:r>
      <w:r>
        <w:rPr>
          <w:rFonts w:ascii="Arial" w:hAnsi="Arial" w:cs="Arial" w:eastAsia="Arial" w:hint="default"/>
          <w:spacing w:val="-2"/>
        </w:rPr>
        <w:t>10</w:t>
      </w:r>
      <w:r>
        <w:rPr>
          <w:spacing w:val="-2"/>
        </w:rPr>
        <w:t>号院</w:t>
      </w:r>
      <w:r>
        <w:rPr>
          <w:rFonts w:ascii="Arial" w:hAnsi="Arial" w:cs="Arial" w:eastAsia="Arial" w:hint="default"/>
          <w:spacing w:val="-2"/>
        </w:rPr>
        <w:t>11</w:t>
      </w:r>
      <w:r>
        <w:rPr>
          <w:spacing w:val="-2"/>
        </w:rPr>
        <w:t>号楼</w:t>
      </w:r>
      <w:r>
        <w:rPr>
          <w:rFonts w:ascii="Arial" w:hAnsi="Arial" w:cs="Arial" w:eastAsia="Arial" w:hint="default"/>
          <w:spacing w:val="-2"/>
        </w:rPr>
        <w:t>9</w:t>
      </w:r>
      <w:r>
        <w:rPr>
          <w:spacing w:val="-2"/>
        </w:rPr>
        <w:t>层</w:t>
      </w:r>
      <w:r>
        <w:rPr>
          <w:rFonts w:ascii="Arial" w:hAnsi="Arial" w:cs="Arial" w:eastAsia="Arial" w:hint="default"/>
          <w:spacing w:val="-2"/>
        </w:rPr>
        <w:t>901</w:t>
      </w:r>
      <w:r>
        <w:rPr>
          <w:spacing w:val="-2"/>
        </w:rPr>
        <w:t>。华宇金信利用云计算、大数据、人工智能、物联网、区块</w:t>
      </w:r>
      <w:r>
        <w:rPr>
          <w:spacing w:val="-106"/>
        </w:rPr>
        <w:t> </w:t>
      </w:r>
      <w:r>
        <w:rPr>
          <w:spacing w:val="-106"/>
        </w:rPr>
      </w:r>
      <w:r>
        <w:rPr/>
        <w:t>链、移动应用等技术，将技术与新市场监管业务进行全面融合，提供咨询规划、应用开发、</w:t>
      </w:r>
      <w:r>
        <w:rPr>
          <w:spacing w:val="-89"/>
        </w:rPr>
        <w:t> </w:t>
      </w:r>
      <w:r>
        <w:rPr>
          <w:spacing w:val="-89"/>
        </w:rPr>
      </w:r>
      <w:r>
        <w:rPr/>
        <w:t>系统建设、数据服务和运行维护的全方位服务。公司持有华宇金信</w:t>
      </w:r>
      <w:r>
        <w:rPr>
          <w:rFonts w:ascii="Arial" w:hAnsi="Arial" w:cs="Arial" w:eastAsia="Arial" w:hint="default"/>
        </w:rPr>
        <w:t>100%</w:t>
      </w:r>
      <w:r>
        <w:rPr/>
        <w:t>的股权。</w:t>
      </w:r>
    </w:p>
    <w:p>
      <w:pPr>
        <w:pStyle w:val="Heading3"/>
        <w:spacing w:line="259" w:lineRule="auto"/>
        <w:ind w:right="996" w:firstLine="482"/>
        <w:jc w:val="left"/>
      </w:pPr>
      <w:r>
        <w:rPr>
          <w:spacing w:val="-5"/>
        </w:rPr>
        <w:t>报告期末，华宇金信总资产</w:t>
      </w:r>
      <w:r>
        <w:rPr>
          <w:rFonts w:ascii="Arial" w:hAnsi="Arial" w:cs="Arial" w:eastAsia="Arial" w:hint="default"/>
          <w:spacing w:val="-5"/>
        </w:rPr>
        <w:t>2.73</w:t>
      </w:r>
      <w:r>
        <w:rPr>
          <w:spacing w:val="-5"/>
        </w:rPr>
        <w:t>亿元，净资产</w:t>
      </w:r>
      <w:r>
        <w:rPr>
          <w:rFonts w:ascii="Arial" w:hAnsi="Arial" w:cs="Arial" w:eastAsia="Arial" w:hint="default"/>
          <w:spacing w:val="-5"/>
        </w:rPr>
        <w:t>1.34</w:t>
      </w:r>
      <w:r>
        <w:rPr>
          <w:spacing w:val="-5"/>
        </w:rPr>
        <w:t>亿元；报告期内，实现净利润</w:t>
      </w:r>
      <w:r>
        <w:rPr>
          <w:rFonts w:ascii="Arial" w:hAnsi="Arial" w:cs="Arial" w:eastAsia="Arial" w:hint="default"/>
          <w:spacing w:val="-5"/>
        </w:rPr>
        <w:t>-3,576.53</w:t>
      </w:r>
      <w:r>
        <w:rPr>
          <w:rFonts w:ascii="Arial" w:hAnsi="Arial" w:cs="Arial" w:eastAsia="Arial" w:hint="default"/>
          <w:w w:val="99"/>
        </w:rPr>
        <w:t> </w:t>
      </w:r>
      <w:r>
        <w:rPr/>
        <w:t>万元。</w:t>
      </w:r>
    </w:p>
    <w:p>
      <w:pPr>
        <w:spacing w:line="240" w:lineRule="auto" w:before="2"/>
        <w:rPr>
          <w:rFonts w:ascii="宋体" w:hAnsi="宋体" w:cs="宋体" w:eastAsia="宋体" w:hint="default"/>
          <w:sz w:val="23"/>
          <w:szCs w:val="23"/>
        </w:rPr>
      </w:pPr>
    </w:p>
    <w:p>
      <w:pPr>
        <w:pStyle w:val="Heading2"/>
        <w:spacing w:line="240" w:lineRule="auto"/>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12"/>
        <w:rPr>
          <w:rFonts w:ascii="宋体" w:hAnsi="宋体" w:cs="宋体" w:eastAsia="宋体" w:hint="default"/>
          <w:b/>
          <w:bCs/>
          <w:sz w:val="22"/>
          <w:szCs w:val="22"/>
        </w:rPr>
      </w:pPr>
    </w:p>
    <w:p>
      <w:pPr>
        <w:spacing w:line="444" w:lineRule="auto" w:before="0"/>
        <w:ind w:left="112" w:right="81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九、公司未来发展的展望" w:id="56"/>
      <w:bookmarkEnd w:id="56"/>
      <w:r>
        <w:rPr>
          <w:rFonts w:ascii="宋体" w:hAnsi="宋体" w:cs="宋体" w:eastAsia="宋体" w:hint="default"/>
          <w:w w:val="99"/>
          <w:sz w:val="24"/>
          <w:szCs w:val="24"/>
        </w:rPr>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spacing w:line="477" w:lineRule="auto" w:before="96"/>
        <w:ind w:left="112" w:right="4034" w:firstLine="0"/>
        <w:jc w:val="left"/>
        <w:rPr>
          <w:rFonts w:ascii="宋体" w:hAnsi="宋体" w:cs="宋体" w:eastAsia="宋体" w:hint="default"/>
          <w:sz w:val="21"/>
          <w:szCs w:val="21"/>
        </w:rPr>
      </w:pPr>
      <w:r>
        <w:rPr>
          <w:rFonts w:ascii="宋体" w:hAnsi="宋体" w:cs="宋体" w:eastAsia="宋体" w:hint="default"/>
          <w:sz w:val="24"/>
          <w:szCs w:val="24"/>
        </w:rPr>
        <w:t>请见“第四节经营情况分析与讨论”中“二、主营业务分析”。 </w:t>
      </w:r>
      <w:bookmarkStart w:name="十、接待调研、沟通、采访等活动登记表" w:id="57"/>
      <w:bookmarkEnd w:id="57"/>
      <w:r>
        <w:rPr>
          <w:rFonts w:ascii="宋体" w:hAnsi="宋体" w:cs="宋体" w:eastAsia="宋体" w:hint="default"/>
          <w:sz w:val="24"/>
          <w:szCs w:val="24"/>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bookmarkStart w:name="1、报告期内接待调研、沟通、采访等活动登记表" w:id="58"/>
      <w:bookmarkEnd w:id="58"/>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pStyle w:val="Heading3"/>
        <w:spacing w:line="240" w:lineRule="auto" w:before="67"/>
        <w:ind w:right="0"/>
        <w:jc w:val="both"/>
      </w:pPr>
      <w:r>
        <w:rPr>
          <w:rFonts w:ascii="Arial" w:hAnsi="Arial" w:cs="Arial" w:eastAsia="Arial" w:hint="default"/>
        </w:rPr>
        <w:t>√  </w:t>
      </w:r>
      <w:r>
        <w:rPr/>
        <w:t>适用 □</w:t>
      </w:r>
      <w:r>
        <w:rPr>
          <w:spacing w:val="-14"/>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63"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568"/>
              <w:jc w:val="right"/>
              <w:rPr>
                <w:rFonts w:ascii="宋体" w:hAnsi="宋体" w:cs="宋体" w:eastAsia="宋体" w:hint="default"/>
                <w:sz w:val="21"/>
                <w:szCs w:val="21"/>
              </w:rPr>
            </w:pPr>
            <w:r>
              <w:rPr>
                <w:rFonts w:ascii="宋体" w:hAnsi="宋体" w:cs="宋体" w:eastAsia="宋体" w:hint="default"/>
                <w:w w:val="95"/>
                <w:sz w:val="21"/>
                <w:szCs w:val="21"/>
              </w:rPr>
              <w:t>调研的基本情况索引</w:t>
            </w:r>
            <w:r>
              <w:rPr>
                <w:rFonts w:ascii="宋体" w:hAnsi="宋体" w:cs="宋体" w:eastAsia="宋体" w:hint="default"/>
                <w:sz w:val="21"/>
                <w:szCs w:val="21"/>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05</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08</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05</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14</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08</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09</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04</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09</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08</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98"/>
              <w:jc w:val="right"/>
              <w:rPr>
                <w:rFonts w:ascii="Arial" w:hAnsi="Arial" w:cs="Arial" w:eastAsia="Arial" w:hint="default"/>
                <w:sz w:val="21"/>
                <w:szCs w:val="21"/>
              </w:rPr>
            </w:pPr>
            <w:hyperlink r:id="rId10">
              <w:r>
                <w:rPr>
                  <w:rFonts w:ascii="Arial"/>
                  <w:spacing w:val="-1"/>
                  <w:sz w:val="21"/>
                </w:rPr>
                <w:t>http://www.cninfo.com.cn</w:t>
              </w:r>
            </w:hyperlink>
          </w:p>
        </w:tc>
      </w:tr>
      <w:tr>
        <w:trPr>
          <w:trHeight w:val="40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09</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23</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98"/>
              <w:jc w:val="right"/>
              <w:rPr>
                <w:rFonts w:ascii="Arial" w:hAnsi="Arial" w:cs="Arial" w:eastAsia="Arial" w:hint="default"/>
                <w:sz w:val="21"/>
                <w:szCs w:val="21"/>
              </w:rPr>
            </w:pPr>
            <w:hyperlink r:id="rId10">
              <w:r>
                <w:rPr>
                  <w:rFonts w:ascii="Arial"/>
                  <w:spacing w:val="-1"/>
                  <w:sz w:val="21"/>
                </w:rPr>
                <w:t>http://www.cninfo.com.cn</w:t>
              </w:r>
            </w:hyperlink>
          </w:p>
        </w:tc>
      </w:tr>
    </w:tbl>
    <w:p>
      <w:pPr>
        <w:spacing w:after="0" w:line="240" w:lineRule="auto"/>
        <w:jc w:val="right"/>
        <w:rPr>
          <w:rFonts w:ascii="Arial" w:hAnsi="Arial" w:cs="Arial" w:eastAsia="Arial" w:hint="default"/>
          <w:sz w:val="21"/>
          <w:szCs w:val="21"/>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23</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pacing w:val="-6"/>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14</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2" w:right="0"/>
              <w:jc w:val="left"/>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pacing w:val="-6"/>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20</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03</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2" w:right="0"/>
              <w:jc w:val="left"/>
              <w:rPr>
                <w:rFonts w:ascii="Arial" w:hAnsi="Arial" w:cs="Arial" w:eastAsia="Arial" w:hint="default"/>
                <w:sz w:val="21"/>
                <w:szCs w:val="21"/>
              </w:rPr>
            </w:pPr>
            <w:hyperlink r:id="rId10">
              <w:r>
                <w:rPr>
                  <w:rFonts w:ascii="Arial"/>
                  <w:sz w:val="21"/>
                </w:rPr>
                <w:t>http://www.cninfo.com.cn</w:t>
              </w:r>
            </w:hyperlink>
          </w:p>
        </w:tc>
      </w:tr>
    </w:tbl>
    <w:p>
      <w:pPr>
        <w:spacing w:after="0" w:line="240" w:lineRule="auto"/>
        <w:jc w:val="left"/>
        <w:rPr>
          <w:rFonts w:ascii="Arial" w:hAnsi="Arial" w:cs="Arial" w:eastAsia="Arial" w:hint="default"/>
          <w:sz w:val="21"/>
          <w:szCs w:val="21"/>
        </w:rPr>
        <w:sectPr>
          <w:pgSz w:w="11910" w:h="16840"/>
          <w:pgMar w:header="878"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1"/>
        <w:spacing w:line="439" w:lineRule="exact"/>
        <w:ind w:left="2742" w:right="3762"/>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62"/>
        </w:rPr>
        <w:t> </w:t>
      </w:r>
      <w:r>
        <w:rPr/>
        <w:t>重要事项</w:t>
      </w:r>
      <w:r>
        <w:rPr>
          <w:b w:val="0"/>
          <w:bCs w:val="0"/>
        </w:rPr>
      </w:r>
    </w:p>
    <w:p>
      <w:pPr>
        <w:spacing w:line="610" w:lineRule="atLeast" w:before="161"/>
        <w:ind w:left="112" w:right="2594" w:firstLine="0"/>
        <w:jc w:val="left"/>
        <w:rPr>
          <w:rFonts w:ascii="宋体" w:hAnsi="宋体" w:cs="宋体" w:eastAsia="宋体" w:hint="default"/>
          <w:sz w:val="24"/>
          <w:szCs w:val="24"/>
        </w:rPr>
      </w:pPr>
      <w:bookmarkStart w:name="一、公司普通股利润分配及资本公积金转增股本情况" w:id="61"/>
      <w:bookmarkEnd w:id="61"/>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Heading3"/>
        <w:spacing w:line="273" w:lineRule="auto" w:before="36"/>
        <w:ind w:left="592" w:right="996" w:hanging="480"/>
        <w:jc w:val="left"/>
      </w:pPr>
      <w:r>
        <w:rPr>
          <w:rFonts w:ascii="Arial" w:hAnsi="Arial" w:cs="Arial" w:eastAsia="Arial" w:hint="default"/>
        </w:rPr>
        <w:t>√ </w:t>
      </w:r>
      <w:r>
        <w:rPr/>
        <w:t>适用 □</w:t>
      </w:r>
      <w:r>
        <w:rPr>
          <w:spacing w:val="-13"/>
        </w:rPr>
        <w:t> </w:t>
      </w:r>
      <w:r>
        <w:rPr/>
        <w:t>不适用 </w:t>
      </w:r>
      <w:r>
        <w:rPr>
          <w:spacing w:val="-3"/>
        </w:rPr>
        <w:t>报告期内，公司严格按照《公司章程》相关利润分配政策和审议程序实施利润分配方案，</w:t>
      </w:r>
    </w:p>
    <w:p>
      <w:pPr>
        <w:pStyle w:val="Heading3"/>
        <w:spacing w:line="268" w:lineRule="auto" w:before="10"/>
        <w:ind w:right="996"/>
        <w:jc w:val="left"/>
      </w:pPr>
      <w:r>
        <w:rPr>
          <w:spacing w:val="-2"/>
        </w:rPr>
        <w:t>分红标准和分红比例明确清晰，相关的决策程序和机制完备。公司利润分配方案经由董事会、</w:t>
      </w:r>
      <w:r>
        <w:rPr/>
        <w:t> 监事会审议过后提交股东大会审议，并由独立董事发表独立意见，审议通过后在规定时间内 进行实施，切实保证了全体股东的利益。经公司于</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20</w:t>
      </w:r>
      <w:r>
        <w:rPr/>
        <w:t>日召开的</w:t>
      </w:r>
      <w:r>
        <w:rPr>
          <w:rFonts w:ascii="Arial" w:hAnsi="Arial" w:cs="Arial" w:eastAsia="Arial" w:hint="default"/>
        </w:rPr>
        <w:t>2018</w:t>
      </w:r>
      <w:r>
        <w:rPr/>
        <w:t>年年度股东大 会审议通过公司</w:t>
      </w:r>
    </w:p>
    <w:p>
      <w:pPr>
        <w:pStyle w:val="Heading3"/>
        <w:spacing w:line="259" w:lineRule="auto" w:before="17"/>
        <w:ind w:right="996" w:firstLine="480"/>
        <w:jc w:val="left"/>
      </w:pPr>
      <w:r>
        <w:rPr/>
        <w:t>《</w:t>
      </w:r>
      <w:r>
        <w:rPr>
          <w:rFonts w:ascii="Arial" w:hAnsi="Arial" w:cs="Arial" w:eastAsia="Arial" w:hint="default"/>
        </w:rPr>
        <w:t>2018</w:t>
      </w:r>
      <w:r>
        <w:rPr/>
        <w:t>年度利润分配方案》：以截止</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754,491,460</w:t>
      </w:r>
      <w:r>
        <w:rPr>
          <w:rFonts w:ascii="Arial" w:hAnsi="Arial" w:cs="Arial" w:eastAsia="Arial" w:hint="default"/>
          <w:spacing w:val="44"/>
        </w:rPr>
        <w:t> </w:t>
      </w:r>
      <w:r>
        <w:rPr/>
        <w:t>股为基 数，向全体股东按每</w:t>
      </w:r>
      <w:r>
        <w:rPr>
          <w:rFonts w:ascii="Arial" w:hAnsi="Arial" w:cs="Arial" w:eastAsia="Arial" w:hint="default"/>
        </w:rPr>
        <w:t>10</w:t>
      </w:r>
      <w:r>
        <w:rPr/>
        <w:t>股派发现金红利</w:t>
      </w:r>
      <w:r>
        <w:rPr>
          <w:rFonts w:ascii="Arial" w:hAnsi="Arial" w:cs="Arial" w:eastAsia="Arial" w:hint="default"/>
        </w:rPr>
        <w:t>0.66</w:t>
      </w:r>
      <w:r>
        <w:rPr/>
        <w:t>元人民币（含税）。由于公司非公开发行股份 </w:t>
      </w:r>
      <w:r>
        <w:rPr>
          <w:rFonts w:ascii="Arial" w:hAnsi="Arial" w:cs="Arial" w:eastAsia="Arial" w:hint="default"/>
          <w:spacing w:val="-3"/>
          <w:w w:val="99"/>
        </w:rPr>
        <w:t>55,938,493</w:t>
      </w:r>
      <w:r>
        <w:rPr>
          <w:spacing w:val="-3"/>
          <w:w w:val="99"/>
        </w:rPr>
        <w:t>股登记完成，公司总股本由</w:t>
      </w:r>
      <w:r>
        <w:rPr>
          <w:rFonts w:ascii="Arial" w:hAnsi="Arial" w:cs="Arial" w:eastAsia="Arial" w:hint="default"/>
          <w:spacing w:val="-3"/>
          <w:w w:val="99"/>
        </w:rPr>
        <w:t>2018</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spacing w:val="-3"/>
          <w:w w:val="99"/>
        </w:rPr>
        <w:t>日的</w:t>
      </w:r>
      <w:r>
        <w:rPr>
          <w:rFonts w:ascii="Arial" w:hAnsi="Arial" w:cs="Arial" w:eastAsia="Arial" w:hint="default"/>
          <w:spacing w:val="-3"/>
          <w:w w:val="99"/>
        </w:rPr>
        <w:t>754,491,460</w:t>
      </w:r>
      <w:r>
        <w:rPr>
          <w:spacing w:val="-3"/>
          <w:w w:val="99"/>
        </w:rPr>
        <w:t>股增加至</w:t>
      </w:r>
      <w:r>
        <w:rPr>
          <w:rFonts w:ascii="Arial" w:hAnsi="Arial" w:cs="Arial" w:eastAsia="Arial" w:hint="default"/>
          <w:spacing w:val="-3"/>
          <w:w w:val="99"/>
        </w:rPr>
        <w:t>810,429,953</w:t>
      </w:r>
      <w:r>
        <w:rPr>
          <w:rFonts w:ascii="Arial" w:hAnsi="Arial" w:cs="Arial" w:eastAsia="Arial" w:hint="default"/>
          <w:spacing w:val="-10"/>
          <w:w w:val="99"/>
        </w:rPr>
        <w:t> </w:t>
      </w:r>
      <w:r>
        <w:rPr>
          <w:rFonts w:ascii="Arial" w:hAnsi="Arial" w:cs="Arial" w:eastAsia="Arial" w:hint="default"/>
          <w:spacing w:val="-10"/>
          <w:w w:val="99"/>
        </w:rPr>
      </w:r>
      <w:r>
        <w:rPr>
          <w:spacing w:val="-1"/>
        </w:rPr>
        <w:t>股。按照“现金分红总额、送红股总额、转增股本总额固定不变”的原则，公司</w:t>
      </w:r>
      <w:r>
        <w:rPr>
          <w:rFonts w:ascii="Arial" w:hAnsi="Arial" w:cs="Arial" w:eastAsia="Arial" w:hint="default"/>
          <w:spacing w:val="-1"/>
        </w:rPr>
        <w:t>2018</w:t>
      </w:r>
      <w:r>
        <w:rPr>
          <w:spacing w:val="-1"/>
        </w:rPr>
        <w:t>年年度</w:t>
      </w:r>
      <w:r>
        <w:rPr>
          <w:spacing w:val="-101"/>
        </w:rPr>
        <w:t> </w:t>
      </w:r>
      <w:r>
        <w:rPr/>
        <w:t>权益分派实施方案为：以公司现有总股本</w:t>
      </w:r>
      <w:r>
        <w:rPr>
          <w:rFonts w:ascii="Arial" w:hAnsi="Arial" w:cs="Arial" w:eastAsia="Arial" w:hint="default"/>
        </w:rPr>
        <w:t>810,429,953</w:t>
      </w:r>
      <w:r>
        <w:rPr/>
        <w:t>股为基数，向全体股东每</w:t>
      </w:r>
      <w:r>
        <w:rPr>
          <w:rFonts w:ascii="Arial" w:hAnsi="Arial" w:cs="Arial" w:eastAsia="Arial" w:hint="default"/>
        </w:rPr>
        <w:t>10</w:t>
      </w:r>
      <w:r>
        <w:rPr/>
        <w:t>股派 </w:t>
      </w:r>
      <w:r>
        <w:rPr>
          <w:rFonts w:ascii="Arial" w:hAnsi="Arial" w:cs="Arial" w:eastAsia="Arial" w:hint="default"/>
          <w:spacing w:val="-1"/>
        </w:rPr>
        <w:t>0.614444</w:t>
      </w:r>
      <w:r>
        <w:rPr>
          <w:spacing w:val="-1"/>
        </w:rPr>
        <w:t>元人民币现金（含税）。公司于</w:t>
      </w:r>
      <w:r>
        <w:rPr>
          <w:rFonts w:ascii="Arial" w:hAnsi="Arial" w:cs="Arial" w:eastAsia="Arial" w:hint="default"/>
          <w:spacing w:val="-1"/>
        </w:rPr>
        <w:t>2019</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23</w:t>
      </w:r>
      <w:r>
        <w:rPr>
          <w:spacing w:val="-1"/>
        </w:rPr>
        <w:t>日发出《</w:t>
      </w:r>
      <w:r>
        <w:rPr>
          <w:rFonts w:ascii="Arial" w:hAnsi="Arial" w:cs="Arial" w:eastAsia="Arial" w:hint="default"/>
          <w:spacing w:val="-1"/>
        </w:rPr>
        <w:t>2018</w:t>
      </w:r>
      <w:r>
        <w:rPr>
          <w:spacing w:val="-1"/>
        </w:rPr>
        <w:t>年年度权益分派实施公</w:t>
      </w:r>
      <w:r>
        <w:rPr/>
        <w:t> 告》，本次权益分派股权登记日为：</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29</w:t>
      </w:r>
      <w:r>
        <w:rPr/>
        <w:t>日，除权除息日为：</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30</w:t>
      </w:r>
      <w:r>
        <w:rPr/>
        <w:t>日。</w:t>
      </w:r>
    </w:p>
    <w:tbl>
      <w:tblPr>
        <w:tblW w:w="0" w:type="auto"/>
        <w:jc w:val="left"/>
        <w:tblInd w:w="109" w:type="dxa"/>
        <w:tblLayout w:type="fixed"/>
        <w:tblCellMar>
          <w:top w:w="0" w:type="dxa"/>
          <w:left w:w="0" w:type="dxa"/>
          <w:bottom w:w="0" w:type="dxa"/>
          <w:right w:w="0" w:type="dxa"/>
        </w:tblCellMar>
        <w:tblLook w:val="01E0"/>
      </w:tblPr>
      <w:tblGrid>
        <w:gridCol w:w="8533"/>
        <w:gridCol w:w="1035"/>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8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pStyle w:val="Heading3"/>
        <w:spacing w:line="312" w:lineRule="exact" w:before="53"/>
        <w:ind w:right="1154"/>
        <w:jc w:val="left"/>
      </w:pPr>
      <w:r>
        <w:rPr/>
        <w:t>公司报告期利润分配预案及资本公积金转增股本预案与公司章程和分红管理办法等的相关规 定一致</w:t>
      </w:r>
    </w:p>
    <w:p>
      <w:pPr>
        <w:pStyle w:val="Heading3"/>
        <w:spacing w:line="261" w:lineRule="auto" w:before="10"/>
        <w:ind w:right="2114"/>
        <w:jc w:val="left"/>
      </w:pPr>
      <w:r>
        <w:rPr>
          <w:rFonts w:ascii="Arial" w:hAnsi="Arial" w:cs="Arial" w:eastAsia="Arial" w:hint="default"/>
        </w:rPr>
        <w:t>√ </w:t>
      </w:r>
      <w:r>
        <w:rPr/>
        <w:t>是 □ 否 □</w:t>
      </w:r>
      <w:r>
        <w:rPr>
          <w:spacing w:val="-13"/>
        </w:rPr>
        <w:t> </w:t>
      </w:r>
      <w:r>
        <w:rPr/>
        <w:t>不适用 公司报告期利润分配预案及资本公积金转增股本预案符合公司章程等的相关规定。 本年度利润分配及资本公积金转增股本情况</w:t>
      </w:r>
    </w:p>
    <w:p>
      <w:pPr>
        <w:spacing w:line="240" w:lineRule="auto" w:before="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820"/>
        <w:gridCol w:w="1748"/>
      </w:tblGrid>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股送红股数（股）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股派息数（元）（含税）</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0.72</w:t>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股转增数（股）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5"/>
              <w:jc w:val="right"/>
              <w:rPr>
                <w:rFonts w:ascii="Arial" w:hAnsi="Arial" w:cs="Arial" w:eastAsia="Arial" w:hint="default"/>
                <w:sz w:val="21"/>
                <w:szCs w:val="21"/>
              </w:rPr>
            </w:pPr>
            <w:r>
              <w:rPr>
                <w:rFonts w:ascii="Arial"/>
                <w:w w:val="95"/>
                <w:sz w:val="21"/>
              </w:rPr>
              <w:t>809,390,723</w:t>
            </w:r>
            <w:r>
              <w:rPr>
                <w:rFonts w:ascii="Arial"/>
                <w:sz w:val="21"/>
              </w:rPr>
            </w:r>
          </w:p>
        </w:tc>
      </w:tr>
      <w:tr>
        <w:trPr>
          <w:trHeight w:val="400"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现金分红金额（元）（含税）</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5"/>
              <w:jc w:val="right"/>
              <w:rPr>
                <w:rFonts w:ascii="Arial" w:hAnsi="Arial" w:cs="Arial" w:eastAsia="Arial" w:hint="default"/>
                <w:sz w:val="21"/>
                <w:szCs w:val="21"/>
              </w:rPr>
            </w:pPr>
            <w:r>
              <w:rPr>
                <w:rFonts w:ascii="Arial"/>
                <w:w w:val="95"/>
                <w:sz w:val="21"/>
              </w:rPr>
              <w:t>58,276,132.06</w:t>
            </w:r>
            <w:r>
              <w:rPr>
                <w:rFonts w:ascii="Arial"/>
                <w:sz w:val="21"/>
              </w:rPr>
            </w:r>
          </w:p>
        </w:tc>
      </w:tr>
    </w:tbl>
    <w:p>
      <w:pPr>
        <w:spacing w:after="0" w:line="240" w:lineRule="auto"/>
        <w:jc w:val="right"/>
        <w:rPr>
          <w:rFonts w:ascii="Arial" w:hAnsi="Arial" w:cs="Arial" w:eastAsia="Arial" w:hint="default"/>
          <w:sz w:val="21"/>
          <w:szCs w:val="21"/>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820"/>
        <w:gridCol w:w="1748"/>
      </w:tblGrid>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以其他方式（如回购股份）现金分红金额（元）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0.00</w:t>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21"/>
                <w:szCs w:val="21"/>
              </w:rPr>
            </w:pPr>
            <w:r>
              <w:rPr>
                <w:rFonts w:ascii="Arial"/>
                <w:w w:val="95"/>
                <w:sz w:val="21"/>
              </w:rPr>
              <w:t>58,276,132.06</w:t>
            </w:r>
            <w:r>
              <w:rPr>
                <w:rFonts w:ascii="Arial"/>
                <w:sz w:val="21"/>
              </w:rPr>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3"/>
              <w:jc w:val="right"/>
              <w:rPr>
                <w:rFonts w:ascii="Arial" w:hAnsi="Arial" w:cs="Arial" w:eastAsia="Arial" w:hint="default"/>
                <w:sz w:val="21"/>
                <w:szCs w:val="21"/>
              </w:rPr>
            </w:pPr>
            <w:r>
              <w:rPr>
                <w:rFonts w:ascii="Arial"/>
                <w:w w:val="95"/>
                <w:sz w:val="21"/>
              </w:rPr>
              <w:t>235,841,002.73</w:t>
            </w:r>
            <w:r>
              <w:rPr>
                <w:rFonts w:ascii="Arial"/>
                <w:sz w:val="21"/>
              </w:rPr>
            </w:r>
          </w:p>
        </w:tc>
      </w:tr>
      <w:tr>
        <w:trPr>
          <w:trHeight w:val="402" w:hRule="exact"/>
        </w:trPr>
        <w:tc>
          <w:tcPr>
            <w:tcW w:w="7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现金分红总额（含其他方式）占利润分配总额的比例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w w:val="95"/>
                <w:sz w:val="21"/>
              </w:rPr>
              <w:t>100.00%</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101" w:right="101"/>
              <w:jc w:val="left"/>
              <w:rPr>
                <w:rFonts w:ascii="宋体" w:hAnsi="宋体" w:cs="宋体" w:eastAsia="宋体" w:hint="default"/>
                <w:sz w:val="21"/>
                <w:szCs w:val="21"/>
              </w:rPr>
            </w:pPr>
            <w:r>
              <w:rPr>
                <w:rFonts w:ascii="宋体" w:hAnsi="宋体" w:cs="宋体" w:eastAsia="宋体" w:hint="default"/>
                <w:spacing w:val="-2"/>
                <w:w w:val="95"/>
                <w:sz w:val="21"/>
                <w:szCs w:val="21"/>
              </w:rPr>
              <w:t>公司发展阶段不易区分但有重大资金支出安排的，进行利润分配时，现金分红在本次利润分配中所占比</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例最低应达到</w:t>
            </w:r>
            <w:r>
              <w:rPr>
                <w:rFonts w:ascii="宋体" w:hAnsi="宋体" w:cs="宋体" w:eastAsia="宋体" w:hint="default"/>
                <w:spacing w:val="-56"/>
                <w:sz w:val="21"/>
                <w:szCs w:val="21"/>
              </w:rPr>
              <w:t> </w:t>
            </w:r>
            <w:r>
              <w:rPr>
                <w:rFonts w:ascii="Arial" w:hAnsi="Arial" w:cs="Arial" w:eastAsia="Arial" w:hint="default"/>
                <w:sz w:val="21"/>
                <w:szCs w:val="21"/>
              </w:rPr>
              <w:t>20</w:t>
            </w:r>
            <w:r>
              <w:rPr>
                <w:rFonts w:ascii="宋体" w:hAnsi="宋体" w:cs="宋体" w:eastAsia="宋体" w:hint="default"/>
                <w:sz w:val="21"/>
                <w:szCs w:val="21"/>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101" w:right="103"/>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日股本</w:t>
            </w:r>
            <w:r>
              <w:rPr>
                <w:rFonts w:ascii="宋体" w:hAnsi="宋体" w:cs="宋体" w:eastAsia="宋体" w:hint="default"/>
                <w:spacing w:val="-53"/>
                <w:sz w:val="21"/>
                <w:szCs w:val="21"/>
              </w:rPr>
              <w:t> </w:t>
            </w:r>
            <w:r>
              <w:rPr>
                <w:rFonts w:ascii="Arial" w:hAnsi="Arial" w:cs="Arial" w:eastAsia="Arial" w:hint="default"/>
                <w:sz w:val="21"/>
                <w:szCs w:val="21"/>
              </w:rPr>
              <w:t>809,390,723</w:t>
            </w:r>
            <w:r>
              <w:rPr>
                <w:rFonts w:ascii="Arial" w:hAnsi="Arial" w:cs="Arial" w:eastAsia="Arial" w:hint="default"/>
                <w:spacing w:val="-7"/>
                <w:sz w:val="21"/>
                <w:szCs w:val="21"/>
              </w:rPr>
              <w:t> </w:t>
            </w:r>
            <w:r>
              <w:rPr>
                <w:rFonts w:ascii="宋体" w:hAnsi="宋体" w:cs="宋体" w:eastAsia="宋体" w:hint="default"/>
                <w:spacing w:val="-6"/>
                <w:sz w:val="21"/>
                <w:szCs w:val="21"/>
              </w:rPr>
              <w:t>为基数，向全体股东按每</w:t>
            </w:r>
            <w:r>
              <w:rPr>
                <w:rFonts w:ascii="宋体" w:hAnsi="宋体" w:cs="宋体" w:eastAsia="宋体" w:hint="default"/>
                <w:spacing w:val="-2"/>
                <w:sz w:val="21"/>
                <w:szCs w:val="21"/>
              </w:rPr>
              <w:t> </w:t>
            </w:r>
            <w:r>
              <w:rPr>
                <w:rFonts w:ascii="Arial" w:hAnsi="Arial" w:cs="Arial" w:eastAsia="Arial" w:hint="default"/>
                <w:sz w:val="21"/>
                <w:szCs w:val="21"/>
              </w:rPr>
              <w:t>10</w:t>
            </w:r>
            <w:r>
              <w:rPr>
                <w:rFonts w:ascii="Arial" w:hAnsi="Arial" w:cs="Arial" w:eastAsia="Arial" w:hint="default"/>
                <w:spacing w:val="41"/>
                <w:sz w:val="21"/>
                <w:szCs w:val="21"/>
              </w:rPr>
              <w:t> </w:t>
            </w:r>
            <w:r>
              <w:rPr>
                <w:rFonts w:ascii="宋体" w:hAnsi="宋体" w:cs="宋体" w:eastAsia="宋体" w:hint="default"/>
                <w:sz w:val="21"/>
                <w:szCs w:val="21"/>
              </w:rPr>
              <w:t>股派发现金股利</w:t>
            </w:r>
            <w:r>
              <w:rPr>
                <w:rFonts w:ascii="宋体" w:hAnsi="宋体" w:cs="宋体" w:eastAsia="宋体" w:hint="default"/>
                <w:spacing w:val="-2"/>
                <w:sz w:val="21"/>
                <w:szCs w:val="21"/>
              </w:rPr>
              <w:t> </w:t>
            </w:r>
            <w:r>
              <w:rPr>
                <w:rFonts w:ascii="Arial" w:hAnsi="Arial" w:cs="Arial" w:eastAsia="Arial" w:hint="default"/>
                <w:sz w:val="21"/>
                <w:szCs w:val="21"/>
              </w:rPr>
              <w:t>0.72</w:t>
            </w:r>
            <w:r>
              <w:rPr>
                <w:rFonts w:ascii="Arial" w:hAnsi="Arial" w:cs="Arial" w:eastAsia="Arial" w:hint="default"/>
                <w:spacing w:val="-7"/>
                <w:sz w:val="21"/>
                <w:szCs w:val="21"/>
              </w:rPr>
              <w:t> </w:t>
            </w:r>
            <w:r>
              <w:rPr>
                <w:rFonts w:ascii="宋体" w:hAnsi="宋体" w:cs="宋体" w:eastAsia="宋体" w:hint="default"/>
                <w:sz w:val="21"/>
                <w:szCs w:val="21"/>
              </w:rPr>
              <w:t>元人</w:t>
            </w:r>
            <w:r>
              <w:rPr>
                <w:rFonts w:ascii="宋体" w:hAnsi="宋体" w:cs="宋体" w:eastAsia="宋体" w:hint="default"/>
                <w:w w:val="99"/>
                <w:sz w:val="21"/>
                <w:szCs w:val="21"/>
              </w:rPr>
              <w:t> </w:t>
            </w:r>
            <w:r>
              <w:rPr>
                <w:rFonts w:ascii="宋体" w:hAnsi="宋体" w:cs="宋体" w:eastAsia="宋体" w:hint="default"/>
                <w:sz w:val="21"/>
                <w:szCs w:val="21"/>
              </w:rPr>
              <w:t>民币（含税）。</w:t>
            </w:r>
          </w:p>
        </w:tc>
      </w:tr>
    </w:tbl>
    <w:p>
      <w:pPr>
        <w:pStyle w:val="Heading3"/>
        <w:spacing w:line="312" w:lineRule="exact" w:before="34"/>
        <w:ind w:right="1117"/>
        <w:jc w:val="left"/>
      </w:pPr>
      <w:r>
        <w:rPr/>
        <w:t>公司近</w:t>
      </w:r>
      <w:r>
        <w:rPr>
          <w:spacing w:val="-58"/>
        </w:rPr>
        <w:t> </w:t>
      </w:r>
      <w:r>
        <w:rPr>
          <w:rFonts w:ascii="Arial" w:hAnsi="Arial" w:cs="Arial" w:eastAsia="Arial" w:hint="default"/>
        </w:rPr>
        <w:t>3</w:t>
      </w:r>
      <w:r>
        <w:rPr>
          <w:rFonts w:ascii="Arial" w:hAnsi="Arial" w:cs="Arial" w:eastAsia="Arial" w:hint="default"/>
          <w:spacing w:val="-4"/>
        </w:rPr>
        <w:t> </w:t>
      </w:r>
      <w:r>
        <w:rPr>
          <w:spacing w:val="-6"/>
        </w:rPr>
        <w:t>年（包括本报告期）的普通股股利分配方案（预案）、资本公积金转增股本方案（预</w:t>
      </w:r>
      <w:r>
        <w:rPr/>
        <w:t> 案）情况</w:t>
      </w:r>
    </w:p>
    <w:p>
      <w:pPr>
        <w:pStyle w:val="Heading3"/>
        <w:spacing w:line="259" w:lineRule="auto" w:before="31"/>
        <w:ind w:right="1141" w:firstLine="480"/>
        <w:jc w:val="both"/>
      </w:pPr>
      <w:r>
        <w:rPr/>
        <w:t>（</w:t>
      </w:r>
      <w:r>
        <w:rPr>
          <w:rFonts w:ascii="Arial" w:hAnsi="Arial" w:cs="Arial" w:eastAsia="Arial" w:hint="default"/>
        </w:rPr>
        <w:t>1</w:t>
      </w:r>
      <w:r>
        <w:rPr/>
        <w:t>）</w:t>
      </w: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8</w:t>
      </w:r>
      <w:r>
        <w:rPr/>
        <w:t>日，公司第六届董事会第二十七次会议审议通过《</w:t>
      </w:r>
      <w:r>
        <w:rPr>
          <w:rFonts w:ascii="Arial" w:hAnsi="Arial" w:cs="Arial" w:eastAsia="Arial" w:hint="default"/>
        </w:rPr>
        <w:t>2017</w:t>
      </w:r>
      <w:r>
        <w:rPr/>
        <w:t>年度利润分配 方案》，拟以截止</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760,681,176</w:t>
      </w:r>
      <w:r>
        <w:rPr/>
        <w:t>股为基数，向全体股东按每</w:t>
      </w:r>
      <w:r>
        <w:rPr>
          <w:rFonts w:ascii="Arial" w:hAnsi="Arial" w:cs="Arial" w:eastAsia="Arial" w:hint="default"/>
        </w:rPr>
        <w:t>10</w:t>
      </w:r>
      <w:r>
        <w:rPr/>
        <w:t>股 派发现金股利</w:t>
      </w:r>
      <w:r>
        <w:rPr>
          <w:rFonts w:ascii="Arial" w:hAnsi="Arial" w:cs="Arial" w:eastAsia="Arial" w:hint="default"/>
        </w:rPr>
        <w:t>0.5</w:t>
      </w:r>
      <w:r>
        <w:rPr/>
        <w:t>元人民币（含税）。</w:t>
      </w:r>
    </w:p>
    <w:p>
      <w:pPr>
        <w:pStyle w:val="Heading3"/>
        <w:spacing w:line="259" w:lineRule="auto" w:before="5"/>
        <w:ind w:right="1124" w:firstLine="480"/>
        <w:jc w:val="left"/>
      </w:pPr>
      <w:r>
        <w:rPr/>
        <w:t>（</w:t>
      </w:r>
      <w:r>
        <w:rPr>
          <w:rFonts w:ascii="Arial" w:hAnsi="Arial" w:cs="Arial" w:eastAsia="Arial" w:hint="default"/>
        </w:rPr>
        <w:t>2</w:t>
      </w:r>
      <w:r>
        <w:rPr/>
        <w:t>）</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26</w:t>
      </w:r>
      <w:r>
        <w:rPr/>
        <w:t>日，公司第六届董事会第四十二次会议审议通过《</w:t>
      </w:r>
      <w:r>
        <w:rPr>
          <w:rFonts w:ascii="Arial" w:hAnsi="Arial" w:cs="Arial" w:eastAsia="Arial" w:hint="default"/>
        </w:rPr>
        <w:t>2018</w:t>
      </w:r>
      <w:r>
        <w:rPr/>
        <w:t>年度利润分 配方案》，拟以截止</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日股本</w:t>
      </w:r>
      <w:r>
        <w:rPr>
          <w:rFonts w:ascii="Arial" w:hAnsi="Arial" w:cs="Arial" w:eastAsia="Arial" w:hint="default"/>
        </w:rPr>
        <w:t>754,491,460</w:t>
      </w:r>
      <w:r>
        <w:rPr/>
        <w:t>为基数，向全体股东按每</w:t>
      </w:r>
      <w:r>
        <w:rPr>
          <w:rFonts w:ascii="Arial" w:hAnsi="Arial" w:cs="Arial" w:eastAsia="Arial" w:hint="default"/>
        </w:rPr>
        <w:t>10</w:t>
      </w:r>
      <w:r>
        <w:rPr/>
        <w:t>股派发现 金股利</w:t>
      </w:r>
      <w:r>
        <w:rPr>
          <w:rFonts w:ascii="Arial" w:hAnsi="Arial" w:cs="Arial" w:eastAsia="Arial" w:hint="default"/>
        </w:rPr>
        <w:t>0.66</w:t>
      </w:r>
      <w:r>
        <w:rPr/>
        <w:t>元人民币（含税）。</w:t>
      </w:r>
    </w:p>
    <w:p>
      <w:pPr>
        <w:pStyle w:val="Heading3"/>
        <w:spacing w:line="259" w:lineRule="auto" w:before="7"/>
        <w:ind w:right="1124" w:firstLine="480"/>
        <w:jc w:val="left"/>
      </w:pPr>
      <w:r>
        <w:rPr/>
        <w:t>（</w:t>
      </w:r>
      <w:r>
        <w:rPr>
          <w:rFonts w:ascii="Arial" w:hAnsi="Arial" w:cs="Arial" w:eastAsia="Arial" w:hint="default"/>
        </w:rPr>
        <w:t>2</w:t>
      </w:r>
      <w:r>
        <w:rPr/>
        <w:t>）</w:t>
      </w: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18</w:t>
      </w:r>
      <w:r>
        <w:rPr/>
        <w:t>日，公司第七届董事会第六次会议审议通过《</w:t>
      </w:r>
      <w:r>
        <w:rPr>
          <w:rFonts w:ascii="Arial" w:hAnsi="Arial" w:cs="Arial" w:eastAsia="Arial" w:hint="default"/>
        </w:rPr>
        <w:t>2019</w:t>
      </w:r>
      <w:r>
        <w:rPr/>
        <w:t>年度利润分配方 案》，拟以截止</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809,390,723</w:t>
      </w:r>
      <w:r>
        <w:rPr/>
        <w:t>股为基数，向全体股东按每</w:t>
      </w:r>
      <w:r>
        <w:rPr>
          <w:rFonts w:ascii="Arial" w:hAnsi="Arial" w:cs="Arial" w:eastAsia="Arial" w:hint="default"/>
        </w:rPr>
        <w:t>10</w:t>
      </w:r>
      <w:r>
        <w:rPr/>
        <w:t>股派 发现金股利</w:t>
      </w:r>
      <w:r>
        <w:rPr>
          <w:rFonts w:ascii="Arial" w:hAnsi="Arial" w:cs="Arial" w:eastAsia="Arial" w:hint="default"/>
        </w:rPr>
        <w:t>0.72</w:t>
      </w:r>
      <w:r>
        <w:rPr/>
        <w:t>元人民币（含税）。</w:t>
      </w:r>
    </w:p>
    <w:p>
      <w:pPr>
        <w:pStyle w:val="Heading3"/>
        <w:spacing w:line="240" w:lineRule="auto" w:before="21"/>
        <w:ind w:right="996"/>
        <w:jc w:val="left"/>
      </w:pPr>
      <w:r>
        <w:rPr/>
        <w:t>公司近三年（包括本报告期）普通股现金分红情况表</w:t>
      </w:r>
    </w:p>
    <w:p>
      <w:pPr>
        <w:spacing w:before="8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26"/>
        <w:gridCol w:w="1519"/>
        <w:gridCol w:w="1500"/>
        <w:gridCol w:w="1294"/>
        <w:gridCol w:w="750"/>
        <w:gridCol w:w="1106"/>
        <w:gridCol w:w="1377"/>
        <w:gridCol w:w="1196"/>
      </w:tblGrid>
      <w:tr>
        <w:trPr>
          <w:trHeight w:val="2898"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317" w:right="136"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16" w:right="11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92" w:right="189"/>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94" w:hanging="8"/>
              <w:jc w:val="center"/>
              <w:rPr>
                <w:rFonts w:ascii="宋体" w:hAnsi="宋体" w:cs="宋体" w:eastAsia="宋体" w:hint="default"/>
                <w:sz w:val="18"/>
                <w:szCs w:val="18"/>
              </w:rPr>
            </w:pPr>
            <w:r>
              <w:rPr>
                <w:rFonts w:ascii="宋体" w:hAnsi="宋体" w:cs="宋体" w:eastAsia="宋体" w:hint="default"/>
                <w:sz w:val="18"/>
                <w:szCs w:val="18"/>
              </w:rPr>
              <w:t>以其 他方 </w:t>
            </w:r>
            <w:r>
              <w:rPr>
                <w:rFonts w:ascii="宋体" w:hAnsi="宋体" w:cs="宋体" w:eastAsia="宋体" w:hint="default"/>
                <w:spacing w:val="-3"/>
                <w:sz w:val="18"/>
                <w:szCs w:val="18"/>
              </w:rPr>
              <w:t>式（如</w:t>
            </w:r>
            <w:r>
              <w:rPr>
                <w:rFonts w:ascii="宋体" w:hAnsi="宋体" w:cs="宋体" w:eastAsia="宋体" w:hint="default"/>
                <w:sz w:val="18"/>
                <w:szCs w:val="18"/>
              </w:rPr>
              <w:t> 回购 股份） 现金 分红 的金</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8" w:right="185"/>
              <w:jc w:val="both"/>
              <w:rPr>
                <w:rFonts w:ascii="宋体" w:hAnsi="宋体" w:cs="宋体" w:eastAsia="宋体" w:hint="default"/>
                <w:sz w:val="18"/>
                <w:szCs w:val="18"/>
              </w:rPr>
            </w:pPr>
            <w:r>
              <w:rPr>
                <w:rFonts w:ascii="宋体" w:hAnsi="宋体" w:cs="宋体" w:eastAsia="宋体" w:hint="default"/>
                <w:sz w:val="18"/>
                <w:szCs w:val="18"/>
              </w:rPr>
              <w:t>以其他方 式现金分 红金额占 合并报表 中归属于 上市公司 普通股股 东的净利 润的比例</w:t>
            </w:r>
          </w:p>
        </w:tc>
        <w:tc>
          <w:tcPr>
            <w:tcW w:w="1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03" w:right="232"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402"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2"/>
                <w:sz w:val="18"/>
                <w:szCs w:val="18"/>
              </w:rPr>
              <w:t>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58,276,132.06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580,389,850.75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10.04%</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 w:right="0"/>
              <w:jc w:val="center"/>
              <w:rPr>
                <w:rFonts w:ascii="Arial" w:hAnsi="Arial" w:cs="Arial" w:eastAsia="Arial" w:hint="default"/>
                <w:sz w:val="18"/>
                <w:szCs w:val="18"/>
              </w:rPr>
            </w:pPr>
            <w:r>
              <w:rPr>
                <w:rFonts w:ascii="Arial"/>
                <w:sz w:val="18"/>
              </w:rPr>
              <w:t>58,276,132.06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10.04%</w:t>
            </w:r>
          </w:p>
        </w:tc>
      </w:tr>
      <w:tr>
        <w:trPr>
          <w:trHeight w:val="402"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22"/>
                <w:sz w:val="18"/>
                <w:szCs w:val="18"/>
              </w:rPr>
              <w:t>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8"/>
                <w:szCs w:val="18"/>
              </w:rPr>
            </w:pPr>
            <w:r>
              <w:rPr>
                <w:rFonts w:ascii="Arial"/>
                <w:spacing w:val="-1"/>
                <w:sz w:val="18"/>
              </w:rPr>
              <w:t>49,796,436.36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497,708,243.20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10.01%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w w:val="99"/>
                <w:sz w:val="18"/>
              </w:rPr>
              <w:t>0</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8"/>
                <w:szCs w:val="18"/>
              </w:rPr>
            </w:pPr>
            <w:r>
              <w:rPr>
                <w:rFonts w:ascii="Arial"/>
                <w:w w:val="99"/>
                <w:sz w:val="18"/>
              </w:rPr>
              <w:t>0</w:t>
            </w:r>
            <w:r>
              <w:rPr>
                <w:rFonts w:ascii="Arial"/>
                <w:sz w:val="18"/>
              </w:rPr>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 w:right="0"/>
              <w:jc w:val="center"/>
              <w:rPr>
                <w:rFonts w:ascii="Arial" w:hAnsi="Arial" w:cs="Arial" w:eastAsia="Arial" w:hint="default"/>
                <w:sz w:val="18"/>
                <w:szCs w:val="18"/>
              </w:rPr>
            </w:pPr>
            <w:r>
              <w:rPr>
                <w:rFonts w:ascii="Arial"/>
                <w:sz w:val="18"/>
              </w:rPr>
              <w:t>49,796,436.36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10.01%</w:t>
            </w:r>
          </w:p>
        </w:tc>
      </w:tr>
      <w:tr>
        <w:trPr>
          <w:trHeight w:val="402"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22"/>
                <w:sz w:val="18"/>
                <w:szCs w:val="18"/>
              </w:rPr>
              <w:t> </w:t>
            </w:r>
            <w:r>
              <w:rPr>
                <w:rFonts w:ascii="宋体" w:hAnsi="宋体" w:cs="宋体" w:eastAsia="宋体" w:hint="default"/>
                <w:sz w:val="18"/>
                <w:szCs w:val="18"/>
              </w:rPr>
              <w:t>年</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38,034,058.80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381,166,148.13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9.98%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 w:right="0"/>
              <w:jc w:val="center"/>
              <w:rPr>
                <w:rFonts w:ascii="Arial" w:hAnsi="Arial" w:cs="Arial" w:eastAsia="Arial" w:hint="default"/>
                <w:sz w:val="18"/>
                <w:szCs w:val="18"/>
              </w:rPr>
            </w:pPr>
            <w:r>
              <w:rPr>
                <w:rFonts w:ascii="Arial"/>
                <w:sz w:val="18"/>
              </w:rPr>
              <w:t>38,034,058.80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9.98%</w:t>
            </w:r>
          </w:p>
        </w:tc>
      </w:tr>
    </w:tbl>
    <w:p>
      <w:pPr>
        <w:pStyle w:val="BodyText"/>
        <w:spacing w:line="240" w:lineRule="auto" w:before="27"/>
        <w:ind w:right="996"/>
        <w:jc w:val="left"/>
      </w:pPr>
      <w:r>
        <w:rPr/>
        <w:t>公司报告期内盈利且母公司可供普通股股东分配利润为正但未提出普通股现金红利分配预案</w:t>
      </w:r>
    </w:p>
    <w:p>
      <w:pPr>
        <w:pStyle w:val="BodyText"/>
        <w:spacing w:line="240" w:lineRule="auto" w:before="75"/>
        <w:ind w:right="996"/>
        <w:jc w:val="left"/>
      </w:pPr>
      <w:r>
        <w:rPr>
          <w:rFonts w:ascii="Arial" w:hAnsi="Arial" w:cs="Arial" w:eastAsia="Arial" w:hint="default"/>
        </w:rPr>
        <w:t>□  </w:t>
      </w:r>
      <w:r>
        <w:rPr/>
        <w:t>适用 √</w:t>
      </w:r>
      <w:r>
        <w:rPr>
          <w:spacing w:val="-16"/>
        </w:rPr>
        <w:t> </w:t>
      </w:r>
      <w:r>
        <w:rPr/>
        <w:t>不适用</w:t>
      </w:r>
    </w:p>
    <w:p>
      <w:pPr>
        <w:spacing w:after="0" w:line="240" w:lineRule="auto"/>
        <w:jc w:val="left"/>
        <w:sectPr>
          <w:pgSz w:w="11910" w:h="16840"/>
          <w:pgMar w:header="878" w:footer="1016" w:top="1100" w:bottom="1200" w:left="1020" w:right="0"/>
        </w:sectPr>
      </w:pPr>
    </w:p>
    <w:p>
      <w:pPr>
        <w:pStyle w:val="Heading2"/>
        <w:spacing w:line="240" w:lineRule="auto" w:before="27"/>
        <w:ind w:left="220" w:right="0"/>
        <w:jc w:val="left"/>
        <w:rPr>
          <w:b w:val="0"/>
          <w:bCs w:val="0"/>
        </w:rPr>
      </w:pPr>
      <w:r>
        <w:rPr/>
        <w:pict>
          <v:group style="position:absolute;margin-left:72pt;margin-top:2.116653pt;width:697.9pt;height:.1pt;mso-position-horizontal-relative:page;mso-position-vertical-relative:paragraph;z-index:-1030768" coordorigin="1440,42" coordsize="13958,2">
            <v:shape style="position:absolute;left:1440;top:42;width:13958;height:2" coordorigin="1440,42" coordsize="13958,0" path="m1440,42l15398,42e" filled="false" stroked="true" strokeweight=".72pt" strokecolor="#000000">
              <v:path arrowok="t"/>
            </v:shape>
            <w10:wrap type="none"/>
          </v:group>
        </w:pict>
      </w: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left="220" w:right="0"/>
        <w:jc w:val="left"/>
        <w:rPr>
          <w:b w:val="0"/>
          <w:bCs w:val="0"/>
        </w:rPr>
      </w:pPr>
      <w:bookmarkStart w:name="1、公司实际控制人、股东、关联方、收购人以及公司等承诺相关方在报告期内履行完毕及" w:id="63"/>
      <w:bookmarkEnd w:id="63"/>
      <w:r>
        <w:rPr>
          <w:b w:val="0"/>
          <w:bCs w:val="0"/>
        </w:rPr>
      </w:r>
      <w:r>
        <w:rPr>
          <w:rFonts w:ascii="Arial" w:hAnsi="Arial" w:cs="Arial" w:eastAsia="Arial"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220"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宋体" w:hAnsi="宋体" w:cs="宋体" w:eastAsia="宋体" w:hint="default"/>
          <w:spacing w:val="-1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714" w:hRule="exact"/>
        </w:trPr>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9" w:right="127"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7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0" w:right="108"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为了避免与华宇软件及标的资产之间产生同业竞争，维护华宇软件及其股东的合法权益，</w:t>
            </w: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保证华宇软件及标的资产的长期稳定发展，马勤、折哲民、诸越海、严峰、黄承芬、侯玉</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马勤、折哲民、诸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越海、黄承芬、杨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金萍、王德胜、郑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凯、严峰、侯玉成、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忻孝委、胡鸿轲</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成、郑凯、王德胜、胡鸿轲、杨金萍、忻孝委共</w:t>
            </w:r>
            <w:r>
              <w:rPr>
                <w:rFonts w:ascii="宋体" w:hAnsi="宋体" w:cs="宋体" w:eastAsia="宋体" w:hint="default"/>
                <w:spacing w:val="-54"/>
                <w:sz w:val="18"/>
                <w:szCs w:val="18"/>
              </w:rPr>
              <w:t> </w:t>
            </w:r>
            <w:r>
              <w:rPr>
                <w:rFonts w:ascii="Arial" w:hAnsi="Arial" w:cs="Arial" w:eastAsia="Arial" w:hint="default"/>
                <w:spacing w:val="-5"/>
                <w:sz w:val="18"/>
                <w:szCs w:val="18"/>
              </w:rPr>
              <w:t>11</w:t>
            </w:r>
            <w:r>
              <w:rPr>
                <w:rFonts w:ascii="Arial" w:hAnsi="Arial" w:cs="Arial" w:eastAsia="Arial" w:hint="default"/>
                <w:spacing w:val="19"/>
                <w:sz w:val="18"/>
                <w:szCs w:val="18"/>
              </w:rPr>
              <w:t> </w:t>
            </w:r>
            <w:r>
              <w:rPr>
                <w:rFonts w:ascii="宋体" w:hAnsi="宋体" w:cs="宋体" w:eastAsia="宋体" w:hint="default"/>
                <w:sz w:val="18"/>
                <w:szCs w:val="18"/>
              </w:rPr>
              <w:t>名交易对方签署了《关于避免同业竞 </w:t>
            </w:r>
            <w:r>
              <w:rPr>
                <w:rFonts w:ascii="宋体" w:hAnsi="宋体" w:cs="宋体" w:eastAsia="宋体" w:hint="default"/>
                <w:spacing w:val="-2"/>
                <w:sz w:val="18"/>
                <w:szCs w:val="18"/>
              </w:rPr>
              <w:t>争的承诺函》，承诺如下：承诺人目前没有通过直接或间接控制的经营实体或以自然人名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义从事与华宇软件相同或相似的业务。本次交易完成后，承诺人将不会通过直接或间接控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制的经营实体或以自然人名义从事与华宇软件及其控股公司相同或相似的业务。如承诺人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或承诺人直接或间接控制的经营实体现有或未来的经营活动可能与华宇软件及其控股公 </w:t>
            </w:r>
            <w:r>
              <w:rPr>
                <w:rFonts w:ascii="宋体" w:hAnsi="宋体" w:cs="宋体" w:eastAsia="宋体" w:hint="default"/>
                <w:spacing w:val="-2"/>
                <w:sz w:val="18"/>
                <w:szCs w:val="18"/>
              </w:rPr>
              <w:t>司发生同业竞争或与华宇软件及其控股公司发生利益冲突，承诺人将放弃或将促使直接或</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Arial" w:hAnsi="Arial" w:cs="Arial" w:eastAsia="Arial" w:hint="default"/>
                <w:sz w:val="18"/>
                <w:szCs w:val="18"/>
              </w:rPr>
            </w:pPr>
            <w:r>
              <w:rPr>
                <w:rFonts w:ascii="Arial"/>
                <w:sz w:val="18"/>
              </w:rPr>
              <w:t>2014</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间接控制的经营实体无条件放弃可能发生同业竞争的业务，或将直接或间接控制的经营实</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256"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体以公平、公允的市场价格在适当时机全部注入上市公司及其控股公司或对外转让。</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02" w:hRule="exact"/>
        </w:trPr>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资产重</w:t>
            </w: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99" w:hRule="exact"/>
        </w:trPr>
        <w:tc>
          <w:tcPr>
            <w:tcW w:w="809" w:type="dxa"/>
            <w:vMerge/>
            <w:tcBorders>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组时所</w:t>
            </w: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据《股票上市规则》规定，本次交易完成后，马勤、折哲民、诸越海、严峰、黄承芬、侯</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玉成、郑凯、王德胜、胡鸿轲、杨金萍、忻孝委共</w:t>
            </w:r>
            <w:r>
              <w:rPr>
                <w:rFonts w:ascii="宋体" w:hAnsi="宋体" w:cs="宋体" w:eastAsia="宋体" w:hint="default"/>
                <w:spacing w:val="-56"/>
                <w:sz w:val="18"/>
                <w:szCs w:val="18"/>
              </w:rPr>
              <w:t> </w:t>
            </w:r>
            <w:r>
              <w:rPr>
                <w:rFonts w:ascii="Arial" w:hAnsi="Arial" w:cs="Arial" w:eastAsia="Arial" w:hint="default"/>
                <w:spacing w:val="-5"/>
                <w:sz w:val="18"/>
                <w:szCs w:val="18"/>
              </w:rPr>
              <w:t>11</w:t>
            </w:r>
            <w:r>
              <w:rPr>
                <w:rFonts w:ascii="Arial" w:hAnsi="Arial" w:cs="Arial" w:eastAsia="Arial" w:hint="default"/>
                <w:spacing w:val="18"/>
                <w:sz w:val="18"/>
                <w:szCs w:val="18"/>
              </w:rPr>
              <w:t> </w:t>
            </w:r>
            <w:r>
              <w:rPr>
                <w:rFonts w:ascii="宋体" w:hAnsi="宋体" w:cs="宋体" w:eastAsia="宋体" w:hint="default"/>
                <w:sz w:val="18"/>
                <w:szCs w:val="18"/>
              </w:rPr>
              <w:t>名自然人股东与华宇软件间不构成</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257"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关联方。根据《股票上市规则》的相关规定，本次交易完成后，为规范将来可能存在的关</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876"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马勤、折哲民、诸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越海、黄承芬、杨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金萍、王德胜、郑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凯、严峰、侯玉成、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忻孝委、胡鸿轲</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规范和减 少关联交 易</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联交易马勤等</w:t>
            </w:r>
            <w:r>
              <w:rPr>
                <w:rFonts w:ascii="宋体" w:hAnsi="宋体" w:cs="宋体" w:eastAsia="宋体" w:hint="default"/>
                <w:spacing w:val="-54"/>
                <w:sz w:val="18"/>
                <w:szCs w:val="18"/>
              </w:rPr>
              <w:t> </w:t>
            </w:r>
            <w:r>
              <w:rPr>
                <w:rFonts w:ascii="Arial" w:hAnsi="Arial" w:cs="Arial" w:eastAsia="Arial" w:hint="default"/>
                <w:spacing w:val="-6"/>
                <w:sz w:val="18"/>
                <w:szCs w:val="18"/>
              </w:rPr>
              <w:t>11</w:t>
            </w:r>
            <w:r>
              <w:rPr>
                <w:rFonts w:ascii="Arial" w:hAnsi="Arial" w:cs="Arial" w:eastAsia="Arial" w:hint="default"/>
                <w:spacing w:val="20"/>
                <w:sz w:val="18"/>
                <w:szCs w:val="18"/>
              </w:rPr>
              <w:t> </w:t>
            </w:r>
            <w:r>
              <w:rPr>
                <w:rFonts w:ascii="宋体" w:hAnsi="宋体" w:cs="宋体" w:eastAsia="宋体" w:hint="default"/>
                <w:sz w:val="18"/>
                <w:szCs w:val="18"/>
              </w:rPr>
              <w:t>位自然人股东出具了《关于规范和减少关联交易的承诺函》，承诺内容 如下：</w:t>
            </w:r>
            <w:r>
              <w:rPr>
                <w:rFonts w:ascii="Arial" w:hAnsi="Arial" w:cs="Arial" w:eastAsia="Arial" w:hint="default"/>
                <w:sz w:val="18"/>
                <w:szCs w:val="18"/>
              </w:rPr>
              <w:t>1</w:t>
            </w:r>
            <w:r>
              <w:rPr>
                <w:rFonts w:ascii="宋体" w:hAnsi="宋体" w:cs="宋体" w:eastAsia="宋体" w:hint="default"/>
                <w:sz w:val="18"/>
                <w:szCs w:val="18"/>
              </w:rPr>
              <w:t>）承诺人及承诺人直接或间接控制的经营实体与重组后的华宇软件及其控股企业 </w:t>
            </w:r>
            <w:r>
              <w:rPr>
                <w:rFonts w:ascii="宋体" w:hAnsi="宋体" w:cs="宋体" w:eastAsia="宋体" w:hint="default"/>
                <w:spacing w:val="-2"/>
                <w:sz w:val="18"/>
                <w:szCs w:val="18"/>
              </w:rPr>
              <w:t>之间将规范并尽可能减少关联交易。对于无法避免或者有合理原因而发生的关联交易，承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诺人承诺将遵循市场化的公正、公平、公开的原则进行，并按照有关法律法规、规范性文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件和华宇软件章程等有关规定依法签订协议，履行合法程序，依法履行信息披露义务和办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理有关报批程序，保证不通过关联交易损害华宇软件及其他股东的合法权益。</w:t>
            </w:r>
            <w:r>
              <w:rPr>
                <w:rFonts w:ascii="宋体" w:hAnsi="宋体" w:cs="宋体" w:eastAsia="宋体" w:hint="default"/>
                <w:spacing w:val="-52"/>
                <w:sz w:val="18"/>
                <w:szCs w:val="18"/>
              </w:rPr>
              <w:t> </w:t>
            </w:r>
            <w:r>
              <w:rPr>
                <w:rFonts w:ascii="Arial" w:hAnsi="Arial" w:cs="Arial" w:eastAsia="Arial" w:hint="default"/>
                <w:spacing w:val="-5"/>
                <w:sz w:val="18"/>
                <w:szCs w:val="18"/>
              </w:rPr>
              <w:t>2</w:t>
            </w:r>
            <w:r>
              <w:rPr>
                <w:rFonts w:ascii="宋体" w:hAnsi="宋体" w:cs="宋体" w:eastAsia="宋体" w:hint="default"/>
                <w:spacing w:val="-5"/>
                <w:sz w:val="18"/>
                <w:szCs w:val="18"/>
              </w:rPr>
              <w:t>）本次交</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Arial" w:hAnsi="Arial" w:cs="Arial" w:eastAsia="Arial" w:hint="default"/>
                <w:sz w:val="18"/>
                <w:szCs w:val="18"/>
              </w:rPr>
            </w:pPr>
            <w:r>
              <w:rPr>
                <w:rFonts w:ascii="Arial"/>
                <w:sz w:val="18"/>
              </w:rPr>
              <w:t>2014</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08"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易完成后承诺人将继续严格按照有关法律法规、规范性文件以及华宇软件章程的有关规定</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行使股东权利；在华宇软件股东大会对有关涉及承诺人的关联交易进行表决时，履行回避</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表决的义务。</w:t>
            </w:r>
            <w:r>
              <w:rPr>
                <w:rFonts w:ascii="Arial" w:hAnsi="Arial" w:cs="Arial" w:eastAsia="Arial" w:hint="default"/>
                <w:sz w:val="18"/>
                <w:szCs w:val="18"/>
              </w:rPr>
              <w:t>3</w:t>
            </w:r>
            <w:r>
              <w:rPr>
                <w:rFonts w:ascii="宋体" w:hAnsi="宋体" w:cs="宋体" w:eastAsia="宋体" w:hint="default"/>
                <w:sz w:val="18"/>
                <w:szCs w:val="18"/>
              </w:rPr>
              <w:t>）承诺人承诺杜绝一切非法占用华宇软件的资金、资产的行为。</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6840" w:h="11910" w:orient="landscape"/>
          <w:pgMar w:header="868" w:footer="1016" w:top="1060" w:bottom="1200" w:left="1220" w:right="1220"/>
          <w:pgNumType w:start="49"/>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3"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截至报告期末，</w:t>
            </w:r>
          </w:p>
        </w:tc>
      </w:tr>
      <w:tr>
        <w:trPr>
          <w:trHeight w:val="1560"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竞业禁止 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3" w:right="91"/>
              <w:jc w:val="both"/>
              <w:rPr>
                <w:rFonts w:ascii="宋体" w:hAnsi="宋体" w:cs="宋体" w:eastAsia="宋体" w:hint="default"/>
                <w:sz w:val="18"/>
                <w:szCs w:val="18"/>
              </w:rPr>
            </w:pPr>
            <w:r>
              <w:rPr>
                <w:rFonts w:ascii="宋体" w:hAnsi="宋体" w:cs="宋体" w:eastAsia="宋体" w:hint="default"/>
                <w:spacing w:val="-2"/>
                <w:sz w:val="18"/>
                <w:szCs w:val="18"/>
              </w:rPr>
              <w:t>截至《任职期限及竞业禁止协议》签署之日，除标的公司及其子公司外，钱贵昱、王琳及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其直接或间接控制的企业、或担任董事或高级管理人员（包括总经理、副总经理、财务总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监及董事会秘书）、顾问或其他任何职务的企业在中华人民共和国（包括香港、澳门及台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湾地区）未从事政府、事业单位和大型企业领域</w:t>
            </w:r>
            <w:r>
              <w:rPr>
                <w:rFonts w:ascii="宋体" w:hAnsi="宋体" w:cs="宋体" w:eastAsia="宋体" w:hint="default"/>
                <w:spacing w:val="-47"/>
                <w:sz w:val="18"/>
                <w:szCs w:val="18"/>
              </w:rPr>
              <w:t> </w:t>
            </w:r>
            <w:r>
              <w:rPr>
                <w:rFonts w:ascii="Arial" w:hAnsi="Arial" w:cs="Arial" w:eastAsia="Arial" w:hint="default"/>
                <w:sz w:val="18"/>
                <w:szCs w:val="18"/>
              </w:rPr>
              <w:t>OA</w:t>
            </w:r>
            <w:r>
              <w:rPr>
                <w:rFonts w:ascii="宋体" w:hAnsi="宋体" w:cs="宋体" w:eastAsia="宋体" w:hint="default"/>
                <w:sz w:val="18"/>
                <w:szCs w:val="18"/>
              </w:rPr>
              <w:t>（办公自动化）软件和系统的开发、 销售及服务业务（含开发服务、自有产品及代理产品的开发、销售和服务）。</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2015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both"/>
              <w:rPr>
                <w:rFonts w:ascii="宋体" w:hAnsi="宋体" w:cs="宋体" w:eastAsia="宋体" w:hint="default"/>
                <w:sz w:val="18"/>
                <w:szCs w:val="18"/>
              </w:rPr>
            </w:pPr>
            <w:r>
              <w:rPr>
                <w:rFonts w:ascii="宋体" w:hAnsi="宋体" w:cs="宋体" w:eastAsia="宋体" w:hint="default"/>
                <w:sz w:val="18"/>
                <w:szCs w:val="18"/>
              </w:rPr>
              <w:t>该承诺项目已经 履行完毕，承诺 期间承诺主体遵 守以上承诺，未 有违反上述承诺</w:t>
            </w:r>
          </w:p>
        </w:tc>
      </w:tr>
      <w:tr>
        <w:trPr>
          <w:trHeight w:val="35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1650" w:hRule="exact"/>
        </w:trPr>
        <w:tc>
          <w:tcPr>
            <w:tcW w:w="809" w:type="dxa"/>
            <w:vMerge/>
            <w:tcBorders>
              <w:left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王琳</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137"/>
              <w:jc w:val="left"/>
              <w:rPr>
                <w:rFonts w:ascii="宋体" w:hAnsi="宋体" w:cs="宋体" w:eastAsia="宋体" w:hint="default"/>
                <w:sz w:val="18"/>
                <w:szCs w:val="18"/>
              </w:rPr>
            </w:pPr>
            <w:r>
              <w:rPr>
                <w:rFonts w:ascii="宋体" w:hAnsi="宋体" w:cs="宋体" w:eastAsia="宋体" w:hint="default"/>
                <w:sz w:val="18"/>
                <w:szCs w:val="18"/>
              </w:rPr>
              <w:t>兼业禁止 承诺</w:t>
            </w:r>
          </w:p>
        </w:tc>
        <w:tc>
          <w:tcPr>
            <w:tcW w:w="7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101"/>
              <w:jc w:val="both"/>
              <w:rPr>
                <w:rFonts w:ascii="宋体" w:hAnsi="宋体" w:cs="宋体" w:eastAsia="宋体" w:hint="default"/>
                <w:sz w:val="18"/>
                <w:szCs w:val="18"/>
              </w:rPr>
            </w:pPr>
            <w:r>
              <w:rPr>
                <w:rFonts w:ascii="宋体" w:hAnsi="宋体" w:cs="宋体" w:eastAsia="宋体" w:hint="default"/>
                <w:spacing w:val="-2"/>
                <w:sz w:val="18"/>
                <w:szCs w:val="18"/>
              </w:rPr>
              <w:t>王琳在标的公司任职期限内，未经本公司同意，不得在其他公司、合伙企业等任何经营主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体或机构以任何方式（包括但不限于担任顾问等）兼职。若王琳违反兼业禁止承诺的所得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归本公司所有。</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2015</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任职期限内</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62" w:hRule="exact"/>
        </w:trPr>
        <w:tc>
          <w:tcPr>
            <w:tcW w:w="809" w:type="dxa"/>
            <w:vMerge/>
            <w:tcBorders>
              <w:left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、在作为上市公司股东期间，陈京念、沧州地铁本人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本公司及其控制的其他企业不会直</w:t>
            </w: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接或间接从事任何与上市公司及其下属公司（包括华宇金信及其子公司）经营业务构成竞</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争或潜在竞争关系的生产与经营，亦不会投资任何与上市公司及其下属公司经营业务构成</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竞争或潜在竞争关系的其他企业。</w:t>
            </w:r>
            <w:r>
              <w:rPr>
                <w:rFonts w:ascii="Arial" w:hAnsi="Arial" w:cs="Arial" w:eastAsia="Arial" w:hint="default"/>
                <w:sz w:val="18"/>
                <w:szCs w:val="18"/>
              </w:rPr>
              <w:t>2</w:t>
            </w:r>
            <w:r>
              <w:rPr>
                <w:rFonts w:ascii="宋体" w:hAnsi="宋体" w:cs="宋体" w:eastAsia="宋体" w:hint="default"/>
                <w:sz w:val="18"/>
                <w:szCs w:val="18"/>
              </w:rPr>
              <w:t>、在陈京念、沧州地铁作为上市公司股东期间，如陈</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陈京念；沧州地铁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物资有限公司</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04" w:lineRule="auto" w:before="6"/>
              <w:ind w:left="103" w:right="101"/>
              <w:jc w:val="left"/>
              <w:rPr>
                <w:rFonts w:ascii="宋体" w:hAnsi="宋体" w:cs="宋体" w:eastAsia="宋体" w:hint="default"/>
                <w:sz w:val="18"/>
                <w:szCs w:val="18"/>
              </w:rPr>
            </w:pPr>
            <w:r>
              <w:rPr>
                <w:rFonts w:ascii="宋体" w:hAnsi="宋体" w:cs="宋体" w:eastAsia="宋体" w:hint="default"/>
                <w:sz w:val="18"/>
                <w:szCs w:val="18"/>
              </w:rPr>
              <w:t>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本公司及其控制的其他企业获得的商业机会与上市公司及其下属公 司主营业务构成同业竞争或可能构成同业竞争的，陈京念、沧州地铁本人</w:t>
            </w:r>
            <w:r>
              <w:rPr>
                <w:rFonts w:ascii="Arial" w:hAnsi="Arial" w:cs="Arial" w:eastAsia="Arial" w:hint="default"/>
                <w:sz w:val="18"/>
                <w:szCs w:val="18"/>
              </w:rPr>
              <w:t>/</w:t>
            </w:r>
            <w:r>
              <w:rPr>
                <w:rFonts w:ascii="宋体" w:hAnsi="宋体" w:cs="宋体" w:eastAsia="宋体" w:hint="default"/>
                <w:sz w:val="18"/>
                <w:szCs w:val="18"/>
              </w:rPr>
              <w:t>本公司将立即 </w:t>
            </w:r>
            <w:r>
              <w:rPr>
                <w:rFonts w:ascii="宋体" w:hAnsi="宋体" w:cs="宋体" w:eastAsia="宋体" w:hint="default"/>
                <w:spacing w:val="-2"/>
                <w:sz w:val="18"/>
                <w:szCs w:val="18"/>
              </w:rPr>
              <w:t>通知上市公司，并优先将该商业机会给予上市公司，避免与上市公司及其下属公司业务构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成同业竞争或潜在同业竞争，以确保上市公司及上市公司其他股东利益不受损害。</w:t>
            </w:r>
            <w:r>
              <w:rPr>
                <w:rFonts w:ascii="Arial" w:hAnsi="Arial" w:cs="Arial" w:eastAsia="Arial" w:hint="default"/>
                <w:sz w:val="18"/>
                <w:szCs w:val="18"/>
              </w:rPr>
              <w:t>3</w:t>
            </w:r>
            <w:r>
              <w:rPr>
                <w:rFonts w:ascii="宋体" w:hAnsi="宋体" w:cs="宋体" w:eastAsia="宋体" w:hint="default"/>
                <w:sz w:val="18"/>
                <w:szCs w:val="18"/>
              </w:rPr>
              <w:t>、陈 京念、沧州地铁本人</w:t>
            </w:r>
            <w:r>
              <w:rPr>
                <w:rFonts w:ascii="Arial" w:hAnsi="Arial" w:cs="Arial" w:eastAsia="Arial" w:hint="default"/>
                <w:sz w:val="18"/>
                <w:szCs w:val="18"/>
              </w:rPr>
              <w:t>/</w:t>
            </w:r>
            <w:r>
              <w:rPr>
                <w:rFonts w:ascii="宋体" w:hAnsi="宋体" w:cs="宋体" w:eastAsia="宋体" w:hint="default"/>
                <w:sz w:val="18"/>
                <w:szCs w:val="18"/>
              </w:rPr>
              <w:t>本公司保证有权签署本承诺函，且本承诺函一经陈京念、沧州地铁</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2015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Arial" w:hAnsi="Arial" w:cs="Arial" w:eastAsia="Arial" w:hint="default"/>
                <w:sz w:val="18"/>
                <w:szCs w:val="18"/>
              </w:rPr>
              <w:t>/</w:t>
            </w:r>
            <w:r>
              <w:rPr>
                <w:rFonts w:ascii="宋体" w:hAnsi="宋体" w:cs="宋体" w:eastAsia="宋体" w:hint="default"/>
                <w:sz w:val="18"/>
                <w:szCs w:val="18"/>
              </w:rPr>
              <w:t>本公司签署即对本公司构成有效的、合法的、具有约束力的责任，且在陈京念、沧</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宋体" w:hAnsi="宋体" w:cs="宋体" w:eastAsia="宋体" w:hint="default"/>
                <w:sz w:val="18"/>
                <w:szCs w:val="18"/>
              </w:rPr>
              <w:t>州地铁本人</w:t>
            </w:r>
            <w:r>
              <w:rPr>
                <w:rFonts w:ascii="Arial" w:hAnsi="Arial" w:cs="Arial" w:eastAsia="Arial" w:hint="default"/>
                <w:sz w:val="18"/>
                <w:szCs w:val="18"/>
              </w:rPr>
              <w:t>/</w:t>
            </w:r>
            <w:r>
              <w:rPr>
                <w:rFonts w:ascii="宋体" w:hAnsi="宋体" w:cs="宋体" w:eastAsia="宋体" w:hint="default"/>
                <w:sz w:val="18"/>
                <w:szCs w:val="18"/>
              </w:rPr>
              <w:t>本公司作为上市公司股东期间持续有效，不可撤销。陈京念、沧州地铁本人</w:t>
            </w:r>
            <w:r>
              <w:rPr>
                <w:rFonts w:ascii="Arial" w:hAnsi="Arial" w:cs="Arial" w:eastAsia="Arial" w:hint="default"/>
                <w:sz w:val="18"/>
                <w:szCs w:val="18"/>
              </w:rPr>
              <w:t>/</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本公司保证严格履行本承诺函中的各项承诺，如因违反相关承诺并因此给上市公司造成损</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失的，陈京念、沧州地铁本人</w:t>
            </w:r>
            <w:r>
              <w:rPr>
                <w:rFonts w:ascii="Arial" w:hAnsi="Arial" w:cs="Arial" w:eastAsia="Arial" w:hint="default"/>
                <w:sz w:val="18"/>
                <w:szCs w:val="18"/>
              </w:rPr>
              <w:t>/</w:t>
            </w:r>
            <w:r>
              <w:rPr>
                <w:rFonts w:ascii="宋体" w:hAnsi="宋体" w:cs="宋体" w:eastAsia="宋体" w:hint="default"/>
                <w:sz w:val="18"/>
                <w:szCs w:val="18"/>
              </w:rPr>
              <w:t>本公司将承担相应的法律责任。</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2"/>
          <w:pgSz w:w="16840" w:h="11910" w:orient="landscape"/>
          <w:pgMar w:footer="1016" w:header="868" w:top="1060" w:bottom="1200" w:left="1220" w:right="1220"/>
          <w:pgNumType w:start="5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7"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在本次重组完成后，陈京念、沧州地铁本人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本公司及其控制的企业将尽可能避免和减少</w:t>
            </w: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与上市公司的关联交易，对于无法避免或有合理理由存在的关联交易，陈京念、沧州地铁</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陈京念；沧州地铁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物资有限公司</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减少和规 范关联交 易</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本人</w:t>
            </w:r>
            <w:r>
              <w:rPr>
                <w:rFonts w:ascii="Arial" w:hAnsi="Arial" w:cs="Arial" w:eastAsia="Arial" w:hint="default"/>
                <w:sz w:val="18"/>
                <w:szCs w:val="18"/>
              </w:rPr>
              <w:t>/</w:t>
            </w:r>
            <w:r>
              <w:rPr>
                <w:rFonts w:ascii="宋体" w:hAnsi="宋体" w:cs="宋体" w:eastAsia="宋体" w:hint="default"/>
                <w:sz w:val="18"/>
                <w:szCs w:val="18"/>
              </w:rPr>
              <w:t>本公司及其控制的企业将与上市公司按照公平、公允、等价有偿等原则依法签订协 </w:t>
            </w:r>
            <w:r>
              <w:rPr>
                <w:rFonts w:ascii="宋体" w:hAnsi="宋体" w:cs="宋体" w:eastAsia="宋体" w:hint="default"/>
                <w:spacing w:val="-2"/>
                <w:sz w:val="18"/>
                <w:szCs w:val="18"/>
              </w:rPr>
              <w:t>议，并由上市公司按照有关法律、法规、其他规范性文件以及上市公司章程等的规定，依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法履行相关内部决策批准程序并及时履行信息披露义务；陈京念、沧州地铁本人</w:t>
            </w:r>
            <w:r>
              <w:rPr>
                <w:rFonts w:ascii="Arial" w:hAnsi="Arial" w:cs="Arial" w:eastAsia="Arial" w:hint="default"/>
                <w:sz w:val="18"/>
                <w:szCs w:val="18"/>
              </w:rPr>
              <w:t>/</w:t>
            </w:r>
            <w:r>
              <w:rPr>
                <w:rFonts w:ascii="宋体" w:hAnsi="宋体" w:cs="宋体" w:eastAsia="宋体" w:hint="default"/>
                <w:sz w:val="18"/>
                <w:szCs w:val="18"/>
              </w:rPr>
              <w:t>本公司 保证陈京念、沧州地铁本人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本公司及其控制的企业不以与市场价格相比显失公允的条件 </w:t>
            </w:r>
            <w:r>
              <w:rPr>
                <w:rFonts w:ascii="宋体" w:hAnsi="宋体" w:cs="宋体" w:eastAsia="宋体" w:hint="default"/>
                <w:spacing w:val="-2"/>
                <w:sz w:val="18"/>
                <w:szCs w:val="18"/>
              </w:rPr>
              <w:t>与上市公司进行交易，不利用关联交易非法转移上市公司的资金、利润，亦不利用该类交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易从事任何损害上市公司及其他股东合法权益的行为。若出现违反上述承诺而损害上市公</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Arial" w:hAnsi="Arial" w:cs="Arial" w:eastAsia="Arial" w:hint="default"/>
                <w:sz w:val="18"/>
                <w:szCs w:val="18"/>
              </w:rPr>
            </w:pPr>
            <w:r>
              <w:rPr>
                <w:rFonts w:ascii="Arial"/>
                <w:sz w:val="18"/>
              </w:rPr>
              <w:t>2015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司利益的情形，陈京念、沧州地铁本人</w:t>
            </w:r>
            <w:r>
              <w:rPr>
                <w:rFonts w:ascii="Arial" w:hAnsi="Arial" w:cs="Arial" w:eastAsia="Arial" w:hint="default"/>
                <w:sz w:val="18"/>
                <w:szCs w:val="18"/>
              </w:rPr>
              <w:t>/</w:t>
            </w:r>
            <w:r>
              <w:rPr>
                <w:rFonts w:ascii="宋体" w:hAnsi="宋体" w:cs="宋体" w:eastAsia="宋体" w:hint="default"/>
                <w:sz w:val="18"/>
                <w:szCs w:val="18"/>
              </w:rPr>
              <w:t>本公司将对前述行为而给上市公司造成的损失向</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上市公司进行赔偿。</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809" w:type="dxa"/>
            <w:vMerge/>
            <w:tcBorders>
              <w:left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配套融资认购邵学出具了《北京华宇软件股份有限公司发行股份及支付现金购买资产并募</w:t>
            </w: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集配套资金暨关联交易之非公开发行</w:t>
            </w:r>
            <w:r>
              <w:rPr>
                <w:rFonts w:ascii="宋体" w:hAnsi="宋体" w:cs="宋体" w:eastAsia="宋体" w:hint="default"/>
                <w:spacing w:val="-46"/>
                <w:sz w:val="18"/>
                <w:szCs w:val="18"/>
              </w:rPr>
              <w:t> </w:t>
            </w:r>
            <w:r>
              <w:rPr>
                <w:rFonts w:ascii="Arial" w:hAnsi="Arial" w:cs="Arial" w:eastAsia="Arial" w:hint="default"/>
                <w:sz w:val="18"/>
                <w:szCs w:val="18"/>
              </w:rPr>
              <w:t>A</w:t>
            </w:r>
            <w:r>
              <w:rPr>
                <w:rFonts w:ascii="Arial" w:hAnsi="Arial" w:cs="Arial" w:eastAsia="Arial" w:hint="default"/>
                <w:spacing w:val="-8"/>
                <w:sz w:val="18"/>
                <w:szCs w:val="18"/>
              </w:rPr>
              <w:t> </w:t>
            </w:r>
            <w:r>
              <w:rPr>
                <w:rFonts w:ascii="宋体" w:hAnsi="宋体" w:cs="宋体" w:eastAsia="宋体" w:hint="default"/>
                <w:sz w:val="18"/>
                <w:szCs w:val="18"/>
              </w:rPr>
              <w:t>股股票之发行对象关于所认购股份限售的承诺函 </w:t>
            </w:r>
            <w:r>
              <w:rPr>
                <w:rFonts w:ascii="宋体" w:hAnsi="宋体" w:cs="宋体" w:eastAsia="宋体" w:hint="default"/>
                <w:spacing w:val="-2"/>
                <w:sz w:val="18"/>
                <w:szCs w:val="18"/>
              </w:rPr>
              <w:t>及股份锁定申请》，主要内容如下：自北京华宇软件股份有限公司本次非公开发行的股票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个月内，不转让本单位</w:t>
            </w:r>
            <w:r>
              <w:rPr>
                <w:rFonts w:ascii="Arial" w:hAnsi="Arial" w:cs="Arial" w:eastAsia="Arial" w:hint="default"/>
                <w:sz w:val="18"/>
                <w:szCs w:val="18"/>
              </w:rPr>
              <w:t>/</w:t>
            </w:r>
            <w:r>
              <w:rPr>
                <w:rFonts w:ascii="宋体" w:hAnsi="宋体" w:cs="宋体" w:eastAsia="宋体" w:hint="default"/>
                <w:sz w:val="18"/>
                <w:szCs w:val="18"/>
              </w:rPr>
              <w:t>本人所认购的上述股份。本单位</w:t>
            </w:r>
            <w:r>
              <w:rPr>
                <w:rFonts w:ascii="Arial" w:hAnsi="Arial" w:cs="Arial" w:eastAsia="Arial" w:hint="default"/>
                <w:sz w:val="18"/>
                <w:szCs w:val="18"/>
              </w:rPr>
              <w:t>/</w:t>
            </w:r>
            <w:r>
              <w:rPr>
                <w:rFonts w:ascii="宋体" w:hAnsi="宋体" w:cs="宋体" w:eastAsia="宋体" w:hint="default"/>
                <w:sz w:val="18"/>
                <w:szCs w:val="18"/>
              </w:rPr>
              <w:t>本人所认购的上 </w:t>
            </w:r>
            <w:r>
              <w:rPr>
                <w:rFonts w:ascii="宋体" w:hAnsi="宋体" w:cs="宋体" w:eastAsia="宋体" w:hint="default"/>
                <w:spacing w:val="-2"/>
                <w:sz w:val="18"/>
                <w:szCs w:val="18"/>
              </w:rPr>
              <w:t>述公司股份在锁定期届满后减持还将遵守《公司法》《证券法》《深圳证券交易所股票上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市规则》《上市公司股东、董监高减持股份的若干规定》（证监会公告</w:t>
            </w:r>
            <w:r>
              <w:rPr>
                <w:rFonts w:ascii="Arial" w:hAnsi="Arial" w:cs="Arial" w:eastAsia="Arial" w:hint="default"/>
                <w:sz w:val="18"/>
                <w:szCs w:val="18"/>
              </w:rPr>
              <w:t>[2017]9</w:t>
            </w:r>
            <w:r>
              <w:rPr>
                <w:rFonts w:ascii="Arial" w:hAnsi="Arial" w:cs="Arial" w:eastAsia="Arial" w:hint="default"/>
                <w:spacing w:val="-9"/>
                <w:sz w:val="18"/>
                <w:szCs w:val="18"/>
              </w:rPr>
              <w:t> </w:t>
            </w:r>
            <w:r>
              <w:rPr>
                <w:rFonts w:ascii="宋体" w:hAnsi="宋体" w:cs="宋体" w:eastAsia="宋体" w:hint="default"/>
                <w:sz w:val="18"/>
                <w:szCs w:val="18"/>
              </w:rPr>
              <w:t>号）等法 </w:t>
            </w:r>
            <w:r>
              <w:rPr>
                <w:rFonts w:ascii="宋体" w:hAnsi="宋体" w:cs="宋体" w:eastAsia="宋体" w:hint="default"/>
                <w:spacing w:val="-2"/>
                <w:sz w:val="18"/>
                <w:szCs w:val="18"/>
              </w:rPr>
              <w:t>律、法规、规章、规范性文件、深圳证券交易所相关规则（《深圳证券交易所上市公司股</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Arial" w:hAnsi="Arial" w:cs="Arial" w:eastAsia="Arial" w:hint="default"/>
                <w:sz w:val="18"/>
                <w:szCs w:val="18"/>
              </w:rPr>
            </w:pPr>
            <w:r>
              <w:rPr>
                <w:rFonts w:ascii="Arial"/>
                <w:sz w:val="18"/>
              </w:rPr>
              <w:t>2017</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56"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东及董事、监事、高级管理人员减持股份实施细则》等）以及《公司章程》的相关规定。</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7"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任刚、朱明武关于股份锁定期的承诺函主要内容如下：（</w:t>
            </w:r>
            <w:r>
              <w:rPr>
                <w:rFonts w:ascii="Arial" w:hAnsi="Arial" w:cs="Arial" w:eastAsia="Arial" w:hint="default"/>
                <w:sz w:val="18"/>
                <w:szCs w:val="18"/>
              </w:rPr>
              <w:t>1</w:t>
            </w:r>
            <w:r>
              <w:rPr>
                <w:rFonts w:ascii="宋体" w:hAnsi="宋体" w:cs="宋体" w:eastAsia="宋体" w:hint="default"/>
                <w:sz w:val="18"/>
                <w:szCs w:val="18"/>
              </w:rPr>
              <w:t>）本人通过本次交易认购的华</w:t>
            </w: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宇软件发行的股份，本人承诺自该等股份发行结束之日起</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个月内不转让。（</w:t>
            </w:r>
            <w:r>
              <w:rPr>
                <w:rFonts w:ascii="Arial" w:hAnsi="Arial" w:cs="Arial" w:eastAsia="Arial" w:hint="default"/>
                <w:sz w:val="18"/>
                <w:szCs w:val="18"/>
              </w:rPr>
              <w:t>2</w:t>
            </w:r>
            <w:r>
              <w:rPr>
                <w:rFonts w:ascii="宋体" w:hAnsi="宋体" w:cs="宋体" w:eastAsia="宋体" w:hint="default"/>
                <w:sz w:val="18"/>
                <w:szCs w:val="18"/>
              </w:rPr>
              <w:t>）自该</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等股份发行结束之日起满</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个月后，本人因本次交易所取得的华宇软件的股份将分三批</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解除锁定并在深圳证券交易所上市交易：①联奕科技</w:t>
            </w:r>
            <w:r>
              <w:rPr>
                <w:rFonts w:ascii="宋体" w:hAnsi="宋体" w:cs="宋体" w:eastAsia="宋体" w:hint="default"/>
                <w:spacing w:val="-58"/>
                <w:sz w:val="18"/>
                <w:szCs w:val="18"/>
              </w:rPr>
              <w:t> </w:t>
            </w:r>
            <w:r>
              <w:rPr>
                <w:rFonts w:ascii="Arial" w:hAnsi="Arial" w:cs="Arial" w:eastAsia="Arial" w:hint="default"/>
                <w:sz w:val="18"/>
                <w:szCs w:val="18"/>
              </w:rPr>
              <w:t>2017</w:t>
            </w:r>
            <w:r>
              <w:rPr>
                <w:rFonts w:ascii="Arial" w:hAnsi="Arial" w:cs="Arial" w:eastAsia="Arial" w:hint="default"/>
                <w:spacing w:val="-18"/>
                <w:sz w:val="18"/>
                <w:szCs w:val="18"/>
              </w:rPr>
              <w:t> </w:t>
            </w:r>
            <w:r>
              <w:rPr>
                <w:rFonts w:ascii="宋体" w:hAnsi="宋体" w:cs="宋体" w:eastAsia="宋体" w:hint="default"/>
                <w:spacing w:val="-6"/>
                <w:sz w:val="18"/>
                <w:szCs w:val="18"/>
              </w:rPr>
              <w:t>年度《专项审核报告》出具后，</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联奕科技达到《北京华宇软件股份有限公司与任刚、朱明武之盈利预测补偿协议》（以下</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简称“《盈利预测补偿协议》”）</w:t>
            </w: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年度承诺净利润或本人已按照《盈利预测补偿协</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议》补偿现金的，本人可转让因本次交易所取得的华宇软件的股份的</w:t>
            </w:r>
            <w:r>
              <w:rPr>
                <w:rFonts w:ascii="宋体" w:hAnsi="宋体" w:cs="宋体" w:eastAsia="宋体" w:hint="default"/>
                <w:spacing w:val="-48"/>
                <w:sz w:val="18"/>
                <w:szCs w:val="18"/>
              </w:rPr>
              <w:t> </w:t>
            </w:r>
            <w:r>
              <w:rPr>
                <w:rFonts w:ascii="Arial" w:hAnsi="Arial" w:cs="Arial" w:eastAsia="Arial" w:hint="default"/>
                <w:sz w:val="18"/>
                <w:szCs w:val="18"/>
              </w:rPr>
              <w:t>25%</w:t>
            </w:r>
            <w:r>
              <w:rPr>
                <w:rFonts w:ascii="宋体" w:hAnsi="宋体" w:cs="宋体" w:eastAsia="宋体" w:hint="default"/>
                <w:sz w:val="18"/>
                <w:szCs w:val="18"/>
              </w:rPr>
              <w:t>，但如前述解</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锁日期早于锁定期届满之日的，前述解锁日期应延后至锁定期届满之日的次日；②联奕科</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年度《专项审核报告》出具后，联奕科技达到《盈利预测补偿协议》</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承诺净利润或本人已按照《盈利预测补偿协议》补偿现金的，本人可转让因本次交易所取</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得的华宇软件的股份的</w:t>
            </w:r>
            <w:r>
              <w:rPr>
                <w:rFonts w:ascii="宋体" w:hAnsi="宋体" w:cs="宋体" w:eastAsia="宋体" w:hint="default"/>
                <w:spacing w:val="-48"/>
                <w:sz w:val="18"/>
                <w:szCs w:val="18"/>
              </w:rPr>
              <w:t> </w:t>
            </w:r>
            <w:r>
              <w:rPr>
                <w:rFonts w:ascii="Arial" w:hAnsi="Arial" w:cs="Arial" w:eastAsia="Arial" w:hint="default"/>
                <w:sz w:val="18"/>
                <w:szCs w:val="18"/>
              </w:rPr>
              <w:t>60%</w:t>
            </w:r>
            <w:r>
              <w:rPr>
                <w:rFonts w:ascii="宋体" w:hAnsi="宋体" w:cs="宋体" w:eastAsia="宋体" w:hint="default"/>
                <w:sz w:val="18"/>
                <w:szCs w:val="18"/>
              </w:rPr>
              <w:t>，但如前述解锁日期早于锁定期届满之日的，前述解锁日期</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应延后至锁定期届满之日的次日；③联奕科技</w:t>
            </w:r>
            <w:r>
              <w:rPr>
                <w:rFonts w:ascii="宋体" w:hAnsi="宋体" w:cs="宋体" w:eastAsia="宋体" w:hint="default"/>
                <w:spacing w:val="-54"/>
                <w:sz w:val="18"/>
                <w:szCs w:val="18"/>
              </w:rPr>
              <w:t> </w:t>
            </w:r>
            <w:r>
              <w:rPr>
                <w:rFonts w:ascii="Arial" w:hAnsi="Arial" w:cs="Arial" w:eastAsia="Arial" w:hint="default"/>
                <w:sz w:val="18"/>
                <w:szCs w:val="18"/>
              </w:rPr>
              <w:t>2019</w:t>
            </w:r>
            <w:r>
              <w:rPr>
                <w:rFonts w:ascii="Arial" w:hAnsi="Arial" w:cs="Arial" w:eastAsia="Arial" w:hint="default"/>
                <w:spacing w:val="-17"/>
                <w:sz w:val="18"/>
                <w:szCs w:val="18"/>
              </w:rPr>
              <w:t> </w:t>
            </w:r>
            <w:r>
              <w:rPr>
                <w:rFonts w:ascii="宋体" w:hAnsi="宋体" w:cs="宋体" w:eastAsia="宋体" w:hint="default"/>
                <w:sz w:val="18"/>
                <w:szCs w:val="18"/>
              </w:rPr>
              <w:t>年度《专项审核报告》及《减值测试</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Arial" w:hAnsi="Arial" w:cs="Arial" w:eastAsia="Arial" w:hint="default"/>
                <w:sz w:val="18"/>
                <w:szCs w:val="18"/>
              </w:rPr>
            </w:pPr>
            <w:r>
              <w:rPr>
                <w:rFonts w:ascii="Arial"/>
                <w:sz w:val="18"/>
              </w:rPr>
              <w:t>2017</w:t>
            </w: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截至报告期末，</w:t>
            </w:r>
          </w:p>
        </w:tc>
      </w:tr>
      <w:tr>
        <w:trPr>
          <w:trHeight w:val="624"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37"/>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103" w:right="101"/>
              <w:jc w:val="left"/>
              <w:rPr>
                <w:rFonts w:ascii="宋体" w:hAnsi="宋体" w:cs="宋体" w:eastAsia="宋体" w:hint="default"/>
                <w:sz w:val="18"/>
                <w:szCs w:val="18"/>
              </w:rPr>
            </w:pPr>
            <w:r>
              <w:rPr>
                <w:rFonts w:ascii="宋体" w:hAnsi="宋体" w:cs="宋体" w:eastAsia="宋体" w:hint="default"/>
                <w:spacing w:val="-4"/>
                <w:sz w:val="18"/>
                <w:szCs w:val="18"/>
              </w:rPr>
              <w:t>报告》出具后，本人可转让因本次交易所取得的华宇软件的股份的</w:t>
            </w:r>
            <w:r>
              <w:rPr>
                <w:rFonts w:ascii="宋体" w:hAnsi="宋体" w:cs="宋体" w:eastAsia="宋体" w:hint="default"/>
                <w:spacing w:val="-38"/>
                <w:sz w:val="18"/>
                <w:szCs w:val="18"/>
              </w:rPr>
              <w:t> </w:t>
            </w:r>
            <w:r>
              <w:rPr>
                <w:rFonts w:ascii="Arial" w:hAnsi="Arial" w:cs="Arial" w:eastAsia="Arial" w:hint="default"/>
                <w:spacing w:val="-9"/>
                <w:sz w:val="18"/>
                <w:szCs w:val="18"/>
              </w:rPr>
              <w:t>100%</w:t>
            </w:r>
            <w:r>
              <w:rPr>
                <w:rFonts w:ascii="宋体" w:hAnsi="宋体" w:cs="宋体" w:eastAsia="宋体" w:hint="default"/>
                <w:spacing w:val="-9"/>
                <w:sz w:val="18"/>
                <w:szCs w:val="18"/>
              </w:rPr>
              <w:t>，若本人按照《盈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利预测补偿协议》应补偿股份的，则解锁股份需扣除该部分补偿股份，即：本人解锁股份</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07</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21"/>
              <w:jc w:val="left"/>
              <w:rPr>
                <w:rFonts w:ascii="宋体" w:hAnsi="宋体" w:cs="宋体" w:eastAsia="宋体" w:hint="default"/>
                <w:sz w:val="18"/>
                <w:szCs w:val="18"/>
              </w:rPr>
            </w:pPr>
            <w:r>
              <w:rPr>
                <w:rFonts w:ascii="宋体" w:hAnsi="宋体" w:cs="宋体" w:eastAsia="宋体" w:hint="default"/>
                <w:sz w:val="18"/>
                <w:szCs w:val="18"/>
              </w:rPr>
              <w:t>承诺方遵守以上 承诺，未有违反</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数</w:t>
            </w:r>
            <w:r>
              <w:rPr>
                <w:rFonts w:ascii="Arial" w:hAnsi="Arial" w:cs="Arial" w:eastAsia="Arial" w:hint="default"/>
                <w:sz w:val="18"/>
                <w:szCs w:val="18"/>
              </w:rPr>
              <w:t>=</w:t>
            </w:r>
            <w:r>
              <w:rPr>
                <w:rFonts w:ascii="宋体" w:hAnsi="宋体" w:cs="宋体" w:eastAsia="宋体" w:hint="default"/>
                <w:sz w:val="18"/>
                <w:szCs w:val="18"/>
              </w:rPr>
              <w:t>本人因本次交易所取得的华宇软件的股份数×</w:t>
            </w:r>
            <w:r>
              <w:rPr>
                <w:rFonts w:ascii="Arial" w:hAnsi="Arial" w:cs="Arial" w:eastAsia="Arial" w:hint="default"/>
                <w:sz w:val="18"/>
                <w:szCs w:val="18"/>
              </w:rPr>
              <w:t>100%—</w:t>
            </w:r>
            <w:r>
              <w:rPr>
                <w:rFonts w:ascii="宋体" w:hAnsi="宋体" w:cs="宋体" w:eastAsia="宋体" w:hint="default"/>
                <w:sz w:val="18"/>
                <w:szCs w:val="18"/>
              </w:rPr>
              <w:t>本人应补偿股份数。但如前述</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上述承诺的情况</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解锁日期早于锁定期届满之日的，前述解锁日期应延后至锁定期届满之日的次日。（</w:t>
            </w:r>
            <w:r>
              <w:rPr>
                <w:rFonts w:ascii="Arial" w:hAnsi="Arial" w:cs="Arial" w:eastAsia="Arial" w:hint="default"/>
                <w:sz w:val="18"/>
                <w:szCs w:val="18"/>
              </w:rPr>
              <w:t>3</w:t>
            </w:r>
            <w:r>
              <w:rPr>
                <w:rFonts w:ascii="宋体" w:hAnsi="宋体" w:cs="宋体" w:eastAsia="宋体" w:hint="default"/>
                <w:sz w:val="18"/>
                <w:szCs w:val="18"/>
              </w:rPr>
              <w:t>）</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本人于本次交易中取得的华宇软件股份所派生的股份（如因华宇软件分配股票股利、资本</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公积转增股本等原因新增取得的股份），亦应遵守上述锁定安排。（</w:t>
            </w:r>
            <w:r>
              <w:rPr>
                <w:rFonts w:ascii="Arial" w:hAnsi="Arial" w:cs="Arial" w:eastAsia="Arial" w:hint="default"/>
                <w:sz w:val="18"/>
                <w:szCs w:val="18"/>
              </w:rPr>
              <w:t>4</w:t>
            </w:r>
            <w:r>
              <w:rPr>
                <w:rFonts w:ascii="宋体" w:hAnsi="宋体" w:cs="宋体" w:eastAsia="宋体" w:hint="default"/>
                <w:sz w:val="18"/>
                <w:szCs w:val="18"/>
              </w:rPr>
              <w:t>）如果中国证监会</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及</w:t>
            </w:r>
            <w:r>
              <w:rPr>
                <w:rFonts w:ascii="Arial" w:hAnsi="Arial" w:cs="Arial" w:eastAsia="Arial" w:hint="default"/>
                <w:sz w:val="18"/>
                <w:szCs w:val="18"/>
              </w:rPr>
              <w:t>/</w:t>
            </w:r>
            <w:r>
              <w:rPr>
                <w:rFonts w:ascii="宋体" w:hAnsi="宋体" w:cs="宋体" w:eastAsia="宋体" w:hint="default"/>
                <w:sz w:val="18"/>
                <w:szCs w:val="18"/>
              </w:rPr>
              <w:t>或深圳证券交易所对于上述锁定期安排有不同意见或要求的，本人将按照中国证监会</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及</w:t>
            </w:r>
            <w:r>
              <w:rPr>
                <w:rFonts w:ascii="Arial" w:hAnsi="Arial" w:cs="Arial" w:eastAsia="Arial" w:hint="default"/>
                <w:sz w:val="18"/>
                <w:szCs w:val="18"/>
              </w:rPr>
              <w:t>/</w:t>
            </w:r>
            <w:r>
              <w:rPr>
                <w:rFonts w:ascii="宋体" w:hAnsi="宋体" w:cs="宋体" w:eastAsia="宋体" w:hint="default"/>
                <w:sz w:val="18"/>
                <w:szCs w:val="18"/>
              </w:rPr>
              <w:t>或深圳证券交易所的意见或要求对上述锁定期安排进行修订并予执行。（</w:t>
            </w:r>
            <w:r>
              <w:rPr>
                <w:rFonts w:ascii="Arial" w:hAnsi="Arial" w:cs="Arial" w:eastAsia="Arial" w:hint="default"/>
                <w:sz w:val="18"/>
                <w:szCs w:val="18"/>
              </w:rPr>
              <w:t>5</w:t>
            </w:r>
            <w:r>
              <w:rPr>
                <w:rFonts w:ascii="宋体" w:hAnsi="宋体" w:cs="宋体" w:eastAsia="宋体" w:hint="default"/>
                <w:sz w:val="18"/>
                <w:szCs w:val="18"/>
              </w:rPr>
              <w:t>）本人进一</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步承诺，上述股份锁定期限届满后，本人因本次交易所取得的华宇软件的股份在转让时会</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同时遵守当时有效的《中华人民共和国公司法》《中华人民共和国证券法》《深圳证券交</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易所创业板股票上市规则》等法律、法规、规章和规范性文件以及华宇软件章程的相关规</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Arial" w:hAnsi="Arial" w:cs="Arial" w:eastAsia="Arial" w:hint="default"/>
                <w:sz w:val="18"/>
                <w:szCs w:val="18"/>
              </w:rPr>
              <w:t>6</w:t>
            </w:r>
            <w:r>
              <w:rPr>
                <w:rFonts w:ascii="宋体" w:hAnsi="宋体" w:cs="宋体" w:eastAsia="宋体" w:hint="default"/>
                <w:sz w:val="18"/>
                <w:szCs w:val="18"/>
              </w:rPr>
              <w:t>）本承诺函一经本人签署即对本人构成有效的、合法的、具有约束力的责任；本</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人保证严格履行本承诺函中的各项承诺，如因违反相关承诺并因此给他人造成损失的，本</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人将承担相应的法律责任。</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7"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王莉丽关于股份锁定期的承诺函主要内容如下：（</w:t>
            </w:r>
            <w:r>
              <w:rPr>
                <w:rFonts w:ascii="Arial" w:hAnsi="Arial" w:cs="Arial" w:eastAsia="Arial" w:hint="default"/>
                <w:sz w:val="18"/>
                <w:szCs w:val="18"/>
              </w:rPr>
              <w:t>1</w:t>
            </w:r>
            <w:r>
              <w:rPr>
                <w:rFonts w:ascii="宋体" w:hAnsi="宋体" w:cs="宋体" w:eastAsia="宋体" w:hint="default"/>
                <w:sz w:val="18"/>
                <w:szCs w:val="18"/>
              </w:rPr>
              <w:t>）本人于</w:t>
            </w:r>
            <w:r>
              <w:rPr>
                <w:rFonts w:ascii="宋体" w:hAnsi="宋体" w:cs="宋体" w:eastAsia="宋体" w:hint="default"/>
                <w:spacing w:val="-58"/>
                <w:sz w:val="18"/>
                <w:szCs w:val="18"/>
              </w:rPr>
              <w:t> </w:t>
            </w:r>
            <w:r>
              <w:rPr>
                <w:rFonts w:ascii="Arial" w:hAnsi="Arial" w:cs="Arial" w:eastAsia="Arial" w:hint="default"/>
                <w:sz w:val="18"/>
                <w:szCs w:val="18"/>
              </w:rPr>
              <w:t>2016</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月取得联奕科技</w:t>
            </w: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Arial" w:hAnsi="Arial" w:cs="Arial" w:eastAsia="Arial" w:hint="default"/>
                <w:sz w:val="18"/>
                <w:szCs w:val="18"/>
              </w:rPr>
              <w:t>19.8%</w:t>
            </w:r>
            <w:r>
              <w:rPr>
                <w:rFonts w:ascii="宋体" w:hAnsi="宋体" w:cs="宋体" w:eastAsia="宋体" w:hint="default"/>
                <w:sz w:val="18"/>
                <w:szCs w:val="18"/>
              </w:rPr>
              <w:t>的股份，考虑到本人持续拥有联奕科技前述股份的时间尚不满</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个月，因此，对</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于本人通过本次交易以前述联奕科技股份认购取得的华宇软件发行的股份，本人承诺自华</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宇软件该等股份发行结束之日起</w:t>
            </w:r>
            <w:r>
              <w:rPr>
                <w:rFonts w:ascii="宋体" w:hAnsi="宋体" w:cs="宋体" w:eastAsia="宋体" w:hint="default"/>
                <w:spacing w:val="-47"/>
                <w:sz w:val="18"/>
                <w:szCs w:val="18"/>
              </w:rPr>
              <w:t> </w:t>
            </w: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个月内不转让。（</w:t>
            </w:r>
            <w:r>
              <w:rPr>
                <w:rFonts w:ascii="Arial" w:hAnsi="Arial" w:cs="Arial" w:eastAsia="Arial" w:hint="default"/>
                <w:sz w:val="18"/>
                <w:szCs w:val="18"/>
              </w:rPr>
              <w:t>2</w:t>
            </w:r>
            <w:r>
              <w:rPr>
                <w:rFonts w:ascii="宋体" w:hAnsi="宋体" w:cs="宋体" w:eastAsia="宋体" w:hint="default"/>
                <w:sz w:val="18"/>
                <w:szCs w:val="18"/>
              </w:rPr>
              <w:t>）本人于本次交易中取得的华宇</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04" w:lineRule="auto" w:before="6"/>
              <w:ind w:left="103" w:right="101"/>
              <w:jc w:val="left"/>
              <w:rPr>
                <w:rFonts w:ascii="宋体" w:hAnsi="宋体" w:cs="宋体" w:eastAsia="宋体" w:hint="default"/>
                <w:sz w:val="18"/>
                <w:szCs w:val="18"/>
              </w:rPr>
            </w:pPr>
            <w:r>
              <w:rPr>
                <w:rFonts w:ascii="宋体" w:hAnsi="宋体" w:cs="宋体" w:eastAsia="宋体" w:hint="default"/>
                <w:spacing w:val="-2"/>
                <w:sz w:val="18"/>
                <w:szCs w:val="18"/>
              </w:rPr>
              <w:t>软件股份所派生的股份（如因华宇软件分配股票股利、资本公积转增股本等原因新增取得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的股份），亦应遵守上述锁定安排。（</w:t>
            </w:r>
            <w:r>
              <w:rPr>
                <w:rFonts w:ascii="Arial" w:hAnsi="Arial" w:cs="Arial" w:eastAsia="Arial" w:hint="default"/>
                <w:spacing w:val="-1"/>
                <w:sz w:val="18"/>
                <w:szCs w:val="18"/>
              </w:rPr>
              <w:t>3</w:t>
            </w:r>
            <w:r>
              <w:rPr>
                <w:rFonts w:ascii="宋体" w:hAnsi="宋体" w:cs="宋体" w:eastAsia="宋体" w:hint="default"/>
                <w:spacing w:val="-1"/>
                <w:sz w:val="18"/>
                <w:szCs w:val="18"/>
              </w:rPr>
              <w:t>）如果中国证监会及</w:t>
            </w:r>
            <w:r>
              <w:rPr>
                <w:rFonts w:ascii="Arial" w:hAnsi="Arial" w:cs="Arial" w:eastAsia="Arial" w:hint="default"/>
                <w:spacing w:val="-1"/>
                <w:sz w:val="18"/>
                <w:szCs w:val="18"/>
              </w:rPr>
              <w:t>/</w:t>
            </w:r>
            <w:r>
              <w:rPr>
                <w:rFonts w:ascii="宋体" w:hAnsi="宋体" w:cs="宋体" w:eastAsia="宋体" w:hint="default"/>
                <w:spacing w:val="-1"/>
                <w:sz w:val="18"/>
                <w:szCs w:val="18"/>
              </w:rPr>
              <w:t>或深圳证券交易所对于上述</w:t>
            </w:r>
            <w:r>
              <w:rPr>
                <w:rFonts w:ascii="宋体" w:hAnsi="宋体" w:cs="宋体" w:eastAsia="宋体" w:hint="default"/>
                <w:sz w:val="18"/>
                <w:szCs w:val="18"/>
              </w:rPr>
              <w:t> 锁定期安排有不同意见或要求的，本人将按照中国证监会及</w:t>
            </w:r>
            <w:r>
              <w:rPr>
                <w:rFonts w:ascii="Arial" w:hAnsi="Arial" w:cs="Arial" w:eastAsia="Arial" w:hint="default"/>
                <w:sz w:val="18"/>
                <w:szCs w:val="18"/>
              </w:rPr>
              <w:t>/</w:t>
            </w:r>
            <w:r>
              <w:rPr>
                <w:rFonts w:ascii="宋体" w:hAnsi="宋体" w:cs="宋体" w:eastAsia="宋体" w:hint="default"/>
                <w:sz w:val="18"/>
                <w:szCs w:val="18"/>
              </w:rPr>
              <w:t>或深圳证券交易所的意见或 要求对上述锁定期安排进行修订并予执行。（</w:t>
            </w:r>
            <w:r>
              <w:rPr>
                <w:rFonts w:ascii="Arial" w:hAnsi="Arial" w:cs="Arial" w:eastAsia="Arial" w:hint="default"/>
                <w:sz w:val="18"/>
                <w:szCs w:val="18"/>
              </w:rPr>
              <w:t>4</w:t>
            </w:r>
            <w:r>
              <w:rPr>
                <w:rFonts w:ascii="宋体" w:hAnsi="宋体" w:cs="宋体" w:eastAsia="宋体" w:hint="default"/>
                <w:sz w:val="18"/>
                <w:szCs w:val="18"/>
              </w:rPr>
              <w:t>）本人进一步承诺，上述股份锁定期限届 </w:t>
            </w:r>
            <w:r>
              <w:rPr>
                <w:rFonts w:ascii="宋体" w:hAnsi="宋体" w:cs="宋体" w:eastAsia="宋体" w:hint="default"/>
                <w:spacing w:val="-2"/>
                <w:sz w:val="18"/>
                <w:szCs w:val="18"/>
              </w:rPr>
              <w:t>满后，本人因本次交易所取得的华宇软件的股份在转让时会同时遵守当时有效的《中华人</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2017</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Arial" w:hAnsi="Arial" w:cs="Arial" w:eastAsia="Arial" w:hint="default"/>
                <w:sz w:val="18"/>
                <w:szCs w:val="18"/>
              </w:rPr>
            </w:pPr>
            <w:r>
              <w:rPr>
                <w:rFonts w:ascii="Arial" w:hAnsi="Arial" w:cs="Arial" w:eastAsia="Arial" w:hint="default"/>
                <w:sz w:val="18"/>
                <w:szCs w:val="18"/>
              </w:rPr>
              <w:t>2020</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9</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民共和国公司法》《中华人民共和国证券法》《深圳证券交易所创业板股票上市规则》等</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法律、法规、规章和规范性文件以及华宇软件章程的相关规定。（</w:t>
            </w:r>
            <w:r>
              <w:rPr>
                <w:rFonts w:ascii="Arial" w:hAnsi="Arial" w:cs="Arial" w:eastAsia="Arial" w:hint="default"/>
                <w:sz w:val="18"/>
                <w:szCs w:val="18"/>
              </w:rPr>
              <w:t>5</w:t>
            </w:r>
            <w:r>
              <w:rPr>
                <w:rFonts w:ascii="宋体" w:hAnsi="宋体" w:cs="宋体" w:eastAsia="宋体" w:hint="default"/>
                <w:sz w:val="18"/>
                <w:szCs w:val="18"/>
              </w:rPr>
              <w:t>）本承诺函一经本人</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签署即对本人构成有效的、合法的、具有约束力的责任；本人保证严格履行本承诺函中的</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各项承诺，如因违反相关承诺并因此给他人造成损失的，本人将承担相应的法律责任。</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1960"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137"/>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71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任刚、朱明武承诺联奕科技：</w:t>
            </w:r>
            <w:r>
              <w:rPr>
                <w:rFonts w:ascii="Arial" w:hAnsi="Arial" w:cs="Arial" w:eastAsia="Arial" w:hint="default"/>
                <w:sz w:val="18"/>
                <w:szCs w:val="18"/>
              </w:rPr>
              <w:t>2017 </w:t>
            </w:r>
            <w:r>
              <w:rPr>
                <w:rFonts w:ascii="宋体" w:hAnsi="宋体" w:cs="宋体" w:eastAsia="宋体" w:hint="default"/>
                <w:sz w:val="18"/>
                <w:szCs w:val="18"/>
              </w:rPr>
              <w:t>年度、</w:t>
            </w:r>
            <w:r>
              <w:rPr>
                <w:rFonts w:ascii="Arial" w:hAnsi="Arial" w:cs="Arial" w:eastAsia="Arial" w:hint="default"/>
                <w:sz w:val="18"/>
                <w:szCs w:val="18"/>
              </w:rPr>
              <w:t>2018 </w:t>
            </w:r>
            <w:r>
              <w:rPr>
                <w:rFonts w:ascii="宋体" w:hAnsi="宋体" w:cs="宋体" w:eastAsia="宋体" w:hint="default"/>
                <w:sz w:val="18"/>
                <w:szCs w:val="18"/>
              </w:rPr>
              <w:t>年度、</w:t>
            </w:r>
            <w:r>
              <w:rPr>
                <w:rFonts w:ascii="Arial" w:hAnsi="Arial" w:cs="Arial" w:eastAsia="Arial" w:hint="default"/>
                <w:sz w:val="18"/>
                <w:szCs w:val="18"/>
              </w:rPr>
              <w:t>2019</w:t>
            </w:r>
            <w:r>
              <w:rPr>
                <w:rFonts w:ascii="Arial" w:hAnsi="Arial" w:cs="Arial" w:eastAsia="Arial" w:hint="default"/>
                <w:spacing w:val="-22"/>
                <w:sz w:val="18"/>
                <w:szCs w:val="18"/>
              </w:rPr>
              <w:t> </w:t>
            </w:r>
            <w:r>
              <w:rPr>
                <w:rFonts w:ascii="宋体" w:hAnsi="宋体" w:cs="宋体" w:eastAsia="宋体" w:hint="default"/>
                <w:sz w:val="18"/>
                <w:szCs w:val="18"/>
              </w:rPr>
              <w:t>年度实现的经上市公司聘请 </w:t>
            </w:r>
            <w:r>
              <w:rPr>
                <w:rFonts w:ascii="宋体" w:hAnsi="宋体" w:cs="宋体" w:eastAsia="宋体" w:hint="default"/>
                <w:spacing w:val="-2"/>
                <w:sz w:val="18"/>
                <w:szCs w:val="18"/>
              </w:rPr>
              <w:t>的具有证券、期货业务资格的会计师事务所审计的净利润（以扣除非经常损益（扣除股份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支付影响））分别不低于人民币</w:t>
            </w:r>
            <w:r>
              <w:rPr>
                <w:rFonts w:ascii="宋体" w:hAnsi="宋体" w:cs="宋体" w:eastAsia="宋体" w:hint="default"/>
                <w:spacing w:val="-52"/>
                <w:sz w:val="18"/>
                <w:szCs w:val="18"/>
              </w:rPr>
              <w:t> </w:t>
            </w:r>
            <w:r>
              <w:rPr>
                <w:rFonts w:ascii="Arial" w:hAnsi="Arial" w:cs="Arial" w:eastAsia="Arial" w:hint="default"/>
                <w:sz w:val="18"/>
                <w:szCs w:val="18"/>
              </w:rPr>
              <w:t>7,600</w:t>
            </w:r>
            <w:r>
              <w:rPr>
                <w:rFonts w:ascii="Arial" w:hAnsi="Arial" w:cs="Arial" w:eastAsia="Arial" w:hint="default"/>
                <w:spacing w:val="-9"/>
                <w:sz w:val="18"/>
                <w:szCs w:val="18"/>
              </w:rPr>
              <w:t> </w:t>
            </w:r>
            <w:r>
              <w:rPr>
                <w:rFonts w:ascii="宋体" w:hAnsi="宋体" w:cs="宋体" w:eastAsia="宋体" w:hint="default"/>
                <w:spacing w:val="-3"/>
                <w:sz w:val="18"/>
                <w:szCs w:val="18"/>
              </w:rPr>
              <w:t>万元、</w:t>
            </w:r>
            <w:r>
              <w:rPr>
                <w:rFonts w:ascii="Arial" w:hAnsi="Arial" w:cs="Arial" w:eastAsia="Arial" w:hint="default"/>
                <w:spacing w:val="-3"/>
                <w:sz w:val="18"/>
                <w:szCs w:val="18"/>
              </w:rPr>
              <w:t>11,000</w:t>
            </w:r>
            <w:r>
              <w:rPr>
                <w:rFonts w:ascii="Arial" w:hAnsi="Arial" w:cs="Arial" w:eastAsia="Arial" w:hint="default"/>
                <w:spacing w:val="-12"/>
                <w:sz w:val="18"/>
                <w:szCs w:val="18"/>
              </w:rPr>
              <w:t> </w:t>
            </w:r>
            <w:r>
              <w:rPr>
                <w:rFonts w:ascii="宋体" w:hAnsi="宋体" w:cs="宋体" w:eastAsia="宋体" w:hint="default"/>
                <w:sz w:val="18"/>
                <w:szCs w:val="18"/>
              </w:rPr>
              <w:t>万元和</w:t>
            </w:r>
            <w:r>
              <w:rPr>
                <w:rFonts w:ascii="宋体" w:hAnsi="宋体" w:cs="宋体" w:eastAsia="宋体" w:hint="default"/>
                <w:spacing w:val="-52"/>
                <w:sz w:val="18"/>
                <w:szCs w:val="18"/>
              </w:rPr>
              <w:t> </w:t>
            </w:r>
            <w:r>
              <w:rPr>
                <w:rFonts w:ascii="Arial" w:hAnsi="Arial" w:cs="Arial" w:eastAsia="Arial" w:hint="default"/>
                <w:sz w:val="18"/>
                <w:szCs w:val="18"/>
              </w:rPr>
              <w:t>14,400</w:t>
            </w:r>
            <w:r>
              <w:rPr>
                <w:rFonts w:ascii="Arial" w:hAnsi="Arial" w:cs="Arial" w:eastAsia="Arial" w:hint="default"/>
                <w:spacing w:val="-9"/>
                <w:sz w:val="18"/>
                <w:szCs w:val="18"/>
              </w:rPr>
              <w:t> </w:t>
            </w:r>
            <w:r>
              <w:rPr>
                <w:rFonts w:ascii="宋体" w:hAnsi="宋体" w:cs="宋体" w:eastAsia="宋体" w:hint="default"/>
                <w:sz w:val="18"/>
                <w:szCs w:val="18"/>
              </w:rPr>
              <w:t>万元。如联奕科技于</w:t>
            </w:r>
          </w:p>
          <w:p>
            <w:pPr>
              <w:pStyle w:val="TableParagraph"/>
              <w:spacing w:line="309" w:lineRule="auto" w:before="5"/>
              <w:ind w:left="103" w:right="36"/>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年经审计的归属母公司股东的净利润（以扣除非经常损益（扣 除股份支付影响））未达到承诺业绩，则业绩承诺方应按照签署的《盈利预测补偿协议》 的具体约定向上市公司进行补偿。</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2017</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bl>
    <w:p>
      <w:pPr>
        <w:spacing w:after="0" w:line="316" w:lineRule="auto"/>
        <w:jc w:val="left"/>
        <w:rPr>
          <w:rFonts w:ascii="宋体" w:hAnsi="宋体" w:cs="宋体" w:eastAsia="宋体" w:hint="default"/>
          <w:sz w:val="18"/>
          <w:szCs w:val="18"/>
        </w:rPr>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7"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w:t>
            </w: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42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103" w:right="60"/>
              <w:jc w:val="left"/>
              <w:rPr>
                <w:rFonts w:ascii="宋体" w:hAnsi="宋体" w:cs="宋体" w:eastAsia="宋体" w:hint="default"/>
                <w:sz w:val="18"/>
                <w:szCs w:val="18"/>
              </w:rPr>
            </w:pPr>
            <w:r>
              <w:rPr>
                <w:rFonts w:ascii="宋体" w:hAnsi="宋体" w:cs="宋体" w:eastAsia="宋体" w:hint="default"/>
                <w:spacing w:val="-6"/>
                <w:sz w:val="18"/>
                <w:szCs w:val="18"/>
              </w:rPr>
              <w:t>腾投资企业（有限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r>
              <w:rPr>
                <w:rFonts w:ascii="Arial" w:hAnsi="Arial" w:cs="Arial" w:eastAsia="Arial" w:hint="default"/>
                <w:sz w:val="18"/>
                <w:szCs w:val="18"/>
              </w:rPr>
              <w:t>;</w:t>
            </w:r>
            <w:r>
              <w:rPr>
                <w:rFonts w:ascii="宋体" w:hAnsi="宋体" w:cs="宋体" w:eastAsia="宋体" w:hint="default"/>
                <w:sz w:val="18"/>
                <w:szCs w:val="18"/>
              </w:rPr>
              <w:t>金玉萍</w:t>
            </w:r>
            <w:r>
              <w:rPr>
                <w:rFonts w:ascii="Arial" w:hAnsi="Arial" w:cs="Arial" w:eastAsia="Arial" w:hint="default"/>
                <w:sz w:val="18"/>
                <w:szCs w:val="18"/>
              </w:rPr>
              <w:t>;</w:t>
            </w:r>
            <w:r>
              <w:rPr>
                <w:rFonts w:ascii="宋体" w:hAnsi="宋体" w:cs="宋体" w:eastAsia="宋体" w:hint="default"/>
                <w:sz w:val="18"/>
                <w:szCs w:val="18"/>
              </w:rPr>
              <w:t>瞿 启云</w:t>
            </w:r>
            <w:r>
              <w:rPr>
                <w:rFonts w:ascii="Arial" w:hAnsi="Arial" w:cs="Arial" w:eastAsia="Arial" w:hint="default"/>
                <w:sz w:val="18"/>
                <w:szCs w:val="18"/>
              </w:rPr>
              <w:t>;</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齐嘉 瞻</w:t>
            </w:r>
            <w:r>
              <w:rPr>
                <w:rFonts w:ascii="Arial" w:hAnsi="Arial" w:cs="Arial" w:eastAsia="Arial" w:hint="default"/>
                <w:sz w:val="18"/>
                <w:szCs w:val="18"/>
              </w:rPr>
              <w:t>;</w:t>
            </w: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石河子鼎 诺投资管理有限 公司</w:t>
            </w:r>
            <w:r>
              <w:rPr>
                <w:rFonts w:ascii="Arial" w:hAnsi="Arial" w:cs="Arial" w:eastAsia="Arial" w:hint="default"/>
                <w:sz w:val="18"/>
                <w:szCs w:val="18"/>
              </w:rPr>
              <w:t>;</w:t>
            </w:r>
            <w:r>
              <w:rPr>
                <w:rFonts w:ascii="宋体" w:hAnsi="宋体" w:cs="宋体" w:eastAsia="宋体" w:hint="default"/>
                <w:sz w:val="18"/>
                <w:szCs w:val="18"/>
              </w:rPr>
              <w:t>王莉丽</w:t>
            </w:r>
            <w:r>
              <w:rPr>
                <w:rFonts w:ascii="Arial" w:hAnsi="Arial" w:cs="Arial" w:eastAsia="Arial" w:hint="default"/>
                <w:sz w:val="18"/>
                <w:szCs w:val="18"/>
              </w:rPr>
              <w:t>;</w:t>
            </w:r>
            <w:r>
              <w:rPr>
                <w:rFonts w:ascii="宋体" w:hAnsi="宋体" w:cs="宋体" w:eastAsia="宋体" w:hint="default"/>
                <w:sz w:val="18"/>
                <w:szCs w:val="18"/>
              </w:rPr>
              <w:t>西藏 思科瑞股权投资 </w:t>
            </w:r>
            <w:r>
              <w:rPr>
                <w:rFonts w:ascii="宋体" w:hAnsi="宋体" w:cs="宋体" w:eastAsia="宋体" w:hint="default"/>
                <w:spacing w:val="-6"/>
                <w:sz w:val="18"/>
                <w:szCs w:val="18"/>
              </w:rPr>
              <w:t>中心（有限合伙）</w:t>
            </w:r>
            <w:r>
              <w:rPr>
                <w:rFonts w:ascii="Arial" w:hAnsi="Arial" w:cs="Arial" w:eastAsia="Arial" w:hint="default"/>
                <w:spacing w:val="-6"/>
                <w:sz w:val="18"/>
                <w:szCs w:val="18"/>
              </w:rPr>
              <w:t>;</w:t>
            </w:r>
            <w:r>
              <w:rPr>
                <w:rFonts w:ascii="Arial" w:hAnsi="Arial" w:cs="Arial" w:eastAsia="Arial" w:hint="default"/>
                <w:spacing w:val="-48"/>
                <w:sz w:val="18"/>
                <w:szCs w:val="18"/>
              </w:rPr>
              <w:t> </w:t>
            </w:r>
            <w:r>
              <w:rPr>
                <w:rFonts w:ascii="宋体" w:hAnsi="宋体" w:cs="宋体" w:eastAsia="宋体" w:hint="default"/>
                <w:sz w:val="18"/>
                <w:szCs w:val="18"/>
              </w:rPr>
              <w:t>朱明武</w:t>
            </w:r>
            <w:r>
              <w:rPr>
                <w:rFonts w:ascii="Arial" w:hAnsi="Arial" w:cs="Arial" w:eastAsia="Arial" w:hint="default"/>
                <w:sz w:val="18"/>
                <w:szCs w:val="18"/>
              </w:rPr>
              <w:t>;</w:t>
            </w:r>
            <w:r>
              <w:rPr>
                <w:rFonts w:ascii="宋体" w:hAnsi="宋体" w:cs="宋体" w:eastAsia="宋体" w:hint="default"/>
                <w:sz w:val="18"/>
                <w:szCs w:val="18"/>
              </w:rPr>
              <w:t>珠海横琴 瀚鼎壹号股权投 </w:t>
            </w:r>
            <w:r>
              <w:rPr>
                <w:rFonts w:ascii="宋体" w:hAnsi="宋体" w:cs="宋体" w:eastAsia="宋体" w:hint="default"/>
                <w:spacing w:val="-6"/>
                <w:sz w:val="18"/>
                <w:szCs w:val="18"/>
              </w:rPr>
              <w:t>资合伙企业（有限</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2" w:lineRule="auto"/>
              <w:ind w:left="103" w:right="12"/>
              <w:jc w:val="left"/>
              <w:rPr>
                <w:rFonts w:ascii="宋体" w:hAnsi="宋体" w:cs="宋体" w:eastAsia="宋体" w:hint="default"/>
                <w:sz w:val="18"/>
                <w:szCs w:val="18"/>
              </w:rPr>
            </w:pPr>
            <w:r>
              <w:rPr>
                <w:rFonts w:ascii="宋体" w:hAnsi="宋体" w:cs="宋体" w:eastAsia="宋体" w:hint="default"/>
                <w:sz w:val="18"/>
                <w:szCs w:val="18"/>
              </w:rPr>
              <w:t>重大资产重组交易对方关于避免同业竞争的承诺：</w:t>
            </w:r>
            <w:r>
              <w:rPr>
                <w:rFonts w:ascii="Arial" w:hAnsi="Arial" w:cs="Arial" w:eastAsia="Arial" w:hint="default"/>
                <w:sz w:val="18"/>
                <w:szCs w:val="18"/>
              </w:rPr>
              <w:t>1</w:t>
            </w:r>
            <w:r>
              <w:rPr>
                <w:rFonts w:ascii="宋体" w:hAnsi="宋体" w:cs="宋体" w:eastAsia="宋体" w:hint="default"/>
                <w:sz w:val="18"/>
                <w:szCs w:val="18"/>
              </w:rPr>
              <w:t>、除非经华宇软件同意，在联奕科技 任职或作为华宇软件股东期间，除在华宇软件及联奕科技外，本承诺人不会直接从事或直 接或间接通过其他经营实体从事与华宇软件及联奕科技相同或类似的业务；不会在与华宇 软件或联奕科技存在相同或者类似业务的公司任职或者担任任何形式的顾问；不会以华宇 软件及联奕科技以外的名义为华宇软件及联奕科技现有客户提供相同或类似服务。本承诺 人违反上述承诺的经营利润归华宇软件所有。</w:t>
            </w:r>
            <w:r>
              <w:rPr>
                <w:rFonts w:ascii="Arial" w:hAnsi="Arial" w:cs="Arial" w:eastAsia="Arial" w:hint="default"/>
                <w:sz w:val="18"/>
                <w:szCs w:val="18"/>
              </w:rPr>
              <w:t>2</w:t>
            </w:r>
            <w:r>
              <w:rPr>
                <w:rFonts w:ascii="宋体" w:hAnsi="宋体" w:cs="宋体" w:eastAsia="宋体" w:hint="default"/>
                <w:sz w:val="18"/>
                <w:szCs w:val="18"/>
              </w:rPr>
              <w:t>、对于因政策调整、市场变化、监管部门 要求等客观原因确需调整本承诺函相应内容的，本承诺人将积极配合。</w:t>
            </w:r>
            <w:r>
              <w:rPr>
                <w:rFonts w:ascii="Arial" w:hAnsi="Arial" w:cs="Arial" w:eastAsia="Arial" w:hint="default"/>
                <w:sz w:val="18"/>
                <w:szCs w:val="18"/>
              </w:rPr>
              <w:t>3</w:t>
            </w:r>
            <w:r>
              <w:rPr>
                <w:rFonts w:ascii="宋体" w:hAnsi="宋体" w:cs="宋体" w:eastAsia="宋体" w:hint="default"/>
                <w:sz w:val="18"/>
                <w:szCs w:val="18"/>
              </w:rPr>
              <w:t>、本承诺函自签 </w:t>
            </w:r>
            <w:r>
              <w:rPr>
                <w:rFonts w:ascii="宋体" w:hAnsi="宋体" w:cs="宋体" w:eastAsia="宋体" w:hint="default"/>
                <w:spacing w:val="-4"/>
                <w:sz w:val="18"/>
                <w:szCs w:val="18"/>
              </w:rPr>
              <w:t>署之日起生效，并在本承诺人联奕科技任职或作为华宇软件股东期间持续有效，不可撤销。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本承诺人保证严格履行本承诺函中的各项承诺，如因违反相关承诺，本承诺人将按照实际</w:t>
            </w:r>
            <w:r>
              <w:rPr>
                <w:rFonts w:ascii="宋体" w:hAnsi="宋体" w:cs="宋体" w:eastAsia="宋体" w:hint="default"/>
                <w:sz w:val="18"/>
                <w:szCs w:val="18"/>
              </w:rPr>
              <w:t> 发生交易所得金额的</w:t>
            </w:r>
            <w:r>
              <w:rPr>
                <w:rFonts w:ascii="宋体" w:hAnsi="宋体" w:cs="宋体" w:eastAsia="宋体" w:hint="default"/>
                <w:spacing w:val="-51"/>
                <w:sz w:val="18"/>
                <w:szCs w:val="18"/>
              </w:rPr>
              <w:t> </w:t>
            </w:r>
            <w:r>
              <w:rPr>
                <w:rFonts w:ascii="Arial" w:hAnsi="Arial" w:cs="Arial" w:eastAsia="Arial" w:hint="default"/>
                <w:sz w:val="18"/>
                <w:szCs w:val="18"/>
              </w:rPr>
              <w:t>10</w:t>
            </w:r>
            <w:r>
              <w:rPr>
                <w:rFonts w:ascii="Arial" w:hAnsi="Arial" w:cs="Arial" w:eastAsia="Arial" w:hint="default"/>
                <w:spacing w:val="-12"/>
                <w:sz w:val="18"/>
                <w:szCs w:val="18"/>
              </w:rPr>
              <w:t> </w:t>
            </w:r>
            <w:r>
              <w:rPr>
                <w:rFonts w:ascii="宋体" w:hAnsi="宋体" w:cs="宋体" w:eastAsia="宋体" w:hint="default"/>
                <w:sz w:val="18"/>
                <w:szCs w:val="18"/>
              </w:rPr>
              <w:t>倍或华宇软件核算的实际损失的</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10"/>
                <w:sz w:val="18"/>
                <w:szCs w:val="18"/>
              </w:rPr>
              <w:t> </w:t>
            </w:r>
            <w:r>
              <w:rPr>
                <w:rFonts w:ascii="宋体" w:hAnsi="宋体" w:cs="宋体" w:eastAsia="宋体" w:hint="default"/>
                <w:sz w:val="18"/>
                <w:szCs w:val="18"/>
              </w:rPr>
              <w:t>倍向华宇软件承担赔偿责任。</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Arial" w:hAnsi="Arial" w:cs="Arial" w:eastAsia="Arial" w:hint="default"/>
                <w:sz w:val="18"/>
                <w:szCs w:val="18"/>
              </w:rPr>
            </w:pPr>
            <w:r>
              <w:rPr>
                <w:rFonts w:ascii="Arial"/>
                <w:sz w:val="18"/>
              </w:rPr>
              <w:t>2017</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5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9" w:type="dxa"/>
            <w:vMerge/>
            <w:tcBorders>
              <w:left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w:t>
            </w: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6"/>
                <w:sz w:val="18"/>
                <w:szCs w:val="18"/>
              </w:rPr>
              <w:t>腾投资企业（有限</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Arial" w:hAnsi="Arial" w:cs="Arial" w:eastAsia="Arial" w:hint="default"/>
                <w:sz w:val="18"/>
                <w:szCs w:val="18"/>
              </w:rPr>
              <w:t>;</w:t>
            </w:r>
            <w:r>
              <w:rPr>
                <w:rFonts w:ascii="宋体" w:hAnsi="宋体" w:cs="宋体" w:eastAsia="宋体" w:hint="default"/>
                <w:sz w:val="18"/>
                <w:szCs w:val="18"/>
              </w:rPr>
              <w:t>金玉萍</w:t>
            </w:r>
            <w:r>
              <w:rPr>
                <w:rFonts w:ascii="Arial" w:hAnsi="Arial" w:cs="Arial" w:eastAsia="Arial" w:hint="default"/>
                <w:sz w:val="18"/>
                <w:szCs w:val="18"/>
              </w:rPr>
              <w:t>;</w:t>
            </w:r>
            <w:r>
              <w:rPr>
                <w:rFonts w:ascii="宋体" w:hAnsi="宋体" w:cs="宋体" w:eastAsia="宋体" w:hint="default"/>
                <w:sz w:val="18"/>
                <w:szCs w:val="18"/>
              </w:rPr>
              <w:t>瞿</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重大资产重组交易对方关于规范关联交易的承诺：在本次交易完成后，本承诺人及本承诺</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307" w:lineRule="auto" w:before="6"/>
              <w:ind w:left="103" w:right="60"/>
              <w:jc w:val="left"/>
              <w:rPr>
                <w:rFonts w:ascii="宋体" w:hAnsi="宋体" w:cs="宋体" w:eastAsia="宋体" w:hint="default"/>
                <w:sz w:val="18"/>
                <w:szCs w:val="18"/>
              </w:rPr>
            </w:pPr>
            <w:r>
              <w:rPr>
                <w:rFonts w:ascii="宋体" w:hAnsi="宋体" w:cs="宋体" w:eastAsia="宋体" w:hint="default"/>
                <w:sz w:val="18"/>
                <w:szCs w:val="18"/>
              </w:rPr>
              <w:t>启云</w:t>
            </w:r>
            <w:r>
              <w:rPr>
                <w:rFonts w:ascii="Arial" w:hAnsi="Arial" w:cs="Arial" w:eastAsia="Arial" w:hint="default"/>
                <w:sz w:val="18"/>
                <w:szCs w:val="18"/>
              </w:rPr>
              <w:t>;</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齐嘉 瞻</w:t>
            </w:r>
            <w:r>
              <w:rPr>
                <w:rFonts w:ascii="Arial" w:hAnsi="Arial" w:cs="Arial" w:eastAsia="Arial" w:hint="default"/>
                <w:sz w:val="18"/>
                <w:szCs w:val="18"/>
              </w:rPr>
              <w:t>;</w:t>
            </w: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石河子鼎 诺投资管理有限 公司</w:t>
            </w:r>
            <w:r>
              <w:rPr>
                <w:rFonts w:ascii="Arial" w:hAnsi="Arial" w:cs="Arial" w:eastAsia="Arial" w:hint="default"/>
                <w:sz w:val="18"/>
                <w:szCs w:val="18"/>
              </w:rPr>
              <w:t>;</w:t>
            </w:r>
            <w:r>
              <w:rPr>
                <w:rFonts w:ascii="宋体" w:hAnsi="宋体" w:cs="宋体" w:eastAsia="宋体" w:hint="default"/>
                <w:sz w:val="18"/>
                <w:szCs w:val="18"/>
              </w:rPr>
              <w:t>王莉丽</w:t>
            </w:r>
            <w:r>
              <w:rPr>
                <w:rFonts w:ascii="Arial" w:hAnsi="Arial" w:cs="Arial" w:eastAsia="Arial" w:hint="default"/>
                <w:sz w:val="18"/>
                <w:szCs w:val="18"/>
              </w:rPr>
              <w:t>;</w:t>
            </w:r>
            <w:r>
              <w:rPr>
                <w:rFonts w:ascii="宋体" w:hAnsi="宋体" w:cs="宋体" w:eastAsia="宋体" w:hint="default"/>
                <w:sz w:val="18"/>
                <w:szCs w:val="18"/>
              </w:rPr>
              <w:t>西藏 思科瑞股权投资 </w:t>
            </w:r>
            <w:r>
              <w:rPr>
                <w:rFonts w:ascii="宋体" w:hAnsi="宋体" w:cs="宋体" w:eastAsia="宋体" w:hint="default"/>
                <w:spacing w:val="-6"/>
                <w:sz w:val="18"/>
                <w:szCs w:val="18"/>
              </w:rPr>
              <w:t>中心（有限合伙）</w:t>
            </w:r>
            <w:r>
              <w:rPr>
                <w:rFonts w:ascii="Arial" w:hAnsi="Arial" w:cs="Arial" w:eastAsia="Arial" w:hint="default"/>
                <w:spacing w:val="-6"/>
                <w:sz w:val="18"/>
                <w:szCs w:val="18"/>
              </w:rPr>
              <w:t>;</w:t>
            </w:r>
            <w:r>
              <w:rPr>
                <w:rFonts w:ascii="Arial" w:hAnsi="Arial" w:cs="Arial" w:eastAsia="Arial" w:hint="default"/>
                <w:spacing w:val="-48"/>
                <w:sz w:val="18"/>
                <w:szCs w:val="18"/>
              </w:rPr>
              <w:t> </w:t>
            </w:r>
            <w:r>
              <w:rPr>
                <w:rFonts w:ascii="宋体" w:hAnsi="宋体" w:cs="宋体" w:eastAsia="宋体" w:hint="default"/>
                <w:sz w:val="18"/>
                <w:szCs w:val="18"/>
              </w:rPr>
              <w:t>朱明武</w:t>
            </w:r>
            <w:r>
              <w:rPr>
                <w:rFonts w:ascii="Arial" w:hAnsi="Arial" w:cs="Arial" w:eastAsia="Arial" w:hint="default"/>
                <w:sz w:val="18"/>
                <w:szCs w:val="18"/>
              </w:rPr>
              <w:t>;</w:t>
            </w:r>
            <w:r>
              <w:rPr>
                <w:rFonts w:ascii="宋体" w:hAnsi="宋体" w:cs="宋体" w:eastAsia="宋体" w:hint="default"/>
                <w:sz w:val="18"/>
                <w:szCs w:val="18"/>
              </w:rPr>
              <w:t>珠海横琴</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01"/>
              <w:jc w:val="left"/>
              <w:rPr>
                <w:rFonts w:ascii="宋体" w:hAnsi="宋体" w:cs="宋体" w:eastAsia="宋体" w:hint="default"/>
                <w:sz w:val="18"/>
                <w:szCs w:val="18"/>
              </w:rPr>
            </w:pPr>
            <w:r>
              <w:rPr>
                <w:rFonts w:ascii="宋体" w:hAnsi="宋体" w:cs="宋体" w:eastAsia="宋体" w:hint="default"/>
                <w:spacing w:val="-2"/>
                <w:sz w:val="18"/>
                <w:szCs w:val="18"/>
              </w:rPr>
              <w:t>人控制的企业将尽可能避免和减少与华宇软件的关联交易，对于无法避免或有合理理由存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在的关联交易，本承诺人及本承诺人控制的企业将与华宇软件按照公平、公允、等价有偿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等原则依法签订协议，并由华宇软件按照有关法律、法规、其他规范性文件以及华宇软件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章程等的规定，依法履行相关内部决策批准程序并及时履行信息披露义务；本承诺人保证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本承诺人及本承诺人控制的企业不以与市场价格相比显失公允的条件与华宇软件进行交 </w:t>
            </w:r>
            <w:r>
              <w:rPr>
                <w:rFonts w:ascii="宋体" w:hAnsi="宋体" w:cs="宋体" w:eastAsia="宋体" w:hint="default"/>
                <w:spacing w:val="-2"/>
                <w:sz w:val="18"/>
                <w:szCs w:val="18"/>
              </w:rPr>
              <w:t>易，不利用关联交易非法转移华宇软件的资金、利润，亦不利用该类交易从事任何损害华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宇软件及其他股东合法权益的行为。若出现违反上述承诺而损害华宇软件利益的情形，本</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Arial" w:hAnsi="Arial" w:cs="Arial" w:eastAsia="Arial" w:hint="default"/>
                <w:sz w:val="18"/>
                <w:szCs w:val="18"/>
              </w:rPr>
            </w:pPr>
            <w:r>
              <w:rPr>
                <w:rFonts w:ascii="Arial"/>
                <w:sz w:val="18"/>
              </w:rPr>
              <w:t>2017</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瀚鼎壹号股权投</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承诺人将对前述行为而给华宇软件造成的损失向华宇软件进行赔偿。</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资合伙企业（有限</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7"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任刚、朱明武关于竞业禁止的承诺：</w:t>
            </w:r>
            <w:r>
              <w:rPr>
                <w:rFonts w:ascii="Arial" w:hAnsi="Arial" w:cs="Arial" w:eastAsia="Arial" w:hint="default"/>
                <w:spacing w:val="-2"/>
                <w:sz w:val="18"/>
                <w:szCs w:val="18"/>
              </w:rPr>
              <w:t>1</w:t>
            </w:r>
            <w:r>
              <w:rPr>
                <w:rFonts w:ascii="宋体" w:hAnsi="宋体" w:cs="宋体" w:eastAsia="宋体" w:hint="default"/>
                <w:spacing w:val="-2"/>
                <w:sz w:val="18"/>
                <w:szCs w:val="18"/>
              </w:rPr>
              <w:t>、本承诺人并将促使其他联奕科技管理层人员（即，</w:t>
            </w: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08"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于《北京华宇软件股份有限公司与任刚、王莉丽、石河子鼎诺投资管理有限公司、广州奕</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力腾投资企业（有限合伙）、朱明武、瞿启云、西藏思科瑞股权投资中心（有限合伙）、</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戴力毅、珠海横琴瀚鼎壹号股权投资合伙企业（有限合伙）、金玉萍、刘丽华、齐嘉瞻之</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36"/>
              <w:jc w:val="both"/>
              <w:rPr>
                <w:rFonts w:ascii="宋体" w:hAnsi="宋体" w:cs="宋体" w:eastAsia="宋体" w:hint="default"/>
                <w:sz w:val="18"/>
                <w:szCs w:val="18"/>
              </w:rPr>
            </w:pPr>
            <w:r>
              <w:rPr>
                <w:rFonts w:ascii="宋体" w:hAnsi="宋体" w:cs="宋体" w:eastAsia="宋体" w:hint="default"/>
                <w:spacing w:val="-7"/>
                <w:sz w:val="18"/>
                <w:szCs w:val="18"/>
              </w:rPr>
              <w:t>发行股份及支付现金购买资产协议》签署日，担任联奕科技董事、监事、高级管理人员（包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括总经理、副总经理、财务负责人、董事会秘书）、技术总监等人员）于本次交易资产交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割日起</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个工作日内，与联奕科技签署有效期至少截至</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日的劳动合同。</w:t>
            </w:r>
          </w:p>
          <w:p>
            <w:pPr>
              <w:pStyle w:val="TableParagraph"/>
              <w:spacing w:line="312" w:lineRule="auto"/>
              <w:ind w:left="103" w:right="36"/>
              <w:jc w:val="left"/>
              <w:rPr>
                <w:rFonts w:ascii="宋体" w:hAnsi="宋体" w:cs="宋体" w:eastAsia="宋体" w:hint="default"/>
                <w:sz w:val="18"/>
                <w:szCs w:val="18"/>
              </w:rPr>
            </w:pPr>
            <w:r>
              <w:rPr>
                <w:rFonts w:ascii="宋体" w:hAnsi="宋体" w:cs="宋体" w:eastAsia="宋体" w:hint="default"/>
                <w:sz w:val="18"/>
                <w:szCs w:val="18"/>
              </w:rPr>
              <w:t>劳动合同将约定上述任职期限及相关限制的事项，并约定至</w:t>
            </w:r>
            <w:r>
              <w:rPr>
                <w:rFonts w:ascii="宋体" w:hAnsi="宋体" w:cs="宋体" w:eastAsia="宋体" w:hint="default"/>
                <w:spacing w:val="-49"/>
                <w:sz w:val="18"/>
                <w:szCs w:val="18"/>
              </w:rPr>
              <w:t> </w:t>
            </w: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31</w:t>
            </w:r>
            <w:r>
              <w:rPr>
                <w:rFonts w:ascii="Arial" w:hAnsi="Arial" w:cs="Arial" w:eastAsia="Arial" w:hint="default"/>
                <w:spacing w:val="-11"/>
                <w:sz w:val="18"/>
                <w:szCs w:val="18"/>
              </w:rPr>
              <w:t> </w:t>
            </w:r>
            <w:r>
              <w:rPr>
                <w:rFonts w:ascii="宋体" w:hAnsi="宋体" w:cs="宋体" w:eastAsia="宋体" w:hint="default"/>
                <w:spacing w:val="-6"/>
                <w:sz w:val="18"/>
                <w:szCs w:val="18"/>
              </w:rPr>
              <w:t>日前，除非</w:t>
            </w:r>
            <w:r>
              <w:rPr>
                <w:rFonts w:ascii="宋体" w:hAnsi="宋体" w:cs="宋体" w:eastAsia="宋体" w:hint="default"/>
                <w:sz w:val="18"/>
                <w:szCs w:val="18"/>
              </w:rPr>
              <w:t> </w:t>
            </w:r>
            <w:r>
              <w:rPr>
                <w:rFonts w:ascii="宋体" w:hAnsi="宋体" w:cs="宋体" w:eastAsia="宋体" w:hint="default"/>
                <w:spacing w:val="-2"/>
                <w:sz w:val="18"/>
                <w:szCs w:val="18"/>
              </w:rPr>
              <w:t>因法定事由或经华宇软件书面同意，前述联奕科技管理层人员不得离职，且在联奕科技任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职期间，不得在与华宇软件、联奕科技及其控制的企业从事相同或相似业务的公司任职， </w:t>
            </w:r>
            <w:r>
              <w:rPr>
                <w:rFonts w:ascii="宋体" w:hAnsi="宋体" w:cs="宋体" w:eastAsia="宋体" w:hint="default"/>
                <w:spacing w:val="-2"/>
                <w:sz w:val="18"/>
                <w:szCs w:val="18"/>
              </w:rPr>
              <w:t>不得直接或间接从事、经营、投资与华宇软件、联奕科技及其控制的企业相同或相似的业</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Arial" w:hAnsi="Arial" w:cs="Arial" w:eastAsia="Arial" w:hint="default"/>
                <w:sz w:val="18"/>
                <w:szCs w:val="18"/>
              </w:rPr>
            </w:pPr>
            <w:r>
              <w:rPr>
                <w:rFonts w:ascii="Arial"/>
                <w:sz w:val="18"/>
              </w:rPr>
              <w:t>2017</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both"/>
              <w:rPr>
                <w:rFonts w:ascii="宋体" w:hAnsi="宋体" w:cs="宋体" w:eastAsia="宋体" w:hint="default"/>
                <w:sz w:val="18"/>
                <w:szCs w:val="18"/>
              </w:rPr>
            </w:pPr>
            <w:r>
              <w:rPr>
                <w:rFonts w:ascii="宋体" w:hAnsi="宋体" w:cs="宋体" w:eastAsia="宋体" w:hint="default"/>
                <w:sz w:val="18"/>
                <w:szCs w:val="18"/>
              </w:rPr>
              <w:t>截至报告期末， 该承诺项目已经 履行完毕，承诺 期间承诺主体遵 守以上承诺，未 有违反上述承诺 的情况。</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务，不得以华宇软件及联奕科技以外的名义为华宇软件及联奕科技现有客户提供相同或类</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似服务，若违反前述任职期限及相关限制等事项，其应按照本承诺函第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条的约定承担违</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约责任。</w:t>
            </w:r>
            <w:r>
              <w:rPr>
                <w:rFonts w:ascii="Arial" w:hAnsi="Arial" w:cs="Arial" w:eastAsia="Arial" w:hint="default"/>
                <w:sz w:val="18"/>
                <w:szCs w:val="18"/>
              </w:rPr>
              <w:t>2</w:t>
            </w:r>
            <w:r>
              <w:rPr>
                <w:rFonts w:ascii="宋体" w:hAnsi="宋体" w:cs="宋体" w:eastAsia="宋体" w:hint="default"/>
                <w:sz w:val="18"/>
                <w:szCs w:val="18"/>
              </w:rPr>
              <w:t>、若违反上述承诺，本承诺人将按照实际发生交易所得金额的</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倍或华宇软</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件核算的实际损失的</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倍向华宇软件承担赔偿责任。</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71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公司控股股东及实际控制人邵学、发行前持股</w:t>
            </w:r>
            <w:r>
              <w:rPr>
                <w:rFonts w:ascii="宋体" w:hAnsi="宋体" w:cs="宋体" w:eastAsia="宋体" w:hint="default"/>
                <w:spacing w:val="-59"/>
                <w:sz w:val="18"/>
                <w:szCs w:val="18"/>
              </w:rPr>
              <w:t> </w:t>
            </w:r>
            <w:r>
              <w:rPr>
                <w:rFonts w:ascii="Arial" w:hAnsi="Arial" w:cs="Arial" w:eastAsia="Arial" w:hint="default"/>
                <w:sz w:val="18"/>
                <w:szCs w:val="18"/>
              </w:rPr>
              <w:t>5%</w:t>
            </w:r>
            <w:r>
              <w:rPr>
                <w:rFonts w:ascii="宋体" w:hAnsi="宋体" w:cs="宋体" w:eastAsia="宋体" w:hint="default"/>
                <w:sz w:val="18"/>
                <w:szCs w:val="18"/>
              </w:rPr>
              <w:t>的股东孟庆有、刘文惠、任涛承诺：本</w:t>
            </w:r>
          </w:p>
        </w:tc>
        <w:tc>
          <w:tcPr>
            <w:tcW w:w="771" w:type="dxa"/>
            <w:tcBorders>
              <w:top w:val="single" w:sz="4" w:space="0" w:color="000000"/>
              <w:left w:val="single" w:sz="4" w:space="0" w:color="000000"/>
              <w:bottom w:val="nil" w:sz="6" w:space="0" w:color="auto"/>
              <w:right w:val="single" w:sz="4" w:space="0" w:color="000000"/>
            </w:tcBorders>
          </w:tcPr>
          <w:p>
            <w:pPr/>
          </w:p>
        </w:tc>
        <w:tc>
          <w:tcPr>
            <w:tcW w:w="1329"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r>
      <w:tr>
        <w:trPr>
          <w:trHeight w:val="1868" w:hRule="exact"/>
        </w:trPr>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3" w:right="154"/>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4" w:lineRule="auto"/>
              <w:ind w:left="103" w:right="60"/>
              <w:jc w:val="left"/>
              <w:rPr>
                <w:rFonts w:ascii="宋体" w:hAnsi="宋体" w:cs="宋体" w:eastAsia="宋体" w:hint="default"/>
                <w:sz w:val="18"/>
                <w:szCs w:val="18"/>
              </w:rPr>
            </w:pPr>
            <w:r>
              <w:rPr>
                <w:rFonts w:ascii="宋体" w:hAnsi="宋体" w:cs="宋体" w:eastAsia="宋体" w:hint="default"/>
                <w:sz w:val="18"/>
                <w:szCs w:val="18"/>
              </w:rPr>
              <w:t>公司控股股东及 实际控制人邵学、 发行前持股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的 </w:t>
            </w:r>
            <w:r>
              <w:rPr>
                <w:rFonts w:ascii="宋体" w:hAnsi="宋体" w:cs="宋体" w:eastAsia="宋体" w:hint="default"/>
                <w:spacing w:val="-6"/>
                <w:sz w:val="18"/>
                <w:szCs w:val="18"/>
              </w:rPr>
              <w:t>股东孟庆有、刘文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惠、任涛</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避免同业 竞争承诺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01"/>
              <w:jc w:val="left"/>
              <w:rPr>
                <w:rFonts w:ascii="宋体" w:hAnsi="宋体" w:cs="宋体" w:eastAsia="宋体" w:hint="default"/>
                <w:sz w:val="18"/>
                <w:szCs w:val="18"/>
              </w:rPr>
            </w:pPr>
            <w:r>
              <w:rPr>
                <w:rFonts w:ascii="宋体" w:hAnsi="宋体" w:cs="宋体" w:eastAsia="宋体" w:hint="default"/>
                <w:sz w:val="18"/>
                <w:szCs w:val="18"/>
              </w:rPr>
              <w:t>人不存在直接或间接从事与公司相同、相似或在商业上构成任何竞争的业务及活动的情 </w:t>
            </w:r>
            <w:r>
              <w:rPr>
                <w:rFonts w:ascii="宋体" w:hAnsi="宋体" w:cs="宋体" w:eastAsia="宋体" w:hint="default"/>
                <w:spacing w:val="-2"/>
                <w:sz w:val="18"/>
                <w:szCs w:val="18"/>
              </w:rPr>
              <w:t>形，并未拥有从事与公司可能产生同业竞争企业的任何股份、股权或在任何竞争企业有任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何权益；本人将不会以任何方式直接或间接从事或参与任何与公司相同、相似或在商业上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构成任何竞争的业务及活动，或拥有与公司存在竞争关系的任何经济实体的权益，或以其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他任何形式取得该经济实体的控制权，或在该经济实体中担任高级管理人员或核心技术人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员；本人将促使本人除公司外的其他控股企业不直接或间接从事、参与或进行与公司的生</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Arial" w:hAnsi="Arial" w:cs="Arial" w:eastAsia="Arial" w:hint="default"/>
                <w:sz w:val="18"/>
                <w:szCs w:val="18"/>
              </w:rPr>
            </w:pPr>
            <w:r>
              <w:rPr>
                <w:rFonts w:ascii="Arial"/>
                <w:spacing w:val="-5"/>
                <w:sz w:val="18"/>
              </w:rPr>
              <w:t>2011</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2" w:right="134"/>
              <w:jc w:val="left"/>
              <w:rPr>
                <w:rFonts w:ascii="宋体" w:hAnsi="宋体" w:cs="宋体" w:eastAsia="宋体" w:hint="default"/>
                <w:sz w:val="18"/>
                <w:szCs w:val="18"/>
              </w:rPr>
            </w:pPr>
            <w:r>
              <w:rPr>
                <w:rFonts w:ascii="宋体" w:hAnsi="宋体" w:cs="宋体" w:eastAsia="宋体" w:hint="default"/>
                <w:sz w:val="18"/>
                <w:szCs w:val="18"/>
              </w:rPr>
              <w:t>以上承诺有效 期为持有华宇 软件股票期 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56" w:hRule="exact"/>
        </w:trPr>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产经营相竞争的任何经营活动。</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1220" w:right="1220"/>
        </w:sectPr>
      </w:pPr>
    </w:p>
    <w:p>
      <w:pPr>
        <w:spacing w:line="240" w:lineRule="auto" w:before="1"/>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09"/>
        <w:gridCol w:w="1615"/>
        <w:gridCol w:w="972"/>
        <w:gridCol w:w="7171"/>
        <w:gridCol w:w="771"/>
        <w:gridCol w:w="1329"/>
        <w:gridCol w:w="1496"/>
      </w:tblGrid>
      <w:tr>
        <w:trPr>
          <w:trHeight w:val="373" w:hRule="exact"/>
        </w:trPr>
        <w:tc>
          <w:tcPr>
            <w:tcW w:w="809" w:type="dxa"/>
            <w:vMerge w:val="restart"/>
            <w:tcBorders>
              <w:top w:val="single" w:sz="16" w:space="0" w:color="000000"/>
              <w:left w:val="single" w:sz="4" w:space="0" w:color="000000"/>
              <w:right w:val="single" w:sz="4" w:space="0" w:color="000000"/>
            </w:tcBorders>
            <w:shd w:val="clear" w:color="auto" w:fill="D2D2D2"/>
          </w:tcPr>
          <w:p>
            <w:pPr/>
          </w:p>
        </w:tc>
        <w:tc>
          <w:tcPr>
            <w:tcW w:w="1615" w:type="dxa"/>
            <w:tcBorders>
              <w:top w:val="single" w:sz="16" w:space="0" w:color="000000"/>
              <w:left w:val="single" w:sz="4" w:space="0" w:color="000000"/>
              <w:bottom w:val="nil" w:sz="6" w:space="0" w:color="auto"/>
              <w:right w:val="single" w:sz="4" w:space="0" w:color="000000"/>
            </w:tcBorders>
          </w:tcPr>
          <w:p>
            <w:pPr/>
          </w:p>
        </w:tc>
        <w:tc>
          <w:tcPr>
            <w:tcW w:w="972" w:type="dxa"/>
            <w:tcBorders>
              <w:top w:val="single" w:sz="16" w:space="0" w:color="000000"/>
              <w:left w:val="single" w:sz="4" w:space="0" w:color="000000"/>
              <w:bottom w:val="nil" w:sz="6" w:space="0" w:color="auto"/>
              <w:right w:val="single" w:sz="4" w:space="0" w:color="000000"/>
            </w:tcBorders>
          </w:tcPr>
          <w:p>
            <w:pPr/>
          </w:p>
        </w:tc>
        <w:tc>
          <w:tcPr>
            <w:tcW w:w="717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股东邵学作为公司控股股东及实际控制人、董事长兼总经理，股东吕宾、赵晓明、任涛、</w:t>
            </w:r>
          </w:p>
        </w:tc>
        <w:tc>
          <w:tcPr>
            <w:tcW w:w="771" w:type="dxa"/>
            <w:tcBorders>
              <w:top w:val="single" w:sz="16" w:space="0" w:color="000000"/>
              <w:left w:val="single" w:sz="4" w:space="0" w:color="000000"/>
              <w:bottom w:val="nil" w:sz="6" w:space="0" w:color="auto"/>
              <w:right w:val="single" w:sz="4" w:space="0" w:color="000000"/>
            </w:tcBorders>
          </w:tcPr>
          <w:p>
            <w:pPr/>
          </w:p>
        </w:tc>
        <w:tc>
          <w:tcPr>
            <w:tcW w:w="1329" w:type="dxa"/>
            <w:tcBorders>
              <w:top w:val="single" w:sz="16" w:space="0" w:color="000000"/>
              <w:left w:val="single" w:sz="4" w:space="0" w:color="000000"/>
              <w:bottom w:val="nil" w:sz="6" w:space="0" w:color="auto"/>
              <w:right w:val="single" w:sz="4" w:space="0" w:color="000000"/>
            </w:tcBorders>
          </w:tcPr>
          <w:p>
            <w:pPr/>
          </w:p>
        </w:tc>
        <w:tc>
          <w:tcPr>
            <w:tcW w:w="1496" w:type="dxa"/>
            <w:tcBorders>
              <w:top w:val="single" w:sz="16" w:space="0" w:color="000000"/>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王静、王川、冯显扬、黄福林、朱相宇、闻连茹、余晴燕作为公司的董事、监事、高级管</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理人员，承诺：自公司股票上市之日起三十六个月内，不转让或者委托他人管理其本次发</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行之前直接或间接持有的公司股份，也不由公司回购此部分股份。前述承诺期满后，在其</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邵学、吕宾、赵晓</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任职期间每年转让的股份不超过其所持公司股份总数的百分之二十五；离职后半年内不转</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60"/>
              <w:jc w:val="both"/>
              <w:rPr>
                <w:rFonts w:ascii="宋体" w:hAnsi="宋体" w:cs="宋体" w:eastAsia="宋体" w:hint="default"/>
                <w:sz w:val="18"/>
                <w:szCs w:val="18"/>
              </w:rPr>
            </w:pPr>
            <w:r>
              <w:rPr>
                <w:rFonts w:ascii="宋体" w:hAnsi="宋体" w:cs="宋体" w:eastAsia="宋体" w:hint="default"/>
                <w:sz w:val="18"/>
                <w:szCs w:val="18"/>
              </w:rPr>
              <w:t>明、任涛、王静、 </w:t>
            </w:r>
            <w:r>
              <w:rPr>
                <w:rFonts w:ascii="宋体" w:hAnsi="宋体" w:cs="宋体" w:eastAsia="宋体" w:hint="default"/>
                <w:spacing w:val="-6"/>
                <w:sz w:val="18"/>
                <w:szCs w:val="18"/>
              </w:rPr>
              <w:t>王川、冯显扬、黄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福林、朱相宇、闻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连茹、余晴燕、王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秀花、王凯、黄天</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股份锁定 承诺</w:t>
            </w: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2"/>
                <w:sz w:val="18"/>
                <w:szCs w:val="18"/>
              </w:rPr>
              <w:t>让其所持有的公司股份；在申报离任六个月后的十二个月内通过证券交易所挂牌交易出售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公司股票数量占其持有公司股票总数的比例不超过百分之五十。股东王秀花、王凯、黄天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菊分别作为吕宾、王静、黄福林的直系亲属，承诺：自发行人股票上市之日起三十六个月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内，不转让或者委托他人管理其本次发行之前直接或间接持有的公司股份，也不由公司回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购此部分股份。前述承诺期满后，在各自亲属任职期间每年转让的股份不超过其所持公司</w:t>
            </w:r>
          </w:p>
        </w:tc>
        <w:tc>
          <w:tcPr>
            <w:tcW w:w="77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pacing w:val="-5"/>
                <w:sz w:val="18"/>
              </w:rPr>
              <w:t>2011</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34"/>
              <w:jc w:val="left"/>
              <w:rPr>
                <w:rFonts w:ascii="宋体" w:hAnsi="宋体" w:cs="宋体" w:eastAsia="宋体" w:hint="default"/>
                <w:sz w:val="18"/>
                <w:szCs w:val="18"/>
              </w:rPr>
            </w:pPr>
            <w:r>
              <w:rPr>
                <w:rFonts w:ascii="宋体" w:hAnsi="宋体" w:cs="宋体" w:eastAsia="宋体" w:hint="default"/>
                <w:sz w:val="18"/>
                <w:szCs w:val="18"/>
              </w:rPr>
              <w:t>以上承诺有效 期为持有华宇 软件股票期 间。</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菊等</w:t>
            </w: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股份总数的百分之二十五；在各自亲属离职后半年内不转让其所持有的公司股份；在各自</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亲属申报离任六个月后的十二个月内通过证券交易所挂牌交易出售公司股票数量占其持</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有公司股票总数的比例不超过百分之五十。其他股东承诺：自公司股票上市之日起十二个</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09" w:type="dxa"/>
            <w:vMerge/>
            <w:tcBorders>
              <w:left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71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月内，不转让或者委托他人管理本次发行之前持有的公司股份，也不由公司回购此部分股</w:t>
            </w:r>
          </w:p>
        </w:tc>
        <w:tc>
          <w:tcPr>
            <w:tcW w:w="771" w:type="dxa"/>
            <w:tcBorders>
              <w:top w:val="nil" w:sz="6" w:space="0" w:color="auto"/>
              <w:left w:val="single" w:sz="4" w:space="0" w:color="000000"/>
              <w:bottom w:val="nil" w:sz="6" w:space="0" w:color="auto"/>
              <w:right w:val="single" w:sz="4" w:space="0" w:color="000000"/>
            </w:tcBorders>
          </w:tcPr>
          <w:p>
            <w:pPr/>
          </w:p>
        </w:tc>
        <w:tc>
          <w:tcPr>
            <w:tcW w:w="1329"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09"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71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771" w:type="dxa"/>
            <w:tcBorders>
              <w:top w:val="nil" w:sz="6" w:space="0" w:color="auto"/>
              <w:left w:val="single" w:sz="4" w:space="0" w:color="000000"/>
              <w:bottom w:val="single" w:sz="4" w:space="0" w:color="000000"/>
              <w:right w:val="single" w:sz="4" w:space="0" w:color="000000"/>
            </w:tcBorders>
          </w:tcPr>
          <w:p>
            <w:pPr/>
          </w:p>
        </w:tc>
        <w:tc>
          <w:tcPr>
            <w:tcW w:w="1329"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80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股权激</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2" w:type="dxa"/>
            <w:tcBorders>
              <w:top w:val="single" w:sz="4" w:space="0" w:color="000000"/>
              <w:left w:val="single" w:sz="4" w:space="0" w:color="000000"/>
              <w:bottom w:val="single" w:sz="4" w:space="0" w:color="000000"/>
              <w:right w:val="single" w:sz="4" w:space="0" w:color="000000"/>
            </w:tcBorders>
          </w:tcPr>
          <w:p>
            <w:pPr/>
          </w:p>
        </w:tc>
        <w:tc>
          <w:tcPr>
            <w:tcW w:w="7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216"/>
              <w:jc w:val="left"/>
              <w:rPr>
                <w:rFonts w:ascii="宋体" w:hAnsi="宋体" w:cs="宋体" w:eastAsia="宋体" w:hint="default"/>
                <w:sz w:val="18"/>
                <w:szCs w:val="18"/>
              </w:rPr>
            </w:pPr>
            <w:r>
              <w:rPr>
                <w:rFonts w:ascii="宋体" w:hAnsi="宋体" w:cs="宋体" w:eastAsia="宋体" w:hint="default"/>
                <w:sz w:val="18"/>
                <w:szCs w:val="18"/>
              </w:rPr>
              <w:t>公司承诺不为激励对象依本计划获取有关限制性股票提供贷款以及其他任何形式的财务 资助，包括为其贷款提供担保。</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2016</w:t>
            </w:r>
          </w:p>
          <w:p>
            <w:pPr>
              <w:pStyle w:val="TableParagraph"/>
              <w:spacing w:line="240" w:lineRule="auto" w:before="61"/>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both"/>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312" w:lineRule="auto" w:before="63"/>
              <w:ind w:left="102" w:right="134"/>
              <w:jc w:val="both"/>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日至本次限 制性股票激励 计划终止或有 效期结束</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1650" w:hRule="exact"/>
        </w:trPr>
        <w:tc>
          <w:tcPr>
            <w:tcW w:w="8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励承诺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2" w:type="dxa"/>
            <w:tcBorders>
              <w:top w:val="single" w:sz="4" w:space="0" w:color="000000"/>
              <w:left w:val="single" w:sz="4" w:space="0" w:color="000000"/>
              <w:bottom w:val="single" w:sz="4" w:space="0" w:color="000000"/>
              <w:right w:val="single" w:sz="4" w:space="0" w:color="000000"/>
            </w:tcBorders>
          </w:tcPr>
          <w:p>
            <w:pPr/>
          </w:p>
        </w:tc>
        <w:tc>
          <w:tcPr>
            <w:tcW w:w="7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16"/>
              <w:jc w:val="left"/>
              <w:rPr>
                <w:rFonts w:ascii="宋体" w:hAnsi="宋体" w:cs="宋体" w:eastAsia="宋体" w:hint="default"/>
                <w:sz w:val="18"/>
                <w:szCs w:val="18"/>
              </w:rPr>
            </w:pPr>
            <w:r>
              <w:rPr>
                <w:rFonts w:ascii="宋体" w:hAnsi="宋体" w:cs="宋体" w:eastAsia="宋体" w:hint="default"/>
                <w:sz w:val="18"/>
                <w:szCs w:val="18"/>
              </w:rPr>
              <w:t>公司承诺不为激励对象依本计划获取的股票期权行权提供贷款以及其他任何形式的财务 资助，包括为其贷款提供担保。</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2018</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p>
            <w:pPr>
              <w:pStyle w:val="TableParagraph"/>
              <w:spacing w:line="240" w:lineRule="auto" w:before="63"/>
              <w:ind w:left="103"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both"/>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312" w:lineRule="auto" w:before="63"/>
              <w:ind w:left="102" w:right="134"/>
              <w:jc w:val="both"/>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日至本次股 票期权激励计 划终止或有效 期结束</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截至报告期末， 承诺方遵守以上 承诺，未有违反 上述承诺的情 况。</w:t>
            </w: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7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8" w:footer="1016" w:top="1060" w:bottom="1200" w:left="1220" w:right="1220"/>
        </w:sectPr>
      </w:pPr>
    </w:p>
    <w:p>
      <w:pPr>
        <w:spacing w:line="240" w:lineRule="auto" w:before="9"/>
        <w:rPr>
          <w:rFonts w:ascii="Times New Roman" w:hAnsi="Times New Roman" w:cs="Times New Roman" w:eastAsia="Times New Roman" w:hint="default"/>
          <w:sz w:val="23"/>
          <w:szCs w:val="23"/>
        </w:rPr>
      </w:pPr>
    </w:p>
    <w:p>
      <w:pPr>
        <w:pStyle w:val="Heading4"/>
        <w:spacing w:line="259" w:lineRule="auto"/>
        <w:ind w:right="996"/>
        <w:jc w:val="left"/>
        <w:rPr>
          <w:b w:val="0"/>
          <w:bCs w:val="0"/>
        </w:rPr>
      </w:pPr>
      <w:bookmarkStart w:name="2、公司资产或项目存在盈利预测，且报告期仍处在盈利预测期间，公司就资产或项目达到" w:id="64"/>
      <w:bookmarkEnd w:id="64"/>
      <w:r>
        <w:rPr>
          <w:b w:val="0"/>
          <w:bCs w:val="0"/>
        </w:rPr>
      </w:r>
      <w:r>
        <w:rPr>
          <w:rFonts w:ascii="Arial" w:hAnsi="Arial" w:cs="Arial" w:eastAsia="Arial" w:hint="default"/>
          <w:spacing w:val="2"/>
          <w:w w:val="95"/>
        </w:rPr>
        <w:t>2</w:t>
      </w:r>
      <w:r>
        <w:rPr>
          <w:spacing w:val="2"/>
          <w:w w:val="95"/>
        </w:rPr>
        <w:t>、公司资产或项目存在盈利预测，且报告期仍处在盈利预测期间，公司就资产或项目达到原盈利预测及</w:t>
      </w:r>
      <w:r>
        <w:rPr>
          <w:spacing w:val="31"/>
          <w:w w:val="95"/>
        </w:rPr>
        <w:t> </w:t>
      </w:r>
      <w:r>
        <w:rPr>
          <w:spacing w:val="31"/>
          <w:w w:val="95"/>
        </w:rPr>
      </w:r>
      <w:r>
        <w:rPr/>
        <w:t>其原因做出说明</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71" w:right="173"/>
              <w:jc w:val="both"/>
              <w:rPr>
                <w:rFonts w:ascii="宋体" w:hAnsi="宋体" w:cs="宋体" w:eastAsia="宋体" w:hint="default"/>
                <w:sz w:val="21"/>
                <w:szCs w:val="21"/>
              </w:rPr>
            </w:pPr>
            <w:r>
              <w:rPr>
                <w:rFonts w:ascii="宋体" w:hAnsi="宋体" w:cs="宋体" w:eastAsia="宋体" w:hint="default"/>
                <w:sz w:val="21"/>
                <w:szCs w:val="21"/>
              </w:rPr>
              <w:t>盈利预测</w:t>
            </w:r>
            <w:r>
              <w:rPr>
                <w:rFonts w:ascii="宋体" w:hAnsi="宋体" w:cs="宋体" w:eastAsia="宋体" w:hint="default"/>
                <w:w w:val="99"/>
                <w:sz w:val="21"/>
                <w:szCs w:val="21"/>
              </w:rPr>
              <w:t> </w:t>
            </w:r>
            <w:r>
              <w:rPr>
                <w:rFonts w:ascii="宋体" w:hAnsi="宋体" w:cs="宋体" w:eastAsia="宋体" w:hint="default"/>
                <w:sz w:val="21"/>
                <w:szCs w:val="21"/>
              </w:rPr>
              <w:t>资产或项</w:t>
            </w:r>
            <w:r>
              <w:rPr>
                <w:rFonts w:ascii="宋体" w:hAnsi="宋体" w:cs="宋体" w:eastAsia="宋体" w:hint="default"/>
                <w:w w:val="99"/>
                <w:sz w:val="21"/>
                <w:szCs w:val="21"/>
              </w:rPr>
              <w:t> </w:t>
            </w:r>
            <w:r>
              <w:rPr>
                <w:rFonts w:ascii="宋体" w:hAnsi="宋体" w:cs="宋体" w:eastAsia="宋体" w:hint="default"/>
                <w:sz w:val="21"/>
                <w:szCs w:val="21"/>
              </w:rPr>
              <w:t>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84" w:right="173" w:hanging="212"/>
              <w:jc w:val="left"/>
              <w:rPr>
                <w:rFonts w:ascii="宋体" w:hAnsi="宋体" w:cs="宋体" w:eastAsia="宋体" w:hint="default"/>
                <w:sz w:val="21"/>
                <w:szCs w:val="21"/>
              </w:rPr>
            </w:pPr>
            <w:r>
              <w:rPr>
                <w:rFonts w:ascii="宋体" w:hAnsi="宋体" w:cs="宋体" w:eastAsia="宋体" w:hint="default"/>
                <w:sz w:val="21"/>
                <w:szCs w:val="21"/>
              </w:rPr>
              <w:t>预测起始</w:t>
            </w:r>
            <w:r>
              <w:rPr>
                <w:rFonts w:ascii="宋体" w:hAnsi="宋体" w:cs="宋体" w:eastAsia="宋体" w:hint="default"/>
                <w:w w:val="99"/>
                <w:sz w:val="21"/>
                <w:szCs w:val="21"/>
              </w:rPr>
              <w:t> </w:t>
            </w:r>
            <w:r>
              <w:rPr>
                <w:rFonts w:ascii="宋体" w:hAnsi="宋体" w:cs="宋体" w:eastAsia="宋体" w:hint="default"/>
                <w:sz w:val="21"/>
                <w:szCs w:val="21"/>
              </w:rPr>
              <w:t>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83" w:right="174" w:hanging="212"/>
              <w:jc w:val="left"/>
              <w:rPr>
                <w:rFonts w:ascii="宋体" w:hAnsi="宋体" w:cs="宋体" w:eastAsia="宋体" w:hint="default"/>
                <w:sz w:val="21"/>
                <w:szCs w:val="21"/>
              </w:rPr>
            </w:pPr>
            <w:r>
              <w:rPr>
                <w:rFonts w:ascii="宋体" w:hAnsi="宋体" w:cs="宋体" w:eastAsia="宋体" w:hint="default"/>
                <w:sz w:val="21"/>
                <w:szCs w:val="21"/>
              </w:rPr>
              <w:t>预测终止</w:t>
            </w:r>
            <w:r>
              <w:rPr>
                <w:rFonts w:ascii="宋体" w:hAnsi="宋体" w:cs="宋体" w:eastAsia="宋体" w:hint="default"/>
                <w:w w:val="99"/>
                <w:sz w:val="21"/>
                <w:szCs w:val="21"/>
              </w:rPr>
              <w:t> </w:t>
            </w:r>
            <w:r>
              <w:rPr>
                <w:rFonts w:ascii="宋体" w:hAnsi="宋体" w:cs="宋体" w:eastAsia="宋体" w:hint="default"/>
                <w:sz w:val="21"/>
                <w:szCs w:val="21"/>
              </w:rPr>
              <w:t>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73" w:right="173"/>
              <w:jc w:val="center"/>
              <w:rPr>
                <w:rFonts w:ascii="宋体" w:hAnsi="宋体" w:cs="宋体" w:eastAsia="宋体" w:hint="default"/>
                <w:sz w:val="21"/>
                <w:szCs w:val="21"/>
              </w:rPr>
            </w:pPr>
            <w:r>
              <w:rPr>
                <w:rFonts w:ascii="宋体" w:hAnsi="宋体" w:cs="宋体" w:eastAsia="宋体" w:hint="default"/>
                <w:sz w:val="21"/>
                <w:szCs w:val="21"/>
              </w:rPr>
              <w:t>当期预测</w:t>
            </w:r>
            <w:r>
              <w:rPr>
                <w:rFonts w:ascii="宋体" w:hAnsi="宋体" w:cs="宋体" w:eastAsia="宋体" w:hint="default"/>
                <w:w w:val="99"/>
                <w:sz w:val="21"/>
                <w:szCs w:val="21"/>
              </w:rPr>
              <w:t> </w:t>
            </w:r>
            <w:r>
              <w:rPr>
                <w:rFonts w:ascii="宋体" w:hAnsi="宋体" w:cs="宋体" w:eastAsia="宋体" w:hint="default"/>
                <w:sz w:val="21"/>
                <w:szCs w:val="21"/>
              </w:rPr>
              <w:t>业绩（万</w:t>
            </w:r>
            <w:r>
              <w:rPr>
                <w:rFonts w:ascii="宋体" w:hAnsi="宋体" w:cs="宋体" w:eastAsia="宋体" w:hint="default"/>
                <w:w w:val="99"/>
                <w:sz w:val="21"/>
                <w:szCs w:val="21"/>
              </w:rPr>
              <w:t> </w:t>
            </w:r>
            <w:r>
              <w:rPr>
                <w:rFonts w:ascii="宋体" w:hAnsi="宋体" w:cs="宋体" w:eastAsia="宋体" w:hint="default"/>
                <w:sz w:val="21"/>
                <w:szCs w:val="21"/>
              </w:rPr>
              <w:t>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72" w:right="173"/>
              <w:jc w:val="center"/>
              <w:rPr>
                <w:rFonts w:ascii="宋体" w:hAnsi="宋体" w:cs="宋体" w:eastAsia="宋体" w:hint="default"/>
                <w:sz w:val="21"/>
                <w:szCs w:val="21"/>
              </w:rPr>
            </w:pPr>
            <w:r>
              <w:rPr>
                <w:rFonts w:ascii="宋体" w:hAnsi="宋体" w:cs="宋体" w:eastAsia="宋体" w:hint="default"/>
                <w:sz w:val="21"/>
                <w:szCs w:val="21"/>
              </w:rPr>
              <w:t>当期实际</w:t>
            </w:r>
            <w:r>
              <w:rPr>
                <w:rFonts w:ascii="宋体" w:hAnsi="宋体" w:cs="宋体" w:eastAsia="宋体" w:hint="default"/>
                <w:w w:val="99"/>
                <w:sz w:val="21"/>
                <w:szCs w:val="21"/>
              </w:rPr>
              <w:t> </w:t>
            </w:r>
            <w:r>
              <w:rPr>
                <w:rFonts w:ascii="宋体" w:hAnsi="宋体" w:cs="宋体" w:eastAsia="宋体" w:hint="default"/>
                <w:sz w:val="21"/>
                <w:szCs w:val="21"/>
              </w:rPr>
              <w:t>业绩（万</w:t>
            </w:r>
            <w:r>
              <w:rPr>
                <w:rFonts w:ascii="宋体" w:hAnsi="宋体" w:cs="宋体" w:eastAsia="宋体" w:hint="default"/>
                <w:w w:val="99"/>
                <w:sz w:val="21"/>
                <w:szCs w:val="21"/>
              </w:rPr>
              <w:t> </w:t>
            </w:r>
            <w:r>
              <w:rPr>
                <w:rFonts w:ascii="宋体" w:hAnsi="宋体" w:cs="宋体" w:eastAsia="宋体" w:hint="default"/>
                <w:sz w:val="21"/>
                <w:szCs w:val="21"/>
              </w:rPr>
              <w:t>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02" w:right="102" w:hanging="3"/>
              <w:jc w:val="center"/>
              <w:rPr>
                <w:rFonts w:ascii="宋体" w:hAnsi="宋体" w:cs="宋体" w:eastAsia="宋体" w:hint="default"/>
                <w:sz w:val="21"/>
                <w:szCs w:val="21"/>
              </w:rPr>
            </w:pPr>
            <w:r>
              <w:rPr>
                <w:rFonts w:ascii="宋体" w:hAnsi="宋体" w:cs="宋体" w:eastAsia="宋体" w:hint="default"/>
                <w:sz w:val="21"/>
                <w:szCs w:val="21"/>
              </w:rPr>
              <w:t>未达预测</w:t>
            </w:r>
            <w:r>
              <w:rPr>
                <w:rFonts w:ascii="宋体" w:hAnsi="宋体" w:cs="宋体" w:eastAsia="宋体" w:hint="default"/>
                <w:w w:val="99"/>
                <w:sz w:val="21"/>
                <w:szCs w:val="21"/>
              </w:rPr>
              <w:t> </w:t>
            </w:r>
            <w:r>
              <w:rPr>
                <w:rFonts w:ascii="宋体" w:hAnsi="宋体" w:cs="宋体" w:eastAsia="宋体" w:hint="default"/>
                <w:spacing w:val="-14"/>
                <w:sz w:val="21"/>
                <w:szCs w:val="21"/>
              </w:rPr>
              <w:t>的原因（如</w:t>
            </w:r>
            <w:r>
              <w:rPr>
                <w:rFonts w:ascii="宋体" w:hAnsi="宋体" w:cs="宋体" w:eastAsia="宋体" w:hint="default"/>
                <w:w w:val="99"/>
                <w:sz w:val="21"/>
                <w:szCs w:val="21"/>
              </w:rPr>
              <w:t> </w:t>
            </w:r>
            <w:r>
              <w:rPr>
                <w:rFonts w:ascii="宋体" w:hAnsi="宋体" w:cs="宋体" w:eastAsia="宋体" w:hint="default"/>
                <w:sz w:val="21"/>
                <w:szCs w:val="21"/>
              </w:rPr>
              <w:t>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279" w:right="175" w:hanging="106"/>
              <w:jc w:val="left"/>
              <w:rPr>
                <w:rFonts w:ascii="宋体" w:hAnsi="宋体" w:cs="宋体" w:eastAsia="宋体" w:hint="default"/>
                <w:sz w:val="21"/>
                <w:szCs w:val="21"/>
              </w:rPr>
            </w:pPr>
            <w:r>
              <w:rPr>
                <w:rFonts w:ascii="宋体" w:hAnsi="宋体" w:cs="宋体" w:eastAsia="宋体" w:hint="default"/>
                <w:sz w:val="21"/>
                <w:szCs w:val="21"/>
              </w:rPr>
              <w:t>原预测披</w:t>
            </w:r>
            <w:r>
              <w:rPr>
                <w:rFonts w:ascii="宋体" w:hAnsi="宋体" w:cs="宋体" w:eastAsia="宋体" w:hint="default"/>
                <w:w w:val="99"/>
                <w:sz w:val="21"/>
                <w:szCs w:val="21"/>
              </w:rPr>
              <w:t> </w:t>
            </w:r>
            <w:r>
              <w:rPr>
                <w:rFonts w:ascii="宋体" w:hAnsi="宋体" w:cs="宋体" w:eastAsia="宋体" w:hint="default"/>
                <w:sz w:val="21"/>
                <w:szCs w:val="21"/>
              </w:rPr>
              <w:t>露日期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278" w:right="173" w:hanging="106"/>
              <w:jc w:val="left"/>
              <w:rPr>
                <w:rFonts w:ascii="宋体" w:hAnsi="宋体" w:cs="宋体" w:eastAsia="宋体" w:hint="default"/>
                <w:sz w:val="21"/>
                <w:szCs w:val="21"/>
              </w:rPr>
            </w:pPr>
            <w:r>
              <w:rPr>
                <w:rFonts w:ascii="宋体" w:hAnsi="宋体" w:cs="宋体" w:eastAsia="宋体" w:hint="default"/>
                <w:sz w:val="21"/>
                <w:szCs w:val="21"/>
              </w:rPr>
              <w:t>原预测披</w:t>
            </w:r>
            <w:r>
              <w:rPr>
                <w:rFonts w:ascii="宋体" w:hAnsi="宋体" w:cs="宋体" w:eastAsia="宋体" w:hint="default"/>
                <w:w w:val="99"/>
                <w:sz w:val="21"/>
                <w:szCs w:val="21"/>
              </w:rPr>
              <w:t> </w:t>
            </w:r>
            <w:r>
              <w:rPr>
                <w:rFonts w:ascii="宋体" w:hAnsi="宋体" w:cs="宋体" w:eastAsia="宋体" w:hint="default"/>
                <w:sz w:val="21"/>
                <w:szCs w:val="21"/>
              </w:rPr>
              <w:t>露索引</w:t>
            </w:r>
          </w:p>
        </w:tc>
      </w:tr>
      <w:tr>
        <w:trPr>
          <w:trHeight w:val="357" w:hRule="exact"/>
        </w:trPr>
        <w:tc>
          <w:tcPr>
            <w:tcW w:w="1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收购联奕</w:t>
            </w: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40" w:lineRule="auto" w:before="37"/>
              <w:ind w:left="101" w:right="0"/>
              <w:jc w:val="left"/>
              <w:rPr>
                <w:rFonts w:ascii="宋体" w:hAnsi="宋体" w:cs="宋体" w:eastAsia="宋体" w:hint="default"/>
                <w:sz w:val="21"/>
                <w:szCs w:val="21"/>
              </w:rPr>
            </w:pPr>
            <w:r>
              <w:rPr>
                <w:rFonts w:ascii="Arial" w:hAnsi="Arial" w:cs="Arial" w:eastAsia="Arial" w:hint="default"/>
                <w:sz w:val="21"/>
                <w:szCs w:val="21"/>
              </w:rPr>
              <w:t>100%</w:t>
            </w:r>
            <w:r>
              <w:rPr>
                <w:rFonts w:ascii="宋体" w:hAnsi="宋体" w:cs="宋体" w:eastAsia="宋体" w:hint="default"/>
                <w:sz w:val="21"/>
                <w:szCs w:val="21"/>
              </w:rPr>
              <w:t>的股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sz w:val="21"/>
                <w:szCs w:val="21"/>
              </w:rPr>
              <w:t>01</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2" w:right="0"/>
              <w:jc w:val="left"/>
              <w:rPr>
                <w:rFonts w:ascii="Arial" w:hAnsi="Arial" w:cs="Arial" w:eastAsia="Arial" w:hint="default"/>
                <w:sz w:val="21"/>
                <w:szCs w:val="21"/>
              </w:rPr>
            </w:pPr>
            <w:r>
              <w:rPr>
                <w:rFonts w:ascii="Arial" w:hAnsi="Arial" w:cs="Arial" w:eastAsia="Arial" w:hint="default"/>
                <w:sz w:val="21"/>
                <w:szCs w:val="21"/>
              </w:rPr>
              <w:t>2019</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sz w:val="21"/>
                <w:szCs w:val="21"/>
              </w:rPr>
              <w:t>12</w:t>
            </w:r>
          </w:p>
          <w:p>
            <w:pPr>
              <w:pStyle w:val="TableParagraph"/>
              <w:spacing w:line="240" w:lineRule="auto" w:before="22"/>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4" w:right="0"/>
              <w:jc w:val="left"/>
              <w:rPr>
                <w:rFonts w:ascii="Arial" w:hAnsi="Arial" w:cs="Arial" w:eastAsia="Arial" w:hint="default"/>
                <w:sz w:val="21"/>
                <w:szCs w:val="21"/>
              </w:rPr>
            </w:pPr>
            <w:r>
              <w:rPr>
                <w:rFonts w:ascii="Arial"/>
                <w:sz w:val="21"/>
              </w:rPr>
              <w:t>14,400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3" w:right="0"/>
              <w:jc w:val="left"/>
              <w:rPr>
                <w:rFonts w:ascii="Arial" w:hAnsi="Arial" w:cs="Arial" w:eastAsia="Arial" w:hint="default"/>
                <w:sz w:val="21"/>
                <w:szCs w:val="21"/>
              </w:rPr>
            </w:pPr>
            <w:r>
              <w:rPr>
                <w:rFonts w:ascii="Arial"/>
                <w:sz w:val="21"/>
              </w:rPr>
              <w:t>14,486</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Arial" w:hAnsi="Arial" w:cs="Arial" w:eastAsia="Arial" w:hint="default"/>
                <w:sz w:val="21"/>
                <w:szCs w:val="21"/>
              </w:rPr>
            </w:pPr>
            <w:r>
              <w:rPr>
                <w:rFonts w:ascii="Arial" w:hAnsi="Arial" w:cs="Arial" w:eastAsia="Arial" w:hint="default"/>
                <w:sz w:val="21"/>
                <w:szCs w:val="21"/>
              </w:rPr>
              <w:t>2017</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03</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Arial" w:hAnsi="Arial" w:cs="Arial" w:eastAsia="Arial" w:hint="default"/>
                <w:sz w:val="21"/>
                <w:szCs w:val="21"/>
              </w:rPr>
            </w:pPr>
            <w:r>
              <w:rPr>
                <w:rFonts w:ascii="Arial"/>
                <w:sz w:val="21"/>
              </w:rPr>
              <w:t>www.cninf</w:t>
            </w:r>
          </w:p>
          <w:p>
            <w:pPr>
              <w:pStyle w:val="TableParagraph"/>
              <w:spacing w:line="240" w:lineRule="auto" w:before="70"/>
              <w:ind w:left="103" w:right="0"/>
              <w:jc w:val="left"/>
              <w:rPr>
                <w:rFonts w:ascii="Arial" w:hAnsi="Arial" w:cs="Arial" w:eastAsia="Arial" w:hint="default"/>
                <w:sz w:val="21"/>
                <w:szCs w:val="21"/>
              </w:rPr>
            </w:pPr>
            <w:r>
              <w:rPr>
                <w:rFonts w:ascii="Arial"/>
                <w:sz w:val="21"/>
              </w:rPr>
              <w:t>o.</w:t>
            </w:r>
            <w:r>
              <w:rPr>
                <w:rFonts w:ascii="Arial"/>
                <w:spacing w:val="-2"/>
                <w:sz w:val="21"/>
              </w:rPr>
              <w:t> </w:t>
            </w:r>
            <w:r>
              <w:rPr>
                <w:rFonts w:ascii="Arial"/>
                <w:sz w:val="21"/>
              </w:rPr>
              <w:t>com.cn</w:t>
            </w:r>
          </w:p>
        </w:tc>
      </w:tr>
      <w:tr>
        <w:trPr>
          <w:trHeight w:val="352" w:hRule="exact"/>
        </w:trPr>
        <w:tc>
          <w:tcPr>
            <w:tcW w:w="119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w w:val="99"/>
                <w:sz w:val="21"/>
                <w:szCs w:val="21"/>
              </w:rPr>
              <w:t>权</w:t>
            </w:r>
            <w:r>
              <w:rPr>
                <w:rFonts w:ascii="宋体" w:hAnsi="宋体" w:cs="宋体" w:eastAsia="宋体" w:hint="default"/>
                <w:sz w:val="21"/>
                <w:szCs w:val="21"/>
              </w:rPr>
            </w: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bl>
    <w:p>
      <w:pPr>
        <w:pStyle w:val="Heading3"/>
        <w:spacing w:line="240" w:lineRule="auto" w:before="1"/>
        <w:ind w:right="996"/>
        <w:jc w:val="left"/>
      </w:pPr>
      <w:r>
        <w:rPr/>
        <w:t>公司股东、交易对手方对公司或相关资产年度经营业绩作出的承诺情况</w:t>
      </w:r>
    </w:p>
    <w:p>
      <w:pPr>
        <w:pStyle w:val="Heading3"/>
        <w:spacing w:line="271" w:lineRule="auto" w:before="38"/>
        <w:ind w:left="592" w:right="3180" w:hanging="480"/>
        <w:jc w:val="left"/>
      </w:pPr>
      <w:r>
        <w:rPr>
          <w:rFonts w:ascii="Arial" w:hAnsi="Arial" w:cs="Arial" w:eastAsia="Arial" w:hint="default"/>
        </w:rPr>
        <w:t>√ </w:t>
      </w:r>
      <w:r>
        <w:rPr/>
        <w:t>适用 □</w:t>
      </w:r>
      <w:r>
        <w:rPr>
          <w:spacing w:val="-13"/>
        </w:rPr>
        <w:t> </w:t>
      </w:r>
      <w:r>
        <w:rPr/>
        <w:t>不适用 公司收购联奕科技</w:t>
      </w:r>
      <w:r>
        <w:rPr>
          <w:rFonts w:ascii="Arial" w:hAnsi="Arial" w:cs="Arial" w:eastAsia="Arial" w:hint="default"/>
        </w:rPr>
        <w:t>100%</w:t>
      </w:r>
      <w:r>
        <w:rPr/>
        <w:t>股权中，交易对方任刚、朱明武业绩承诺：</w:t>
      </w:r>
    </w:p>
    <w:p>
      <w:pPr>
        <w:pStyle w:val="Heading3"/>
        <w:spacing w:line="264" w:lineRule="auto"/>
        <w:ind w:right="1125" w:firstLine="480"/>
        <w:jc w:val="both"/>
      </w:pPr>
      <w:r>
        <w:rPr>
          <w:spacing w:val="-3"/>
        </w:rPr>
        <w:t>业绩承诺方共同向上市公司承诺：业绩承诺期内，目标公司</w:t>
      </w:r>
      <w:r>
        <w:rPr>
          <w:rFonts w:ascii="Arial" w:hAnsi="Arial" w:cs="Arial" w:eastAsia="Arial" w:hint="default"/>
          <w:spacing w:val="-3"/>
        </w:rPr>
        <w:t>2017</w:t>
      </w:r>
      <w:r>
        <w:rPr>
          <w:spacing w:val="-3"/>
        </w:rPr>
        <w:t>年度、</w:t>
      </w:r>
      <w:r>
        <w:rPr>
          <w:rFonts w:ascii="Arial" w:hAnsi="Arial" w:cs="Arial" w:eastAsia="Arial" w:hint="default"/>
          <w:spacing w:val="-3"/>
        </w:rPr>
        <w:t>2018</w:t>
      </w:r>
      <w:r>
        <w:rPr>
          <w:spacing w:val="-3"/>
        </w:rPr>
        <w:t>年度、</w:t>
      </w:r>
      <w:r>
        <w:rPr>
          <w:rFonts w:ascii="Arial" w:hAnsi="Arial" w:cs="Arial" w:eastAsia="Arial" w:hint="default"/>
          <w:spacing w:val="-3"/>
        </w:rPr>
        <w:t>2019</w:t>
      </w:r>
      <w:r>
        <w:rPr>
          <w:rFonts w:ascii="Arial" w:hAnsi="Arial" w:cs="Arial" w:eastAsia="Arial" w:hint="default"/>
          <w:w w:val="99"/>
        </w:rPr>
        <w:t> </w:t>
      </w:r>
      <w:r>
        <w:rPr/>
        <w:t>年度实现的经上市公司聘请的具有证券、期货业务资格的会计师事务所审计的净利润（以扣</w:t>
      </w:r>
      <w:r>
        <w:rPr>
          <w:spacing w:val="-89"/>
        </w:rPr>
        <w:t> </w:t>
      </w:r>
      <w:r>
        <w:rPr>
          <w:spacing w:val="-89"/>
        </w:rPr>
      </w:r>
      <w:r>
        <w:rPr>
          <w:spacing w:val="2"/>
        </w:rPr>
        <w:t>除非经常损益（扣除股份支付的影响））预计分别不低于人民币</w:t>
      </w:r>
      <w:r>
        <w:rPr>
          <w:rFonts w:ascii="Arial" w:hAnsi="Arial" w:cs="Arial" w:eastAsia="Arial" w:hint="default"/>
          <w:spacing w:val="2"/>
        </w:rPr>
        <w:t>7,600</w:t>
      </w:r>
      <w:r>
        <w:rPr>
          <w:spacing w:val="2"/>
        </w:rPr>
        <w:t>万元、</w:t>
      </w:r>
      <w:r>
        <w:rPr>
          <w:rFonts w:ascii="Arial" w:hAnsi="Arial" w:cs="Arial" w:eastAsia="Arial" w:hint="default"/>
          <w:spacing w:val="2"/>
        </w:rPr>
        <w:t>11,000</w:t>
      </w:r>
      <w:r>
        <w:rPr>
          <w:spacing w:val="2"/>
        </w:rPr>
        <w:t>万元和</w:t>
      </w:r>
      <w:r>
        <w:rPr>
          <w:spacing w:val="-92"/>
        </w:rPr>
        <w:t> </w:t>
      </w:r>
      <w:r>
        <w:rPr>
          <w:spacing w:val="-92"/>
        </w:rPr>
      </w:r>
      <w:r>
        <w:rPr>
          <w:rFonts w:ascii="Arial" w:hAnsi="Arial" w:cs="Arial" w:eastAsia="Arial" w:hint="default"/>
        </w:rPr>
        <w:t>14,400</w:t>
      </w:r>
      <w:r>
        <w:rPr/>
        <w:t>万元。以上业绩承诺期内各年度承诺净利润单称“当年度承诺净利润”，合称“承诺</w:t>
      </w:r>
      <w:r>
        <w:rPr>
          <w:spacing w:val="-103"/>
        </w:rPr>
        <w:t> </w:t>
      </w:r>
      <w:r>
        <w:rPr>
          <w:spacing w:val="-103"/>
        </w:rPr>
      </w:r>
      <w:r>
        <w:rPr/>
        <w:t>净利润总额”（即预计共约</w:t>
      </w:r>
      <w:r>
        <w:rPr>
          <w:rFonts w:ascii="Arial" w:hAnsi="Arial" w:cs="Arial" w:eastAsia="Arial" w:hint="default"/>
        </w:rPr>
        <w:t>33,000</w:t>
      </w:r>
      <w:r>
        <w:rPr/>
        <w:t>万元）。如联奕科技于</w:t>
      </w:r>
      <w:r>
        <w:rPr>
          <w:rFonts w:ascii="Arial" w:hAnsi="Arial" w:cs="Arial" w:eastAsia="Arial" w:hint="default"/>
        </w:rPr>
        <w:t>2017</w:t>
      </w:r>
      <w:r>
        <w:rPr/>
        <w:t>年、</w:t>
      </w:r>
      <w:r>
        <w:rPr>
          <w:rFonts w:ascii="Arial" w:hAnsi="Arial" w:cs="Arial" w:eastAsia="Arial" w:hint="default"/>
        </w:rPr>
        <w:t>2018</w:t>
      </w:r>
      <w:r>
        <w:rPr/>
        <w:t>年和</w:t>
      </w:r>
      <w:r>
        <w:rPr>
          <w:rFonts w:ascii="Arial" w:hAnsi="Arial" w:cs="Arial" w:eastAsia="Arial" w:hint="default"/>
        </w:rPr>
        <w:t>2019</w:t>
      </w:r>
      <w:r>
        <w:rPr/>
        <w:t>年经审计</w:t>
      </w:r>
      <w:r>
        <w:rPr>
          <w:spacing w:val="-41"/>
        </w:rPr>
        <w:t> </w:t>
      </w:r>
      <w:r>
        <w:rPr>
          <w:spacing w:val="-41"/>
        </w:rPr>
      </w:r>
      <w:r>
        <w:rPr/>
        <w:t>的归属母公司股东的净利润（以扣除非经常损益（扣除股份支付影响））未达到承诺业绩，</w:t>
      </w:r>
      <w:r>
        <w:rPr>
          <w:spacing w:val="-89"/>
        </w:rPr>
        <w:t> </w:t>
      </w:r>
      <w:r>
        <w:rPr>
          <w:spacing w:val="-89"/>
        </w:rPr>
      </w:r>
      <w:r>
        <w:rPr/>
        <w:t>则业绩承诺方应按照签署的《盈利预测补偿协议》的具体约定向上市公司进行补偿。</w:t>
      </w:r>
    </w:p>
    <w:p>
      <w:pPr>
        <w:pStyle w:val="Heading3"/>
        <w:spacing w:line="273" w:lineRule="auto" w:before="19"/>
        <w:ind w:left="592" w:right="996"/>
        <w:jc w:val="left"/>
      </w:pPr>
      <w:r>
        <w:rPr/>
        <w:t>业绩承诺的完成情况及其对商誉减值测试的影响 </w:t>
      </w:r>
      <w:r>
        <w:rPr>
          <w:spacing w:val="-1"/>
        </w:rPr>
        <w:t>联奕科技</w:t>
      </w:r>
      <w:r>
        <w:rPr>
          <w:rFonts w:ascii="Arial" w:hAnsi="Arial" w:cs="Arial" w:eastAsia="Arial" w:hint="default"/>
          <w:spacing w:val="-1"/>
        </w:rPr>
        <w:t>2019</w:t>
      </w:r>
      <w:r>
        <w:rPr>
          <w:spacing w:val="-1"/>
        </w:rPr>
        <w:t>年度实际净利润</w:t>
      </w:r>
      <w:r>
        <w:rPr>
          <w:rFonts w:ascii="Arial" w:hAnsi="Arial" w:cs="Arial" w:eastAsia="Arial" w:hint="default"/>
          <w:spacing w:val="-1"/>
        </w:rPr>
        <w:t>14,486</w:t>
      </w:r>
      <w:r>
        <w:rPr>
          <w:spacing w:val="-1"/>
        </w:rPr>
        <w:t>万元，实现业绩承诺。未来年度预计经营情况可达</w:t>
      </w:r>
    </w:p>
    <w:p>
      <w:pPr>
        <w:spacing w:line="487" w:lineRule="auto" w:before="0"/>
        <w:ind w:left="112" w:right="4248" w:firstLine="0"/>
        <w:jc w:val="left"/>
        <w:rPr>
          <w:rFonts w:ascii="宋体" w:hAnsi="宋体" w:cs="宋体" w:eastAsia="宋体" w:hint="default"/>
          <w:sz w:val="24"/>
          <w:szCs w:val="24"/>
        </w:rPr>
      </w:pPr>
      <w:r>
        <w:rPr>
          <w:rFonts w:ascii="宋体" w:hAnsi="宋体" w:cs="宋体" w:eastAsia="宋体" w:hint="default"/>
          <w:sz w:val="24"/>
          <w:szCs w:val="24"/>
        </w:rPr>
        <w:t>并购时点的业绩预测，未发生商誉减值。 </w:t>
      </w:r>
      <w:bookmarkStart w:name="三、控股股东及其关联方对上市公司的非经营性占用资金情况" w:id="65"/>
      <w:bookmarkEnd w:id="65"/>
      <w:r>
        <w:rPr>
          <w:rFonts w:ascii="宋体" w:hAnsi="宋体" w:cs="宋体" w:eastAsia="宋体" w:hint="default"/>
          <w:sz w:val="24"/>
          <w:szCs w:val="24"/>
        </w:rPr>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pStyle w:val="Heading3"/>
        <w:spacing w:line="256" w:lineRule="auto" w:before="50"/>
        <w:ind w:right="3074"/>
        <w:jc w:val="left"/>
      </w:pPr>
      <w:r>
        <w:rPr>
          <w:rFonts w:ascii="Arial" w:hAnsi="Arial" w:cs="Arial" w:eastAsia="Arial" w:hint="default"/>
        </w:rPr>
        <w:t>□ </w:t>
      </w:r>
      <w:r>
        <w:rPr/>
        <w:t>适用 √</w:t>
      </w:r>
      <w:r>
        <w:rPr>
          <w:spacing w:val="-15"/>
        </w:rPr>
        <w:t> </w:t>
      </w:r>
      <w:r>
        <w:rPr/>
        <w:t>不适用</w:t>
      </w:r>
      <w:r>
        <w:rPr>
          <w:w w:val="99"/>
        </w:rPr>
        <w:t> </w:t>
      </w:r>
      <w:r>
        <w:rPr/>
        <w:t>公司报告期不存在控股股东及其关联方对上市公司的非经营性占用资金。</w:t>
      </w:r>
    </w:p>
    <w:p>
      <w:pPr>
        <w:spacing w:line="240" w:lineRule="auto" w:before="6"/>
        <w:rPr>
          <w:rFonts w:ascii="宋体" w:hAnsi="宋体" w:cs="宋体" w:eastAsia="宋体" w:hint="default"/>
          <w:sz w:val="21"/>
          <w:szCs w:val="21"/>
        </w:rPr>
      </w:pPr>
    </w:p>
    <w:p>
      <w:pPr>
        <w:pStyle w:val="Heading2"/>
        <w:spacing w:line="240" w:lineRule="auto"/>
        <w:ind w:right="996"/>
        <w:jc w:val="left"/>
        <w:rPr>
          <w:b w:val="0"/>
          <w:bCs w:val="0"/>
        </w:rPr>
      </w:pPr>
      <w:bookmarkStart w:name="四、董事会对最近一期“非标准审计报告”相关情况的说明" w:id="66"/>
      <w:bookmarkEnd w:id="66"/>
      <w:r>
        <w:rPr>
          <w:b w:val="0"/>
          <w:bCs w:val="0"/>
        </w:rPr>
      </w:r>
      <w:r>
        <w:rPr/>
        <w:t>四、董事会对最近一期“非标准审计报告”相关情况的说明</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5"/>
        </w:rPr>
        <w:t> </w:t>
      </w:r>
      <w:r>
        <w:rPr/>
        <w:t>不适用</w:t>
      </w:r>
    </w:p>
    <w:p>
      <w:pPr>
        <w:spacing w:line="240" w:lineRule="auto" w:before="11"/>
        <w:rPr>
          <w:rFonts w:ascii="宋体" w:hAnsi="宋体" w:cs="宋体" w:eastAsia="宋体" w:hint="default"/>
          <w:sz w:val="23"/>
          <w:szCs w:val="23"/>
        </w:rPr>
      </w:pPr>
    </w:p>
    <w:p>
      <w:pPr>
        <w:pStyle w:val="Heading2"/>
        <w:spacing w:line="312" w:lineRule="exact"/>
        <w:ind w:right="996"/>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10"/>
        <w:rPr>
          <w:rFonts w:ascii="宋体" w:hAnsi="宋体" w:cs="宋体" w:eastAsia="宋体" w:hint="default"/>
          <w:b/>
          <w:bCs/>
          <w:sz w:val="20"/>
          <w:szCs w:val="20"/>
        </w:rPr>
      </w:pPr>
    </w:p>
    <w:p>
      <w:pPr>
        <w:spacing w:line="444" w:lineRule="auto" w:before="0"/>
        <w:ind w:left="112" w:right="28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六、董事会关于报告期会计政策、会计估计变更或重大会计差错更正的说明" w:id="68"/>
      <w:bookmarkEnd w:id="68"/>
      <w:r>
        <w:rPr>
          <w:rFonts w:ascii="宋体" w:hAnsi="宋体" w:cs="宋体" w:eastAsia="宋体" w:hint="default"/>
          <w:w w:val="99"/>
          <w:sz w:val="24"/>
          <w:szCs w:val="24"/>
        </w:rPr>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Heading3"/>
        <w:spacing w:line="240" w:lineRule="auto" w:before="94"/>
        <w:ind w:right="996"/>
        <w:jc w:val="left"/>
      </w:pPr>
      <w:r>
        <w:rPr>
          <w:rFonts w:ascii="Arial" w:hAnsi="Arial" w:cs="Arial" w:eastAsia="Arial" w:hint="default"/>
        </w:rPr>
        <w:t>√  </w:t>
      </w:r>
      <w:r>
        <w:rPr/>
        <w:t>适用 □</w:t>
      </w:r>
      <w:r>
        <w:rPr>
          <w:spacing w:val="-14"/>
        </w:rPr>
        <w:t> </w:t>
      </w:r>
      <w:r>
        <w:rPr/>
        <w:t>不适用</w:t>
      </w:r>
    </w:p>
    <w:p>
      <w:pPr>
        <w:spacing w:after="0" w:line="240" w:lineRule="auto"/>
        <w:jc w:val="left"/>
        <w:sectPr>
          <w:headerReference w:type="default" r:id="rId23"/>
          <w:footerReference w:type="default" r:id="rId24"/>
          <w:pgSz w:w="11910" w:h="16840"/>
          <w:pgMar w:header="878" w:footer="1016" w:top="1100" w:bottom="1200" w:left="1020" w:right="0"/>
          <w:pgNumType w:start="57"/>
        </w:sectPr>
      </w:pPr>
    </w:p>
    <w:p>
      <w:pPr>
        <w:spacing w:line="240" w:lineRule="auto" w:before="10"/>
        <w:rPr>
          <w:rFonts w:ascii="宋体" w:hAnsi="宋体" w:cs="宋体" w:eastAsia="宋体" w:hint="default"/>
          <w:sz w:val="19"/>
          <w:szCs w:val="19"/>
        </w:rPr>
      </w:pPr>
    </w:p>
    <w:p>
      <w:pPr>
        <w:pStyle w:val="Heading3"/>
        <w:spacing w:line="312" w:lineRule="exact" w:before="56"/>
        <w:ind w:right="1123" w:firstLine="420"/>
        <w:jc w:val="both"/>
      </w:pPr>
      <w:r>
        <w:rPr/>
        <w:t>本公司自</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日起执行财政部</w:t>
      </w:r>
      <w:r>
        <w:rPr>
          <w:rFonts w:ascii="Arial" w:hAnsi="Arial" w:cs="Arial" w:eastAsia="Arial" w:hint="default"/>
        </w:rPr>
        <w:t>2017</w:t>
      </w:r>
      <w:r>
        <w:rPr/>
        <w:t>年修订的《企业会计准则第</w:t>
      </w:r>
      <w:r>
        <w:rPr>
          <w:rFonts w:ascii="Arial" w:hAnsi="Arial" w:cs="Arial" w:eastAsia="Arial" w:hint="default"/>
        </w:rPr>
        <w:t>22</w:t>
      </w:r>
      <w:r>
        <w:rPr/>
        <w:t>号</w:t>
      </w:r>
      <w:r>
        <w:rPr>
          <w:rFonts w:ascii="Arial" w:hAnsi="Arial" w:cs="Arial" w:eastAsia="Arial" w:hint="default"/>
        </w:rPr>
        <w:t>-</w:t>
      </w:r>
      <w:r>
        <w:rPr/>
        <w:t>金融工具确 </w:t>
      </w:r>
      <w:r>
        <w:rPr>
          <w:spacing w:val="-4"/>
        </w:rPr>
        <w:t>认和计量》《企业会计准则第</w:t>
      </w:r>
      <w:r>
        <w:rPr>
          <w:rFonts w:ascii="Arial" w:hAnsi="Arial" w:cs="Arial" w:eastAsia="Arial" w:hint="default"/>
          <w:spacing w:val="-4"/>
        </w:rPr>
        <w:t>23</w:t>
      </w:r>
      <w:r>
        <w:rPr>
          <w:spacing w:val="-4"/>
        </w:rPr>
        <w:t>号</w:t>
      </w:r>
      <w:r>
        <w:rPr>
          <w:rFonts w:ascii="Arial" w:hAnsi="Arial" w:cs="Arial" w:eastAsia="Arial" w:hint="default"/>
          <w:spacing w:val="-4"/>
        </w:rPr>
        <w:t>-</w:t>
      </w:r>
      <w:r>
        <w:rPr>
          <w:spacing w:val="-4"/>
        </w:rPr>
        <w:t>金融资产转移》和《企业会计准则第</w:t>
      </w:r>
      <w:r>
        <w:rPr>
          <w:rFonts w:ascii="Arial" w:hAnsi="Arial" w:cs="Arial" w:eastAsia="Arial" w:hint="default"/>
          <w:spacing w:val="-4"/>
        </w:rPr>
        <w:t>24</w:t>
      </w:r>
      <w:r>
        <w:rPr>
          <w:spacing w:val="-4"/>
        </w:rPr>
        <w:t>号</w:t>
      </w:r>
      <w:r>
        <w:rPr>
          <w:rFonts w:ascii="Arial" w:hAnsi="Arial" w:cs="Arial" w:eastAsia="Arial" w:hint="default"/>
          <w:spacing w:val="-4"/>
        </w:rPr>
        <w:t>-</w:t>
      </w:r>
      <w:r>
        <w:rPr>
          <w:spacing w:val="-4"/>
        </w:rPr>
        <w:t>套期会计》《企</w:t>
      </w:r>
      <w:r>
        <w:rPr>
          <w:spacing w:val="-117"/>
        </w:rPr>
        <w:t> </w:t>
      </w:r>
      <w:r>
        <w:rPr>
          <w:spacing w:val="-117"/>
        </w:rPr>
      </w:r>
      <w:r>
        <w:rPr>
          <w:spacing w:val="-3"/>
        </w:rPr>
        <w:t>业会计准则第</w:t>
      </w:r>
      <w:r>
        <w:rPr>
          <w:rFonts w:ascii="Arial" w:hAnsi="Arial" w:cs="Arial" w:eastAsia="Arial" w:hint="default"/>
          <w:spacing w:val="-3"/>
        </w:rPr>
        <w:t>37</w:t>
      </w:r>
      <w:r>
        <w:rPr>
          <w:spacing w:val="-3"/>
        </w:rPr>
        <w:t>号</w:t>
      </w:r>
      <w:r>
        <w:rPr>
          <w:rFonts w:ascii="Arial" w:hAnsi="Arial" w:cs="Arial" w:eastAsia="Arial" w:hint="default"/>
          <w:spacing w:val="-3"/>
        </w:rPr>
        <w:t>-</w:t>
      </w:r>
      <w:r>
        <w:rPr>
          <w:spacing w:val="-3"/>
        </w:rPr>
        <w:t>金融工具列报》（以上四项统称</w:t>
      </w:r>
      <w:r>
        <w:rPr>
          <w:rFonts w:ascii="Arial" w:hAnsi="Arial" w:cs="Arial" w:eastAsia="Arial" w:hint="default"/>
          <w:spacing w:val="-3"/>
        </w:rPr>
        <w:t>&lt;</w:t>
      </w:r>
      <w:r>
        <w:rPr>
          <w:spacing w:val="-3"/>
        </w:rPr>
        <w:t>新金融工具准则</w:t>
      </w:r>
      <w:r>
        <w:rPr>
          <w:rFonts w:ascii="Arial" w:hAnsi="Arial" w:cs="Arial" w:eastAsia="Arial" w:hint="default"/>
          <w:spacing w:val="-3"/>
        </w:rPr>
        <w:t>&gt;</w:t>
      </w:r>
      <w:r>
        <w:rPr>
          <w:spacing w:val="-3"/>
        </w:rPr>
        <w:t>），变更后的会计政策</w:t>
      </w:r>
      <w:r>
        <w:rPr>
          <w:spacing w:val="-100"/>
        </w:rPr>
        <w:t> </w:t>
      </w:r>
      <w:r>
        <w:rPr>
          <w:spacing w:val="-100"/>
        </w:rPr>
      </w:r>
      <w:r>
        <w:rPr/>
        <w:t>详见附注五。</w:t>
      </w:r>
    </w:p>
    <w:p>
      <w:pPr>
        <w:pStyle w:val="Heading3"/>
        <w:spacing w:line="312" w:lineRule="exact"/>
        <w:ind w:right="1129" w:firstLine="420"/>
        <w:jc w:val="both"/>
      </w:pPr>
      <w:r>
        <w:rPr/>
        <w:t>于</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日之前的金融工具确认和计量与新金融工具准则要求不一致的，本公司按 照新金融工具准则的要求进行衔接调整。涉及前期比较财务报表数据与新金融工具准则要求</w:t>
      </w:r>
      <w:r>
        <w:rPr>
          <w:spacing w:val="-89"/>
        </w:rPr>
        <w:t> </w:t>
      </w:r>
      <w:r>
        <w:rPr>
          <w:spacing w:val="-89"/>
        </w:rPr>
      </w:r>
      <w:r>
        <w:rPr/>
        <w:t>不一致的，本公司未调整可比期间信息。金融工具原账面价值和新金融工具准则施行日的新</w:t>
      </w:r>
      <w:r>
        <w:rPr>
          <w:spacing w:val="-89"/>
        </w:rPr>
        <w:t> </w:t>
      </w:r>
      <w:r>
        <w:rPr>
          <w:spacing w:val="-89"/>
        </w:rPr>
      </w:r>
      <w:r>
        <w:rPr>
          <w:spacing w:val="-2"/>
        </w:rPr>
        <w:t>账面价值之间的差额，计入</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日留存收益或其他综合收益。金融资产减值累计影响</w:t>
      </w:r>
    </w:p>
    <w:p>
      <w:pPr>
        <w:pStyle w:val="Heading3"/>
        <w:spacing w:line="300" w:lineRule="exact"/>
        <w:ind w:right="0"/>
        <w:jc w:val="both"/>
      </w:pPr>
      <w:r>
        <w:rPr>
          <w:rFonts w:ascii="Arial" w:hAnsi="Arial" w:cs="Arial" w:eastAsia="Arial" w:hint="default"/>
        </w:rPr>
        <w:t>-2,190,915.82</w:t>
      </w:r>
      <w:r>
        <w:rPr/>
        <w:t>元。</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10"/>
        <w:rPr>
          <w:rFonts w:ascii="宋体" w:hAnsi="宋体" w:cs="宋体" w:eastAsia="宋体" w:hint="default"/>
          <w:b/>
          <w:bCs/>
          <w:sz w:val="22"/>
          <w:szCs w:val="22"/>
        </w:rPr>
      </w:pPr>
    </w:p>
    <w:p>
      <w:pPr>
        <w:pStyle w:val="Heading3"/>
        <w:spacing w:line="256" w:lineRule="auto"/>
        <w:ind w:left="532" w:right="996" w:hanging="420"/>
        <w:jc w:val="left"/>
      </w:pPr>
      <w:r>
        <w:rPr>
          <w:rFonts w:ascii="Arial" w:hAnsi="Arial" w:cs="Arial" w:eastAsia="Arial" w:hint="default"/>
        </w:rPr>
        <w:t>√ </w:t>
      </w:r>
      <w:r>
        <w:rPr/>
        <w:t>适用 □</w:t>
      </w:r>
      <w:r>
        <w:rPr>
          <w:spacing w:val="-13"/>
        </w:rPr>
        <w:t> </w:t>
      </w:r>
      <w:r>
        <w:rPr/>
        <w:t>不适用 </w:t>
      </w:r>
      <w:r>
        <w:rPr>
          <w:spacing w:val="2"/>
        </w:rPr>
        <w:t>公司根据经营需要，新设上海华宇九政科技有限公司、四川华宇九政科技有限公司、湖</w:t>
      </w:r>
    </w:p>
    <w:p>
      <w:pPr>
        <w:pStyle w:val="Heading3"/>
        <w:spacing w:line="312" w:lineRule="exact" w:before="12"/>
        <w:ind w:right="1132"/>
        <w:jc w:val="both"/>
      </w:pPr>
      <w:r>
        <w:rPr/>
        <w:t>北华宇九政科技有限公司、华宇万户医疗科技（上海）有限公司、上海殊创数据技术有限责</w:t>
      </w:r>
      <w:r>
        <w:rPr>
          <w:spacing w:val="-89"/>
        </w:rPr>
        <w:t> </w:t>
      </w:r>
      <w:r>
        <w:rPr>
          <w:spacing w:val="-89"/>
        </w:rPr>
      </w:r>
      <w:r>
        <w:rPr/>
        <w:t>任公司。注销广州优奕科信息科技有限公司，减资退出广州数字方舟信息技术股份有限公司</w:t>
      </w:r>
      <w:r>
        <w:rPr>
          <w:spacing w:val="-89"/>
        </w:rPr>
        <w:t> </w:t>
      </w:r>
      <w:r>
        <w:rPr>
          <w:spacing w:val="-89"/>
        </w:rPr>
      </w:r>
      <w:r>
        <w:rPr/>
        <w:t>及其子公司中科智慧水运科技创新（广州）有限公司。</w:t>
      </w:r>
    </w:p>
    <w:p>
      <w:pPr>
        <w:spacing w:line="240" w:lineRule="auto" w:before="8"/>
        <w:rPr>
          <w:rFonts w:ascii="宋体" w:hAnsi="宋体" w:cs="宋体" w:eastAsia="宋体" w:hint="default"/>
          <w:sz w:val="20"/>
          <w:szCs w:val="20"/>
        </w:rPr>
      </w:pPr>
    </w:p>
    <w:p>
      <w:pPr>
        <w:spacing w:line="468" w:lineRule="auto" w:before="0"/>
        <w:ind w:left="112" w:right="7139" w:firstLine="0"/>
        <w:jc w:val="left"/>
        <w:rPr>
          <w:rFonts w:ascii="宋体" w:hAnsi="宋体" w:cs="宋体" w:eastAsia="宋体" w:hint="default"/>
          <w:sz w:val="24"/>
          <w:szCs w:val="24"/>
        </w:rPr>
      </w:pPr>
      <w:r>
        <w:rPr/>
        <w:pict>
          <v:shape style="position:absolute;margin-left:56.459999pt;margin-top:50.156635pt;width:479.15pt;height:10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6"/>
                    <w:gridCol w:w="4092"/>
                  </w:tblGrid>
                  <w:tr>
                    <w:trPr>
                      <w:trHeight w:val="402" w:hRule="exact"/>
                    </w:trPr>
                    <w:tc>
                      <w:tcPr>
                        <w:tcW w:w="5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1"/>
                            <w:szCs w:val="21"/>
                          </w:rPr>
                        </w:pPr>
                        <w:r>
                          <w:rPr>
                            <w:rFonts w:ascii="宋体" w:hAnsi="宋体" w:cs="宋体" w:eastAsia="宋体" w:hint="default"/>
                            <w:w w:val="95"/>
                            <w:sz w:val="21"/>
                            <w:szCs w:val="21"/>
                          </w:rPr>
                          <w:t>大华会计师事务所（特殊普通合伙）</w:t>
                        </w:r>
                        <w:r>
                          <w:rPr>
                            <w:rFonts w:ascii="宋体" w:hAnsi="宋体" w:cs="宋体" w:eastAsia="宋体" w:hint="default"/>
                            <w:sz w:val="21"/>
                            <w:szCs w:val="21"/>
                          </w:rPr>
                        </w:r>
                      </w:p>
                    </w:tc>
                  </w:tr>
                  <w:tr>
                    <w:trPr>
                      <w:trHeight w:val="402" w:hRule="exact"/>
                    </w:trPr>
                    <w:tc>
                      <w:tcPr>
                        <w:tcW w:w="5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w w:val="95"/>
                            <w:sz w:val="21"/>
                          </w:rPr>
                          <w:t>100</w:t>
                        </w:r>
                        <w:r>
                          <w:rPr>
                            <w:rFonts w:ascii="Arial"/>
                            <w:sz w:val="21"/>
                          </w:rPr>
                        </w:r>
                      </w:p>
                    </w:tc>
                  </w:tr>
                  <w:tr>
                    <w:trPr>
                      <w:trHeight w:val="402" w:hRule="exact"/>
                    </w:trPr>
                    <w:tc>
                      <w:tcPr>
                        <w:tcW w:w="5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9"/>
                            <w:sz w:val="21"/>
                          </w:rPr>
                          <w:t>1</w:t>
                        </w:r>
                        <w:r>
                          <w:rPr>
                            <w:rFonts w:ascii="Arial"/>
                            <w:sz w:val="21"/>
                          </w:rPr>
                        </w:r>
                      </w:p>
                    </w:tc>
                  </w:tr>
                  <w:tr>
                    <w:trPr>
                      <w:trHeight w:val="402" w:hRule="exact"/>
                    </w:trPr>
                    <w:tc>
                      <w:tcPr>
                        <w:tcW w:w="5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21"/>
                            <w:szCs w:val="21"/>
                          </w:rPr>
                        </w:pPr>
                        <w:r>
                          <w:rPr>
                            <w:rFonts w:ascii="宋体" w:hAnsi="宋体" w:cs="宋体" w:eastAsia="宋体" w:hint="default"/>
                            <w:w w:val="95"/>
                            <w:sz w:val="21"/>
                            <w:szCs w:val="21"/>
                          </w:rPr>
                          <w:t>宋春磊、詹连君</w:t>
                        </w:r>
                        <w:r>
                          <w:rPr>
                            <w:rFonts w:ascii="宋体" w:hAnsi="宋体" w:cs="宋体" w:eastAsia="宋体" w:hint="default"/>
                            <w:sz w:val="21"/>
                            <w:szCs w:val="21"/>
                          </w:rPr>
                        </w:r>
                      </w:p>
                    </w:tc>
                  </w:tr>
                  <w:tr>
                    <w:trPr>
                      <w:trHeight w:val="402" w:hRule="exact"/>
                    </w:trPr>
                    <w:tc>
                      <w:tcPr>
                        <w:tcW w:w="5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w w:val="99"/>
                            <w:sz w:val="21"/>
                          </w:rPr>
                          <w:t>1</w:t>
                        </w:r>
                        <w:r>
                          <w:rPr>
                            <w:rFonts w:ascii="Arial"/>
                            <w:sz w:val="21"/>
                          </w:rPr>
                        </w:r>
                      </w:p>
                    </w:tc>
                  </w:tr>
                </w:tbl>
                <w:p>
                  <w:pPr/>
                </w:p>
              </w:txbxContent>
            </v:textbox>
            <w10:wrap type="none"/>
          </v:shape>
        </w:pict>
      </w:r>
      <w:bookmarkStart w:name="八、聘任、解聘会计师事务所情况" w:id="70"/>
      <w:bookmarkEnd w:id="70"/>
      <w:r>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26"/>
        <w:ind w:right="0"/>
        <w:jc w:val="both"/>
      </w:pPr>
      <w:r>
        <w:rPr/>
        <w:t>是否改聘会计师事务所</w:t>
      </w:r>
    </w:p>
    <w:p>
      <w:pPr>
        <w:pStyle w:val="Heading3"/>
        <w:spacing w:line="256" w:lineRule="auto" w:before="38"/>
        <w:ind w:right="7154"/>
        <w:jc w:val="left"/>
      </w:pPr>
      <w:r>
        <w:rPr>
          <w:rFonts w:ascii="Arial" w:hAnsi="Arial" w:cs="Arial" w:eastAsia="Arial" w:hint="default"/>
        </w:rPr>
        <w:t>√ </w:t>
      </w:r>
      <w:r>
        <w:rPr/>
        <w:t>是 □</w:t>
      </w:r>
      <w:r>
        <w:rPr>
          <w:spacing w:val="-13"/>
        </w:rPr>
        <w:t> </w:t>
      </w:r>
      <w:r>
        <w:rPr/>
        <w:t>否 是否在审计期间改聘会计师事务所</w:t>
      </w:r>
    </w:p>
    <w:p>
      <w:pPr>
        <w:pStyle w:val="Heading3"/>
        <w:spacing w:line="256" w:lineRule="auto" w:before="19"/>
        <w:ind w:right="6914"/>
        <w:jc w:val="left"/>
      </w:pPr>
      <w:r>
        <w:rPr>
          <w:rFonts w:ascii="Arial" w:hAnsi="Arial" w:cs="Arial" w:eastAsia="Arial" w:hint="default"/>
        </w:rPr>
        <w:t>□ </w:t>
      </w:r>
      <w:r>
        <w:rPr/>
        <w:t>是 √</w:t>
      </w:r>
      <w:r>
        <w:rPr>
          <w:spacing w:val="-15"/>
        </w:rPr>
        <w:t> </w:t>
      </w:r>
      <w:r>
        <w:rPr/>
        <w:t>否</w:t>
      </w:r>
      <w:r>
        <w:rPr>
          <w:w w:val="99"/>
        </w:rPr>
        <w:t> </w:t>
      </w:r>
      <w:r>
        <w:rPr/>
        <w:t>更换会计师事务所是否履行审批程序</w:t>
      </w:r>
    </w:p>
    <w:p>
      <w:pPr>
        <w:pStyle w:val="Heading3"/>
        <w:spacing w:line="254" w:lineRule="auto" w:before="22"/>
        <w:ind w:right="7154"/>
        <w:jc w:val="left"/>
      </w:pPr>
      <w:r>
        <w:rPr>
          <w:rFonts w:ascii="Arial" w:hAnsi="Arial" w:cs="Arial" w:eastAsia="Arial" w:hint="default"/>
        </w:rPr>
        <w:t>√ </w:t>
      </w:r>
      <w:r>
        <w:rPr/>
        <w:t>是 □</w:t>
      </w:r>
      <w:r>
        <w:rPr>
          <w:spacing w:val="-13"/>
        </w:rPr>
        <w:t> </w:t>
      </w:r>
      <w:r>
        <w:rPr/>
        <w:t>否 聘任、解聘会计师事务所情况说明</w:t>
      </w:r>
    </w:p>
    <w:p>
      <w:pPr>
        <w:pStyle w:val="Heading3"/>
        <w:spacing w:line="312" w:lineRule="exact" w:before="55"/>
        <w:ind w:right="1130" w:firstLine="420"/>
        <w:jc w:val="both"/>
      </w:pPr>
      <w:r>
        <w:rPr/>
        <w:t>公司原审计机构致同会计师事务所（特殊普通合伙）（以下简称“致同”）</w:t>
      </w:r>
      <w:r>
        <w:rPr>
          <w:spacing w:val="-21"/>
        </w:rPr>
        <w:t> </w:t>
      </w:r>
      <w:r>
        <w:rPr/>
        <w:t>在执业过程</w:t>
      </w:r>
      <w:r>
        <w:rPr/>
        <w:t> 中坚持独立审计原则，客观、公正、公允地反映公司财务状况，切实履行审计机构应尽的职</w:t>
      </w:r>
      <w:r>
        <w:rPr>
          <w:spacing w:val="-89"/>
        </w:rPr>
        <w:t> </w:t>
      </w:r>
      <w:r>
        <w:rPr>
          <w:spacing w:val="-89"/>
        </w:rPr>
      </w:r>
      <w:r>
        <w:rPr/>
        <w:t>责，从专业的角度维护了公司及股东的合法权益。根据公司战略发展需要，经双方事前沟通</w:t>
      </w:r>
      <w:r>
        <w:rPr>
          <w:spacing w:val="-89"/>
        </w:rPr>
        <w:t> </w:t>
      </w:r>
      <w:r>
        <w:rPr>
          <w:spacing w:val="-89"/>
        </w:rPr>
      </w:r>
      <w:r>
        <w:rPr/>
        <w:t>和协商，致同不再担任公司审计机构。公司董事会审计委员会提议，聘请大华会计师事务所</w:t>
      </w:r>
    </w:p>
    <w:p>
      <w:pPr>
        <w:pStyle w:val="Heading3"/>
        <w:spacing w:line="312" w:lineRule="exact"/>
        <w:ind w:right="1126"/>
        <w:jc w:val="both"/>
      </w:pPr>
      <w:r>
        <w:rPr>
          <w:spacing w:val="-8"/>
        </w:rPr>
        <w:t>（特殊普通合伙）（以下简称“大华”）为公司 </w:t>
      </w:r>
      <w:r>
        <w:rPr>
          <w:rFonts w:ascii="Arial" w:hAnsi="Arial" w:cs="Arial" w:eastAsia="Arial" w:hint="default"/>
        </w:rPr>
        <w:t>2019 </w:t>
      </w:r>
      <w:r>
        <w:rPr>
          <w:spacing w:val="-3"/>
        </w:rPr>
        <w:t>年度审计机构，由大华负责公司</w:t>
      </w:r>
      <w:r>
        <w:rPr>
          <w:spacing w:val="11"/>
        </w:rPr>
        <w:t> </w:t>
      </w:r>
      <w:r>
        <w:rPr>
          <w:rFonts w:ascii="Arial" w:hAnsi="Arial" w:cs="Arial" w:eastAsia="Arial" w:hint="default"/>
        </w:rPr>
        <w:t>2019</w:t>
      </w:r>
      <w:r>
        <w:rPr>
          <w:rFonts w:ascii="Arial" w:hAnsi="Arial" w:cs="Arial" w:eastAsia="Arial" w:hint="default"/>
          <w:w w:val="99"/>
        </w:rPr>
        <w:t> </w:t>
      </w:r>
      <w:r>
        <w:rPr/>
        <w:t>年度财务报告审计、年度募集资金使用专项审计、内部控制鉴证报告等业务。</w:t>
      </w:r>
      <w:r>
        <w:rPr>
          <w:rFonts w:ascii="Arial" w:hAnsi="Arial" w:cs="Arial" w:eastAsia="Arial" w:hint="default"/>
        </w:rPr>
        <w:t>2019</w:t>
      </w:r>
      <w:r>
        <w:rPr/>
        <w:t>年</w:t>
      </w:r>
      <w:r>
        <w:rPr>
          <w:rFonts w:ascii="Arial" w:hAnsi="Arial" w:cs="Arial" w:eastAsia="Arial" w:hint="default"/>
        </w:rPr>
        <w:t>6</w:t>
      </w:r>
      <w:r>
        <w:rPr/>
        <w:t>月</w:t>
      </w:r>
      <w:r>
        <w:rPr>
          <w:rFonts w:ascii="Arial" w:hAnsi="Arial" w:cs="Arial" w:eastAsia="Arial" w:hint="default"/>
        </w:rPr>
        <w:t>28</w:t>
      </w:r>
      <w:r>
        <w:rPr>
          <w:rFonts w:ascii="Arial" w:hAnsi="Arial" w:cs="Arial" w:eastAsia="Arial" w:hint="default"/>
          <w:spacing w:val="-16"/>
        </w:rPr>
        <w:t> </w:t>
      </w:r>
      <w:r>
        <w:rPr/>
        <w:t>日，公司</w:t>
      </w:r>
      <w:r>
        <w:rPr>
          <w:rFonts w:ascii="Arial" w:hAnsi="Arial" w:cs="Arial" w:eastAsia="Arial" w:hint="default"/>
        </w:rPr>
        <w:t>2019</w:t>
      </w:r>
      <w:r>
        <w:rPr/>
        <w:t>年第一次临时股东大会审议通过了《关于变更会计师事务所的议案》。</w:t>
      </w:r>
    </w:p>
    <w:p>
      <w:pPr>
        <w:pStyle w:val="BodyText"/>
        <w:spacing w:line="240" w:lineRule="auto" w:before="33"/>
        <w:ind w:right="0"/>
        <w:jc w:val="both"/>
      </w:pPr>
      <w:r>
        <w:rPr/>
        <w:t>聘请内部控制审计会计师事务所、财务顾问或保荐人情况</w:t>
      </w:r>
    </w:p>
    <w:p>
      <w:pPr>
        <w:spacing w:after="0" w:line="240"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rFonts w:ascii="Arial" w:hAnsi="Arial" w:cs="Arial" w:eastAsia="Arial" w:hint="default"/>
        </w:rPr>
        <w:t>□  </w:t>
      </w:r>
      <w:r>
        <w:rPr/>
        <w:t>适用 √</w:t>
      </w:r>
      <w:r>
        <w:rPr>
          <w:spacing w:val="-16"/>
        </w:rPr>
        <w:t> </w:t>
      </w:r>
      <w:r>
        <w:rPr/>
        <w:t>不适用</w:t>
      </w:r>
    </w:p>
    <w:p>
      <w:pPr>
        <w:spacing w:line="240" w:lineRule="auto" w:before="11"/>
        <w:rPr>
          <w:rFonts w:ascii="宋体" w:hAnsi="宋体" w:cs="宋体" w:eastAsia="宋体" w:hint="default"/>
          <w:sz w:val="22"/>
          <w:szCs w:val="22"/>
        </w:rPr>
      </w:pPr>
    </w:p>
    <w:p>
      <w:pPr>
        <w:pStyle w:val="Heading2"/>
        <w:spacing w:line="240" w:lineRule="auto"/>
        <w:ind w:right="996"/>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996"/>
        <w:jc w:val="left"/>
      </w:pPr>
      <w:r>
        <w:rPr>
          <w:rFonts w:ascii="Arial" w:hAnsi="Arial" w:cs="Arial" w:eastAsia="Arial" w:hint="default"/>
        </w:rPr>
        <w:t>□  </w:t>
      </w:r>
      <w:r>
        <w:rPr/>
        <w:t>适用 √</w:t>
      </w:r>
      <w:r>
        <w:rPr>
          <w:spacing w:val="-16"/>
        </w:rPr>
        <w:t> </w:t>
      </w:r>
      <w:r>
        <w:rPr/>
        <w:t>不适用</w:t>
      </w:r>
    </w:p>
    <w:p>
      <w:pPr>
        <w:spacing w:line="240" w:lineRule="auto" w:before="11"/>
        <w:rPr>
          <w:rFonts w:ascii="宋体" w:hAnsi="宋体" w:cs="宋体" w:eastAsia="宋体" w:hint="default"/>
          <w:sz w:val="22"/>
          <w:szCs w:val="22"/>
        </w:rPr>
      </w:pPr>
    </w:p>
    <w:p>
      <w:pPr>
        <w:pStyle w:val="Heading2"/>
        <w:spacing w:line="240" w:lineRule="auto"/>
        <w:ind w:right="996"/>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right="7184"/>
        <w:jc w:val="left"/>
      </w:pPr>
      <w:r>
        <w:rPr>
          <w:rFonts w:ascii="Arial" w:hAnsi="Arial" w:cs="Arial" w:eastAsia="Arial" w:hint="default"/>
        </w:rPr>
        <w:t>□ </w:t>
      </w:r>
      <w:r>
        <w:rPr/>
        <w:t>适用 √</w:t>
      </w:r>
      <w:r>
        <w:rPr>
          <w:spacing w:val="-10"/>
        </w:rPr>
        <w:t> </w:t>
      </w:r>
      <w:r>
        <w:rPr/>
        <w:t>不适用</w:t>
      </w:r>
      <w:r>
        <w:rPr>
          <w:w w:val="99"/>
        </w:rPr>
        <w:t> </w:t>
      </w:r>
      <w:r>
        <w:rPr/>
        <w:t>公司报告期未发生破产重整相关事项。</w:t>
      </w:r>
    </w:p>
    <w:p>
      <w:pPr>
        <w:spacing w:line="240" w:lineRule="auto" w:before="8"/>
        <w:rPr>
          <w:rFonts w:ascii="宋体" w:hAnsi="宋体" w:cs="宋体" w:eastAsia="宋体" w:hint="default"/>
          <w:sz w:val="20"/>
          <w:szCs w:val="20"/>
        </w:rPr>
      </w:pPr>
    </w:p>
    <w:p>
      <w:pPr>
        <w:pStyle w:val="Heading2"/>
        <w:spacing w:line="240" w:lineRule="auto"/>
        <w:ind w:right="996"/>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right="7264"/>
        <w:jc w:val="left"/>
      </w:pPr>
      <w:r>
        <w:rPr>
          <w:rFonts w:ascii="Arial" w:hAnsi="Arial" w:cs="Arial" w:eastAsia="Arial" w:hint="default"/>
        </w:rPr>
        <w:t>□ </w:t>
      </w:r>
      <w:r>
        <w:rPr/>
        <w:t>适用 √</w:t>
      </w:r>
      <w:r>
        <w:rPr>
          <w:spacing w:val="-11"/>
        </w:rPr>
        <w:t> </w:t>
      </w:r>
      <w:r>
        <w:rPr/>
        <w:t>不适用</w:t>
      </w:r>
      <w:r>
        <w:rPr>
          <w:w w:val="99"/>
        </w:rPr>
        <w:t> </w:t>
      </w:r>
      <w:r>
        <w:rPr>
          <w:w w:val="95"/>
        </w:rPr>
        <w:t>本年度公司无重大诉讼、仲裁事项。</w:t>
      </w:r>
      <w:r>
        <w:rPr/>
      </w:r>
    </w:p>
    <w:p>
      <w:pPr>
        <w:spacing w:line="240" w:lineRule="auto" w:before="8"/>
        <w:rPr>
          <w:rFonts w:ascii="宋体" w:hAnsi="宋体" w:cs="宋体" w:eastAsia="宋体" w:hint="default"/>
          <w:sz w:val="20"/>
          <w:szCs w:val="20"/>
        </w:rPr>
      </w:pPr>
    </w:p>
    <w:p>
      <w:pPr>
        <w:pStyle w:val="Heading2"/>
        <w:spacing w:line="240" w:lineRule="auto"/>
        <w:ind w:right="996"/>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4"/>
          <w:szCs w:val="24"/>
        </w:rPr>
      </w:pPr>
    </w:p>
    <w:p>
      <w:pPr>
        <w:pStyle w:val="BodyText"/>
        <w:spacing w:line="292" w:lineRule="auto"/>
        <w:ind w:right="7264"/>
        <w:jc w:val="left"/>
      </w:pPr>
      <w:r>
        <w:rPr>
          <w:rFonts w:ascii="Arial" w:hAnsi="Arial" w:cs="Arial" w:eastAsia="Arial" w:hint="default"/>
        </w:rPr>
        <w:t>□ </w:t>
      </w:r>
      <w:r>
        <w:rPr/>
        <w:t>适用 √</w:t>
      </w:r>
      <w:r>
        <w:rPr>
          <w:spacing w:val="-11"/>
        </w:rPr>
        <w:t> </w:t>
      </w:r>
      <w:r>
        <w:rPr/>
        <w:t>不适用</w:t>
      </w:r>
      <w:r>
        <w:rPr>
          <w:w w:val="99"/>
        </w:rPr>
        <w:t> </w:t>
      </w:r>
      <w:r>
        <w:rPr>
          <w:w w:val="95"/>
        </w:rPr>
        <w:t>公司报告期不存在处罚及整改情况。</w:t>
      </w:r>
      <w:r>
        <w:rPr/>
      </w:r>
    </w:p>
    <w:p>
      <w:pPr>
        <w:spacing w:line="240" w:lineRule="auto" w:before="6"/>
        <w:rPr>
          <w:rFonts w:ascii="宋体" w:hAnsi="宋体" w:cs="宋体" w:eastAsia="宋体" w:hint="default"/>
          <w:sz w:val="20"/>
          <w:szCs w:val="20"/>
        </w:rPr>
      </w:pPr>
    </w:p>
    <w:p>
      <w:pPr>
        <w:pStyle w:val="Heading2"/>
        <w:spacing w:line="240" w:lineRule="auto"/>
        <w:ind w:right="996"/>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996"/>
        <w:jc w:val="left"/>
      </w:pPr>
      <w:r>
        <w:rPr>
          <w:rFonts w:ascii="Arial" w:hAnsi="Arial" w:cs="Arial" w:eastAsia="Arial" w:hint="default"/>
        </w:rPr>
        <w:t>□  </w:t>
      </w:r>
      <w:r>
        <w:rPr/>
        <w:t>适用 √</w:t>
      </w:r>
      <w:r>
        <w:rPr>
          <w:spacing w:val="-16"/>
        </w:rPr>
        <w:t> </w:t>
      </w:r>
      <w:r>
        <w:rPr/>
        <w:t>不适用</w:t>
      </w:r>
    </w:p>
    <w:p>
      <w:pPr>
        <w:spacing w:line="240" w:lineRule="auto" w:before="11"/>
        <w:rPr>
          <w:rFonts w:ascii="宋体" w:hAnsi="宋体" w:cs="宋体" w:eastAsia="宋体" w:hint="default"/>
          <w:sz w:val="22"/>
          <w:szCs w:val="22"/>
        </w:rPr>
      </w:pPr>
    </w:p>
    <w:p>
      <w:pPr>
        <w:pStyle w:val="Heading2"/>
        <w:spacing w:line="240" w:lineRule="auto"/>
        <w:ind w:right="996"/>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996"/>
        <w:jc w:val="left"/>
      </w:pPr>
      <w:r>
        <w:rPr>
          <w:rFonts w:ascii="Arial" w:hAnsi="Arial" w:cs="Arial" w:eastAsia="Arial" w:hint="default"/>
        </w:rPr>
        <w:t>√  </w:t>
      </w:r>
      <w:r>
        <w:rPr/>
        <w:t>适用 □</w:t>
      </w:r>
      <w:r>
        <w:rPr>
          <w:spacing w:val="-16"/>
        </w:rPr>
        <w:t> </w:t>
      </w:r>
      <w:r>
        <w:rPr/>
        <w:t>不适用</w:t>
      </w:r>
    </w:p>
    <w:p>
      <w:pPr>
        <w:pStyle w:val="Heading3"/>
        <w:spacing w:line="259" w:lineRule="auto" w:before="61"/>
        <w:ind w:right="1127" w:firstLine="480"/>
        <w:jc w:val="left"/>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26</w:t>
      </w:r>
      <w:r>
        <w:rPr/>
        <w:t>日，公司第六届董事会第四十二次会议和第六届监事会第三十四次会议审 议通过了《关于回购注销部分限制性股票的议案》。公司原</w:t>
      </w:r>
      <w:r>
        <w:rPr>
          <w:rFonts w:ascii="Arial" w:hAnsi="Arial" w:cs="Arial" w:eastAsia="Arial" w:hint="default"/>
        </w:rPr>
        <w:t>68</w:t>
      </w:r>
      <w:r>
        <w:rPr/>
        <w:t>名激励对象因辞职、被辞退或 </w:t>
      </w:r>
      <w:r>
        <w:rPr>
          <w:spacing w:val="-1"/>
        </w:rPr>
        <w:t>个人考核成绩不达标等原因，根据《</w:t>
      </w:r>
      <w:r>
        <w:rPr>
          <w:rFonts w:ascii="Arial" w:hAnsi="Arial" w:cs="Arial" w:eastAsia="Arial" w:hint="default"/>
          <w:spacing w:val="-1"/>
        </w:rPr>
        <w:t>2016</w:t>
      </w:r>
      <w:r>
        <w:rPr>
          <w:spacing w:val="-1"/>
        </w:rPr>
        <w:t>年限制性股票激励计划（草案）》第十三章第二条</w:t>
      </w:r>
      <w:r>
        <w:rPr>
          <w:spacing w:val="-100"/>
        </w:rPr>
        <w:t> </w:t>
      </w:r>
      <w:r>
        <w:rPr>
          <w:spacing w:val="-100"/>
        </w:rPr>
      </w:r>
      <w:r>
        <w:rPr/>
        <w:t>的有关规定认定并同意公司对上述</w:t>
      </w:r>
      <w:r>
        <w:rPr>
          <w:rFonts w:ascii="Arial" w:hAnsi="Arial" w:cs="Arial" w:eastAsia="Arial" w:hint="default"/>
        </w:rPr>
        <w:t>68</w:t>
      </w:r>
      <w:r>
        <w:rPr/>
        <w:t>名员工获授但尚未解锁的</w:t>
      </w:r>
      <w:r>
        <w:rPr>
          <w:rFonts w:ascii="Arial" w:hAnsi="Arial" w:cs="Arial" w:eastAsia="Arial" w:hint="default"/>
        </w:rPr>
        <w:t>1,039,230</w:t>
      </w:r>
      <w:r>
        <w:rPr/>
        <w:t>股限制性股票进行 </w:t>
      </w:r>
      <w:r>
        <w:rPr>
          <w:spacing w:val="-1"/>
        </w:rPr>
        <w:t>回购注销。董事会审议通过了《关于公司</w:t>
      </w:r>
      <w:r>
        <w:rPr>
          <w:rFonts w:ascii="Arial" w:hAnsi="Arial" w:cs="Arial" w:eastAsia="Arial" w:hint="default"/>
          <w:spacing w:val="-1"/>
        </w:rPr>
        <w:t>2016</w:t>
      </w:r>
      <w:r>
        <w:rPr>
          <w:spacing w:val="-1"/>
        </w:rPr>
        <w:t>年限制性股票激励计划第二个解锁期可解锁的</w:t>
      </w:r>
      <w:r>
        <w:rPr>
          <w:spacing w:val="-99"/>
        </w:rPr>
        <w:t> </w:t>
      </w:r>
      <w:r>
        <w:rPr/>
        <w:t>议案》，认为公司</w:t>
      </w:r>
      <w:r>
        <w:rPr>
          <w:rFonts w:ascii="Arial" w:hAnsi="Arial" w:cs="Arial" w:eastAsia="Arial" w:hint="default"/>
        </w:rPr>
        <w:t>2016</w:t>
      </w:r>
      <w:r>
        <w:rPr/>
        <w:t>年第二个解锁期解锁条件已满足，同意公司为</w:t>
      </w:r>
      <w:r>
        <w:rPr>
          <w:rFonts w:ascii="Arial" w:hAnsi="Arial" w:cs="Arial" w:eastAsia="Arial" w:hint="default"/>
        </w:rPr>
        <w:t>757</w:t>
      </w:r>
      <w:r>
        <w:rPr/>
        <w:t>名激励对象第二个 解锁期</w:t>
      </w:r>
      <w:r>
        <w:rPr>
          <w:rFonts w:ascii="Arial" w:hAnsi="Arial" w:cs="Arial" w:eastAsia="Arial" w:hint="default"/>
        </w:rPr>
        <w:t>5,769,480</w:t>
      </w:r>
      <w:r>
        <w:rPr/>
        <w:t>股限制性股票予以解锁。详见</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29</w:t>
      </w:r>
      <w:r>
        <w:rPr/>
        <w:t>日公司在巨潮资讯网披露的公 告。</w:t>
      </w:r>
    </w:p>
    <w:p>
      <w:pPr>
        <w:pStyle w:val="Heading3"/>
        <w:spacing w:line="259" w:lineRule="auto" w:before="24"/>
        <w:ind w:right="1132" w:firstLine="480"/>
        <w:jc w:val="both"/>
      </w:pP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15</w:t>
      </w:r>
      <w:r>
        <w:rPr/>
        <w:t>日，公司发布了《关于</w:t>
      </w:r>
      <w:r>
        <w:rPr>
          <w:rFonts w:ascii="Arial" w:hAnsi="Arial" w:cs="Arial" w:eastAsia="Arial" w:hint="default"/>
        </w:rPr>
        <w:t>2016</w:t>
      </w:r>
      <w:r>
        <w:rPr/>
        <w:t>年限制性股票激励计划授予股票第二期可解锁 </w:t>
      </w:r>
      <w:r>
        <w:rPr>
          <w:spacing w:val="-1"/>
        </w:rPr>
        <w:t>股份上市流通的提示性公告》，本次</w:t>
      </w:r>
      <w:r>
        <w:rPr>
          <w:rFonts w:ascii="Arial" w:hAnsi="Arial" w:cs="Arial" w:eastAsia="Arial" w:hint="default"/>
          <w:spacing w:val="-1"/>
        </w:rPr>
        <w:t>2016</w:t>
      </w:r>
      <w:r>
        <w:rPr>
          <w:spacing w:val="-1"/>
        </w:rPr>
        <w:t>年限制性股票激励计划授予的限制性股票第二个解</w:t>
      </w:r>
      <w:r>
        <w:rPr>
          <w:spacing w:val="-99"/>
        </w:rPr>
        <w:t> </w:t>
      </w:r>
      <w:r>
        <w:rPr>
          <w:spacing w:val="-1"/>
        </w:rPr>
        <w:t>锁期可解锁的股份数量为</w:t>
      </w:r>
      <w:r>
        <w:rPr>
          <w:rFonts w:ascii="Arial" w:hAnsi="Arial" w:cs="Arial" w:eastAsia="Arial" w:hint="default"/>
          <w:spacing w:val="-1"/>
        </w:rPr>
        <w:t>5,769,480</w:t>
      </w:r>
      <w:r>
        <w:rPr>
          <w:spacing w:val="-1"/>
        </w:rPr>
        <w:t>股，占公司目前股本总额的</w:t>
      </w:r>
      <w:r>
        <w:rPr>
          <w:rFonts w:ascii="Arial" w:hAnsi="Arial" w:cs="Arial" w:eastAsia="Arial" w:hint="default"/>
          <w:spacing w:val="-1"/>
        </w:rPr>
        <w:t>0.71%</w:t>
      </w:r>
      <w:r>
        <w:rPr>
          <w:spacing w:val="-1"/>
        </w:rPr>
        <w:t>；实际可上市流通数量</w:t>
      </w:r>
      <w:r>
        <w:rPr>
          <w:spacing w:val="-114"/>
        </w:rPr>
        <w:t> </w:t>
      </w:r>
      <w:r>
        <w:rPr>
          <w:spacing w:val="-114"/>
        </w:rPr>
      </w:r>
      <w:r>
        <w:rPr/>
        <w:t>为</w:t>
      </w:r>
      <w:r>
        <w:rPr>
          <w:rFonts w:ascii="Arial" w:hAnsi="Arial" w:cs="Arial" w:eastAsia="Arial" w:hint="default"/>
        </w:rPr>
        <w:t>5,671,980</w:t>
      </w:r>
      <w:r>
        <w:rPr/>
        <w:t>股，占目前公司总股本的</w:t>
      </w:r>
      <w:r>
        <w:rPr>
          <w:rFonts w:ascii="Arial" w:hAnsi="Arial" w:cs="Arial" w:eastAsia="Arial" w:hint="default"/>
        </w:rPr>
        <w:t>0.70%</w:t>
      </w:r>
      <w:r>
        <w:rPr/>
        <w:t>，上市流通日为</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20</w:t>
      </w:r>
      <w:r>
        <w:rPr/>
        <w:t>日。详见</w:t>
      </w:r>
      <w:r>
        <w:rPr>
          <w:rFonts w:ascii="Arial" w:hAnsi="Arial" w:cs="Arial" w:eastAsia="Arial" w:hint="default"/>
        </w:rPr>
        <w:t>2019</w:t>
      </w:r>
      <w:r>
        <w:rPr/>
        <w:t>年</w:t>
      </w:r>
      <w:r>
        <w:rPr>
          <w:rFonts w:ascii="Arial" w:hAnsi="Arial" w:cs="Arial" w:eastAsia="Arial" w:hint="default"/>
        </w:rPr>
        <w:t>5</w:t>
      </w:r>
      <w:r>
        <w:rPr>
          <w:rFonts w:ascii="Arial" w:hAnsi="Arial" w:cs="Arial" w:eastAsia="Arial" w:hint="default"/>
          <w:w w:val="99"/>
        </w:rPr>
        <w:t> </w:t>
      </w:r>
      <w:r>
        <w:rPr/>
        <w:t>月</w:t>
      </w:r>
      <w:r>
        <w:rPr>
          <w:rFonts w:ascii="Arial" w:hAnsi="Arial" w:cs="Arial" w:eastAsia="Arial" w:hint="default"/>
        </w:rPr>
        <w:t>15</w:t>
      </w:r>
      <w:r>
        <w:rPr/>
        <w:t>日在巨潮资讯网披露的公告。</w:t>
      </w:r>
    </w:p>
    <w:p>
      <w:pPr>
        <w:pStyle w:val="Heading3"/>
        <w:spacing w:line="240" w:lineRule="auto" w:before="7"/>
        <w:ind w:left="592" w:right="996"/>
        <w:jc w:val="left"/>
      </w:pPr>
      <w:r>
        <w:rPr>
          <w:rFonts w:ascii="Arial" w:hAnsi="Arial" w:cs="Arial" w:eastAsia="Arial" w:hint="default"/>
        </w:rPr>
        <w:t>2019</w:t>
      </w:r>
      <w:r>
        <w:rPr/>
        <w:t>年</w:t>
      </w:r>
      <w:r>
        <w:rPr>
          <w:rFonts w:ascii="Arial" w:hAnsi="Arial" w:cs="Arial" w:eastAsia="Arial" w:hint="default"/>
        </w:rPr>
        <w:t>6</w:t>
      </w:r>
      <w:r>
        <w:rPr/>
        <w:t>月</w:t>
      </w:r>
      <w:r>
        <w:rPr>
          <w:rFonts w:ascii="Arial" w:hAnsi="Arial" w:cs="Arial" w:eastAsia="Arial" w:hint="default"/>
        </w:rPr>
        <w:t>12</w:t>
      </w:r>
      <w:r>
        <w:rPr/>
        <w:t>日，公司第六届董事会第四十四次会议和第六届监事会第三十六次会议审</w:t>
      </w:r>
    </w:p>
    <w:p>
      <w:pPr>
        <w:spacing w:after="0" w:line="240" w:lineRule="auto"/>
        <w:jc w:val="left"/>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1" w:lineRule="auto" w:before="26"/>
        <w:ind w:right="996"/>
        <w:jc w:val="left"/>
      </w:pPr>
      <w:r>
        <w:rPr>
          <w:spacing w:val="-2"/>
        </w:rPr>
        <w:t>议通过了《关于调整</w:t>
      </w:r>
      <w:r>
        <w:rPr>
          <w:rFonts w:ascii="Arial" w:hAnsi="Arial" w:cs="Arial" w:eastAsia="Arial" w:hint="default"/>
          <w:spacing w:val="-2"/>
        </w:rPr>
        <w:t>2018</w:t>
      </w:r>
      <w:r>
        <w:rPr>
          <w:spacing w:val="-2"/>
        </w:rPr>
        <w:t>年股票期权激励计划行权价格与</w:t>
      </w:r>
      <w:r>
        <w:rPr>
          <w:rFonts w:ascii="Arial" w:hAnsi="Arial" w:cs="Arial" w:eastAsia="Arial" w:hint="default"/>
          <w:spacing w:val="-2"/>
        </w:rPr>
        <w:t>2016</w:t>
      </w:r>
      <w:r>
        <w:rPr>
          <w:spacing w:val="-2"/>
        </w:rPr>
        <w:t>年限制性股票激励计划回购价</w:t>
      </w:r>
      <w:r>
        <w:rPr>
          <w:spacing w:val="-109"/>
        </w:rPr>
        <w:t> </w:t>
      </w:r>
      <w:r>
        <w:rPr>
          <w:spacing w:val="-2"/>
        </w:rPr>
        <w:t>格的议案》，同意根据《</w:t>
      </w:r>
      <w:r>
        <w:rPr>
          <w:rFonts w:ascii="Arial" w:hAnsi="Arial" w:cs="Arial" w:eastAsia="Arial" w:hint="default"/>
          <w:spacing w:val="-2"/>
        </w:rPr>
        <w:t>2018</w:t>
      </w:r>
      <w:r>
        <w:rPr>
          <w:spacing w:val="-2"/>
        </w:rPr>
        <w:t>年股票期权激励计划（草案）》《</w:t>
      </w:r>
      <w:r>
        <w:rPr>
          <w:rFonts w:ascii="Arial" w:hAnsi="Arial" w:cs="Arial" w:eastAsia="Arial" w:hint="default"/>
          <w:spacing w:val="-2"/>
        </w:rPr>
        <w:t>2016</w:t>
      </w:r>
      <w:r>
        <w:rPr>
          <w:spacing w:val="-2"/>
        </w:rPr>
        <w:t>年限制性股票激励计划</w:t>
      </w:r>
    </w:p>
    <w:p>
      <w:pPr>
        <w:pStyle w:val="Heading3"/>
        <w:spacing w:line="259" w:lineRule="auto" w:before="2"/>
        <w:ind w:right="1117"/>
        <w:jc w:val="both"/>
      </w:pPr>
      <w:r>
        <w:rPr>
          <w:spacing w:val="-1"/>
        </w:rPr>
        <w:t>（草案）》中关于期权行权价格、限制性股票回购价格调整的规定，以及公司</w:t>
      </w:r>
      <w:r>
        <w:rPr>
          <w:rFonts w:ascii="Arial" w:hAnsi="Arial" w:cs="Arial" w:eastAsia="Arial" w:hint="default"/>
          <w:spacing w:val="-1"/>
        </w:rPr>
        <w:t>2018</w:t>
      </w:r>
      <w:r>
        <w:rPr>
          <w:spacing w:val="-1"/>
        </w:rPr>
        <w:t>年度利润</w:t>
      </w:r>
      <w:r>
        <w:rPr>
          <w:spacing w:val="-99"/>
        </w:rPr>
        <w:t> </w:t>
      </w:r>
      <w:r>
        <w:rPr/>
        <w:t>分配方案的实施情况，公司</w:t>
      </w:r>
      <w:r>
        <w:rPr>
          <w:rFonts w:ascii="Arial" w:hAnsi="Arial" w:cs="Arial" w:eastAsia="Arial" w:hint="default"/>
        </w:rPr>
        <w:t>2018</w:t>
      </w:r>
      <w:r>
        <w:rPr/>
        <w:t>年股票期权激励计划的行权价格由</w:t>
      </w:r>
      <w:r>
        <w:rPr>
          <w:rFonts w:ascii="Arial" w:hAnsi="Arial" w:cs="Arial" w:eastAsia="Arial" w:hint="default"/>
        </w:rPr>
        <w:t>14.90</w:t>
      </w:r>
      <w:r>
        <w:rPr/>
        <w:t>元调整为</w:t>
      </w:r>
      <w:r>
        <w:rPr>
          <w:rFonts w:ascii="Arial" w:hAnsi="Arial" w:cs="Arial" w:eastAsia="Arial" w:hint="default"/>
        </w:rPr>
        <w:t>14.84</w:t>
      </w:r>
      <w:r>
        <w:rPr/>
        <w:t>元， 公司</w:t>
      </w:r>
      <w:r>
        <w:rPr>
          <w:rFonts w:ascii="Arial" w:hAnsi="Arial" w:cs="Arial" w:eastAsia="Arial" w:hint="default"/>
        </w:rPr>
        <w:t>2016</w:t>
      </w:r>
      <w:r>
        <w:rPr/>
        <w:t>年限制性股票激励计划回购价格由</w:t>
      </w:r>
      <w:r>
        <w:rPr>
          <w:rFonts w:ascii="Arial" w:hAnsi="Arial" w:cs="Arial" w:eastAsia="Arial" w:hint="default"/>
        </w:rPr>
        <w:t>9.93</w:t>
      </w:r>
      <w:r>
        <w:rPr/>
        <w:t>元调整为</w:t>
      </w:r>
      <w:r>
        <w:rPr>
          <w:rFonts w:ascii="Arial" w:hAnsi="Arial" w:cs="Arial" w:eastAsia="Arial" w:hint="default"/>
        </w:rPr>
        <w:t>9.87</w:t>
      </w:r>
      <w:r>
        <w:rPr/>
        <w:t>元。详见</w:t>
      </w:r>
      <w:r>
        <w:rPr>
          <w:rFonts w:ascii="Arial" w:hAnsi="Arial" w:cs="Arial" w:eastAsia="Arial" w:hint="default"/>
        </w:rPr>
        <w:t>2019</w:t>
      </w:r>
      <w:r>
        <w:rPr/>
        <w:t>年</w:t>
      </w:r>
      <w:r>
        <w:rPr>
          <w:rFonts w:ascii="Arial" w:hAnsi="Arial" w:cs="Arial" w:eastAsia="Arial" w:hint="default"/>
        </w:rPr>
        <w:t>6</w:t>
      </w:r>
      <w:r>
        <w:rPr/>
        <w:t>月</w:t>
      </w:r>
      <w:r>
        <w:rPr>
          <w:rFonts w:ascii="Arial" w:hAnsi="Arial" w:cs="Arial" w:eastAsia="Arial" w:hint="default"/>
        </w:rPr>
        <w:t>13</w:t>
      </w:r>
      <w:r>
        <w:rPr/>
        <w:t>日在巨 潮资讯网披露的公告。</w:t>
      </w:r>
    </w:p>
    <w:p>
      <w:pPr>
        <w:pStyle w:val="Heading3"/>
        <w:spacing w:line="261" w:lineRule="auto" w:before="24"/>
        <w:ind w:right="1127" w:firstLine="480"/>
        <w:jc w:val="left"/>
      </w:pPr>
      <w:r>
        <w:rPr/>
        <w:t>公司需遵守《深圳证券交易所行业信息披露指引第</w:t>
      </w:r>
      <w:r>
        <w:rPr>
          <w:rFonts w:ascii="Arial" w:hAnsi="Arial" w:cs="Arial" w:eastAsia="Arial" w:hint="default"/>
        </w:rPr>
        <w:t>12</w:t>
      </w:r>
      <w:r>
        <w:rPr/>
        <w:t>号</w:t>
      </w:r>
      <w:r>
        <w:rPr>
          <w:rFonts w:ascii="Arial" w:hAnsi="Arial" w:cs="Arial" w:eastAsia="Arial" w:hint="default"/>
        </w:rPr>
        <w:t>——</w:t>
      </w:r>
      <w:r>
        <w:rPr/>
        <w:t>上市公司从事软件与信息技 术服务业务》的披露要求</w:t>
      </w:r>
    </w:p>
    <w:p>
      <w:pPr>
        <w:pStyle w:val="Heading3"/>
        <w:spacing w:line="261" w:lineRule="auto" w:before="22"/>
        <w:ind w:right="996" w:firstLine="480"/>
        <w:jc w:val="left"/>
        <w:rPr>
          <w:rFonts w:ascii="MS Gothic" w:hAnsi="MS Gothic" w:cs="MS Gothic" w:eastAsia="MS Gothic" w:hint="default"/>
        </w:rPr>
      </w:pPr>
      <w:r>
        <w:rPr>
          <w:w w:val="95"/>
        </w:rPr>
        <w:t>本年计提股权激励费用</w:t>
      </w:r>
      <w:r>
        <w:rPr>
          <w:rFonts w:ascii="Arial" w:hAnsi="Arial" w:cs="Arial" w:eastAsia="Arial" w:hint="default"/>
          <w:w w:val="95"/>
        </w:rPr>
        <w:t>39,855,829.28</w:t>
      </w:r>
      <w:r>
        <w:rPr>
          <w:w w:val="95"/>
        </w:rPr>
        <w:t>元，减少利润</w:t>
      </w:r>
      <w:r>
        <w:rPr>
          <w:rFonts w:ascii="Arial" w:hAnsi="Arial" w:cs="Arial" w:eastAsia="Arial" w:hint="default"/>
          <w:w w:val="95"/>
        </w:rPr>
        <w:t>35,131,506.74</w:t>
      </w:r>
      <w:r>
        <w:rPr>
          <w:w w:val="95"/>
        </w:rPr>
        <w:t>元。其中，核心技术</w:t>
      </w:r>
      <w:r>
        <w:rPr/>
        <w:t> 人员的股权激励费用</w:t>
      </w:r>
      <w:r>
        <w:rPr>
          <w:rFonts w:ascii="Arial" w:hAnsi="Arial" w:cs="Arial" w:eastAsia="Arial" w:hint="default"/>
        </w:rPr>
        <w:t>26,686,563.84</w:t>
      </w:r>
      <w:r>
        <w:rPr/>
        <w:t>元，占总费用的比例为</w:t>
      </w:r>
      <w:r>
        <w:rPr>
          <w:rFonts w:ascii="Arial" w:hAnsi="Arial" w:cs="Arial" w:eastAsia="Arial" w:hint="default"/>
        </w:rPr>
        <w:t>66.96%</w:t>
      </w:r>
      <w:r>
        <w:rPr>
          <w:rFonts w:ascii="MS Gothic" w:hAnsi="MS Gothic" w:cs="MS Gothic" w:eastAsia="MS Gothic" w:hint="default"/>
        </w:rPr>
        <w:t>｡</w:t>
      </w:r>
    </w:p>
    <w:p>
      <w:pPr>
        <w:spacing w:line="240" w:lineRule="auto" w:before="6"/>
        <w:rPr>
          <w:rFonts w:ascii="MS Gothic" w:hAnsi="MS Gothic" w:cs="MS Gothic" w:eastAsia="MS Gothic" w:hint="default"/>
          <w:sz w:val="21"/>
          <w:szCs w:val="21"/>
        </w:rPr>
      </w:pPr>
    </w:p>
    <w:p>
      <w:pPr>
        <w:pStyle w:val="Heading2"/>
        <w:spacing w:line="240" w:lineRule="auto"/>
        <w:ind w:right="0"/>
        <w:jc w:val="both"/>
        <w:rPr>
          <w:b w:val="0"/>
          <w:bCs w:val="0"/>
        </w:rPr>
      </w:pPr>
      <w:bookmarkStart w:name="十五、重大关联交易" w:id="77"/>
      <w:bookmarkEnd w:id="77"/>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both"/>
        <w:rPr>
          <w:b w:val="0"/>
          <w:bCs w:val="0"/>
        </w:rPr>
      </w:pPr>
      <w:bookmarkStart w:name="1、与日常经营相关的关联交易" w:id="78"/>
      <w:bookmarkEnd w:id="78"/>
      <w:r>
        <w:rPr>
          <w:b w:val="0"/>
          <w:bCs w:val="0"/>
        </w:rPr>
      </w:r>
      <w:r>
        <w:rPr>
          <w:rFonts w:ascii="Arial" w:hAnsi="Arial" w:cs="Arial" w:eastAsia="Arial" w:hint="default"/>
        </w:rPr>
        <w:t>1</w:t>
      </w:r>
      <w:r>
        <w:rPr/>
        <w:t>、与日常经营相关的关联交易</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5714"/>
        <w:jc w:val="left"/>
      </w:pPr>
      <w:r>
        <w:rPr>
          <w:rFonts w:ascii="Arial" w:hAnsi="Arial" w:cs="Arial" w:eastAsia="Arial" w:hint="default"/>
        </w:rPr>
        <w:t>□ </w:t>
      </w:r>
      <w:r>
        <w:rPr/>
        <w:t>适用 √</w:t>
      </w:r>
      <w:r>
        <w:rPr>
          <w:spacing w:val="-15"/>
        </w:rPr>
        <w:t> </w:t>
      </w:r>
      <w:r>
        <w:rPr/>
        <w:t>不适用</w:t>
      </w:r>
      <w:r>
        <w:rPr>
          <w:w w:val="99"/>
        </w:rPr>
        <w:t> </w:t>
      </w:r>
      <w:r>
        <w:rPr/>
        <w:t>公司报告期未发生与日常经营相关的关联交易。</w:t>
      </w:r>
    </w:p>
    <w:p>
      <w:pPr>
        <w:spacing w:line="240" w:lineRule="auto" w:before="8"/>
        <w:rPr>
          <w:rFonts w:ascii="宋体" w:hAnsi="宋体" w:cs="宋体" w:eastAsia="宋体" w:hint="default"/>
          <w:sz w:val="23"/>
          <w:szCs w:val="23"/>
        </w:rPr>
      </w:pPr>
    </w:p>
    <w:p>
      <w:pPr>
        <w:pStyle w:val="Heading4"/>
        <w:spacing w:line="240" w:lineRule="auto" w:before="0"/>
        <w:ind w:right="0"/>
        <w:jc w:val="both"/>
        <w:rPr>
          <w:b w:val="0"/>
          <w:bCs w:val="0"/>
        </w:rPr>
      </w:pPr>
      <w:bookmarkStart w:name="2、资产或股权收购、出售发生的关联交易" w:id="79"/>
      <w:bookmarkEnd w:id="79"/>
      <w:r>
        <w:rPr>
          <w:b w:val="0"/>
          <w:bCs w:val="0"/>
        </w:rPr>
      </w:r>
      <w:r>
        <w:rPr>
          <w:rFonts w:ascii="Arial" w:hAnsi="Arial" w:cs="Arial" w:eastAsia="Arial" w:hint="default"/>
        </w:rPr>
        <w:t>2</w:t>
      </w:r>
      <w:r>
        <w:rPr/>
        <w:t>、资产或股权收购、出售发生的关联交易</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4994"/>
        <w:jc w:val="left"/>
      </w:pPr>
      <w:r>
        <w:rPr>
          <w:rFonts w:ascii="Arial" w:hAnsi="Arial" w:cs="Arial" w:eastAsia="Arial" w:hint="default"/>
        </w:rPr>
        <w:t>□ </w:t>
      </w:r>
      <w:r>
        <w:rPr/>
        <w:t>适用 √</w:t>
      </w:r>
      <w:r>
        <w:rPr>
          <w:spacing w:val="-15"/>
        </w:rPr>
        <w:t> </w:t>
      </w:r>
      <w:r>
        <w:rPr/>
        <w:t>不适用</w:t>
      </w:r>
      <w:r>
        <w:rPr>
          <w:w w:val="99"/>
        </w:rPr>
        <w:t> </w:t>
      </w:r>
      <w:r>
        <w:rPr/>
        <w:t>公司报告期未发生资产或股权收购、出售的关联交易。</w:t>
      </w:r>
    </w:p>
    <w:p>
      <w:pPr>
        <w:spacing w:line="240" w:lineRule="auto" w:before="8"/>
        <w:rPr>
          <w:rFonts w:ascii="宋体" w:hAnsi="宋体" w:cs="宋体" w:eastAsia="宋体" w:hint="default"/>
          <w:sz w:val="23"/>
          <w:szCs w:val="23"/>
        </w:rPr>
      </w:pPr>
    </w:p>
    <w:p>
      <w:pPr>
        <w:pStyle w:val="Heading4"/>
        <w:spacing w:line="240" w:lineRule="auto" w:before="0"/>
        <w:ind w:right="0"/>
        <w:jc w:val="both"/>
        <w:rPr>
          <w:b w:val="0"/>
          <w:bCs w:val="0"/>
        </w:rPr>
      </w:pPr>
      <w:bookmarkStart w:name="3、共同对外投资的关联交易" w:id="80"/>
      <w:bookmarkEnd w:id="80"/>
      <w:r>
        <w:rPr>
          <w:b w:val="0"/>
          <w:bCs w:val="0"/>
        </w:rPr>
      </w:r>
      <w:r>
        <w:rPr>
          <w:rFonts w:ascii="Arial" w:hAnsi="Arial" w:cs="Arial" w:eastAsia="Arial" w:hint="default"/>
        </w:rPr>
        <w:t>3</w:t>
      </w:r>
      <w:r>
        <w:rPr/>
        <w:t>、共同对外投资的关联交易</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5954"/>
        <w:jc w:val="left"/>
      </w:pPr>
      <w:r>
        <w:rPr>
          <w:rFonts w:ascii="Arial" w:hAnsi="Arial" w:cs="Arial" w:eastAsia="Arial" w:hint="default"/>
        </w:rPr>
        <w:t>□ </w:t>
      </w:r>
      <w:r>
        <w:rPr/>
        <w:t>适用 √</w:t>
      </w:r>
      <w:r>
        <w:rPr>
          <w:spacing w:val="-15"/>
        </w:rPr>
        <w:t> </w:t>
      </w:r>
      <w:r>
        <w:rPr/>
        <w:t>不适用</w:t>
      </w:r>
      <w:r>
        <w:rPr>
          <w:w w:val="99"/>
        </w:rPr>
        <w:t> </w:t>
      </w:r>
      <w:r>
        <w:rPr/>
        <w:t>公司报告期未发生共同对外投资的关联交易。</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bookmarkStart w:name="4、关联债权债务往来" w:id="81"/>
      <w:bookmarkEnd w:id="81"/>
      <w:r>
        <w:rPr>
          <w:b w:val="0"/>
          <w:bCs w:val="0"/>
        </w:rPr>
      </w:r>
      <w:r>
        <w:rPr>
          <w:rFonts w:ascii="Arial" w:hAnsi="Arial" w:cs="Arial" w:eastAsia="Arial" w:hint="default"/>
        </w:rPr>
        <w:t>4</w:t>
      </w:r>
      <w:r>
        <w:rPr/>
        <w:t>、关联债权债务往来</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6674"/>
        <w:jc w:val="left"/>
      </w:pPr>
      <w:r>
        <w:rPr>
          <w:rFonts w:ascii="Arial" w:hAnsi="Arial" w:cs="Arial" w:eastAsia="Arial" w:hint="default"/>
        </w:rPr>
        <w:t>□ </w:t>
      </w:r>
      <w:r>
        <w:rPr/>
        <w:t>适用 √</w:t>
      </w:r>
      <w:r>
        <w:rPr>
          <w:spacing w:val="-15"/>
        </w:rPr>
        <w:t> </w:t>
      </w:r>
      <w:r>
        <w:rPr/>
        <w:t>不适用</w:t>
      </w:r>
      <w:r>
        <w:rPr>
          <w:w w:val="99"/>
        </w:rPr>
        <w:t> </w:t>
      </w:r>
      <w:r>
        <w:rPr/>
        <w:t>公司报告期不存在关联债权债务往来。</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bookmarkStart w:name="5、其他重大关联交易" w:id="82"/>
      <w:bookmarkEnd w:id="82"/>
      <w:r>
        <w:rPr>
          <w:b w:val="0"/>
          <w:bCs w:val="0"/>
        </w:rPr>
      </w:r>
      <w:r>
        <w:rPr>
          <w:rFonts w:ascii="Arial" w:hAnsi="Arial" w:cs="Arial" w:eastAsia="Arial" w:hint="default"/>
        </w:rPr>
        <w:t>5</w:t>
      </w:r>
      <w:r>
        <w:rPr/>
        <w:t>、其他重大关联交易</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154"/>
        <w:jc w:val="left"/>
      </w:pPr>
      <w:r>
        <w:rPr>
          <w:rFonts w:ascii="Arial" w:hAnsi="Arial" w:cs="Arial" w:eastAsia="Arial" w:hint="default"/>
        </w:rPr>
        <w:t>□ </w:t>
      </w:r>
      <w:r>
        <w:rPr/>
        <w:t>适用 √</w:t>
      </w:r>
      <w:r>
        <w:rPr>
          <w:spacing w:val="-15"/>
        </w:rPr>
        <w:t> </w:t>
      </w:r>
      <w:r>
        <w:rPr/>
        <w:t>不适用</w:t>
      </w:r>
      <w:r>
        <w:rPr>
          <w:w w:val="99"/>
        </w:rPr>
        <w:t> </w:t>
      </w:r>
      <w:r>
        <w:rPr/>
        <w:t>公司报告期无其他重大关联交易。</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both"/>
        <w:rPr>
          <w:b w:val="0"/>
          <w:bCs w:val="0"/>
        </w:rPr>
      </w:pPr>
      <w:bookmarkStart w:name="1、托管、承包、租赁事项情况" w:id="84"/>
      <w:bookmarkEnd w:id="84"/>
      <w:r>
        <w:rPr>
          <w:b w:val="0"/>
          <w:bCs w:val="0"/>
        </w:rPr>
      </w:r>
      <w:r>
        <w:rPr>
          <w:rFonts w:ascii="Arial" w:hAnsi="Arial" w:cs="Arial" w:eastAsia="Arial" w:hint="default"/>
        </w:rPr>
        <w:t>1</w:t>
      </w:r>
      <w:r>
        <w:rPr/>
        <w:t>、托管、承包、租赁事项情况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both"/>
      </w:pPr>
      <w:r>
        <w:rPr/>
        <w:t>（</w:t>
      </w:r>
      <w:r>
        <w:rPr>
          <w:rFonts w:ascii="Arial" w:hAnsi="Arial" w:cs="Arial" w:eastAsia="Arial" w:hint="default"/>
        </w:rPr>
        <w:t>1</w:t>
      </w:r>
      <w:r>
        <w:rPr/>
        <w:t>）托管情况</w:t>
      </w:r>
    </w:p>
    <w:p>
      <w:pPr>
        <w:spacing w:after="0" w:line="240" w:lineRule="auto"/>
        <w:jc w:val="both"/>
        <w:sectPr>
          <w:footerReference w:type="default" r:id="rId25"/>
          <w:pgSz w:w="11910" w:h="16840"/>
          <w:pgMar w:footer="1016" w:header="878" w:top="1100" w:bottom="1200" w:left="1020" w:right="0"/>
          <w:pgNumType w:start="60"/>
        </w:sectPr>
      </w:pPr>
    </w:p>
    <w:p>
      <w:pPr>
        <w:spacing w:line="240" w:lineRule="auto" w:before="10"/>
        <w:rPr>
          <w:rFonts w:ascii="宋体" w:hAnsi="宋体" w:cs="宋体" w:eastAsia="宋体" w:hint="default"/>
          <w:sz w:val="19"/>
          <w:szCs w:val="19"/>
        </w:rPr>
      </w:pPr>
    </w:p>
    <w:p>
      <w:pPr>
        <w:pStyle w:val="Heading3"/>
        <w:spacing w:line="254" w:lineRule="auto" w:before="26"/>
        <w:ind w:right="7634"/>
        <w:jc w:val="left"/>
      </w:pPr>
      <w:r>
        <w:rPr>
          <w:rFonts w:ascii="Arial" w:hAnsi="Arial" w:cs="Arial" w:eastAsia="Arial" w:hint="default"/>
        </w:rPr>
        <w:t>□ </w:t>
      </w:r>
      <w:r>
        <w:rPr/>
        <w:t>适用 √</w:t>
      </w:r>
      <w:r>
        <w:rPr>
          <w:spacing w:val="-15"/>
        </w:rPr>
        <w:t> </w:t>
      </w:r>
      <w:r>
        <w:rPr/>
        <w:t>不适用</w:t>
      </w:r>
      <w:r>
        <w:rPr>
          <w:w w:val="99"/>
        </w:rPr>
        <w:t> </w:t>
      </w:r>
      <w:r>
        <w:rPr/>
        <w:t>公司报告期不存在托管情况。</w:t>
      </w:r>
    </w:p>
    <w:p>
      <w:pPr>
        <w:spacing w:line="240" w:lineRule="auto" w:before="8"/>
        <w:rPr>
          <w:rFonts w:ascii="宋体" w:hAnsi="宋体" w:cs="宋体" w:eastAsia="宋体" w:hint="default"/>
          <w:sz w:val="23"/>
          <w:szCs w:val="23"/>
        </w:rPr>
      </w:pPr>
    </w:p>
    <w:p>
      <w:pPr>
        <w:pStyle w:val="Heading4"/>
        <w:spacing w:line="240" w:lineRule="auto" w:before="0"/>
        <w:ind w:right="996"/>
        <w:jc w:val="left"/>
        <w:rPr>
          <w:b w:val="0"/>
          <w:bCs w:val="0"/>
        </w:rPr>
      </w:pPr>
      <w:bookmarkStart w:name="（2）承包情况" w:id="85"/>
      <w:bookmarkEnd w:id="85"/>
      <w:r>
        <w:rPr>
          <w:b w:val="0"/>
          <w:bCs w:val="0"/>
        </w:rPr>
      </w:r>
      <w:r>
        <w:rPr/>
        <w:t>（</w:t>
      </w:r>
      <w:r>
        <w:rPr>
          <w:rFonts w:ascii="Arial" w:hAnsi="Arial" w:cs="Arial" w:eastAsia="Arial" w:hint="default"/>
        </w:rPr>
        <w:t>2</w:t>
      </w:r>
      <w:r>
        <w:rPr/>
        <w:t>）承包情况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634"/>
        <w:jc w:val="left"/>
      </w:pPr>
      <w:r>
        <w:rPr>
          <w:rFonts w:ascii="Arial" w:hAnsi="Arial" w:cs="Arial" w:eastAsia="Arial" w:hint="default"/>
        </w:rPr>
        <w:t>□ </w:t>
      </w:r>
      <w:r>
        <w:rPr/>
        <w:t>适用 √</w:t>
      </w:r>
      <w:r>
        <w:rPr>
          <w:spacing w:val="-15"/>
        </w:rPr>
        <w:t> </w:t>
      </w:r>
      <w:r>
        <w:rPr/>
        <w:t>不适用</w:t>
      </w:r>
      <w:r>
        <w:rPr>
          <w:w w:val="99"/>
        </w:rPr>
        <w:t> </w:t>
      </w:r>
      <w:r>
        <w:rPr/>
        <w:t>公司报告期不存在承包情况。</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3）租赁情况" w:id="86"/>
      <w:bookmarkEnd w:id="86"/>
      <w:r>
        <w:rPr>
          <w:b w:val="0"/>
          <w:bCs w:val="0"/>
        </w:rPr>
      </w:r>
      <w:r>
        <w:rPr/>
        <w:t>（</w:t>
      </w:r>
      <w:r>
        <w:rPr>
          <w:rFonts w:ascii="Arial" w:hAnsi="Arial" w:cs="Arial" w:eastAsia="Arial" w:hint="default"/>
        </w:rPr>
        <w:t>3</w:t>
      </w:r>
      <w:r>
        <w:rPr/>
        <w:t>）租赁情况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634"/>
        <w:jc w:val="left"/>
      </w:pPr>
      <w:r>
        <w:rPr>
          <w:rFonts w:ascii="Arial" w:hAnsi="Arial" w:cs="Arial" w:eastAsia="Arial" w:hint="default"/>
        </w:rPr>
        <w:t>□ </w:t>
      </w:r>
      <w:r>
        <w:rPr/>
        <w:t>适用 √</w:t>
      </w:r>
      <w:r>
        <w:rPr>
          <w:spacing w:val="-15"/>
        </w:rPr>
        <w:t> </w:t>
      </w:r>
      <w:r>
        <w:rPr/>
        <w:t>不适用</w:t>
      </w:r>
      <w:r>
        <w:rPr>
          <w:w w:val="99"/>
        </w:rPr>
        <w:t> </w:t>
      </w:r>
      <w:r>
        <w:rPr/>
        <w:t>公司报告期不存在租赁情况。</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2、重大担保" w:id="87"/>
      <w:bookmarkEnd w:id="87"/>
      <w:r>
        <w:rPr>
          <w:b w:val="0"/>
          <w:bCs w:val="0"/>
        </w:rPr>
      </w:r>
      <w:r>
        <w:rPr>
          <w:rFonts w:ascii="Arial" w:hAnsi="Arial" w:cs="Arial" w:eastAsia="Arial" w:hint="default"/>
        </w:rPr>
        <w:t>2</w:t>
      </w:r>
      <w:r>
        <w:rPr/>
        <w:t>、重大担保</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1）担保情况" w:id="88"/>
      <w:bookmarkEnd w:id="88"/>
      <w:r>
        <w:rPr>
          <w:b w:val="0"/>
          <w:bCs w:val="0"/>
        </w:rPr>
      </w:r>
      <w:r>
        <w:rPr/>
        <w:t>（</w:t>
      </w:r>
      <w:r>
        <w:rPr>
          <w:rFonts w:ascii="Arial" w:hAnsi="Arial" w:cs="Arial" w:eastAsia="Arial" w:hint="default"/>
        </w:rPr>
        <w:t>1</w:t>
      </w:r>
      <w:r>
        <w:rPr/>
        <w:t>）担保情况</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8"/>
        <w:gridCol w:w="1224"/>
        <w:gridCol w:w="927"/>
        <w:gridCol w:w="1296"/>
        <w:gridCol w:w="1063"/>
        <w:gridCol w:w="1028"/>
        <w:gridCol w:w="1052"/>
        <w:gridCol w:w="796"/>
        <w:gridCol w:w="77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4"/>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69" w:right="18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2" w:right="122"/>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14"/>
              <w:jc w:val="left"/>
              <w:rPr>
                <w:rFonts w:ascii="宋体" w:hAnsi="宋体" w:cs="宋体" w:eastAsia="宋体" w:hint="default"/>
                <w:sz w:val="18"/>
                <w:szCs w:val="18"/>
              </w:rPr>
            </w:pPr>
            <w:r>
              <w:rPr>
                <w:rFonts w:ascii="宋体" w:hAnsi="宋体" w:cs="宋体" w:eastAsia="宋体" w:hint="default"/>
                <w:sz w:val="18"/>
                <w:szCs w:val="18"/>
              </w:rPr>
              <w:t>北京华宇信息 技术有限公司</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（华夏银行）</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10</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10,884.28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both"/>
              <w:rPr>
                <w:rFonts w:ascii="宋体" w:hAnsi="宋体" w:cs="宋体" w:eastAsia="宋体" w:hint="default"/>
                <w:sz w:val="18"/>
                <w:szCs w:val="18"/>
              </w:rPr>
            </w:pPr>
            <w:r>
              <w:rPr>
                <w:rFonts w:ascii="宋体" w:hAnsi="宋体" w:cs="宋体" w:eastAsia="宋体" w:hint="default"/>
                <w:sz w:val="18"/>
                <w:szCs w:val="18"/>
              </w:rPr>
              <w:t>债务的履 行期届满 日起两年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408"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28"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16"/>
              <w:jc w:val="right"/>
              <w:rPr>
                <w:rFonts w:ascii="宋体" w:hAnsi="宋体" w:cs="宋体" w:eastAsia="宋体" w:hint="default"/>
                <w:sz w:val="18"/>
                <w:szCs w:val="18"/>
              </w:rPr>
            </w:pPr>
            <w:r>
              <w:rPr>
                <w:rFonts w:ascii="宋体" w:hAnsi="宋体" w:cs="宋体" w:eastAsia="宋体" w:hint="default"/>
                <w:sz w:val="18"/>
                <w:szCs w:val="18"/>
              </w:rPr>
              <w:t>主合同下</w:t>
            </w:r>
          </w:p>
        </w:tc>
        <w:tc>
          <w:tcPr>
            <w:tcW w:w="796"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4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14"/>
              <w:jc w:val="left"/>
              <w:rPr>
                <w:rFonts w:ascii="宋体" w:hAnsi="宋体" w:cs="宋体" w:eastAsia="宋体" w:hint="default"/>
                <w:sz w:val="18"/>
                <w:szCs w:val="18"/>
              </w:rPr>
            </w:pPr>
            <w:r>
              <w:rPr>
                <w:rFonts w:ascii="宋体" w:hAnsi="宋体" w:cs="宋体" w:eastAsia="宋体" w:hint="default"/>
                <w:sz w:val="18"/>
                <w:szCs w:val="18"/>
              </w:rPr>
              <w:t>北京华宇信息 技术有限公司</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（北京银行）</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Arial" w:hAnsi="Arial" w:cs="Arial" w:eastAsia="Arial" w:hint="default"/>
                <w:sz w:val="18"/>
                <w:szCs w:val="18"/>
              </w:rPr>
            </w:pPr>
            <w:r>
              <w:rPr>
                <w:rFonts w:ascii="Arial"/>
                <w:spacing w:val="-1"/>
                <w:sz w:val="18"/>
              </w:rPr>
              <w:t>10,000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08</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Arial" w:hAnsi="Arial" w:cs="Arial" w:eastAsia="Arial" w:hint="default"/>
                <w:sz w:val="18"/>
                <w:szCs w:val="18"/>
              </w:rPr>
            </w:pPr>
            <w:r>
              <w:rPr>
                <w:rFonts w:ascii="Arial"/>
                <w:spacing w:val="-1"/>
                <w:sz w:val="18"/>
              </w:rPr>
              <w:t>1,147.33</w:t>
            </w:r>
          </w:p>
        </w:tc>
        <w:tc>
          <w:tcPr>
            <w:tcW w:w="10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16"/>
              <w:jc w:val="both"/>
              <w:rPr>
                <w:rFonts w:ascii="宋体" w:hAnsi="宋体" w:cs="宋体" w:eastAsia="宋体" w:hint="default"/>
                <w:sz w:val="18"/>
                <w:szCs w:val="18"/>
              </w:rPr>
            </w:pPr>
            <w:r>
              <w:rPr>
                <w:rFonts w:ascii="宋体" w:hAnsi="宋体" w:cs="宋体" w:eastAsia="宋体" w:hint="default"/>
                <w:sz w:val="18"/>
                <w:szCs w:val="18"/>
              </w:rPr>
              <w:t>被担保债 务的履行 期届满之</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408"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28"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16"/>
              <w:jc w:val="right"/>
              <w:rPr>
                <w:rFonts w:ascii="宋体" w:hAnsi="宋体" w:cs="宋体" w:eastAsia="宋体" w:hint="default"/>
                <w:sz w:val="18"/>
                <w:szCs w:val="18"/>
              </w:rPr>
            </w:pPr>
            <w:r>
              <w:rPr>
                <w:rFonts w:ascii="宋体" w:hAnsi="宋体" w:cs="宋体" w:eastAsia="宋体" w:hint="default"/>
                <w:sz w:val="18"/>
                <w:szCs w:val="18"/>
              </w:rPr>
              <w:t>日起两年</w:t>
            </w:r>
          </w:p>
        </w:tc>
        <w:tc>
          <w:tcPr>
            <w:tcW w:w="796"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14"/>
              <w:jc w:val="left"/>
              <w:rPr>
                <w:rFonts w:ascii="宋体" w:hAnsi="宋体" w:cs="宋体" w:eastAsia="宋体" w:hint="default"/>
                <w:sz w:val="18"/>
                <w:szCs w:val="18"/>
              </w:rPr>
            </w:pPr>
            <w:r>
              <w:rPr>
                <w:rFonts w:ascii="宋体" w:hAnsi="宋体" w:cs="宋体" w:eastAsia="宋体" w:hint="default"/>
                <w:sz w:val="18"/>
                <w:szCs w:val="18"/>
              </w:rPr>
              <w:t>北京华宇信息 技术有限公司</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5"/>
              <w:jc w:val="right"/>
              <w:rPr>
                <w:rFonts w:ascii="Arial" w:hAnsi="Arial" w:cs="Arial" w:eastAsia="Arial" w:hint="default"/>
                <w:sz w:val="18"/>
                <w:szCs w:val="18"/>
              </w:rPr>
            </w:pPr>
            <w:r>
              <w:rPr>
                <w:rFonts w:ascii="Arial"/>
                <w:spacing w:val="-2"/>
                <w:sz w:val="18"/>
              </w:rPr>
              <w:t>302.11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both"/>
              <w:rPr>
                <w:rFonts w:ascii="宋体" w:hAnsi="宋体" w:cs="宋体" w:eastAsia="宋体" w:hint="default"/>
                <w:sz w:val="18"/>
                <w:szCs w:val="18"/>
              </w:rPr>
            </w:pPr>
            <w:r>
              <w:rPr>
                <w:rFonts w:ascii="宋体" w:hAnsi="宋体" w:cs="宋体" w:eastAsia="宋体" w:hint="default"/>
                <w:sz w:val="18"/>
                <w:szCs w:val="18"/>
              </w:rPr>
              <w:t>债务的履 行期届满 日起两年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Arial" w:hAnsi="Arial" w:cs="Arial" w:eastAsia="Arial"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3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Arial" w:hAnsi="Arial" w:cs="Arial" w:eastAsia="Arial"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14" w:right="0"/>
              <w:jc w:val="left"/>
              <w:rPr>
                <w:rFonts w:ascii="Arial" w:hAnsi="Arial" w:cs="Arial" w:eastAsia="Arial" w:hint="default"/>
                <w:sz w:val="18"/>
                <w:szCs w:val="18"/>
              </w:rPr>
            </w:pPr>
            <w:r>
              <w:rPr>
                <w:rFonts w:ascii="Arial"/>
                <w:sz w:val="18"/>
              </w:rPr>
              <w:t>12,333.72</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Arial" w:hAnsi="Arial" w:cs="Arial" w:eastAsia="Arial"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7"/>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Arial" w:hAnsi="Arial" w:cs="Arial" w:eastAsia="Arial"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14" w:right="0"/>
              <w:jc w:val="left"/>
              <w:rPr>
                <w:rFonts w:ascii="Arial" w:hAnsi="Arial" w:cs="Arial" w:eastAsia="Arial" w:hint="default"/>
                <w:sz w:val="18"/>
                <w:szCs w:val="18"/>
              </w:rPr>
            </w:pPr>
            <w:r>
              <w:rPr>
                <w:rFonts w:ascii="Arial"/>
                <w:sz w:val="18"/>
              </w:rPr>
              <w:t>12,333.72</w:t>
            </w:r>
          </w:p>
        </w:tc>
      </w:tr>
      <w:tr>
        <w:trPr>
          <w:trHeight w:val="400"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32"/>
        <w:gridCol w:w="2223"/>
        <w:gridCol w:w="2091"/>
        <w:gridCol w:w="2627"/>
      </w:tblGrid>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A1+B1+C1</w:t>
            </w:r>
            <w:r>
              <w:rPr>
                <w:rFonts w:ascii="宋体" w:hAnsi="宋体" w:cs="宋体" w:eastAsia="宋体" w:hint="default"/>
                <w:sz w:val="18"/>
                <w:szCs w:val="18"/>
              </w:rPr>
              <w:t>）</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77"/>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Arial" w:hAnsi="Arial" w:cs="Arial" w:eastAsia="Arial" w:hint="default"/>
                <w:sz w:val="18"/>
                <w:szCs w:val="18"/>
              </w:rPr>
              <w:t>A2+B2+C2</w:t>
            </w:r>
            <w:r>
              <w:rPr>
                <w:rFonts w:ascii="宋体" w:hAnsi="宋体" w:cs="宋体" w:eastAsia="宋体" w:hint="default"/>
                <w:sz w:val="18"/>
                <w:szCs w:val="18"/>
              </w:rPr>
              <w:t>）</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12,333.72</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Arial" w:hAnsi="Arial" w:cs="Arial" w:eastAsia="Arial" w:hint="default"/>
                <w:sz w:val="18"/>
                <w:szCs w:val="18"/>
              </w:rPr>
              <w:t>A3+B3+C3</w:t>
            </w:r>
            <w:r>
              <w:rPr>
                <w:rFonts w:ascii="宋体" w:hAnsi="宋体" w:cs="宋体" w:eastAsia="宋体" w:hint="default"/>
                <w:sz w:val="18"/>
                <w:szCs w:val="18"/>
              </w:rPr>
              <w:t>）</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77"/>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Arial" w:hAnsi="Arial" w:cs="Arial" w:eastAsia="Arial" w:hint="default"/>
                <w:sz w:val="18"/>
                <w:szCs w:val="18"/>
              </w:rPr>
              <w:t>A4+B4+C4</w:t>
            </w:r>
            <w:r>
              <w:rPr>
                <w:rFonts w:ascii="宋体" w:hAnsi="宋体" w:cs="宋体" w:eastAsia="宋体" w:hint="default"/>
                <w:sz w:val="18"/>
                <w:szCs w:val="18"/>
              </w:rPr>
              <w:t>）</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12,333.72</w:t>
            </w:r>
          </w:p>
        </w:tc>
      </w:tr>
      <w:tr>
        <w:trPr>
          <w:trHeight w:val="402" w:hRule="exact"/>
        </w:trPr>
        <w:tc>
          <w:tcPr>
            <w:tcW w:w="69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Arial" w:hAnsi="Arial" w:cs="Arial" w:eastAsia="Arial" w:hint="default"/>
                <w:sz w:val="18"/>
                <w:szCs w:val="18"/>
              </w:rPr>
              <w:t>A4+B4+C4</w:t>
            </w:r>
            <w:r>
              <w:rPr>
                <w:rFonts w:ascii="宋体" w:hAnsi="宋体" w:cs="宋体" w:eastAsia="宋体" w:hint="default"/>
                <w:sz w:val="18"/>
                <w:szCs w:val="18"/>
              </w:rPr>
              <w:t>）占公司净资产的比例</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2.08%</w:t>
            </w:r>
          </w:p>
        </w:tc>
      </w:tr>
    </w:tbl>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2）违规对外担保情况" w:id="89"/>
      <w:bookmarkEnd w:id="89"/>
      <w:r>
        <w:rPr>
          <w:b w:val="0"/>
          <w:bCs w:val="0"/>
        </w:rPr>
      </w:r>
      <w:r>
        <w:rPr/>
        <w:t>（</w:t>
      </w:r>
      <w:r>
        <w:rPr>
          <w:rFonts w:ascii="Arial" w:hAnsi="Arial" w:cs="Arial" w:eastAsia="Arial" w:hint="default"/>
        </w:rPr>
        <w:t>2</w:t>
      </w:r>
      <w:r>
        <w:rPr/>
        <w:t>）违规对外担保情况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154"/>
        <w:jc w:val="left"/>
      </w:pPr>
      <w:r>
        <w:rPr>
          <w:rFonts w:ascii="Arial" w:hAnsi="Arial" w:cs="Arial" w:eastAsia="Arial" w:hint="default"/>
        </w:rPr>
        <w:t>□ </w:t>
      </w:r>
      <w:r>
        <w:rPr/>
        <w:t>适用 √</w:t>
      </w:r>
      <w:r>
        <w:rPr>
          <w:spacing w:val="-15"/>
        </w:rPr>
        <w:t> </w:t>
      </w:r>
      <w:r>
        <w:rPr/>
        <w:t>不适用</w:t>
      </w:r>
      <w:r>
        <w:rPr>
          <w:w w:val="99"/>
        </w:rPr>
        <w:t> </w:t>
      </w:r>
      <w:r>
        <w:rPr/>
        <w:t>公司报告期无违规对外担保情况。</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bookmarkStart w:name="3、委托他人进行现金资产管理情况" w:id="90"/>
      <w:bookmarkEnd w:id="90"/>
      <w:r>
        <w:rPr>
          <w:b w:val="0"/>
          <w:bCs w:val="0"/>
        </w:rPr>
      </w:r>
      <w:r>
        <w:rPr>
          <w:rFonts w:ascii="Arial" w:hAnsi="Arial" w:cs="Arial" w:eastAsia="Arial"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both"/>
        <w:rPr>
          <w:b w:val="0"/>
          <w:bCs w:val="0"/>
        </w:rPr>
      </w:pPr>
      <w:bookmarkStart w:name="（1）委托理财情况" w:id="91"/>
      <w:bookmarkEnd w:id="91"/>
      <w:r>
        <w:rPr>
          <w:b w:val="0"/>
          <w:bCs w:val="0"/>
        </w:rPr>
      </w:r>
      <w:r>
        <w:rPr/>
        <w:t>（</w:t>
      </w:r>
      <w:r>
        <w:rPr>
          <w:rFonts w:ascii="Arial" w:hAnsi="Arial" w:cs="Arial" w:eastAsia="Arial" w:hint="default"/>
        </w:rPr>
        <w:t>1</w:t>
      </w:r>
      <w:r>
        <w:rPr/>
        <w:t>）委托理财情况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634"/>
        <w:jc w:val="left"/>
      </w:pPr>
      <w:r>
        <w:rPr>
          <w:rFonts w:ascii="Arial" w:hAnsi="Arial" w:cs="Arial" w:eastAsia="Arial" w:hint="default"/>
        </w:rPr>
        <w:t>□ </w:t>
      </w:r>
      <w:r>
        <w:rPr/>
        <w:t>适用 √</w:t>
      </w:r>
      <w:r>
        <w:rPr>
          <w:spacing w:val="-15"/>
        </w:rPr>
        <w:t> </w:t>
      </w:r>
      <w:r>
        <w:rPr/>
        <w:t>不适用</w:t>
      </w:r>
      <w:r>
        <w:rPr>
          <w:w w:val="99"/>
        </w:rPr>
        <w:t> </w:t>
      </w:r>
      <w:r>
        <w:rPr/>
        <w:t>公司报告期不存在委托理财。</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bookmarkStart w:name="（2）委托贷款情况" w:id="92"/>
      <w:bookmarkEnd w:id="92"/>
      <w:r>
        <w:rPr>
          <w:b w:val="0"/>
          <w:bCs w:val="0"/>
        </w:rPr>
      </w:r>
      <w:r>
        <w:rPr/>
        <w:t>（</w:t>
      </w:r>
      <w:r>
        <w:rPr>
          <w:rFonts w:ascii="Arial" w:hAnsi="Arial" w:cs="Arial" w:eastAsia="Arial" w:hint="default"/>
        </w:rPr>
        <w:t>2</w:t>
      </w:r>
      <w:r>
        <w:rPr/>
        <w:t>）委托贷款情况</w:t>
      </w:r>
      <w:r>
        <w:rPr>
          <w:b w:val="0"/>
          <w:bCs w:val="0"/>
        </w:rPr>
      </w:r>
    </w:p>
    <w:p>
      <w:pPr>
        <w:spacing w:line="240" w:lineRule="auto" w:before="1"/>
        <w:rPr>
          <w:rFonts w:ascii="宋体" w:hAnsi="宋体" w:cs="宋体" w:eastAsia="宋体" w:hint="default"/>
          <w:b/>
          <w:bCs/>
          <w:sz w:val="23"/>
          <w:szCs w:val="23"/>
        </w:rPr>
      </w:pPr>
    </w:p>
    <w:p>
      <w:pPr>
        <w:pStyle w:val="Heading3"/>
        <w:spacing w:line="256" w:lineRule="auto"/>
        <w:ind w:right="7634"/>
        <w:jc w:val="left"/>
      </w:pPr>
      <w:r>
        <w:rPr>
          <w:rFonts w:ascii="Arial" w:hAnsi="Arial" w:cs="Arial" w:eastAsia="Arial" w:hint="default"/>
        </w:rPr>
        <w:t>□ </w:t>
      </w:r>
      <w:r>
        <w:rPr/>
        <w:t>适用 √</w:t>
      </w:r>
      <w:r>
        <w:rPr>
          <w:spacing w:val="-15"/>
        </w:rPr>
        <w:t> </w:t>
      </w:r>
      <w:r>
        <w:rPr/>
        <w:t>不适用</w:t>
      </w:r>
      <w:r>
        <w:rPr>
          <w:w w:val="99"/>
        </w:rPr>
        <w:t> </w:t>
      </w:r>
      <w:r>
        <w:rPr/>
        <w:t>公司报告期不存在委托贷款。</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bookmarkStart w:name="4、其他重大合同" w:id="93"/>
      <w:bookmarkEnd w:id="93"/>
      <w:r>
        <w:rPr>
          <w:b w:val="0"/>
          <w:bCs w:val="0"/>
        </w:rPr>
      </w:r>
      <w:r>
        <w:rPr>
          <w:rFonts w:ascii="Arial" w:hAnsi="Arial" w:cs="Arial" w:eastAsia="Arial" w:hint="default"/>
        </w:rPr>
        <w:t>4</w:t>
      </w:r>
      <w:r>
        <w:rPr/>
        <w:t>、其他重大合同</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154"/>
        <w:jc w:val="left"/>
      </w:pPr>
      <w:r>
        <w:rPr>
          <w:rFonts w:ascii="Arial" w:hAnsi="Arial" w:cs="Arial" w:eastAsia="Arial" w:hint="default"/>
        </w:rPr>
        <w:t>□ </w:t>
      </w:r>
      <w:r>
        <w:rPr/>
        <w:t>适用 √</w:t>
      </w:r>
      <w:r>
        <w:rPr>
          <w:spacing w:val="-15"/>
        </w:rPr>
        <w:t> </w:t>
      </w:r>
      <w:r>
        <w:rPr/>
        <w:t>不适用</w:t>
      </w:r>
      <w:r>
        <w:rPr>
          <w:w w:val="99"/>
        </w:rPr>
        <w:t> </w:t>
      </w:r>
      <w:r>
        <w:rPr/>
        <w:t>公司报告期不存在其他重大合同。</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十七、社会责任情况" w:id="94"/>
      <w:bookmarkEnd w:id="94"/>
      <w:r>
        <w:rPr>
          <w:b w:val="0"/>
          <w:bCs w:val="0"/>
        </w:rPr>
      </w:r>
      <w:r>
        <w:rPr/>
        <w:t>十七、社会责任情况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0"/>
        <w:jc w:val="both"/>
        <w:rPr>
          <w:b w:val="0"/>
          <w:bCs w:val="0"/>
        </w:rPr>
      </w:pPr>
      <w:bookmarkStart w:name="1、履行社会责任情况" w:id="95"/>
      <w:bookmarkEnd w:id="95"/>
      <w:r>
        <w:rPr>
          <w:b w:val="0"/>
          <w:bCs w:val="0"/>
        </w:rPr>
      </w:r>
      <w:r>
        <w:rPr>
          <w:rFonts w:ascii="Arial" w:hAnsi="Arial" w:cs="Arial" w:eastAsia="Arial" w:hint="default"/>
        </w:rPr>
        <w:t>1</w:t>
      </w:r>
      <w:r>
        <w:rPr/>
        <w:t>、履行社会责任情况</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right="996" w:firstLine="482"/>
        <w:jc w:val="left"/>
      </w:pPr>
      <w:r>
        <w:rPr>
          <w:spacing w:val="-3"/>
        </w:rPr>
        <w:t>企业作为社会公民，是社会可持续发展的重要推动者。华宇秉承“自强不息，厚德载物”</w:t>
      </w:r>
      <w:r>
        <w:rPr/>
        <w:t> 的精神，以“持续创新，成就客户”为使命，在不断的经营实践中积极将企业社会责任与公</w:t>
      </w:r>
      <w:r>
        <w:rPr>
          <w:spacing w:val="-89"/>
        </w:rPr>
        <w:t> </w:t>
      </w:r>
      <w:r>
        <w:rPr>
          <w:spacing w:val="-89"/>
        </w:rPr>
      </w:r>
      <w:r>
        <w:rPr/>
        <w:t>司发展战略相融合统一，助力客户共建智慧美好的社会。我们相信，这将会为所有利益相关</w:t>
      </w:r>
      <w:r>
        <w:rPr>
          <w:spacing w:val="-89"/>
        </w:rPr>
        <w:t> </w:t>
      </w:r>
      <w:r>
        <w:rPr>
          <w:spacing w:val="-89"/>
        </w:rPr>
      </w:r>
      <w:r>
        <w:rPr/>
        <w:t>方带来长期、稳定、可持续的共同发展机会。</w:t>
      </w:r>
    </w:p>
    <w:p>
      <w:pPr>
        <w:pStyle w:val="Heading3"/>
        <w:spacing w:line="276" w:lineRule="auto" w:before="10"/>
        <w:ind w:left="595" w:right="996"/>
        <w:jc w:val="left"/>
      </w:pPr>
      <w:r>
        <w:rPr/>
        <w:t>一、科技助力业务创新 公司秉承“自强不息，厚德载物”的企业精神，以“持续创新，成就客户”为使命，深</w:t>
      </w:r>
    </w:p>
    <w:p>
      <w:pPr>
        <w:pStyle w:val="Heading3"/>
        <w:spacing w:line="273" w:lineRule="auto" w:before="7"/>
        <w:ind w:right="1132"/>
        <w:jc w:val="both"/>
      </w:pPr>
      <w:r>
        <w:rPr/>
        <w:t>入理解客户需求，整合研发、咨询、服务等经验，运用软件、数据、安全等技术，在法律科</w:t>
      </w:r>
      <w:r>
        <w:rPr>
          <w:spacing w:val="-89"/>
        </w:rPr>
        <w:t> </w:t>
      </w:r>
      <w:r>
        <w:rPr>
          <w:spacing w:val="-89"/>
        </w:rPr>
      </w:r>
      <w:r>
        <w:rPr/>
        <w:t>技、教育信息化、智慧政务等领域，为政府部门和企事业单位提供值得信赖的、智慧的信息</w:t>
      </w:r>
      <w:r>
        <w:rPr>
          <w:spacing w:val="-89"/>
        </w:rPr>
        <w:t> </w:t>
      </w:r>
      <w:r>
        <w:rPr>
          <w:spacing w:val="-89"/>
        </w:rPr>
      </w:r>
      <w:r>
        <w:rPr/>
        <w:t>化服务。</w:t>
      </w:r>
    </w:p>
    <w:p>
      <w:pPr>
        <w:pStyle w:val="Heading3"/>
        <w:spacing w:line="240" w:lineRule="auto" w:before="12"/>
        <w:ind w:left="595" w:right="996"/>
        <w:jc w:val="left"/>
      </w:pPr>
      <w:r>
        <w:rPr/>
        <w:t>公司多年来始终保持较高的研发投入，努力提升科技水平，将人工智能、大数据、区块</w:t>
      </w:r>
    </w:p>
    <w:p>
      <w:pPr>
        <w:spacing w:after="0" w:line="240" w:lineRule="auto"/>
        <w:jc w:val="left"/>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73" w:lineRule="auto" w:before="26"/>
        <w:ind w:right="1132"/>
        <w:jc w:val="both"/>
      </w:pPr>
      <w:r>
        <w:rPr/>
        <w:t>链等新兴技术与行业应用相结合，实现行业赋能。同时持续拓展和赋能合作伙伴，推动产学</w:t>
      </w:r>
      <w:r>
        <w:rPr>
          <w:spacing w:val="-89"/>
        </w:rPr>
        <w:t> </w:t>
      </w:r>
      <w:r>
        <w:rPr>
          <w:spacing w:val="-89"/>
        </w:rPr>
      </w:r>
      <w:r>
        <w:rPr/>
        <w:t>研相结合，共同为各类用户提供多维、专业、智能、场景化的应用、数据和知识服务，助力</w:t>
      </w:r>
      <w:r>
        <w:rPr>
          <w:spacing w:val="-89"/>
        </w:rPr>
        <w:t> </w:t>
      </w:r>
      <w:r>
        <w:rPr>
          <w:spacing w:val="-89"/>
        </w:rPr>
      </w:r>
      <w:r>
        <w:rPr/>
        <w:t>客户共建智慧美好的社会。</w:t>
      </w:r>
    </w:p>
    <w:p>
      <w:pPr>
        <w:pStyle w:val="Heading3"/>
        <w:spacing w:line="240" w:lineRule="auto" w:before="12"/>
        <w:ind w:left="595" w:right="996"/>
        <w:jc w:val="left"/>
      </w:pPr>
      <w:r>
        <w:rPr/>
        <w:t>二、科技助力疫情防控</w:t>
      </w:r>
    </w:p>
    <w:p>
      <w:pPr>
        <w:pStyle w:val="Heading3"/>
        <w:spacing w:line="266" w:lineRule="auto" w:before="43"/>
        <w:ind w:right="1130" w:firstLine="482"/>
        <w:jc w:val="both"/>
      </w:pPr>
      <w:r>
        <w:rPr>
          <w:rFonts w:ascii="Arial" w:hAnsi="Arial" w:cs="Arial" w:eastAsia="Arial" w:hint="default"/>
          <w:spacing w:val="-1"/>
        </w:rPr>
        <w:t>2020</w:t>
      </w:r>
      <w:r>
        <w:rPr>
          <w:spacing w:val="-1"/>
        </w:rPr>
        <w:t>年初新型冠状病毒肺炎疫情已经蔓延全国，在这场没有硝烟的战役中，华宇利用自</w:t>
      </w:r>
      <w:r>
        <w:rPr/>
        <w:t> 身优势，通过技术手段，积极联合产业生态内相关企业，为司法、教育、政府、企业等领域</w:t>
      </w:r>
      <w:r>
        <w:rPr>
          <w:spacing w:val="-89"/>
        </w:rPr>
        <w:t> </w:t>
      </w:r>
      <w:r>
        <w:rPr>
          <w:spacing w:val="-89"/>
        </w:rPr>
      </w:r>
      <w:r>
        <w:rPr/>
        <w:t>提供多项服务，用科技助力疫情防控，为抗击疫情尽绵薄之力。</w:t>
      </w:r>
    </w:p>
    <w:p>
      <w:pPr>
        <w:pStyle w:val="Heading3"/>
        <w:spacing w:line="273" w:lineRule="auto" w:before="19"/>
        <w:ind w:left="595" w:right="996"/>
        <w:jc w:val="left"/>
      </w:pPr>
      <w:r>
        <w:rPr/>
        <w:t>在法律科技领域 </w:t>
      </w:r>
      <w:r>
        <w:rPr>
          <w:spacing w:val="-1"/>
        </w:rPr>
        <w:t>在</w:t>
      </w:r>
      <w:r>
        <w:rPr>
          <w:rFonts w:ascii="Arial" w:hAnsi="Arial" w:cs="Arial" w:eastAsia="Arial" w:hint="default"/>
          <w:spacing w:val="-1"/>
        </w:rPr>
        <w:t>2020</w:t>
      </w:r>
      <w:r>
        <w:rPr>
          <w:spacing w:val="-1"/>
        </w:rPr>
        <w:t>年“新冠”疫情期间，免费为全国法院、检察院以及司法行政等相关单位，提供</w:t>
      </w:r>
    </w:p>
    <w:p>
      <w:pPr>
        <w:pStyle w:val="Heading3"/>
        <w:spacing w:line="259" w:lineRule="auto"/>
        <w:ind w:right="1123"/>
        <w:jc w:val="both"/>
      </w:pPr>
      <w:r>
        <w:rPr/>
        <w:t>支持互联网庭审、远程调解等多项服务。“云间”互联网庭审上线一个月，累计为全国</w:t>
      </w:r>
      <w:r>
        <w:rPr>
          <w:rFonts w:ascii="Arial" w:hAnsi="Arial" w:cs="Arial" w:eastAsia="Arial" w:hint="default"/>
        </w:rPr>
        <w:t>31</w:t>
      </w:r>
      <w:r>
        <w:rPr/>
        <w:t>个</w:t>
      </w:r>
      <w:r>
        <w:rPr>
          <w:spacing w:val="-113"/>
        </w:rPr>
        <w:t> </w:t>
      </w:r>
      <w:r>
        <w:rPr>
          <w:spacing w:val="-2"/>
        </w:rPr>
        <w:t>省（自治区、直辖市）近</w:t>
      </w:r>
      <w:r>
        <w:rPr>
          <w:rFonts w:ascii="Arial" w:hAnsi="Arial" w:cs="Arial" w:eastAsia="Arial" w:hint="default"/>
          <w:spacing w:val="-2"/>
        </w:rPr>
        <w:t>2500</w:t>
      </w:r>
      <w:r>
        <w:rPr>
          <w:spacing w:val="-2"/>
        </w:rPr>
        <w:t>家法院</w:t>
      </w:r>
      <w:r>
        <w:rPr>
          <w:rFonts w:ascii="Arial" w:hAnsi="Arial" w:cs="Arial" w:eastAsia="Arial" w:hint="default"/>
          <w:spacing w:val="-2"/>
        </w:rPr>
        <w:t>13600</w:t>
      </w:r>
      <w:r>
        <w:rPr>
          <w:spacing w:val="-2"/>
        </w:rPr>
        <w:t>余间法庭开通服务，期间支持开庭审理超过</w:t>
      </w:r>
      <w:r>
        <w:rPr>
          <w:rFonts w:ascii="Arial" w:hAnsi="Arial" w:cs="Arial" w:eastAsia="Arial" w:hint="default"/>
          <w:spacing w:val="-2"/>
        </w:rPr>
        <w:t>2.6</w:t>
      </w:r>
      <w:r>
        <w:rPr>
          <w:spacing w:val="-2"/>
        </w:rPr>
        <w:t>万</w:t>
      </w:r>
      <w:r>
        <w:rPr>
          <w:spacing w:val="-87"/>
        </w:rPr>
        <w:t> </w:t>
      </w:r>
      <w:r>
        <w:rPr>
          <w:spacing w:val="-3"/>
        </w:rPr>
        <w:t>次，累计开庭时间近</w:t>
      </w:r>
      <w:r>
        <w:rPr>
          <w:rFonts w:ascii="Arial" w:hAnsi="Arial" w:cs="Arial" w:eastAsia="Arial" w:hint="default"/>
          <w:spacing w:val="-3"/>
        </w:rPr>
        <w:t>3</w:t>
      </w:r>
      <w:r>
        <w:rPr>
          <w:spacing w:val="-3"/>
        </w:rPr>
        <w:t>万小时。同时，华宇面向所有法律人，在疫情期间免费开放元典律师平</w:t>
      </w:r>
      <w:r>
        <w:rPr>
          <w:spacing w:val="-93"/>
        </w:rPr>
        <w:t> </w:t>
      </w:r>
      <w:r>
        <w:rPr>
          <w:spacing w:val="-93"/>
        </w:rPr>
      </w:r>
      <w:r>
        <w:rPr/>
        <w:t>台高级版、元典智库</w:t>
      </w:r>
      <w:r>
        <w:rPr>
          <w:rFonts w:ascii="Arial" w:hAnsi="Arial" w:cs="Arial" w:eastAsia="Arial" w:hint="default"/>
        </w:rPr>
        <w:t>VIP</w:t>
      </w:r>
      <w:r>
        <w:rPr/>
        <w:t>、法官怎么判</w:t>
      </w:r>
      <w:r>
        <w:rPr>
          <w:rFonts w:ascii="Arial" w:hAnsi="Arial" w:cs="Arial" w:eastAsia="Arial" w:hint="default"/>
        </w:rPr>
        <w:t>VIP</w:t>
      </w:r>
      <w:r>
        <w:rPr/>
        <w:t>、刑法怎么用</w:t>
      </w:r>
      <w:r>
        <w:rPr>
          <w:rFonts w:ascii="Arial" w:hAnsi="Arial" w:cs="Arial" w:eastAsia="Arial" w:hint="default"/>
        </w:rPr>
        <w:t>VIP</w:t>
      </w:r>
      <w:r>
        <w:rPr/>
        <w:t>等系统，帮助律师、法务等法律</w:t>
      </w:r>
      <w:r>
        <w:rPr>
          <w:spacing w:val="-60"/>
        </w:rPr>
        <w:t> </w:t>
      </w:r>
      <w:r>
        <w:rPr>
          <w:spacing w:val="-60"/>
        </w:rPr>
      </w:r>
      <w:r>
        <w:rPr/>
        <w:t>人，解决远程办公问题。</w:t>
      </w:r>
    </w:p>
    <w:p>
      <w:pPr>
        <w:pStyle w:val="Heading3"/>
        <w:spacing w:line="273" w:lineRule="auto" w:before="24"/>
        <w:ind w:left="595" w:right="1132"/>
        <w:jc w:val="left"/>
      </w:pPr>
      <w:r>
        <w:rPr/>
        <w:t>在教育信息化领域 </w:t>
      </w:r>
      <w:r>
        <w:rPr>
          <w:spacing w:val="7"/>
        </w:rPr>
        <w:t>为帮助全国高校学生工作管理人员有效开展学生健康动态跟踪及疫情防控信息服务工</w:t>
      </w:r>
    </w:p>
    <w:p>
      <w:pPr>
        <w:pStyle w:val="Heading3"/>
        <w:spacing w:line="273" w:lineRule="auto" w:before="12"/>
        <w:ind w:right="1132"/>
        <w:jc w:val="both"/>
      </w:pPr>
      <w:r>
        <w:rPr/>
        <w:t>作，公司在疫情期间向全国高校免费开放社交式互联网应用“我在校园”。学校各层级学工</w:t>
      </w:r>
      <w:r>
        <w:rPr>
          <w:spacing w:val="-89"/>
        </w:rPr>
        <w:t> </w:t>
      </w:r>
      <w:r>
        <w:rPr>
          <w:spacing w:val="-89"/>
        </w:rPr>
      </w:r>
      <w:r>
        <w:rPr/>
        <w:t>管理者可用“我在校园”平台随时随地精准掌握学生动向和近况，准确迅速地统计学校学生</w:t>
      </w:r>
      <w:r>
        <w:rPr>
          <w:spacing w:val="-89"/>
        </w:rPr>
        <w:t> </w:t>
      </w:r>
      <w:r>
        <w:rPr>
          <w:spacing w:val="-89"/>
        </w:rPr>
      </w:r>
      <w:r>
        <w:rPr/>
        <w:t>中确诊病例、疑似病例、发热情况、近期去向等数据，确保统计数据权威可靠，为做好疫情</w:t>
      </w:r>
      <w:r>
        <w:rPr>
          <w:spacing w:val="-89"/>
        </w:rPr>
        <w:t> </w:t>
      </w:r>
      <w:r>
        <w:rPr>
          <w:spacing w:val="-89"/>
        </w:rPr>
      </w:r>
      <w:r>
        <w:rPr/>
        <w:t>防控提供精准的数据支持、真正做到对师生负责，对社会负责。</w:t>
      </w:r>
    </w:p>
    <w:p>
      <w:pPr>
        <w:pStyle w:val="Heading3"/>
        <w:spacing w:line="259" w:lineRule="auto" w:before="10"/>
        <w:ind w:right="996" w:firstLine="482"/>
        <w:jc w:val="left"/>
      </w:pPr>
      <w:r>
        <w:rPr>
          <w:spacing w:val="-3"/>
        </w:rPr>
        <w:t>截止</w:t>
      </w:r>
      <w:r>
        <w:rPr>
          <w:rFonts w:ascii="Arial" w:hAnsi="Arial" w:cs="Arial" w:eastAsia="Arial" w:hint="default"/>
          <w:spacing w:val="-3"/>
        </w:rPr>
        <w:t>2020</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29</w:t>
      </w:r>
      <w:r>
        <w:rPr>
          <w:spacing w:val="-3"/>
        </w:rPr>
        <w:t>日，“我在校园”平台已为全国</w:t>
      </w:r>
      <w:r>
        <w:rPr>
          <w:rFonts w:ascii="Arial" w:hAnsi="Arial" w:cs="Arial" w:eastAsia="Arial" w:hint="default"/>
          <w:spacing w:val="-3"/>
        </w:rPr>
        <w:t>528</w:t>
      </w:r>
      <w:r>
        <w:rPr>
          <w:spacing w:val="-3"/>
        </w:rPr>
        <w:t>所高校免费提供授权码，总注册人</w:t>
      </w:r>
      <w:r>
        <w:rPr/>
        <w:t> </w:t>
      </w:r>
      <w:r>
        <w:rPr>
          <w:spacing w:val="-1"/>
        </w:rPr>
        <w:t>数达到</w:t>
      </w:r>
      <w:r>
        <w:rPr>
          <w:rFonts w:ascii="Arial" w:hAnsi="Arial" w:cs="Arial" w:eastAsia="Arial" w:hint="default"/>
          <w:spacing w:val="-1"/>
        </w:rPr>
        <w:t>365</w:t>
      </w:r>
      <w:r>
        <w:rPr>
          <w:spacing w:val="-1"/>
        </w:rPr>
        <w:t>万余人；疫情期间发布通知</w:t>
      </w:r>
      <w:r>
        <w:rPr>
          <w:rFonts w:ascii="Arial" w:hAnsi="Arial" w:cs="Arial" w:eastAsia="Arial" w:hint="default"/>
          <w:spacing w:val="-1"/>
        </w:rPr>
        <w:t>2.8</w:t>
      </w:r>
      <w:r>
        <w:rPr>
          <w:spacing w:val="-1"/>
        </w:rPr>
        <w:t>万余条，阅读人数达</w:t>
      </w:r>
      <w:r>
        <w:rPr>
          <w:rFonts w:ascii="Arial" w:hAnsi="Arial" w:cs="Arial" w:eastAsia="Arial" w:hint="default"/>
          <w:spacing w:val="-1"/>
        </w:rPr>
        <w:t>680</w:t>
      </w:r>
      <w:r>
        <w:rPr>
          <w:spacing w:val="-1"/>
        </w:rPr>
        <w:t>万余次，阅读率超过</w:t>
      </w:r>
      <w:r>
        <w:rPr>
          <w:rFonts w:ascii="Arial" w:hAnsi="Arial" w:cs="Arial" w:eastAsia="Arial" w:hint="default"/>
          <w:spacing w:val="-1"/>
        </w:rPr>
        <w:t>98%</w:t>
      </w:r>
      <w:r>
        <w:rPr>
          <w:spacing w:val="-1"/>
        </w:rPr>
        <w:t>；</w:t>
      </w:r>
      <w:r>
        <w:rPr>
          <w:spacing w:val="-96"/>
        </w:rPr>
        <w:t> </w:t>
      </w:r>
      <w:r>
        <w:rPr/>
        <w:t>发起签到</w:t>
      </w:r>
      <w:r>
        <w:rPr>
          <w:rFonts w:ascii="Arial" w:hAnsi="Arial" w:cs="Arial" w:eastAsia="Arial" w:hint="default"/>
        </w:rPr>
        <w:t>7</w:t>
      </w:r>
      <w:r>
        <w:rPr/>
        <w:t>万余次，</w:t>
      </w:r>
      <w:r>
        <w:rPr>
          <w:rFonts w:ascii="Arial" w:hAnsi="Arial" w:cs="Arial" w:eastAsia="Arial" w:hint="default"/>
        </w:rPr>
        <w:t>998</w:t>
      </w:r>
      <w:r>
        <w:rPr/>
        <w:t>万余人次完成定点签到任务；发出问卷</w:t>
      </w:r>
      <w:r>
        <w:rPr>
          <w:rFonts w:ascii="Arial" w:hAnsi="Arial" w:cs="Arial" w:eastAsia="Arial" w:hint="default"/>
        </w:rPr>
        <w:t>695</w:t>
      </w:r>
      <w:r>
        <w:rPr/>
        <w:t>万余份，及时填报率超过</w:t>
      </w:r>
      <w:r>
        <w:rPr>
          <w:spacing w:val="-70"/>
        </w:rPr>
        <w:t> </w:t>
      </w:r>
      <w:r>
        <w:rPr>
          <w:spacing w:val="-70"/>
        </w:rPr>
      </w:r>
      <w:r>
        <w:rPr>
          <w:rFonts w:ascii="Arial" w:hAnsi="Arial" w:cs="Arial" w:eastAsia="Arial" w:hint="default"/>
        </w:rPr>
        <w:t>97%</w:t>
      </w:r>
      <w:r>
        <w:rPr/>
        <w:t>。</w:t>
      </w:r>
    </w:p>
    <w:p>
      <w:pPr>
        <w:pStyle w:val="Heading3"/>
        <w:spacing w:line="273" w:lineRule="auto" w:before="5"/>
        <w:ind w:left="595" w:right="996"/>
        <w:jc w:val="left"/>
      </w:pPr>
      <w:r>
        <w:rPr/>
        <w:t>在智慧政务领域 公司及时研发返城人员信息直报平台，支撑市场监管机构加强对企业返城人员信息的采</w:t>
      </w:r>
    </w:p>
    <w:p>
      <w:pPr>
        <w:pStyle w:val="Heading3"/>
        <w:spacing w:line="266" w:lineRule="auto" w:before="12"/>
        <w:ind w:right="1129"/>
        <w:jc w:val="both"/>
      </w:pPr>
      <w:r>
        <w:rPr/>
        <w:t>集直报、登记相关健康信息和及时做好服务。该平台已在北京市多家区市场监督管理局上线</w:t>
      </w:r>
      <w:r>
        <w:rPr>
          <w:spacing w:val="-89"/>
        </w:rPr>
        <w:t> </w:t>
      </w:r>
      <w:r>
        <w:rPr>
          <w:spacing w:val="-89"/>
        </w:rPr>
      </w:r>
      <w:r>
        <w:rPr/>
        <w:t>使用，全方位助力疫情防控与市场监管，已对近</w:t>
      </w:r>
      <w:r>
        <w:rPr>
          <w:rFonts w:ascii="Arial" w:hAnsi="Arial" w:cs="Arial" w:eastAsia="Arial" w:hint="default"/>
        </w:rPr>
        <w:t>10000</w:t>
      </w:r>
      <w:r>
        <w:rPr/>
        <w:t>家企业进行了信息统计，涉及上报人</w:t>
      </w:r>
      <w:r>
        <w:rPr>
          <w:spacing w:val="-47"/>
        </w:rPr>
        <w:t> </w:t>
      </w:r>
      <w:r>
        <w:rPr>
          <w:spacing w:val="-47"/>
        </w:rPr>
      </w:r>
      <w:r>
        <w:rPr>
          <w:spacing w:val="-3"/>
        </w:rPr>
        <w:t>员</w:t>
      </w:r>
      <w:r>
        <w:rPr>
          <w:rFonts w:ascii="Arial" w:hAnsi="Arial" w:cs="Arial" w:eastAsia="Arial" w:hint="default"/>
          <w:spacing w:val="-3"/>
        </w:rPr>
        <w:t>3</w:t>
      </w:r>
      <w:r>
        <w:rPr>
          <w:spacing w:val="-3"/>
        </w:rPr>
        <w:t>万余人。此外，公司还利用自身优势，支持国家卫健委、省市卫健委、疫情防控指挥部等</w:t>
      </w:r>
      <w:r>
        <w:rPr>
          <w:spacing w:val="-94"/>
        </w:rPr>
        <w:t> </w:t>
      </w:r>
      <w:r>
        <w:rPr>
          <w:spacing w:val="-94"/>
        </w:rPr>
      </w:r>
      <w:r>
        <w:rPr/>
        <w:t>部门，以及各大中型企业单位快速搭建新冠肺炎疫情数据报送分析系统和疫情信息上报与值</w:t>
      </w:r>
      <w:r>
        <w:rPr>
          <w:spacing w:val="-89"/>
        </w:rPr>
        <w:t> </w:t>
      </w:r>
      <w:r>
        <w:rPr>
          <w:spacing w:val="-89"/>
        </w:rPr>
      </w:r>
      <w:r>
        <w:rPr/>
        <w:t>班系统，实现疫情防控、物资供给、应急数据快速、及时动态的报送、汇总和分析。</w:t>
      </w:r>
    </w:p>
    <w:p>
      <w:pPr>
        <w:pStyle w:val="Heading3"/>
        <w:spacing w:line="273" w:lineRule="auto" w:before="19"/>
        <w:ind w:left="595" w:right="996"/>
        <w:jc w:val="left"/>
      </w:pPr>
      <w:r>
        <w:rPr/>
        <w:t>三、促进员工持续发展 员工是公司的宝贵财富，是公司实现可持续发展的重要力量，同时公司业务的发展也促</w:t>
      </w:r>
    </w:p>
    <w:p>
      <w:pPr>
        <w:pStyle w:val="Heading3"/>
        <w:spacing w:line="273" w:lineRule="auto" w:before="12"/>
        <w:ind w:right="1132"/>
        <w:jc w:val="both"/>
      </w:pPr>
      <w:r>
        <w:rPr/>
        <w:t>进了员工个人价值的实现。公司为员工提供持续的培训提升机会，助力员工成长；关爱员工</w:t>
      </w:r>
      <w:r>
        <w:rPr>
          <w:spacing w:val="-89"/>
        </w:rPr>
        <w:t> </w:t>
      </w:r>
      <w:r>
        <w:rPr>
          <w:spacing w:val="-89"/>
        </w:rPr>
      </w:r>
      <w:r>
        <w:rPr/>
        <w:t>的生活与健康，为员工解决后顾之忧，使员工有归属感。</w:t>
      </w:r>
    </w:p>
    <w:p>
      <w:pPr>
        <w:pStyle w:val="Heading3"/>
        <w:spacing w:line="276" w:lineRule="auto" w:before="10"/>
        <w:ind w:left="595" w:right="996"/>
        <w:jc w:val="left"/>
      </w:pPr>
      <w:r>
        <w:rPr/>
        <w:t>成就卓越华宇人 公司以“助力客户共建智慧美好社会”的企业愿景为牵引，竭尽所能打造广阔的事业发</w:t>
      </w:r>
    </w:p>
    <w:p>
      <w:pPr>
        <w:pStyle w:val="Heading3"/>
        <w:spacing w:line="240" w:lineRule="auto" w:before="10"/>
        <w:ind w:right="0"/>
        <w:jc w:val="both"/>
      </w:pPr>
      <w:r>
        <w:rPr/>
        <w:t>展平台，通过不断完善人力资源管理体系，为员工提供充分的发展机会和清晰的职业发展路</w:t>
      </w:r>
    </w:p>
    <w:p>
      <w:pPr>
        <w:spacing w:after="0" w:line="240" w:lineRule="auto"/>
        <w:jc w:val="both"/>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6" w:lineRule="auto" w:before="26"/>
        <w:ind w:right="1125"/>
        <w:jc w:val="both"/>
      </w:pPr>
      <w:r>
        <w:rPr>
          <w:spacing w:val="-1"/>
        </w:rPr>
        <w:t>径。</w:t>
      </w:r>
      <w:r>
        <w:rPr>
          <w:rFonts w:ascii="Arial" w:hAnsi="Arial" w:cs="Arial" w:eastAsia="Arial" w:hint="default"/>
          <w:spacing w:val="-1"/>
        </w:rPr>
        <w:t>2019</w:t>
      </w:r>
      <w:r>
        <w:rPr>
          <w:spacing w:val="-1"/>
        </w:rPr>
        <w:t>年，公司不断完善“内部公平、外部竞争”的薪酬体系、“精神激励与长短期物质</w:t>
      </w:r>
      <w:r>
        <w:rPr>
          <w:spacing w:val="-92"/>
        </w:rPr>
        <w:t> </w:t>
      </w:r>
      <w:r>
        <w:rPr>
          <w:spacing w:val="-92"/>
        </w:rPr>
      </w:r>
      <w:r>
        <w:rPr/>
        <w:t>激励相结合”的激励机制、“纵向多序列透明晋升”的职业发展机制与“横向灵活转岗”的</w:t>
      </w:r>
      <w:r>
        <w:rPr>
          <w:spacing w:val="-89"/>
        </w:rPr>
        <w:t> </w:t>
      </w:r>
      <w:r>
        <w:rPr>
          <w:spacing w:val="-89"/>
        </w:rPr>
      </w:r>
      <w:r>
        <w:rPr/>
        <w:t>职业选择通道，使华宇人获得持续成长的机会。</w:t>
      </w:r>
    </w:p>
    <w:p>
      <w:pPr>
        <w:pStyle w:val="Heading3"/>
        <w:spacing w:line="266" w:lineRule="auto" w:before="19"/>
        <w:ind w:right="1128" w:firstLine="482"/>
        <w:jc w:val="both"/>
      </w:pPr>
      <w:r>
        <w:rPr/>
        <w:t>同时，公司提倡并鼓励员工通过持续的学习与实践升级认知，提升自己的综合能力，不 断成长。华宇的企业大学，以促进员工成长为使命，持续为员工提供多样化、体系化的学习</w:t>
      </w:r>
      <w:r>
        <w:rPr>
          <w:spacing w:val="-89"/>
        </w:rPr>
        <w:t> </w:t>
      </w:r>
      <w:r>
        <w:rPr>
          <w:spacing w:val="-89"/>
        </w:rPr>
      </w:r>
      <w:r>
        <w:rPr/>
        <w:t>内容。</w:t>
      </w:r>
      <w:r>
        <w:rPr>
          <w:rFonts w:ascii="Arial" w:hAnsi="Arial" w:cs="Arial" w:eastAsia="Arial" w:hint="default"/>
        </w:rPr>
        <w:t>2019</w:t>
      </w:r>
      <w:r>
        <w:rPr/>
        <w:t>年，员工线上学习累计</w:t>
      </w:r>
      <w:r>
        <w:rPr>
          <w:rFonts w:ascii="Arial" w:hAnsi="Arial" w:cs="Arial" w:eastAsia="Arial" w:hint="default"/>
        </w:rPr>
        <w:t>23</w:t>
      </w:r>
      <w:r>
        <w:rPr/>
        <w:t>万人次，线上学习时长累计近</w:t>
      </w:r>
      <w:r>
        <w:rPr>
          <w:rFonts w:ascii="Arial" w:hAnsi="Arial" w:cs="Arial" w:eastAsia="Arial" w:hint="default"/>
        </w:rPr>
        <w:t>6</w:t>
      </w:r>
      <w:r>
        <w:rPr/>
        <w:t>万小时。针对员工管理</w:t>
      </w:r>
      <w:r>
        <w:rPr>
          <w:spacing w:val="-69"/>
        </w:rPr>
        <w:t> </w:t>
      </w:r>
      <w:r>
        <w:rPr>
          <w:spacing w:val="-69"/>
        </w:rPr>
      </w:r>
      <w:r>
        <w:rPr/>
        <w:t>能力、专业能力等方面，开设高管</w:t>
      </w:r>
      <w:r>
        <w:rPr>
          <w:rFonts w:ascii="Arial" w:hAnsi="Arial" w:cs="Arial" w:eastAsia="Arial" w:hint="default"/>
        </w:rPr>
        <w:t>MBA</w:t>
      </w:r>
      <w:r>
        <w:rPr/>
        <w:t>学习项目、中层聚合项目等线下课程，为员工搭建立 体化的学习成长平台。</w:t>
      </w:r>
    </w:p>
    <w:p>
      <w:pPr>
        <w:pStyle w:val="Heading3"/>
        <w:spacing w:line="276" w:lineRule="auto" w:before="17"/>
        <w:ind w:left="595" w:right="996"/>
        <w:jc w:val="left"/>
      </w:pPr>
      <w:r>
        <w:rPr/>
        <w:t>保障关爱华宇人 在员工保障方面，除了为员工提供基本的保障外，公司还为员工及其子女提供人身意外</w:t>
      </w:r>
    </w:p>
    <w:p>
      <w:pPr>
        <w:pStyle w:val="Heading3"/>
        <w:spacing w:line="273" w:lineRule="auto" w:before="7"/>
        <w:ind w:right="1132"/>
        <w:jc w:val="both"/>
      </w:pPr>
      <w:r>
        <w:rPr/>
        <w:t>伤害、重大疾病等多种商业保险和医疗救助，帮助员工提高应对风险的能力。同时，公司设</w:t>
      </w:r>
      <w:r>
        <w:rPr>
          <w:spacing w:val="-89"/>
        </w:rPr>
        <w:t> </w:t>
      </w:r>
      <w:r>
        <w:rPr>
          <w:spacing w:val="-89"/>
        </w:rPr>
      </w:r>
      <w:r>
        <w:rPr/>
        <w:t>有员工救助基金，帮助因疾病、灾害发生而出现重大经济困难的员工及其家庭。多维立体的</w:t>
      </w:r>
      <w:r>
        <w:rPr>
          <w:spacing w:val="-89"/>
        </w:rPr>
        <w:t> </w:t>
      </w:r>
      <w:r>
        <w:rPr>
          <w:spacing w:val="-89"/>
        </w:rPr>
      </w:r>
      <w:r>
        <w:rPr/>
        <w:t>保障机制与完善的福利体系紧密结合，为员工可持续发展保驾护航。</w:t>
      </w:r>
    </w:p>
    <w:p>
      <w:pPr>
        <w:pStyle w:val="Heading3"/>
        <w:spacing w:line="273" w:lineRule="auto" w:before="12"/>
        <w:ind w:left="595" w:right="996"/>
        <w:jc w:val="left"/>
      </w:pPr>
      <w:r>
        <w:rPr/>
        <w:t>四、社会公益事业 </w:t>
      </w:r>
      <w:r>
        <w:rPr>
          <w:spacing w:val="-1"/>
        </w:rPr>
        <w:t>华宇公益基金会是公司践行企业社会责任的重要途径，基金会于</w:t>
      </w:r>
      <w:r>
        <w:rPr>
          <w:rFonts w:ascii="Arial" w:hAnsi="Arial" w:cs="Arial" w:eastAsia="Arial" w:hint="default"/>
          <w:spacing w:val="-1"/>
        </w:rPr>
        <w:t>2006</w:t>
      </w:r>
      <w:r>
        <w:rPr>
          <w:spacing w:val="-1"/>
        </w:rPr>
        <w:t>年由公司员工发起</w:t>
      </w:r>
    </w:p>
    <w:p>
      <w:pPr>
        <w:pStyle w:val="Heading3"/>
        <w:spacing w:line="261" w:lineRule="auto"/>
        <w:ind w:right="1058"/>
        <w:jc w:val="both"/>
      </w:pPr>
      <w:r>
        <w:rPr/>
        <w:t>成立，并于</w:t>
      </w:r>
      <w:r>
        <w:rPr>
          <w:rFonts w:ascii="Arial" w:hAnsi="Arial" w:cs="Arial" w:eastAsia="Arial" w:hint="default"/>
        </w:rPr>
        <w:t>2015</w:t>
      </w:r>
      <w:r>
        <w:rPr/>
        <w:t>年在北京市民政局完成登记注册。华宇公益行动主要聚焦在基础教育和环境 保护领域。报告期内，公司共计开展</w:t>
      </w:r>
      <w:r>
        <w:rPr>
          <w:rFonts w:ascii="Arial" w:hAnsi="Arial" w:cs="Arial" w:eastAsia="Arial" w:hint="default"/>
        </w:rPr>
        <w:t>21</w:t>
      </w:r>
      <w:r>
        <w:rPr/>
        <w:t>个公益活动，</w:t>
      </w:r>
      <w:r>
        <w:rPr>
          <w:rFonts w:ascii="Arial" w:hAnsi="Arial" w:cs="Arial" w:eastAsia="Arial" w:hint="default"/>
        </w:rPr>
        <w:t>41</w:t>
      </w:r>
      <w:r>
        <w:rPr/>
        <w:t>场次；</w:t>
      </w:r>
      <w:r>
        <w:rPr>
          <w:rFonts w:ascii="Arial" w:hAnsi="Arial" w:cs="Arial" w:eastAsia="Arial" w:hint="default"/>
        </w:rPr>
        <w:t>1242</w:t>
      </w:r>
      <w:r>
        <w:rPr/>
        <w:t>人次参与到公益活动中， 其中</w:t>
      </w:r>
      <w:r>
        <w:rPr>
          <w:rFonts w:ascii="Arial" w:hAnsi="Arial" w:cs="Arial" w:eastAsia="Arial" w:hint="default"/>
        </w:rPr>
        <w:t>319</w:t>
      </w:r>
      <w:r>
        <w:rPr/>
        <w:t>人次为公益活动志愿者，累计志愿服务时长</w:t>
      </w:r>
      <w:r>
        <w:rPr>
          <w:rFonts w:ascii="Arial" w:hAnsi="Arial" w:cs="Arial" w:eastAsia="Arial" w:hint="default"/>
        </w:rPr>
        <w:t>2036</w:t>
      </w:r>
      <w:r>
        <w:rPr/>
        <w:t>小时；报告期内，公司积极响应证</w:t>
      </w:r>
      <w:r>
        <w:rPr>
          <w:spacing w:val="-69"/>
        </w:rPr>
        <w:t> </w:t>
      </w:r>
      <w:r>
        <w:rPr>
          <w:spacing w:val="-69"/>
        </w:rPr>
      </w:r>
      <w:r>
        <w:rPr>
          <w:spacing w:val="-3"/>
        </w:rPr>
        <w:t>监会精准扶贫的倡议，购买蔚县扶贫馆的</w:t>
      </w:r>
      <w:r>
        <w:rPr>
          <w:rFonts w:ascii="Arial" w:hAnsi="Arial" w:cs="Arial" w:eastAsia="Arial" w:hint="default"/>
          <w:spacing w:val="-3"/>
        </w:rPr>
        <w:t>5</w:t>
      </w:r>
      <w:r>
        <w:rPr>
          <w:spacing w:val="-3"/>
        </w:rPr>
        <w:t>万元农产品。华宇人通过切实行动积极履行社会责</w:t>
      </w:r>
      <w:r>
        <w:rPr>
          <w:spacing w:val="-93"/>
        </w:rPr>
        <w:t> </w:t>
      </w:r>
      <w:r>
        <w:rPr>
          <w:spacing w:val="-93"/>
        </w:rPr>
      </w:r>
      <w:r>
        <w:rPr/>
        <w:t>任。</w:t>
      </w:r>
    </w:p>
    <w:p>
      <w:pPr>
        <w:pStyle w:val="Heading3"/>
        <w:spacing w:line="276" w:lineRule="auto" w:before="22"/>
        <w:ind w:left="595" w:right="996"/>
        <w:jc w:val="left"/>
      </w:pPr>
      <w:r>
        <w:rPr/>
        <w:t>基础教育领域 华宇助学项目重点结合国家精准扶贫战略，在国家级贫困县、红色教育基地等地区开展</w:t>
      </w:r>
    </w:p>
    <w:p>
      <w:pPr>
        <w:pStyle w:val="Heading3"/>
        <w:spacing w:line="271" w:lineRule="auto" w:before="7"/>
        <w:ind w:right="996"/>
        <w:jc w:val="left"/>
      </w:pPr>
      <w:r>
        <w:rPr/>
        <w:t>助学工作。公司通过走访调研、资助金支持、书信陪伴、助学夏令营、青少年普法教育等多</w:t>
      </w:r>
      <w:r>
        <w:rPr>
          <w:spacing w:val="-89"/>
        </w:rPr>
        <w:t> </w:t>
      </w:r>
      <w:r>
        <w:rPr>
          <w:spacing w:val="-89"/>
        </w:rPr>
      </w:r>
      <w:r>
        <w:rPr/>
        <w:t>类项目联动资助地区的教育部门、公益组织共同回应乡村困境儿童教育问题。其中结合业务</w:t>
      </w:r>
      <w:r>
        <w:rPr>
          <w:spacing w:val="-89"/>
        </w:rPr>
        <w:t> </w:t>
      </w:r>
      <w:r>
        <w:rPr>
          <w:spacing w:val="-89"/>
        </w:rPr>
      </w:r>
      <w:r>
        <w:rPr>
          <w:spacing w:val="-2"/>
        </w:rPr>
        <w:t>优势，联合海淀法院、北京互联网法院、中国公益研究院为打工子弟学生提供普法教育课程。</w:t>
      </w:r>
      <w:r>
        <w:rPr/>
        <w:t> 报告期内，华宇助学项目已累计捐助内蒙等</w:t>
      </w:r>
      <w:r>
        <w:rPr>
          <w:rFonts w:ascii="Arial" w:hAnsi="Arial" w:cs="Arial" w:eastAsia="Arial" w:hint="default"/>
        </w:rPr>
        <w:t>18</w:t>
      </w:r>
      <w:r>
        <w:rPr/>
        <w:t>个省市</w:t>
      </w:r>
      <w:r>
        <w:rPr>
          <w:rFonts w:ascii="Arial" w:hAnsi="Arial" w:cs="Arial" w:eastAsia="Arial" w:hint="default"/>
        </w:rPr>
        <w:t>30</w:t>
      </w:r>
      <w:r>
        <w:rPr/>
        <w:t>个城市或地区</w:t>
      </w:r>
      <w:r>
        <w:rPr>
          <w:rFonts w:ascii="Arial" w:hAnsi="Arial" w:cs="Arial" w:eastAsia="Arial" w:hint="default"/>
        </w:rPr>
        <w:t>984</w:t>
      </w:r>
      <w:r>
        <w:rPr/>
        <w:t>名学生提供直接捐</w:t>
      </w:r>
      <w:r>
        <w:rPr>
          <w:spacing w:val="-71"/>
        </w:rPr>
        <w:t> </w:t>
      </w:r>
      <w:r>
        <w:rPr>
          <w:spacing w:val="-71"/>
        </w:rPr>
      </w:r>
      <w:r>
        <w:rPr/>
        <w:t>助；资助学生</w:t>
      </w:r>
      <w:r>
        <w:rPr>
          <w:rFonts w:ascii="Arial" w:hAnsi="Arial" w:cs="Arial" w:eastAsia="Arial" w:hint="default"/>
        </w:rPr>
        <w:t>563</w:t>
      </w:r>
      <w:r>
        <w:rPr/>
        <w:t>名。华宇公益项目累计受益学生数千人次，</w:t>
      </w:r>
      <w:r>
        <w:rPr>
          <w:rFonts w:ascii="Arial" w:hAnsi="Arial" w:cs="Arial" w:eastAsia="Arial" w:hint="default"/>
        </w:rPr>
        <w:t>2019</w:t>
      </w:r>
      <w:r>
        <w:rPr/>
        <w:t>年项目受益学生</w:t>
      </w:r>
      <w:r>
        <w:rPr>
          <w:rFonts w:ascii="Arial" w:hAnsi="Arial" w:cs="Arial" w:eastAsia="Arial" w:hint="default"/>
        </w:rPr>
        <w:t>695</w:t>
      </w:r>
      <w:r>
        <w:rPr/>
        <w:t>人次。</w:t>
      </w:r>
    </w:p>
    <w:p>
      <w:pPr>
        <w:pStyle w:val="Heading3"/>
        <w:spacing w:line="273" w:lineRule="auto"/>
        <w:ind w:left="595" w:right="996"/>
        <w:jc w:val="left"/>
      </w:pPr>
      <w:r>
        <w:rPr/>
        <w:t>环境保护领域 华宇社群通过参观自然之友的低碳生活馆，学习日常生活的低碳生活知识；基金会日常</w:t>
      </w:r>
    </w:p>
    <w:p>
      <w:pPr>
        <w:pStyle w:val="Heading3"/>
        <w:spacing w:line="273" w:lineRule="auto" w:before="12"/>
        <w:ind w:right="1132"/>
        <w:jc w:val="both"/>
      </w:pPr>
      <w:r>
        <w:rPr/>
        <w:t>组织志愿者开展公园清道活动，美化环境之余还能锻炼身体，该模式已经成为公司部门团建</w:t>
      </w:r>
      <w:r>
        <w:rPr>
          <w:spacing w:val="-89"/>
        </w:rPr>
        <w:t> </w:t>
      </w:r>
      <w:r>
        <w:rPr>
          <w:spacing w:val="-89"/>
        </w:rPr>
      </w:r>
      <w:r>
        <w:rPr/>
        <w:t>的选择之一；公司成为奥北环保在北京地区第一家入驻的软件企业，回收收益将支持华宇助</w:t>
      </w:r>
      <w:r>
        <w:rPr>
          <w:spacing w:val="-89"/>
        </w:rPr>
        <w:t> </w:t>
      </w:r>
      <w:r>
        <w:rPr>
          <w:spacing w:val="-89"/>
        </w:rPr>
      </w:r>
      <w:r>
        <w:rPr/>
        <w:t>学事业的发展。公司可持续发展绿色参与工作实现从办公环境到周末休闲环保绿色参与全方</w:t>
      </w:r>
      <w:r>
        <w:rPr>
          <w:spacing w:val="-89"/>
        </w:rPr>
        <w:t> </w:t>
      </w:r>
      <w:r>
        <w:rPr>
          <w:spacing w:val="-89"/>
        </w:rPr>
      </w:r>
      <w:r>
        <w:rPr/>
        <w:t>位渗透。</w:t>
      </w:r>
    </w:p>
    <w:p>
      <w:pPr>
        <w:pStyle w:val="Heading3"/>
        <w:spacing w:line="266" w:lineRule="auto" w:before="12"/>
        <w:ind w:right="1130" w:firstLine="482"/>
        <w:jc w:val="both"/>
      </w:pPr>
      <w:r>
        <w:rPr>
          <w:spacing w:val="-3"/>
        </w:rPr>
        <w:t>展望</w:t>
      </w:r>
      <w:r>
        <w:rPr>
          <w:rFonts w:ascii="Arial" w:hAnsi="Arial" w:cs="Arial" w:eastAsia="Arial" w:hint="default"/>
          <w:spacing w:val="-3"/>
        </w:rPr>
        <w:t>2020</w:t>
      </w:r>
      <w:r>
        <w:rPr>
          <w:spacing w:val="-3"/>
        </w:rPr>
        <w:t>年，公司将继续致力于以持续的产品及技术创新积极贡献社会</w:t>
      </w:r>
      <w:r>
        <w:rPr>
          <w:rFonts w:ascii="Arial" w:hAnsi="Arial" w:cs="Arial" w:eastAsia="Arial" w:hint="default"/>
          <w:spacing w:val="-3"/>
        </w:rPr>
        <w:t>,</w:t>
      </w:r>
      <w:r>
        <w:rPr>
          <w:spacing w:val="-3"/>
        </w:rPr>
        <w:t>以稳定的经营业</w:t>
      </w:r>
      <w:r>
        <w:rPr/>
        <w:t> 绩创造社会价值。充分发挥华宇在行业内的产品与技术优势，努力推动华宇企业社会责任的</w:t>
      </w:r>
      <w:r>
        <w:rPr>
          <w:spacing w:val="-89"/>
        </w:rPr>
        <w:t> </w:t>
      </w:r>
      <w:r>
        <w:rPr>
          <w:spacing w:val="-89"/>
        </w:rPr>
      </w:r>
      <w:r>
        <w:rPr/>
        <w:t>进一步实践，为企业、社会的和谐可持续发展做出贡献，让我们携手共建智慧美好的社会。</w:t>
      </w:r>
    </w:p>
    <w:p>
      <w:pPr>
        <w:spacing w:after="0" w:line="266"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环境保护相关的情况" w:id="96"/>
      <w:bookmarkEnd w:id="96"/>
      <w:r>
        <w:rPr>
          <w:b w:val="0"/>
          <w:bCs w:val="0"/>
        </w:rPr>
      </w:r>
      <w:r>
        <w:rPr>
          <w:rFonts w:ascii="Arial" w:hAnsi="Arial" w:cs="Arial" w:eastAsia="Arial" w:hint="default"/>
        </w:rPr>
        <w:t>2</w:t>
      </w:r>
      <w:r>
        <w:rPr/>
        <w:t>、环境保护相关的情况</w:t>
      </w:r>
      <w:r>
        <w:rPr>
          <w:b w:val="0"/>
          <w:bCs w:val="0"/>
        </w:rPr>
      </w:r>
    </w:p>
    <w:p>
      <w:pPr>
        <w:spacing w:line="240" w:lineRule="auto" w:before="11"/>
        <w:rPr>
          <w:rFonts w:ascii="宋体" w:hAnsi="宋体" w:cs="宋体" w:eastAsia="宋体" w:hint="default"/>
          <w:b/>
          <w:bCs/>
          <w:sz w:val="22"/>
          <w:szCs w:val="22"/>
        </w:rPr>
      </w:pPr>
    </w:p>
    <w:p>
      <w:pPr>
        <w:pStyle w:val="Heading3"/>
        <w:spacing w:line="268" w:lineRule="auto"/>
        <w:ind w:right="4034"/>
        <w:jc w:val="left"/>
      </w:pPr>
      <w:r>
        <w:rPr/>
        <w:t>上市公司及其子公司是否属于环境保护部门公布的重点排污单位 否</w:t>
      </w:r>
    </w:p>
    <w:p>
      <w:pPr>
        <w:spacing w:line="468" w:lineRule="auto" w:before="10"/>
        <w:ind w:left="112" w:right="7862" w:firstLine="0"/>
        <w:jc w:val="left"/>
        <w:rPr>
          <w:rFonts w:ascii="宋体" w:hAnsi="宋体" w:cs="宋体" w:eastAsia="宋体" w:hint="default"/>
          <w:sz w:val="24"/>
          <w:szCs w:val="24"/>
        </w:rPr>
      </w:pPr>
      <w:r>
        <w:rPr>
          <w:rFonts w:ascii="宋体" w:hAnsi="宋体" w:cs="宋体" w:eastAsia="宋体" w:hint="default"/>
          <w:sz w:val="24"/>
          <w:szCs w:val="24"/>
        </w:rPr>
        <w:t>不适用 </w:t>
      </w:r>
      <w:bookmarkStart w:name="十八、其他重大事项的说明" w:id="97"/>
      <w:bookmarkEnd w:id="97"/>
      <w:r>
        <w:rPr>
          <w:rFonts w:ascii="宋体" w:hAnsi="宋体" w:cs="宋体" w:eastAsia="宋体" w:hint="default"/>
          <w:sz w:val="24"/>
          <w:szCs w:val="24"/>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pStyle w:val="Heading3"/>
        <w:spacing w:line="256" w:lineRule="auto" w:before="70"/>
        <w:ind w:right="8585"/>
        <w:jc w:val="left"/>
      </w:pPr>
      <w:r>
        <w:rPr>
          <w:rFonts w:ascii="Arial" w:hAnsi="Arial" w:cs="Arial" w:eastAsia="Arial" w:hint="default"/>
        </w:rPr>
        <w:t>√ </w:t>
      </w:r>
      <w:r>
        <w:rPr/>
        <w:t>适用 □</w:t>
      </w:r>
      <w:r>
        <w:rPr>
          <w:spacing w:val="-14"/>
        </w:rPr>
        <w:t> </w:t>
      </w:r>
      <w:r>
        <w:rPr/>
        <w:t>不适用 非公开发行股票</w:t>
      </w:r>
    </w:p>
    <w:p>
      <w:pPr>
        <w:pStyle w:val="Heading3"/>
        <w:spacing w:line="261" w:lineRule="auto" w:before="2"/>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29</w:t>
      </w:r>
      <w:r>
        <w:rPr>
          <w:spacing w:val="-2"/>
        </w:rPr>
        <w:t>日，发行人收到中国证监会出具的《关于核准北京华宇软件股份有限公司</w:t>
      </w:r>
      <w:r>
        <w:rPr/>
        <w:t> 非公开发行股票的批复》（证监许可</w:t>
      </w:r>
      <w:r>
        <w:rPr>
          <w:rFonts w:ascii="Arial" w:hAnsi="Arial" w:cs="Arial" w:eastAsia="Arial" w:hint="default"/>
        </w:rPr>
        <w:t>[2018]2187</w:t>
      </w:r>
      <w:r>
        <w:rPr/>
        <w:t>号）。</w:t>
      </w:r>
    </w:p>
    <w:p>
      <w:pPr>
        <w:pStyle w:val="Heading3"/>
        <w:spacing w:line="261" w:lineRule="auto" w:before="2"/>
        <w:ind w:right="1132" w:firstLine="480"/>
        <w:jc w:val="both"/>
      </w:pPr>
      <w:r>
        <w:rPr>
          <w:spacing w:val="-2"/>
        </w:rPr>
        <w:t>截至</w:t>
      </w:r>
      <w:r>
        <w:rPr>
          <w:rFonts w:ascii="Arial" w:hAnsi="Arial" w:cs="Arial" w:eastAsia="Arial" w:hint="default"/>
          <w:spacing w:val="-2"/>
        </w:rPr>
        <w:t>2019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9</w:t>
      </w:r>
      <w:r>
        <w:rPr>
          <w:spacing w:val="-2"/>
        </w:rPr>
        <w:t>日，参与本次发行的认购对象已将本次发行认购资金汇入民生证券为本</w:t>
      </w:r>
      <w:r>
        <w:rPr/>
        <w:t> 次发行开设的账户。</w:t>
      </w:r>
    </w:p>
    <w:p>
      <w:pPr>
        <w:pStyle w:val="Heading3"/>
        <w:spacing w:line="264" w:lineRule="auto" w:before="22"/>
        <w:ind w:right="1125" w:firstLine="480"/>
        <w:jc w:val="left"/>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9</w:t>
      </w:r>
      <w:r>
        <w:rPr/>
        <w:t>日，大华会计师事务所（特殊普通合伙）出具了《验资报告》（大华验字 </w:t>
      </w:r>
      <w:r>
        <w:rPr>
          <w:rFonts w:ascii="Arial" w:hAnsi="Arial" w:cs="Arial" w:eastAsia="Arial" w:hint="default"/>
        </w:rPr>
        <w:t>[2019]000123</w:t>
      </w:r>
      <w:r>
        <w:rPr/>
        <w:t>号），确认本次发行的认购资金到位。民生证券在扣除承销及保荐费用后向发 行人指定账户划转了认股款。大华会计师事务所（特殊普通合伙）出具了《验资报告》（大 华验字</w:t>
      </w:r>
      <w:r>
        <w:rPr>
          <w:rFonts w:ascii="Arial" w:hAnsi="Arial" w:cs="Arial" w:eastAsia="Arial" w:hint="default"/>
        </w:rPr>
        <w:t>[2019]000124</w:t>
      </w:r>
      <w:r>
        <w:rPr/>
        <w:t>号），确认本次发行的新增注册资本及股本情况。本次发行新增股份已 于</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16</w:t>
      </w:r>
      <w:r>
        <w:rPr/>
        <w:t>日在中国证券登记结算有限责任公司深圳分公司办理完毕登记托管手续。</w:t>
      </w:r>
    </w:p>
    <w:p>
      <w:pPr>
        <w:pStyle w:val="Heading3"/>
        <w:spacing w:line="259" w:lineRule="auto" w:before="2"/>
        <w:ind w:right="1195" w:firstLine="480"/>
        <w:jc w:val="both"/>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24</w:t>
      </w:r>
      <w:r>
        <w:rPr/>
        <w:t>日，经深圳证券交易所同意，公司本次非公开发行的</w:t>
      </w:r>
      <w:r>
        <w:rPr>
          <w:rFonts w:ascii="Arial" w:hAnsi="Arial" w:cs="Arial" w:eastAsia="Arial" w:hint="default"/>
        </w:rPr>
        <w:t>55,938,493</w:t>
      </w:r>
      <w:r>
        <w:rPr/>
        <w:t>股人民币 普通股（</w:t>
      </w:r>
      <w:r>
        <w:rPr>
          <w:rFonts w:ascii="Arial" w:hAnsi="Arial" w:cs="Arial" w:eastAsia="Arial" w:hint="default"/>
        </w:rPr>
        <w:t>A</w:t>
      </w:r>
      <w:r>
        <w:rPr/>
        <w:t>股）在深圳证券交易所上市。</w:t>
      </w:r>
    </w:p>
    <w:p>
      <w:pPr>
        <w:pStyle w:val="Heading3"/>
        <w:spacing w:line="264" w:lineRule="auto" w:before="7"/>
        <w:ind w:right="1125" w:firstLine="480"/>
        <w:jc w:val="left"/>
      </w:pPr>
      <w:r>
        <w:rPr/>
        <w:t>在本次非公开发行中，上海云鑫认购的</w:t>
      </w:r>
      <w:r>
        <w:rPr>
          <w:rFonts w:ascii="Arial" w:hAnsi="Arial" w:cs="Arial" w:eastAsia="Arial" w:hint="default"/>
        </w:rPr>
        <w:t>13,255,567</w:t>
      </w:r>
      <w:r>
        <w:rPr/>
        <w:t>股股票、四川兴晟认购的</w:t>
      </w:r>
      <w:r>
        <w:rPr>
          <w:rFonts w:ascii="Arial" w:hAnsi="Arial" w:cs="Arial" w:eastAsia="Arial" w:hint="default"/>
        </w:rPr>
        <w:t>8,483,563</w:t>
      </w:r>
      <w:r>
        <w:rPr>
          <w:rFonts w:ascii="Arial" w:hAnsi="Arial" w:cs="Arial" w:eastAsia="Arial" w:hint="default"/>
          <w:w w:val="99"/>
        </w:rPr>
        <w:t> </w:t>
      </w:r>
      <w:r>
        <w:rPr/>
        <w:t>股股票和四川大数据认购的</w:t>
      </w:r>
      <w:r>
        <w:rPr>
          <w:rFonts w:ascii="Arial" w:hAnsi="Arial" w:cs="Arial" w:eastAsia="Arial" w:hint="default"/>
        </w:rPr>
        <w:t>34,199,363</w:t>
      </w:r>
      <w:r>
        <w:rPr/>
        <w:t>股股票限售期均为</w:t>
      </w:r>
      <w:r>
        <w:rPr>
          <w:rFonts w:ascii="Arial" w:hAnsi="Arial" w:cs="Arial" w:eastAsia="Arial" w:hint="default"/>
        </w:rPr>
        <w:t>12</w:t>
      </w:r>
      <w:r>
        <w:rPr/>
        <w:t>个月，自上市首日起计算，此后 按中国证监会及深圳证券交易所的有关规定执行。详见公司在巨潮资讯网披露的《非公开发 行股票上市公告书》。</w:t>
      </w:r>
    </w:p>
    <w:p>
      <w:pPr>
        <w:spacing w:line="240" w:lineRule="auto" w:before="10"/>
        <w:rPr>
          <w:rFonts w:ascii="宋体" w:hAnsi="宋体" w:cs="宋体" w:eastAsia="宋体" w:hint="default"/>
          <w:sz w:val="22"/>
          <w:szCs w:val="22"/>
        </w:rPr>
      </w:pPr>
    </w:p>
    <w:p>
      <w:pPr>
        <w:pStyle w:val="Heading2"/>
        <w:spacing w:line="240" w:lineRule="auto"/>
        <w:ind w:right="996"/>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pStyle w:val="Heading3"/>
        <w:spacing w:line="266" w:lineRule="auto" w:before="43"/>
        <w:ind w:right="1171" w:firstLine="480"/>
        <w:jc w:val="both"/>
      </w:pP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18</w:t>
      </w:r>
      <w:r>
        <w:rPr/>
        <w:t>日，公司第六届董事会第三十九次会议审议通过了《关于减资退出公司二 级控股子公司的议案》，同意广州华宇通过减资方式退出数字方舟。经双方协商后，本次减 资退出的交易对价约为</w:t>
      </w:r>
      <w:r>
        <w:rPr>
          <w:rFonts w:ascii="Arial" w:hAnsi="Arial" w:cs="Arial" w:eastAsia="Arial" w:hint="default"/>
        </w:rPr>
        <w:t>1,232</w:t>
      </w:r>
      <w:r>
        <w:rPr/>
        <w:t>万元。详见</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23</w:t>
      </w:r>
      <w:r>
        <w:rPr/>
        <w:t>日巨潮资讯网披露的公告。</w:t>
      </w:r>
    </w:p>
    <w:p>
      <w:pPr>
        <w:pStyle w:val="Heading3"/>
        <w:spacing w:line="259" w:lineRule="auto"/>
        <w:ind w:right="1131" w:firstLine="480"/>
        <w:jc w:val="both"/>
      </w:pPr>
      <w:r>
        <w:rPr>
          <w:rFonts w:ascii="Arial" w:hAnsi="Arial" w:cs="Arial" w:eastAsia="Arial" w:hint="default"/>
        </w:rPr>
        <w:t>2019</w:t>
      </w:r>
      <w:r>
        <w:rPr/>
        <w:t>年</w:t>
      </w:r>
      <w:r>
        <w:rPr>
          <w:rFonts w:ascii="Arial" w:hAnsi="Arial" w:cs="Arial" w:eastAsia="Arial" w:hint="default"/>
        </w:rPr>
        <w:t>2</w:t>
      </w:r>
      <w:r>
        <w:rPr/>
        <w:t>月</w:t>
      </w:r>
      <w:r>
        <w:rPr>
          <w:rFonts w:ascii="Arial" w:hAnsi="Arial" w:cs="Arial" w:eastAsia="Arial" w:hint="default"/>
        </w:rPr>
        <w:t>27</w:t>
      </w:r>
      <w:r>
        <w:rPr/>
        <w:t>日，公司第六届董事会第四十次会议审议通过了《关于控股子公司增资扩 </w:t>
      </w:r>
      <w:r>
        <w:rPr>
          <w:spacing w:val="-2"/>
        </w:rPr>
        <w:t>股的议案》，同意公司控股子公司北京华宇元典信息服务有限公司增加注册资本人民币</w:t>
      </w:r>
      <w:r>
        <w:rPr>
          <w:rFonts w:ascii="Arial" w:hAnsi="Arial" w:cs="Arial" w:eastAsia="Arial" w:hint="default"/>
          <w:spacing w:val="-2"/>
        </w:rPr>
        <w:t>1,200</w:t>
      </w:r>
      <w:r>
        <w:rPr>
          <w:rFonts w:ascii="Arial" w:hAnsi="Arial" w:cs="Arial" w:eastAsia="Arial" w:hint="default"/>
          <w:w w:val="99"/>
        </w:rPr>
        <w:t> </w:t>
      </w:r>
      <w:r>
        <w:rPr>
          <w:spacing w:val="-3"/>
        </w:rPr>
        <w:t>万元，由北京元典致知科技中心（有限合伙）以人民币</w:t>
      </w:r>
      <w:r>
        <w:rPr>
          <w:rFonts w:ascii="Arial" w:hAnsi="Arial" w:cs="Arial" w:eastAsia="Arial" w:hint="default"/>
          <w:spacing w:val="-3"/>
        </w:rPr>
        <w:t>1,200</w:t>
      </w:r>
      <w:r>
        <w:rPr>
          <w:spacing w:val="-3"/>
        </w:rPr>
        <w:t>万元认购全部增加注册资本。此</w:t>
      </w:r>
      <w:r>
        <w:rPr>
          <w:spacing w:val="-80"/>
        </w:rPr>
        <w:t> </w:t>
      </w:r>
      <w:r>
        <w:rPr>
          <w:spacing w:val="-80"/>
        </w:rPr>
      </w:r>
      <w:r>
        <w:rPr/>
        <w:t>次增资后，华宇元典注册资本将由</w:t>
      </w:r>
      <w:r>
        <w:rPr>
          <w:rFonts w:ascii="Arial" w:hAnsi="Arial" w:cs="Arial" w:eastAsia="Arial" w:hint="default"/>
        </w:rPr>
        <w:t>4,800</w:t>
      </w:r>
      <w:r>
        <w:rPr/>
        <w:t>万人民币增加至</w:t>
      </w:r>
      <w:r>
        <w:rPr>
          <w:rFonts w:ascii="Arial" w:hAnsi="Arial" w:cs="Arial" w:eastAsia="Arial" w:hint="default"/>
        </w:rPr>
        <w:t>6,000</w:t>
      </w:r>
      <w:r>
        <w:rPr/>
        <w:t>万元人民币，不影响公司对华 宇元典的实际控制权。详见</w:t>
      </w:r>
      <w:r>
        <w:rPr>
          <w:rFonts w:ascii="Arial" w:hAnsi="Arial" w:cs="Arial" w:eastAsia="Arial" w:hint="default"/>
        </w:rPr>
        <w:t>2019</w:t>
      </w:r>
      <w:r>
        <w:rPr/>
        <w:t>年</w:t>
      </w:r>
      <w:r>
        <w:rPr>
          <w:rFonts w:ascii="Arial" w:hAnsi="Arial" w:cs="Arial" w:eastAsia="Arial" w:hint="default"/>
        </w:rPr>
        <w:t>3</w:t>
      </w:r>
      <w:r>
        <w:rPr/>
        <w:t>月</w:t>
      </w:r>
      <w:r>
        <w:rPr>
          <w:rFonts w:ascii="Arial" w:hAnsi="Arial" w:cs="Arial" w:eastAsia="Arial" w:hint="default"/>
        </w:rPr>
        <w:t>1</w:t>
      </w:r>
      <w:r>
        <w:rPr/>
        <w:t>日巨潮资讯网披露的公告。</w:t>
      </w:r>
    </w:p>
    <w:p>
      <w:pPr>
        <w:pStyle w:val="Heading3"/>
        <w:spacing w:line="259" w:lineRule="auto" w:before="7"/>
        <w:ind w:right="1132" w:firstLine="480"/>
        <w:jc w:val="both"/>
      </w:pPr>
      <w:r>
        <w:rPr>
          <w:rFonts w:ascii="Arial" w:hAnsi="Arial" w:cs="Arial" w:eastAsia="Arial" w:hint="default"/>
        </w:rPr>
        <w:t>2019</w:t>
      </w:r>
      <w:r>
        <w:rPr/>
        <w:t>年</w:t>
      </w:r>
      <w:r>
        <w:rPr>
          <w:rFonts w:ascii="Arial" w:hAnsi="Arial" w:cs="Arial" w:eastAsia="Arial" w:hint="default"/>
        </w:rPr>
        <w:t>3</w:t>
      </w:r>
      <w:r>
        <w:rPr/>
        <w:t>月</w:t>
      </w:r>
      <w:r>
        <w:rPr>
          <w:rFonts w:ascii="Arial" w:hAnsi="Arial" w:cs="Arial" w:eastAsia="Arial" w:hint="default"/>
        </w:rPr>
        <w:t>27</w:t>
      </w:r>
      <w:r>
        <w:rPr/>
        <w:t>日，公司第六届董事会第四十一次会议审议通过了《关于全资子公司北京 </w:t>
      </w:r>
      <w:r>
        <w:rPr>
          <w:spacing w:val="-2"/>
        </w:rPr>
        <w:t>万户网络技术有限公司增资的议案》，同意万户网络使用未分配利润</w:t>
      </w:r>
      <w:r>
        <w:rPr>
          <w:rFonts w:ascii="Arial" w:hAnsi="Arial" w:cs="Arial" w:eastAsia="Arial" w:hint="default"/>
          <w:spacing w:val="-2"/>
        </w:rPr>
        <w:t>2,530</w:t>
      </w:r>
      <w:r>
        <w:rPr>
          <w:spacing w:val="-2"/>
        </w:rPr>
        <w:t>万元进行增资。此</w:t>
      </w:r>
      <w:r>
        <w:rPr/>
        <w:t> 次增资后，万户网络注册资本将由</w:t>
      </w:r>
      <w:r>
        <w:rPr>
          <w:rFonts w:ascii="Arial" w:hAnsi="Arial" w:cs="Arial" w:eastAsia="Arial" w:hint="default"/>
        </w:rPr>
        <w:t>2,470</w:t>
      </w:r>
      <w:r>
        <w:rPr/>
        <w:t>万元增加至</w:t>
      </w:r>
      <w:r>
        <w:rPr>
          <w:rFonts w:ascii="Arial" w:hAnsi="Arial" w:cs="Arial" w:eastAsia="Arial" w:hint="default"/>
        </w:rPr>
        <w:t>5,000</w:t>
      </w:r>
      <w:r>
        <w:rPr/>
        <w:t>万元。详见</w:t>
      </w:r>
      <w:r>
        <w:rPr>
          <w:rFonts w:ascii="Arial" w:hAnsi="Arial" w:cs="Arial" w:eastAsia="Arial" w:hint="default"/>
        </w:rPr>
        <w:t>2019</w:t>
      </w:r>
      <w:r>
        <w:rPr/>
        <w:t>年</w:t>
      </w:r>
      <w:r>
        <w:rPr>
          <w:rFonts w:ascii="Arial" w:hAnsi="Arial" w:cs="Arial" w:eastAsia="Arial" w:hint="default"/>
        </w:rPr>
        <w:t>3</w:t>
      </w:r>
      <w:r>
        <w:rPr/>
        <w:t>月</w:t>
      </w:r>
      <w:r>
        <w:rPr>
          <w:rFonts w:ascii="Arial" w:hAnsi="Arial" w:cs="Arial" w:eastAsia="Arial" w:hint="default"/>
        </w:rPr>
        <w:t>29</w:t>
      </w:r>
      <w:r>
        <w:rPr/>
        <w:t>日巨潮资</w:t>
      </w:r>
    </w:p>
    <w:p>
      <w:pPr>
        <w:spacing w:after="0" w:line="259" w:lineRule="auto"/>
        <w:jc w:val="both"/>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40" w:lineRule="auto" w:before="26"/>
        <w:ind w:right="996"/>
        <w:jc w:val="left"/>
      </w:pPr>
      <w:r>
        <w:rPr/>
        <w:t>讯网披露的公告。</w:t>
      </w:r>
    </w:p>
    <w:p>
      <w:pPr>
        <w:pStyle w:val="Heading3"/>
        <w:spacing w:line="259" w:lineRule="auto" w:before="46"/>
        <w:ind w:right="1132" w:firstLine="480"/>
        <w:jc w:val="both"/>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26</w:t>
      </w:r>
      <w:r>
        <w:rPr/>
        <w:t>日，公司第六届董事会第四十二次会议审议通过了《关于使用募集资金向 全资子公司增资用于募投项目的议案》，同意以非公开发行股票募集资金</w:t>
      </w:r>
      <w:r>
        <w:rPr>
          <w:rFonts w:ascii="Arial" w:hAnsi="Arial" w:cs="Arial" w:eastAsia="Arial" w:hint="default"/>
        </w:rPr>
        <w:t>30,000</w:t>
      </w:r>
      <w:r>
        <w:rPr/>
        <w:t>万元向全资 </w:t>
      </w:r>
      <w:r>
        <w:rPr>
          <w:spacing w:val="-2"/>
        </w:rPr>
        <w:t>子公司北京华宇信息技术有限公司增资；同意以非公开发行股票募集资金</w:t>
      </w:r>
      <w:r>
        <w:rPr>
          <w:rFonts w:ascii="Arial" w:hAnsi="Arial" w:cs="Arial" w:eastAsia="Arial" w:hint="default"/>
          <w:spacing w:val="-2"/>
        </w:rPr>
        <w:t>3,000</w:t>
      </w:r>
      <w:r>
        <w:rPr>
          <w:spacing w:val="-2"/>
        </w:rPr>
        <w:t>万元向全资子</w:t>
      </w:r>
      <w:r>
        <w:rPr/>
        <w:t> 公司华宇金信（北京）软件有限公司增资。本次增资完成后，华宇信息注册资本由</w:t>
      </w:r>
      <w:r>
        <w:rPr>
          <w:rFonts w:ascii="Arial" w:hAnsi="Arial" w:cs="Arial" w:eastAsia="Arial" w:hint="default"/>
        </w:rPr>
        <w:t>30,000</w:t>
      </w:r>
      <w:r>
        <w:rPr/>
        <w:t>万 元增加至</w:t>
      </w:r>
      <w:r>
        <w:rPr>
          <w:rFonts w:ascii="Arial" w:hAnsi="Arial" w:cs="Arial" w:eastAsia="Arial" w:hint="default"/>
        </w:rPr>
        <w:t>60,000</w:t>
      </w:r>
      <w:r>
        <w:rPr/>
        <w:t>万元，华宇金信注册资本由</w:t>
      </w:r>
      <w:r>
        <w:rPr>
          <w:rFonts w:ascii="Arial" w:hAnsi="Arial" w:cs="Arial" w:eastAsia="Arial" w:hint="default"/>
        </w:rPr>
        <w:t>5,000</w:t>
      </w:r>
      <w:r>
        <w:rPr/>
        <w:t>万元增加至</w:t>
      </w:r>
      <w:r>
        <w:rPr>
          <w:rFonts w:ascii="Arial" w:hAnsi="Arial" w:cs="Arial" w:eastAsia="Arial" w:hint="default"/>
        </w:rPr>
        <w:t>8,000</w:t>
      </w:r>
      <w:r>
        <w:rPr/>
        <w:t>万元。详见</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29</w:t>
      </w:r>
      <w:r>
        <w:rPr>
          <w:rFonts w:ascii="Arial" w:hAnsi="Arial" w:cs="Arial" w:eastAsia="Arial" w:hint="default"/>
          <w:w w:val="99"/>
        </w:rPr>
        <w:t> </w:t>
      </w:r>
      <w:r>
        <w:rPr/>
        <w:t>日巨潮资讯网披露的公告。</w:t>
      </w:r>
    </w:p>
    <w:p>
      <w:pPr>
        <w:spacing w:after="0" w:line="259" w:lineRule="auto"/>
        <w:jc w:val="both"/>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439" w:lineRule="exact"/>
        <w:ind w:right="996"/>
        <w:jc w:val="left"/>
        <w:rPr>
          <w:b w:val="0"/>
          <w:bCs w:val="0"/>
        </w:rPr>
      </w:pPr>
      <w:bookmarkStart w:name="第六节 股份变动及股东情况" w:id="99"/>
      <w:bookmarkEnd w:id="99"/>
      <w:r>
        <w:rPr>
          <w:b w:val="0"/>
          <w:bCs w:val="0"/>
        </w:rPr>
      </w:r>
      <w:bookmarkStart w:name="_bookmark4" w:id="100"/>
      <w:bookmarkEnd w:id="100"/>
      <w:r>
        <w:rPr>
          <w:b w:val="0"/>
          <w:bCs w:val="0"/>
        </w:rPr>
      </w:r>
      <w:r>
        <w:rPr/>
        <w:t>第六节</w:t>
      </w:r>
      <w:r>
        <w:rPr>
          <w:spacing w:val="61"/>
        </w:rPr>
        <w:t> </w:t>
      </w:r>
      <w:r>
        <w:rPr/>
        <w:t>股份变动及股东情况</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996"/>
        <w:jc w:val="left"/>
        <w:rPr>
          <w:b w:val="0"/>
          <w:bCs w:val="0"/>
        </w:rPr>
      </w:pPr>
      <w:bookmarkStart w:name="一、股份变动情况" w:id="101"/>
      <w:bookmarkEnd w:id="10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股份变动情况" w:id="102"/>
      <w:bookmarkEnd w:id="102"/>
      <w:r>
        <w:rPr>
          <w:b w:val="0"/>
          <w:bCs w:val="0"/>
        </w:rPr>
      </w:r>
      <w:r>
        <w:rPr>
          <w:rFonts w:ascii="Arial" w:hAnsi="Arial" w:cs="Arial" w:eastAsia="Arial"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1217"/>
        <w:gridCol w:w="927"/>
        <w:gridCol w:w="1117"/>
        <w:gridCol w:w="444"/>
        <w:gridCol w:w="586"/>
        <w:gridCol w:w="1177"/>
        <w:gridCol w:w="1177"/>
        <w:gridCol w:w="1217"/>
        <w:gridCol w:w="927"/>
      </w:tblGrid>
      <w:tr>
        <w:trPr>
          <w:trHeight w:val="402" w:hRule="exact"/>
        </w:trPr>
        <w:tc>
          <w:tcPr>
            <w:tcW w:w="957" w:type="dxa"/>
            <w:vMerge w:val="restart"/>
            <w:tcBorders>
              <w:top w:val="single" w:sz="4" w:space="0" w:color="000000"/>
              <w:left w:val="single" w:sz="4" w:space="0" w:color="000000"/>
              <w:right w:val="single" w:sz="4" w:space="0" w:color="000000"/>
            </w:tcBorders>
            <w:shd w:val="clear" w:color="auto" w:fill="D2D2D2"/>
          </w:tcPr>
          <w:p>
            <w:pPr/>
          </w:p>
        </w:tc>
        <w:tc>
          <w:tcPr>
            <w:tcW w:w="2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0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5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6"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7" w:right="125"/>
              <w:jc w:val="left"/>
              <w:rPr>
                <w:rFonts w:ascii="宋体" w:hAnsi="宋体" w:cs="宋体" w:eastAsia="宋体" w:hint="default"/>
                <w:sz w:val="18"/>
                <w:szCs w:val="18"/>
              </w:rPr>
            </w:pPr>
            <w:r>
              <w:rPr>
                <w:rFonts w:ascii="宋体" w:hAnsi="宋体" w:cs="宋体" w:eastAsia="宋体" w:hint="default"/>
                <w:sz w:val="18"/>
                <w:szCs w:val="18"/>
              </w:rPr>
              <w:t>送 股</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jc w:val="both"/>
              <w:rPr>
                <w:rFonts w:ascii="宋体" w:hAnsi="宋体" w:cs="宋体" w:eastAsia="宋体" w:hint="default"/>
                <w:sz w:val="18"/>
                <w:szCs w:val="18"/>
              </w:rPr>
            </w:pPr>
            <w:r>
              <w:rPr>
                <w:rFonts w:ascii="宋体" w:hAnsi="宋体" w:cs="宋体" w:eastAsia="宋体" w:hint="default"/>
                <w:sz w:val="18"/>
                <w:szCs w:val="18"/>
              </w:rPr>
              <w:t>一、有限 售条件股 份</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184,829,633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24.50%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55,938,493</w:t>
            </w: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-30,362,466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25,576,027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210,405,660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26.00%</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1" w:right="101"/>
              <w:jc w:val="left"/>
              <w:rPr>
                <w:rFonts w:ascii="宋体" w:hAnsi="宋体" w:cs="宋体" w:eastAsia="宋体" w:hint="default"/>
                <w:sz w:val="18"/>
                <w:szCs w:val="18"/>
              </w:rPr>
            </w:pPr>
            <w:r>
              <w:rPr>
                <w:rFonts w:ascii="Arial" w:hAnsi="Arial" w:cs="Arial" w:eastAsia="Arial" w:hint="default"/>
                <w:spacing w:val="-16"/>
                <w:w w:val="99"/>
                <w:sz w:val="18"/>
                <w:szCs w:val="18"/>
              </w:rPr>
              <w:t>2</w:t>
            </w:r>
            <w:r>
              <w:rPr>
                <w:rFonts w:ascii="宋体" w:hAnsi="宋体" w:cs="宋体" w:eastAsia="宋体" w:hint="default"/>
                <w:spacing w:val="-16"/>
                <w:w w:val="99"/>
                <w:sz w:val="18"/>
                <w:szCs w:val="18"/>
              </w:rPr>
              <w:t>、国有法</w:t>
            </w:r>
            <w:r>
              <w:rPr>
                <w:rFonts w:ascii="宋体" w:hAnsi="宋体" w:cs="宋体" w:eastAsia="宋体" w:hint="default"/>
                <w:sz w:val="18"/>
                <w:szCs w:val="18"/>
              </w:rPr>
              <w:t> 人持股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34,199,363</w:t>
            </w: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34,199,363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34,199,363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4.23%</w:t>
            </w:r>
          </w:p>
        </w:tc>
      </w:tr>
      <w:tr>
        <w:trPr>
          <w:trHeight w:val="87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31"/>
              <w:ind w:left="101" w:right="101"/>
              <w:jc w:val="left"/>
              <w:rPr>
                <w:rFonts w:ascii="宋体" w:hAnsi="宋体" w:cs="宋体" w:eastAsia="宋体" w:hint="default"/>
                <w:sz w:val="18"/>
                <w:szCs w:val="18"/>
              </w:rPr>
            </w:pPr>
            <w:r>
              <w:rPr>
                <w:rFonts w:ascii="Arial" w:hAnsi="Arial" w:cs="Arial" w:eastAsia="Arial" w:hint="default"/>
                <w:spacing w:val="-16"/>
                <w:w w:val="99"/>
                <w:sz w:val="18"/>
                <w:szCs w:val="18"/>
              </w:rPr>
              <w:t>3</w:t>
            </w:r>
            <w:r>
              <w:rPr>
                <w:rFonts w:ascii="宋体" w:hAnsi="宋体" w:cs="宋体" w:eastAsia="宋体" w:hint="default"/>
                <w:spacing w:val="-16"/>
                <w:w w:val="99"/>
                <w:sz w:val="18"/>
                <w:szCs w:val="18"/>
              </w:rPr>
              <w:t>、其他内</w:t>
            </w:r>
            <w:r>
              <w:rPr>
                <w:rFonts w:ascii="宋体" w:hAnsi="宋体" w:cs="宋体" w:eastAsia="宋体" w:hint="default"/>
                <w:sz w:val="18"/>
                <w:szCs w:val="18"/>
              </w:rPr>
              <w:t> 资持股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Arial" w:hAnsi="Arial" w:cs="Arial" w:eastAsia="Arial" w:hint="default"/>
                <w:sz w:val="18"/>
                <w:szCs w:val="18"/>
              </w:rPr>
            </w:pPr>
            <w:r>
              <w:rPr>
                <w:rFonts w:ascii="Arial"/>
                <w:spacing w:val="-1"/>
                <w:sz w:val="18"/>
              </w:rPr>
              <w:t>184,779,933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24.49%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Arial" w:hAnsi="Arial" w:cs="Arial" w:eastAsia="Arial" w:hint="default"/>
                <w:sz w:val="18"/>
                <w:szCs w:val="18"/>
              </w:rPr>
            </w:pPr>
            <w:r>
              <w:rPr>
                <w:rFonts w:ascii="Arial"/>
                <w:sz w:val="18"/>
              </w:rPr>
              <w:t>21,739,130</w:t>
            </w: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-30,341,166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-8,602,036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176,177,897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21.77%</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23"/>
              <w:jc w:val="both"/>
              <w:rPr>
                <w:rFonts w:ascii="宋体" w:hAnsi="宋体" w:cs="宋体" w:eastAsia="宋体" w:hint="default"/>
                <w:sz w:val="18"/>
                <w:szCs w:val="18"/>
              </w:rPr>
            </w:pPr>
            <w:r>
              <w:rPr>
                <w:rFonts w:ascii="宋体" w:hAnsi="宋体" w:cs="宋体" w:eastAsia="宋体" w:hint="default"/>
                <w:sz w:val="18"/>
                <w:szCs w:val="18"/>
              </w:rPr>
              <w:t>其中：境 内法人持 股</w:t>
            </w:r>
          </w:p>
        </w:tc>
        <w:tc>
          <w:tcPr>
            <w:tcW w:w="121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21,739,130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21,739,130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21,739,130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firstLine="540"/>
              <w:jc w:val="both"/>
              <w:rPr>
                <w:rFonts w:ascii="宋体" w:hAnsi="宋体" w:cs="宋体" w:eastAsia="宋体" w:hint="default"/>
                <w:sz w:val="18"/>
                <w:szCs w:val="18"/>
              </w:rPr>
            </w:pPr>
            <w:r>
              <w:rPr>
                <w:rFonts w:ascii="宋体" w:hAnsi="宋体" w:cs="宋体" w:eastAsia="宋体" w:hint="default"/>
                <w:sz w:val="18"/>
                <w:szCs w:val="18"/>
              </w:rPr>
              <w:t>境 内自然人 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184,779,933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24.49%</w:t>
            </w: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-30,341,166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-30,341,166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154,438,767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19.08%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2"/>
              <w:ind w:left="101" w:right="101"/>
              <w:jc w:val="left"/>
              <w:rPr>
                <w:rFonts w:ascii="宋体" w:hAnsi="宋体" w:cs="宋体" w:eastAsia="宋体" w:hint="default"/>
                <w:sz w:val="18"/>
                <w:szCs w:val="18"/>
              </w:rPr>
            </w:pPr>
            <w:r>
              <w:rPr>
                <w:rFonts w:ascii="Arial" w:hAnsi="Arial" w:cs="Arial" w:eastAsia="Arial" w:hint="default"/>
                <w:spacing w:val="-16"/>
                <w:w w:val="99"/>
                <w:sz w:val="18"/>
                <w:szCs w:val="18"/>
              </w:rPr>
              <w:t>4</w:t>
            </w:r>
            <w:r>
              <w:rPr>
                <w:rFonts w:ascii="宋体" w:hAnsi="宋体" w:cs="宋体" w:eastAsia="宋体" w:hint="default"/>
                <w:spacing w:val="-16"/>
                <w:w w:val="99"/>
                <w:sz w:val="18"/>
                <w:szCs w:val="18"/>
              </w:rPr>
              <w:t>、外资持</w:t>
            </w:r>
            <w:r>
              <w:rPr>
                <w:rFonts w:ascii="宋体" w:hAnsi="宋体" w:cs="宋体" w:eastAsia="宋体" w:hint="default"/>
                <w:sz w:val="18"/>
                <w:szCs w:val="18"/>
              </w:rPr>
              <w:t> 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49,700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0.01%</w:t>
            </w: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-21,300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28,400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0.00%</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firstLine="540"/>
              <w:jc w:val="both"/>
              <w:rPr>
                <w:rFonts w:ascii="宋体" w:hAnsi="宋体" w:cs="宋体" w:eastAsia="宋体" w:hint="default"/>
                <w:sz w:val="18"/>
                <w:szCs w:val="18"/>
              </w:rPr>
            </w:pPr>
            <w:r>
              <w:rPr>
                <w:rFonts w:ascii="宋体" w:hAnsi="宋体" w:cs="宋体" w:eastAsia="宋体" w:hint="default"/>
                <w:sz w:val="18"/>
                <w:szCs w:val="18"/>
              </w:rPr>
              <w:t>境 外自然人 持股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49,700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0.01%</w:t>
            </w: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-21,300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28,400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0.00%</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23"/>
              <w:jc w:val="both"/>
              <w:rPr>
                <w:rFonts w:ascii="宋体" w:hAnsi="宋体" w:cs="宋体" w:eastAsia="宋体" w:hint="default"/>
                <w:sz w:val="18"/>
                <w:szCs w:val="18"/>
              </w:rPr>
            </w:pPr>
            <w:r>
              <w:rPr>
                <w:rFonts w:ascii="宋体" w:hAnsi="宋体" w:cs="宋体" w:eastAsia="宋体" w:hint="default"/>
                <w:sz w:val="18"/>
                <w:szCs w:val="18"/>
              </w:rPr>
              <w:t>二、无限 售条件股 份</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7"/>
              <w:jc w:val="right"/>
              <w:rPr>
                <w:rFonts w:ascii="Arial" w:hAnsi="Arial" w:cs="Arial" w:eastAsia="Arial" w:hint="default"/>
                <w:sz w:val="18"/>
                <w:szCs w:val="18"/>
              </w:rPr>
            </w:pPr>
            <w:r>
              <w:rPr>
                <w:rFonts w:ascii="Arial"/>
                <w:spacing w:val="-1"/>
                <w:sz w:val="18"/>
              </w:rPr>
              <w:t>569,661,827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75.50%</w:t>
            </w: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29,323,236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29,323,236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598,985,063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74.00%</w:t>
            </w:r>
          </w:p>
        </w:tc>
      </w:tr>
      <w:tr>
        <w:trPr>
          <w:trHeight w:val="87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30"/>
              <w:ind w:left="101" w:right="101"/>
              <w:jc w:val="left"/>
              <w:rPr>
                <w:rFonts w:ascii="宋体" w:hAnsi="宋体" w:cs="宋体" w:eastAsia="宋体" w:hint="default"/>
                <w:sz w:val="18"/>
                <w:szCs w:val="18"/>
              </w:rPr>
            </w:pPr>
            <w:r>
              <w:rPr>
                <w:rFonts w:ascii="Arial" w:hAnsi="Arial" w:cs="Arial" w:eastAsia="Arial" w:hint="default"/>
                <w:spacing w:val="-16"/>
                <w:w w:val="99"/>
                <w:sz w:val="18"/>
                <w:szCs w:val="18"/>
              </w:rPr>
              <w:t>1</w:t>
            </w:r>
            <w:r>
              <w:rPr>
                <w:rFonts w:ascii="宋体" w:hAnsi="宋体" w:cs="宋体" w:eastAsia="宋体" w:hint="default"/>
                <w:spacing w:val="-16"/>
                <w:w w:val="99"/>
                <w:sz w:val="18"/>
                <w:szCs w:val="18"/>
              </w:rPr>
              <w:t>、人民币</w:t>
            </w:r>
            <w:r>
              <w:rPr>
                <w:rFonts w:ascii="宋体" w:hAnsi="宋体" w:cs="宋体" w:eastAsia="宋体" w:hint="default"/>
                <w:sz w:val="18"/>
                <w:szCs w:val="18"/>
              </w:rPr>
              <w:t> 普通股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7"/>
              <w:jc w:val="right"/>
              <w:rPr>
                <w:rFonts w:ascii="Arial" w:hAnsi="Arial" w:cs="Arial" w:eastAsia="Arial" w:hint="default"/>
                <w:sz w:val="18"/>
                <w:szCs w:val="18"/>
              </w:rPr>
            </w:pPr>
            <w:r>
              <w:rPr>
                <w:rFonts w:ascii="Arial"/>
                <w:spacing w:val="-1"/>
                <w:sz w:val="18"/>
              </w:rPr>
              <w:t>569,661,827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75.50%</w:t>
            </w:r>
          </w:p>
        </w:tc>
        <w:tc>
          <w:tcPr>
            <w:tcW w:w="111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29,323,236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29,323,236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598,985,063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74.00%</w:t>
            </w:r>
          </w:p>
        </w:tc>
      </w:tr>
      <w:tr>
        <w:trPr>
          <w:trHeight w:val="88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4"/>
              <w:ind w:left="101" w:right="123"/>
              <w:jc w:val="left"/>
              <w:rPr>
                <w:rFonts w:ascii="宋体" w:hAnsi="宋体" w:cs="宋体" w:eastAsia="宋体" w:hint="default"/>
                <w:sz w:val="18"/>
                <w:szCs w:val="18"/>
              </w:rPr>
            </w:pPr>
            <w:r>
              <w:rPr>
                <w:rFonts w:ascii="宋体" w:hAnsi="宋体" w:cs="宋体" w:eastAsia="宋体" w:hint="default"/>
                <w:sz w:val="18"/>
                <w:szCs w:val="18"/>
              </w:rPr>
              <w:t>三、股份 总数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7"/>
              <w:jc w:val="right"/>
              <w:rPr>
                <w:rFonts w:ascii="Arial" w:hAnsi="Arial" w:cs="Arial" w:eastAsia="Arial" w:hint="default"/>
                <w:sz w:val="18"/>
                <w:szCs w:val="18"/>
              </w:rPr>
            </w:pPr>
            <w:r>
              <w:rPr>
                <w:rFonts w:ascii="Arial"/>
                <w:spacing w:val="-1"/>
                <w:sz w:val="18"/>
              </w:rPr>
              <w:t>754,491,460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Arial" w:hAnsi="Arial" w:cs="Arial" w:eastAsia="Arial" w:hint="default"/>
                <w:sz w:val="18"/>
                <w:szCs w:val="18"/>
              </w:rPr>
            </w:pPr>
            <w:r>
              <w:rPr>
                <w:rFonts w:ascii="Arial"/>
                <w:sz w:val="18"/>
              </w:rPr>
              <w:t>55,938,493</w:t>
            </w:r>
          </w:p>
        </w:tc>
        <w:tc>
          <w:tcPr>
            <w:tcW w:w="44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-1,039,230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54,899,263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18"/>
                <w:szCs w:val="18"/>
              </w:rPr>
            </w:pPr>
            <w:r>
              <w:rPr>
                <w:rFonts w:ascii="Arial"/>
                <w:spacing w:val="-1"/>
                <w:sz w:val="18"/>
              </w:rPr>
              <w:t>809,390,723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26"/>
        <w:ind w:right="996"/>
        <w:jc w:val="left"/>
      </w:pPr>
      <w:r>
        <w:rPr/>
        <w:t>股份变动的原因</w:t>
      </w:r>
    </w:p>
    <w:p>
      <w:pPr>
        <w:pStyle w:val="Heading3"/>
        <w:spacing w:line="240" w:lineRule="auto" w:before="36"/>
        <w:ind w:right="996"/>
        <w:jc w:val="left"/>
      </w:pPr>
      <w:r>
        <w:rPr>
          <w:rFonts w:ascii="Arial" w:hAnsi="Arial" w:cs="Arial" w:eastAsia="Arial" w:hint="default"/>
        </w:rPr>
        <w:t>√  </w:t>
      </w:r>
      <w:r>
        <w:rPr/>
        <w:t>适用 □</w:t>
      </w:r>
      <w:r>
        <w:rPr>
          <w:spacing w:val="-14"/>
        </w:rPr>
        <w:t> </w:t>
      </w:r>
      <w:r>
        <w:rPr/>
        <w:t>不适用</w:t>
      </w:r>
    </w:p>
    <w:p>
      <w:pPr>
        <w:pStyle w:val="Heading3"/>
        <w:spacing w:line="240" w:lineRule="auto" w:before="45"/>
        <w:ind w:left="592" w:right="996"/>
        <w:jc w:val="left"/>
      </w:pPr>
      <w:r>
        <w:rPr/>
        <w:t>（</w:t>
      </w:r>
      <w:r>
        <w:rPr>
          <w:rFonts w:ascii="Arial" w:hAnsi="Arial" w:cs="Arial" w:eastAsia="Arial" w:hint="default"/>
        </w:rPr>
        <w:t>1</w:t>
      </w:r>
      <w:r>
        <w:rPr/>
        <w:t>）</w:t>
      </w:r>
      <w:r>
        <w:rPr>
          <w:rFonts w:ascii="Arial" w:hAnsi="Arial" w:cs="Arial" w:eastAsia="Arial" w:hint="default"/>
        </w:rPr>
        <w:t>2019</w:t>
      </w:r>
      <w:r>
        <w:rPr/>
        <w:t>年</w:t>
      </w:r>
      <w:r>
        <w:rPr>
          <w:rFonts w:ascii="Arial" w:hAnsi="Arial" w:cs="Arial" w:eastAsia="Arial" w:hint="default"/>
        </w:rPr>
        <w:t>4</w:t>
      </w:r>
      <w:r>
        <w:rPr/>
        <w:t>月，公司非公开发行股份</w:t>
      </w:r>
      <w:r>
        <w:rPr>
          <w:rFonts w:ascii="Arial" w:hAnsi="Arial" w:cs="Arial" w:eastAsia="Arial" w:hint="default"/>
        </w:rPr>
        <w:t>55,938,493</w:t>
      </w:r>
      <w:r>
        <w:rPr/>
        <w:t>股，均为有限售条件股份。</w:t>
      </w:r>
    </w:p>
    <w:p>
      <w:pPr>
        <w:pStyle w:val="Heading3"/>
        <w:spacing w:line="259" w:lineRule="auto" w:before="26"/>
        <w:ind w:right="996" w:firstLine="480"/>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2019</w:t>
      </w:r>
      <w:r>
        <w:rPr>
          <w:spacing w:val="-3"/>
        </w:rPr>
        <w:t>年</w:t>
      </w:r>
      <w:r>
        <w:rPr>
          <w:rFonts w:ascii="Arial" w:hAnsi="Arial" w:cs="Arial" w:eastAsia="Arial" w:hint="default"/>
          <w:spacing w:val="-3"/>
        </w:rPr>
        <w:t>5</w:t>
      </w:r>
      <w:r>
        <w:rPr>
          <w:spacing w:val="-3"/>
        </w:rPr>
        <w:t>月，因公司</w:t>
      </w:r>
      <w:r>
        <w:rPr>
          <w:rFonts w:ascii="Arial" w:hAnsi="Arial" w:cs="Arial" w:eastAsia="Arial" w:hint="default"/>
          <w:spacing w:val="-3"/>
        </w:rPr>
        <w:t>2016</w:t>
      </w:r>
      <w:r>
        <w:rPr>
          <w:spacing w:val="-3"/>
        </w:rPr>
        <w:t>年限制性股票激励计划第二期解锁条件达成，解除限制性</w:t>
      </w:r>
      <w:r>
        <w:rPr/>
        <w:t> 股票数量</w:t>
      </w:r>
      <w:r>
        <w:rPr>
          <w:rFonts w:ascii="Arial" w:hAnsi="Arial" w:cs="Arial" w:eastAsia="Arial" w:hint="default"/>
        </w:rPr>
        <w:t>5,769,480</w:t>
      </w:r>
      <w:r>
        <w:rPr/>
        <w:t>股，其中实际上市流通股份为</w:t>
      </w:r>
      <w:r>
        <w:rPr>
          <w:rFonts w:ascii="Arial" w:hAnsi="Arial" w:cs="Arial" w:eastAsia="Arial" w:hint="default"/>
        </w:rPr>
        <w:t>5,769,480</w:t>
      </w:r>
      <w:r>
        <w:rPr/>
        <w:t>股。</w:t>
      </w:r>
    </w:p>
    <w:p>
      <w:pPr>
        <w:pStyle w:val="Heading3"/>
        <w:spacing w:line="240" w:lineRule="auto" w:before="7"/>
        <w:ind w:left="592" w:right="996"/>
        <w:jc w:val="left"/>
      </w:pPr>
      <w:r>
        <w:rPr/>
        <w:t>（</w:t>
      </w:r>
      <w:r>
        <w:rPr>
          <w:rFonts w:ascii="Arial" w:hAnsi="Arial" w:cs="Arial" w:eastAsia="Arial" w:hint="default"/>
        </w:rPr>
        <w:t>3</w:t>
      </w:r>
      <w:r>
        <w:rPr/>
        <w:t>）</w:t>
      </w:r>
      <w:r>
        <w:rPr>
          <w:rFonts w:ascii="Arial" w:hAnsi="Arial" w:cs="Arial" w:eastAsia="Arial" w:hint="default"/>
        </w:rPr>
        <w:t>2019</w:t>
      </w:r>
      <w:r>
        <w:rPr/>
        <w:t>年</w:t>
      </w:r>
      <w:r>
        <w:rPr>
          <w:rFonts w:ascii="Arial" w:hAnsi="Arial" w:cs="Arial" w:eastAsia="Arial" w:hint="default"/>
        </w:rPr>
        <w:t>8</w:t>
      </w:r>
      <w:r>
        <w:rPr/>
        <w:t>月，因限制性股票回购注销，限售股份减少</w:t>
      </w:r>
      <w:r>
        <w:rPr>
          <w:rFonts w:ascii="Arial" w:hAnsi="Arial" w:cs="Arial" w:eastAsia="Arial" w:hint="default"/>
        </w:rPr>
        <w:t>1,039,230</w:t>
      </w:r>
      <w:r>
        <w:rPr/>
        <w:t>股。</w:t>
      </w:r>
    </w:p>
    <w:p>
      <w:pPr>
        <w:pStyle w:val="Heading3"/>
        <w:spacing w:line="240" w:lineRule="auto" w:before="29"/>
        <w:ind w:left="592" w:right="996"/>
        <w:jc w:val="left"/>
      </w:pPr>
      <w:r>
        <w:rPr/>
        <w:t>（</w:t>
      </w:r>
      <w:r>
        <w:rPr>
          <w:rFonts w:ascii="Arial" w:hAnsi="Arial" w:cs="Arial" w:eastAsia="Arial" w:hint="default"/>
        </w:rPr>
        <w:t>4</w:t>
      </w:r>
      <w:r>
        <w:rPr/>
        <w:t>）</w:t>
      </w:r>
      <w:r>
        <w:rPr>
          <w:rFonts w:ascii="Arial" w:hAnsi="Arial" w:cs="Arial" w:eastAsia="Arial" w:hint="default"/>
        </w:rPr>
        <w:t>2019</w:t>
      </w:r>
      <w:r>
        <w:rPr/>
        <w:t>年</w:t>
      </w:r>
      <w:r>
        <w:rPr>
          <w:rFonts w:ascii="Arial" w:hAnsi="Arial" w:cs="Arial" w:eastAsia="Arial" w:hint="default"/>
        </w:rPr>
        <w:t>9</w:t>
      </w:r>
      <w:r>
        <w:rPr/>
        <w:t>月，因公司发行股份购买资产解锁条件达成，解除限售股份数量为</w:t>
      </w:r>
    </w:p>
    <w:p>
      <w:pPr>
        <w:pStyle w:val="Heading3"/>
        <w:spacing w:line="271" w:lineRule="auto" w:before="26"/>
        <w:ind w:right="4991"/>
        <w:jc w:val="left"/>
      </w:pPr>
      <w:r>
        <w:rPr>
          <w:rFonts w:ascii="Arial" w:hAnsi="Arial" w:cs="Arial" w:eastAsia="Arial" w:hint="default"/>
        </w:rPr>
        <w:t>10,346,485</w:t>
      </w:r>
      <w:r>
        <w:rPr/>
        <w:t>股，实际可上市流通股份为</w:t>
      </w:r>
      <w:r>
        <w:rPr>
          <w:rFonts w:ascii="Arial" w:hAnsi="Arial" w:cs="Arial" w:eastAsia="Arial" w:hint="default"/>
        </w:rPr>
        <w:t>10,317,245</w:t>
      </w:r>
      <w:r>
        <w:rPr/>
        <w:t>股。 股份变动的批准情况</w:t>
      </w:r>
    </w:p>
    <w:p>
      <w:pPr>
        <w:pStyle w:val="Heading3"/>
        <w:spacing w:line="240" w:lineRule="auto" w:before="7"/>
        <w:ind w:right="996"/>
        <w:jc w:val="left"/>
      </w:pPr>
      <w:r>
        <w:rPr>
          <w:rFonts w:ascii="Arial" w:hAnsi="Arial" w:cs="Arial" w:eastAsia="Arial" w:hint="default"/>
        </w:rPr>
        <w:t>√  </w:t>
      </w:r>
      <w:r>
        <w:rPr/>
        <w:t>适用 □</w:t>
      </w:r>
      <w:r>
        <w:rPr>
          <w:spacing w:val="-14"/>
        </w:rPr>
        <w:t> </w:t>
      </w:r>
      <w:r>
        <w:rPr/>
        <w:t>不适用</w:t>
      </w:r>
    </w:p>
    <w:p>
      <w:pPr>
        <w:pStyle w:val="Heading3"/>
        <w:spacing w:line="259" w:lineRule="auto" w:before="43"/>
        <w:ind w:right="1179" w:firstLine="480"/>
        <w:jc w:val="left"/>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25</w:t>
      </w:r>
      <w:r>
        <w:rPr/>
        <w:t>日，公司召开第六届董事会第三十次会议，会议审议通过了《关于公司符 合非公开发行股票条件的议案》《关于公司非公开发行股票方案的议案》等议案。</w:t>
      </w:r>
      <w:r>
        <w:rPr>
          <w:rFonts w:ascii="Arial" w:hAnsi="Arial" w:cs="Arial" w:eastAsia="Arial" w:hint="default"/>
        </w:rPr>
        <w:t>2019</w:t>
      </w:r>
      <w:r>
        <w:rPr/>
        <w:t>年</w:t>
      </w:r>
      <w:r>
        <w:rPr>
          <w:rFonts w:ascii="Arial" w:hAnsi="Arial" w:cs="Arial" w:eastAsia="Arial" w:hint="default"/>
        </w:rPr>
        <w:t>4</w:t>
      </w:r>
      <w:r>
        <w:rPr>
          <w:rFonts w:ascii="Arial" w:hAnsi="Arial" w:cs="Arial" w:eastAsia="Arial" w:hint="default"/>
          <w:w w:val="99"/>
        </w:rPr>
        <w:t> </w:t>
      </w:r>
      <w:r>
        <w:rPr/>
        <w:t>月</w:t>
      </w:r>
      <w:r>
        <w:rPr>
          <w:rFonts w:ascii="Arial" w:hAnsi="Arial" w:cs="Arial" w:eastAsia="Arial" w:hint="default"/>
        </w:rPr>
        <w:t>19</w:t>
      </w:r>
      <w:r>
        <w:rPr/>
        <w:t>日，公司发布了《非公开发行股票上市公告书》等公告。</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24</w:t>
      </w:r>
      <w:r>
        <w:rPr/>
        <w:t>日，新增股份 </w:t>
      </w:r>
      <w:r>
        <w:rPr>
          <w:rFonts w:ascii="Arial" w:hAnsi="Arial" w:cs="Arial" w:eastAsia="Arial" w:hint="default"/>
        </w:rPr>
        <w:t>55,938,493</w:t>
      </w:r>
      <w:r>
        <w:rPr/>
        <w:t>股在深圳证券交易所完成上市。</w:t>
      </w:r>
    </w:p>
    <w:p>
      <w:pPr>
        <w:pStyle w:val="Heading3"/>
        <w:spacing w:line="240" w:lineRule="auto" w:before="7"/>
        <w:ind w:left="592" w:right="996"/>
        <w:jc w:val="left"/>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29</w:t>
      </w:r>
      <w:r>
        <w:rPr/>
        <w:t>日，公司召开第六届董事会第四十二次会议，会议审议通过了《关于公司</w:t>
      </w:r>
    </w:p>
    <w:p>
      <w:pPr>
        <w:pStyle w:val="Heading3"/>
        <w:spacing w:line="259" w:lineRule="auto" w:before="26"/>
        <w:ind w:right="1125"/>
        <w:jc w:val="left"/>
      </w:pPr>
      <w:r>
        <w:rPr>
          <w:rFonts w:ascii="Arial" w:hAnsi="Arial" w:cs="Arial" w:eastAsia="Arial" w:hint="default"/>
          <w:spacing w:val="-2"/>
        </w:rPr>
        <w:t>2016</w:t>
      </w:r>
      <w:r>
        <w:rPr>
          <w:spacing w:val="-2"/>
        </w:rPr>
        <w:t>年限制性股票激励计划第二个解锁期可解锁的议案》，公司</w:t>
      </w:r>
      <w:r>
        <w:rPr>
          <w:rFonts w:ascii="Arial" w:hAnsi="Arial" w:cs="Arial" w:eastAsia="Arial" w:hint="default"/>
          <w:spacing w:val="-2"/>
        </w:rPr>
        <w:t>2016</w:t>
      </w:r>
      <w:r>
        <w:rPr>
          <w:spacing w:val="-2"/>
        </w:rPr>
        <w:t>年第二个解锁期解锁条</w:t>
      </w:r>
      <w:r>
        <w:rPr>
          <w:spacing w:val="-109"/>
        </w:rPr>
        <w:t> </w:t>
      </w:r>
      <w:r>
        <w:rPr/>
        <w:t>件已满足，同意公司为</w:t>
      </w:r>
      <w:r>
        <w:rPr>
          <w:rFonts w:ascii="Arial" w:hAnsi="Arial" w:cs="Arial" w:eastAsia="Arial" w:hint="default"/>
        </w:rPr>
        <w:t>757</w:t>
      </w:r>
      <w:r>
        <w:rPr/>
        <w:t>名激励对象第二个解锁期</w:t>
      </w:r>
      <w:r>
        <w:rPr>
          <w:rFonts w:ascii="Arial" w:hAnsi="Arial" w:cs="Arial" w:eastAsia="Arial" w:hint="default"/>
        </w:rPr>
        <w:t>5,769,480</w:t>
      </w:r>
      <w:r>
        <w:rPr/>
        <w:t>股限制性股票予以解锁。会议 审议通过了《关于回购注销部分限制性股票的议案》，公司原</w:t>
      </w:r>
      <w:r>
        <w:rPr>
          <w:rFonts w:ascii="Arial" w:hAnsi="Arial" w:cs="Arial" w:eastAsia="Arial" w:hint="default"/>
        </w:rPr>
        <w:t>64</w:t>
      </w:r>
      <w:r>
        <w:rPr/>
        <w:t>名激励对象因辞职、被辞退 </w:t>
      </w:r>
      <w:r>
        <w:rPr>
          <w:spacing w:val="-1"/>
        </w:rPr>
        <w:t>或因个人原因放弃等原因，根据《</w:t>
      </w:r>
      <w:r>
        <w:rPr>
          <w:rFonts w:ascii="Arial" w:hAnsi="Arial" w:cs="Arial" w:eastAsia="Arial" w:hint="default"/>
          <w:spacing w:val="-1"/>
        </w:rPr>
        <w:t>2016</w:t>
      </w:r>
      <w:r>
        <w:rPr>
          <w:spacing w:val="-1"/>
        </w:rPr>
        <w:t>年限制性股票激励计划（草案）》第十三章第二条的</w:t>
      </w:r>
      <w:r>
        <w:rPr>
          <w:spacing w:val="-100"/>
        </w:rPr>
        <w:t> </w:t>
      </w:r>
      <w:r>
        <w:rPr>
          <w:spacing w:val="-100"/>
        </w:rPr>
      </w:r>
      <w:r>
        <w:rPr/>
        <w:t>有关规定认定并同意公司对上述</w:t>
      </w:r>
      <w:r>
        <w:rPr>
          <w:rFonts w:ascii="Arial" w:hAnsi="Arial" w:cs="Arial" w:eastAsia="Arial" w:hint="default"/>
        </w:rPr>
        <w:t>64</w:t>
      </w:r>
      <w:r>
        <w:rPr/>
        <w:t>名员工获授但尚未解锁的</w:t>
      </w:r>
      <w:r>
        <w:rPr>
          <w:rFonts w:ascii="Arial" w:hAnsi="Arial" w:cs="Arial" w:eastAsia="Arial" w:hint="default"/>
        </w:rPr>
        <w:t>1,012,200</w:t>
      </w:r>
      <w:r>
        <w:rPr/>
        <w:t>股限制性股票进行回 </w:t>
      </w:r>
      <w:r>
        <w:rPr>
          <w:spacing w:val="-4"/>
        </w:rPr>
        <w:t>购注销；公司原</w:t>
      </w:r>
      <w:r>
        <w:rPr>
          <w:rFonts w:ascii="Arial" w:hAnsi="Arial" w:cs="Arial" w:eastAsia="Arial" w:hint="default"/>
          <w:spacing w:val="-4"/>
        </w:rPr>
        <w:t>4</w:t>
      </w:r>
      <w:r>
        <w:rPr>
          <w:spacing w:val="-4"/>
        </w:rPr>
        <w:t>名激励对象因个人考核成绩不达标，根据《</w:t>
      </w:r>
      <w:r>
        <w:rPr>
          <w:rFonts w:ascii="Arial" w:hAnsi="Arial" w:cs="Arial" w:eastAsia="Arial" w:hint="default"/>
          <w:spacing w:val="-4"/>
        </w:rPr>
        <w:t>2016</w:t>
      </w:r>
      <w:r>
        <w:rPr>
          <w:spacing w:val="-4"/>
        </w:rPr>
        <w:t>年限制性股票激励计划（草</w:t>
      </w:r>
      <w:r>
        <w:rPr>
          <w:spacing w:val="-103"/>
        </w:rPr>
        <w:t> </w:t>
      </w:r>
      <w:r>
        <w:rPr>
          <w:spacing w:val="-103"/>
        </w:rPr>
      </w:r>
      <w:r>
        <w:rPr>
          <w:spacing w:val="-3"/>
        </w:rPr>
        <w:t>案）》第八章第二条的有关规定，同意公司对上述</w:t>
      </w:r>
      <w:r>
        <w:rPr>
          <w:rFonts w:ascii="Arial" w:hAnsi="Arial" w:cs="Arial" w:eastAsia="Arial" w:hint="default"/>
          <w:spacing w:val="-3"/>
        </w:rPr>
        <w:t>4</w:t>
      </w:r>
      <w:r>
        <w:rPr>
          <w:spacing w:val="-3"/>
        </w:rPr>
        <w:t>名员工获授但尚未解锁的</w:t>
      </w:r>
      <w:r>
        <w:rPr>
          <w:rFonts w:ascii="Arial" w:hAnsi="Arial" w:cs="Arial" w:eastAsia="Arial" w:hint="default"/>
          <w:spacing w:val="-3"/>
        </w:rPr>
        <w:t>27,030</w:t>
      </w:r>
      <w:r>
        <w:rPr>
          <w:spacing w:val="-3"/>
        </w:rPr>
        <w:t>股限制性</w:t>
      </w:r>
      <w:r>
        <w:rPr>
          <w:spacing w:val="-103"/>
        </w:rPr>
        <w:t> </w:t>
      </w:r>
      <w:r>
        <w:rPr/>
        <w:t>股票进行回购注销。</w:t>
      </w:r>
    </w:p>
    <w:p>
      <w:pPr>
        <w:pStyle w:val="Heading3"/>
        <w:spacing w:line="240" w:lineRule="auto" w:before="41"/>
        <w:ind w:right="996"/>
        <w:jc w:val="left"/>
      </w:pPr>
      <w:r>
        <w:rPr/>
        <w:t>股份变动的过户情况</w:t>
      </w:r>
    </w:p>
    <w:p>
      <w:pPr>
        <w:pStyle w:val="Heading3"/>
        <w:spacing w:line="256" w:lineRule="auto" w:before="38"/>
        <w:ind w:right="8114"/>
        <w:jc w:val="left"/>
      </w:pPr>
      <w:r>
        <w:rPr>
          <w:rFonts w:ascii="Arial" w:hAnsi="Arial" w:cs="Arial" w:eastAsia="Arial" w:hint="default"/>
        </w:rPr>
        <w:t>□ </w:t>
      </w:r>
      <w:r>
        <w:rPr/>
        <w:t>适用 √</w:t>
      </w:r>
      <w:r>
        <w:rPr>
          <w:spacing w:val="-15"/>
        </w:rPr>
        <w:t> </w:t>
      </w:r>
      <w:r>
        <w:rPr/>
        <w:t>不适用</w:t>
      </w:r>
      <w:r>
        <w:rPr>
          <w:w w:val="99"/>
        </w:rPr>
        <w:t> </w:t>
      </w:r>
      <w:r>
        <w:rPr/>
        <w:t>股份回购的实施进展情况</w:t>
      </w:r>
    </w:p>
    <w:p>
      <w:pPr>
        <w:pStyle w:val="Heading3"/>
        <w:spacing w:line="240" w:lineRule="auto" w:before="19"/>
        <w:ind w:right="996"/>
        <w:jc w:val="left"/>
      </w:pPr>
      <w:r>
        <w:rPr>
          <w:rFonts w:ascii="Arial" w:hAnsi="Arial" w:cs="Arial" w:eastAsia="Arial" w:hint="default"/>
        </w:rPr>
        <w:t>√  </w:t>
      </w:r>
      <w:r>
        <w:rPr/>
        <w:t>适用 □</w:t>
      </w:r>
      <w:r>
        <w:rPr>
          <w:spacing w:val="-14"/>
        </w:rPr>
        <w:t> </w:t>
      </w:r>
      <w:r>
        <w:rPr/>
        <w:t>不适用</w:t>
      </w:r>
    </w:p>
    <w:p>
      <w:pPr>
        <w:pStyle w:val="Heading3"/>
        <w:spacing w:line="240" w:lineRule="auto" w:before="43"/>
        <w:ind w:left="592" w:right="996"/>
        <w:jc w:val="left"/>
      </w:pPr>
      <w:r>
        <w:rPr>
          <w:rFonts w:ascii="Arial" w:hAnsi="Arial" w:cs="Arial" w:eastAsia="Arial" w:hint="default"/>
        </w:rPr>
        <w:t>2019</w:t>
      </w:r>
      <w:r>
        <w:rPr/>
        <w:t>年</w:t>
      </w:r>
      <w:r>
        <w:rPr>
          <w:rFonts w:ascii="Arial" w:hAnsi="Arial" w:cs="Arial" w:eastAsia="Arial" w:hint="default"/>
        </w:rPr>
        <w:t>8</w:t>
      </w:r>
      <w:r>
        <w:rPr/>
        <w:t>月</w:t>
      </w:r>
      <w:r>
        <w:rPr>
          <w:rFonts w:ascii="Arial" w:hAnsi="Arial" w:cs="Arial" w:eastAsia="Arial" w:hint="default"/>
        </w:rPr>
        <w:t>8</w:t>
      </w:r>
      <w:r>
        <w:rPr/>
        <w:t>日，公司发布了《关于部分限制性股票回购注销完成公告》，回购激励对象</w:t>
      </w:r>
    </w:p>
    <w:p>
      <w:pPr>
        <w:pStyle w:val="Heading3"/>
        <w:spacing w:line="271" w:lineRule="auto" w:before="29"/>
        <w:ind w:right="2405"/>
        <w:jc w:val="left"/>
      </w:pPr>
      <w:r>
        <w:rPr>
          <w:rFonts w:ascii="Arial" w:hAnsi="Arial" w:cs="Arial" w:eastAsia="Arial" w:hint="default"/>
        </w:rPr>
        <w:t>68</w:t>
      </w:r>
      <w:r>
        <w:rPr/>
        <w:t>人所获授但尚未解锁的限制性股票共计</w:t>
      </w:r>
      <w:r>
        <w:rPr>
          <w:rFonts w:ascii="Arial" w:hAnsi="Arial" w:cs="Arial" w:eastAsia="Arial" w:hint="default"/>
        </w:rPr>
        <w:t>1,039,230</w:t>
      </w:r>
      <w:r>
        <w:rPr/>
        <w:t>股，回购价格为</w:t>
      </w:r>
      <w:r>
        <w:rPr>
          <w:rFonts w:ascii="Arial" w:hAnsi="Arial" w:cs="Arial" w:eastAsia="Arial" w:hint="default"/>
        </w:rPr>
        <w:t>9.87</w:t>
      </w:r>
      <w:r>
        <w:rPr/>
        <w:t>元</w:t>
      </w:r>
      <w:r>
        <w:rPr>
          <w:rFonts w:ascii="Arial" w:hAnsi="Arial" w:cs="Arial" w:eastAsia="Arial" w:hint="default"/>
        </w:rPr>
        <w:t>/</w:t>
      </w:r>
      <w:r>
        <w:rPr/>
        <w:t>股。 采用集中竞价方式减持回购股份的实施进展情况</w:t>
      </w:r>
    </w:p>
    <w:p>
      <w:pPr>
        <w:pStyle w:val="Heading3"/>
        <w:spacing w:line="247" w:lineRule="auto" w:before="7"/>
        <w:ind w:right="1154"/>
        <w:jc w:val="left"/>
      </w:pPr>
      <w:r>
        <w:rPr>
          <w:rFonts w:ascii="Arial" w:hAnsi="Arial" w:cs="Arial" w:eastAsia="Arial" w:hint="default"/>
        </w:rPr>
        <w:t>□ </w:t>
      </w:r>
      <w:r>
        <w:rPr/>
        <w:t>适用 √</w:t>
      </w:r>
      <w:r>
        <w:rPr>
          <w:spacing w:val="-15"/>
        </w:rPr>
        <w:t> </w:t>
      </w:r>
      <w:r>
        <w:rPr/>
        <w:t>不适用</w:t>
      </w:r>
      <w:r>
        <w:rPr>
          <w:w w:val="99"/>
        </w:rPr>
        <w:t> </w:t>
      </w:r>
      <w:r>
        <w:rPr/>
        <w:t>股份变动对最近一年和最近一期基本每股收益和稀释每股收益、归属于公司普通股股东的每</w:t>
      </w:r>
      <w:r>
        <w:rPr>
          <w:w w:val="99"/>
        </w:rPr>
        <w:t> </w:t>
      </w:r>
      <w:r>
        <w:rPr/>
        <w:t>股净资产等财务指标的影响</w:t>
      </w:r>
    </w:p>
    <w:p>
      <w:pPr>
        <w:pStyle w:val="Heading3"/>
        <w:spacing w:line="256" w:lineRule="auto" w:before="29"/>
        <w:ind w:right="5474"/>
        <w:jc w:val="left"/>
      </w:pPr>
      <w:r>
        <w:rPr>
          <w:rFonts w:ascii="Arial" w:hAnsi="Arial" w:cs="Arial" w:eastAsia="Arial" w:hint="default"/>
        </w:rPr>
        <w:t>□ </w:t>
      </w:r>
      <w:r>
        <w:rPr/>
        <w:t>适用 √</w:t>
      </w:r>
      <w:r>
        <w:rPr>
          <w:spacing w:val="-15"/>
        </w:rPr>
        <w:t> </w:t>
      </w:r>
      <w:r>
        <w:rPr/>
        <w:t>不适用</w:t>
      </w:r>
      <w:r>
        <w:rPr>
          <w:w w:val="99"/>
        </w:rPr>
        <w:t> </w:t>
      </w:r>
      <w:r>
        <w:rPr/>
        <w:t>公司认为必要或证券监管机构要求披露的其他内容</w:t>
      </w:r>
    </w:p>
    <w:p>
      <w:pPr>
        <w:pStyle w:val="Heading3"/>
        <w:spacing w:line="240" w:lineRule="auto" w:before="22"/>
        <w:ind w:right="996"/>
        <w:jc w:val="left"/>
      </w:pPr>
      <w:r>
        <w:rPr>
          <w:rFonts w:ascii="Arial" w:hAnsi="Arial" w:cs="Arial" w:eastAsia="Arial" w:hint="default"/>
        </w:rPr>
        <w:t>□  </w:t>
      </w:r>
      <w:r>
        <w:rPr/>
        <w:t>适用 √</w:t>
      </w:r>
      <w:r>
        <w:rPr>
          <w:spacing w:val="-15"/>
        </w:rPr>
        <w:t> </w:t>
      </w:r>
      <w:r>
        <w:rPr/>
        <w:t>不适用</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限售股份变动情况" w:id="103"/>
      <w:bookmarkEnd w:id="103"/>
      <w:r>
        <w:rPr>
          <w:b w:val="0"/>
          <w:bCs w:val="0"/>
        </w:rPr>
      </w:r>
      <w:r>
        <w:rPr>
          <w:rFonts w:ascii="Arial" w:hAnsi="Arial" w:cs="Arial" w:eastAsia="Arial" w:hint="default"/>
        </w:rPr>
        <w:t>2</w:t>
      </w:r>
      <w:r>
        <w:rPr/>
        <w:t>、限售股份变动情况</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8" w:footer="1016" w:top="1100" w:bottom="1200" w:left="1020" w:right="0"/>
        </w:sectPr>
      </w:pPr>
    </w:p>
    <w:p>
      <w:pPr>
        <w:pStyle w:val="Heading3"/>
        <w:spacing w:line="240" w:lineRule="auto" w:before="26"/>
        <w:ind w:right="-19"/>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单位：股</w:t>
      </w:r>
    </w:p>
    <w:p>
      <w:pPr>
        <w:spacing w:after="0" w:line="240" w:lineRule="auto"/>
        <w:jc w:val="left"/>
        <w:sectPr>
          <w:type w:val="continuous"/>
          <w:pgSz w:w="11910" w:h="16840"/>
          <w:pgMar w:top="1060" w:bottom="1200" w:left="1020" w:right="0"/>
          <w:cols w:num="2" w:equalWidth="0">
            <w:col w:w="2045" w:space="6753"/>
            <w:col w:w="2092"/>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704"/>
        <w:gridCol w:w="1230"/>
        <w:gridCol w:w="1208"/>
        <w:gridCol w:w="1208"/>
        <w:gridCol w:w="1230"/>
        <w:gridCol w:w="881"/>
        <w:gridCol w:w="2285"/>
      </w:tblGrid>
      <w:tr>
        <w:trPr>
          <w:trHeight w:val="714"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19" w:right="15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8" w:right="147"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7" w:right="14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19" w:right="15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5" w:right="164" w:hanging="180"/>
              <w:jc w:val="left"/>
              <w:rPr>
                <w:rFonts w:ascii="宋体" w:hAnsi="宋体" w:cs="宋体" w:eastAsia="宋体" w:hint="default"/>
                <w:sz w:val="18"/>
                <w:szCs w:val="18"/>
              </w:rPr>
            </w:pPr>
            <w:r>
              <w:rPr>
                <w:rFonts w:ascii="宋体" w:hAnsi="宋体" w:cs="宋体" w:eastAsia="宋体" w:hint="default"/>
                <w:sz w:val="18"/>
                <w:szCs w:val="18"/>
              </w:rPr>
              <w:t>限售原 因</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Arial" w:hAnsi="Arial" w:cs="Arial" w:eastAsia="Arial" w:hint="default"/>
                <w:sz w:val="18"/>
                <w:szCs w:val="18"/>
              </w:rPr>
            </w:pPr>
            <w:r>
              <w:rPr>
                <w:rFonts w:ascii="Arial"/>
                <w:spacing w:val="-2"/>
                <w:sz w:val="18"/>
              </w:rPr>
              <w:t>112,975,991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112,975,991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高管锁 </w:t>
            </w:r>
            <w:r>
              <w:rPr>
                <w:rFonts w:ascii="宋体" w:hAnsi="宋体" w:cs="宋体" w:eastAsia="宋体" w:hint="default"/>
                <w:spacing w:val="-14"/>
                <w:sz w:val="18"/>
                <w:szCs w:val="18"/>
              </w:rPr>
              <w:t>定；首发</w:t>
            </w:r>
            <w:r>
              <w:rPr>
                <w:rFonts w:ascii="宋体" w:hAnsi="宋体" w:cs="宋体" w:eastAsia="宋体" w:hint="default"/>
                <w:sz w:val="18"/>
                <w:szCs w:val="18"/>
              </w:rPr>
              <w:t> 后限售 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2" w:right="100"/>
              <w:jc w:val="both"/>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4"/>
                <w:sz w:val="18"/>
                <w:szCs w:val="18"/>
              </w:rPr>
              <w:t> </w:t>
            </w:r>
            <w:r>
              <w:rPr>
                <w:rFonts w:ascii="Arial" w:hAnsi="Arial" w:cs="Arial" w:eastAsia="Arial" w:hint="default"/>
                <w:sz w:val="18"/>
                <w:szCs w:val="18"/>
              </w:rPr>
              <w:t>25%</w:t>
            </w:r>
            <w:r>
              <w:rPr>
                <w:rFonts w:ascii="宋体" w:hAnsi="宋体" w:cs="宋体" w:eastAsia="宋体" w:hint="default"/>
                <w:sz w:val="18"/>
                <w:szCs w:val="18"/>
              </w:rPr>
              <w:t>；首发后承 </w:t>
            </w:r>
            <w:r>
              <w:rPr>
                <w:rFonts w:ascii="宋体" w:hAnsi="宋体" w:cs="宋体" w:eastAsia="宋体" w:hint="default"/>
                <w:spacing w:val="-3"/>
                <w:sz w:val="18"/>
                <w:szCs w:val="18"/>
              </w:rPr>
              <w:t>诺：自股份发行之日起</w:t>
            </w:r>
            <w:r>
              <w:rPr>
                <w:rFonts w:ascii="宋体" w:hAnsi="宋体" w:cs="宋体" w:eastAsia="宋体" w:hint="default"/>
                <w:spacing w:val="7"/>
                <w:sz w:val="18"/>
                <w:szCs w:val="18"/>
              </w:rPr>
              <w:t> </w:t>
            </w:r>
            <w:r>
              <w:rPr>
                <w:rFonts w:ascii="Arial" w:hAnsi="Arial" w:cs="Arial" w:eastAsia="Arial" w:hint="default"/>
                <w:sz w:val="18"/>
                <w:szCs w:val="18"/>
              </w:rPr>
              <w:t>36</w:t>
            </w:r>
            <w:r>
              <w:rPr>
                <w:rFonts w:ascii="Arial" w:hAnsi="Arial" w:cs="Arial" w:eastAsia="Arial" w:hint="default"/>
                <w:w w:val="99"/>
                <w:sz w:val="18"/>
                <w:szCs w:val="18"/>
              </w:rPr>
              <w:t> </w:t>
            </w:r>
            <w:r>
              <w:rPr>
                <w:rFonts w:ascii="宋体" w:hAnsi="宋体" w:cs="宋体" w:eastAsia="宋体" w:hint="default"/>
                <w:sz w:val="18"/>
                <w:szCs w:val="18"/>
              </w:rPr>
              <w:t>个月不得转让</w:t>
            </w:r>
          </w:p>
        </w:tc>
      </w:tr>
      <w:tr>
        <w:trPr>
          <w:trHeight w:val="10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四川发展大数据产 业投资有限责任公 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34,199,363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34,199,363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169"/>
              <w:jc w:val="left"/>
              <w:rPr>
                <w:rFonts w:ascii="宋体" w:hAnsi="宋体" w:cs="宋体" w:eastAsia="宋体" w:hint="default"/>
                <w:sz w:val="18"/>
                <w:szCs w:val="18"/>
              </w:rPr>
            </w:pPr>
            <w:r>
              <w:rPr>
                <w:rFonts w:ascii="宋体" w:hAnsi="宋体" w:cs="宋体" w:eastAsia="宋体" w:hint="default"/>
                <w:sz w:val="18"/>
                <w:szCs w:val="18"/>
              </w:rPr>
              <w:t>首发后承诺：自股份发行 结束之日起锁定 </w:t>
            </w:r>
            <w:r>
              <w:rPr>
                <w:rFonts w:ascii="Arial" w:hAnsi="Arial" w:cs="Arial" w:eastAsia="Arial" w:hint="default"/>
                <w:sz w:val="18"/>
                <w:szCs w:val="18"/>
              </w:rPr>
              <w:t>12</w:t>
            </w:r>
            <w:r>
              <w:rPr>
                <w:rFonts w:ascii="Arial" w:hAnsi="Arial" w:cs="Arial" w:eastAsia="Arial" w:hint="default"/>
                <w:spacing w:val="39"/>
                <w:sz w:val="18"/>
                <w:szCs w:val="18"/>
              </w:rPr>
              <w:t> </w:t>
            </w:r>
            <w:r>
              <w:rPr>
                <w:rFonts w:ascii="宋体" w:hAnsi="宋体" w:cs="宋体" w:eastAsia="宋体" w:hint="default"/>
                <w:sz w:val="18"/>
                <w:szCs w:val="18"/>
              </w:rPr>
              <w:t>个月</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上海云鑫创业投资 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13,255,567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13,255,567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69"/>
              <w:jc w:val="left"/>
              <w:rPr>
                <w:rFonts w:ascii="宋体" w:hAnsi="宋体" w:cs="宋体" w:eastAsia="宋体" w:hint="default"/>
                <w:sz w:val="18"/>
                <w:szCs w:val="18"/>
              </w:rPr>
            </w:pPr>
            <w:r>
              <w:rPr>
                <w:rFonts w:ascii="宋体" w:hAnsi="宋体" w:cs="宋体" w:eastAsia="宋体" w:hint="default"/>
                <w:sz w:val="18"/>
                <w:szCs w:val="18"/>
              </w:rPr>
              <w:t>首发后承诺：自股份发行 结束之日起锁定 </w:t>
            </w:r>
            <w:r>
              <w:rPr>
                <w:rFonts w:ascii="Arial" w:hAnsi="Arial" w:cs="Arial" w:eastAsia="Arial" w:hint="default"/>
                <w:sz w:val="18"/>
                <w:szCs w:val="18"/>
              </w:rPr>
              <w:t>12</w:t>
            </w:r>
            <w:r>
              <w:rPr>
                <w:rFonts w:ascii="Arial" w:hAnsi="Arial" w:cs="Arial" w:eastAsia="Arial" w:hint="default"/>
                <w:spacing w:val="39"/>
                <w:sz w:val="18"/>
                <w:szCs w:val="18"/>
              </w:rPr>
              <w:t> </w:t>
            </w:r>
            <w:r>
              <w:rPr>
                <w:rFonts w:ascii="宋体" w:hAnsi="宋体" w:cs="宋体" w:eastAsia="宋体" w:hint="default"/>
                <w:sz w:val="18"/>
                <w:szCs w:val="18"/>
              </w:rPr>
              <w:t>个月</w:t>
            </w:r>
          </w:p>
        </w:tc>
      </w:tr>
      <w:tr>
        <w:trPr>
          <w:trHeight w:val="10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任刚</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19,632,674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9,161,914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10,470,760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90"/>
              <w:jc w:val="left"/>
              <w:rPr>
                <w:rFonts w:ascii="宋体" w:hAnsi="宋体" w:cs="宋体" w:eastAsia="宋体" w:hint="default"/>
                <w:sz w:val="18"/>
                <w:szCs w:val="18"/>
              </w:rPr>
            </w:pPr>
            <w:r>
              <w:rPr>
                <w:rFonts w:ascii="宋体" w:hAnsi="宋体" w:cs="宋体" w:eastAsia="宋体" w:hint="default"/>
                <w:sz w:val="18"/>
                <w:szCs w:val="18"/>
              </w:rPr>
              <w:t>首发后承诺：自股份发行 结束之日起锁定 </w:t>
            </w:r>
            <w:r>
              <w:rPr>
                <w:rFonts w:ascii="Arial" w:hAnsi="Arial" w:cs="Arial" w:eastAsia="Arial" w:hint="default"/>
                <w:sz w:val="18"/>
                <w:szCs w:val="18"/>
              </w:rPr>
              <w:t>12</w:t>
            </w:r>
            <w:r>
              <w:rPr>
                <w:rFonts w:ascii="Arial" w:hAnsi="Arial" w:cs="Arial" w:eastAsia="Arial" w:hint="default"/>
                <w:spacing w:val="40"/>
                <w:sz w:val="18"/>
                <w:szCs w:val="18"/>
              </w:rPr>
              <w:t> </w:t>
            </w:r>
            <w:r>
              <w:rPr>
                <w:rFonts w:ascii="宋体" w:hAnsi="宋体" w:cs="宋体" w:eastAsia="宋体" w:hint="default"/>
                <w:sz w:val="18"/>
                <w:szCs w:val="18"/>
              </w:rPr>
              <w:t>个 月，之后分三次解锁</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10,209,392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10,209,392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90"/>
              <w:jc w:val="left"/>
              <w:rPr>
                <w:rFonts w:ascii="宋体" w:hAnsi="宋体" w:cs="宋体" w:eastAsia="宋体" w:hint="default"/>
                <w:sz w:val="18"/>
                <w:szCs w:val="18"/>
              </w:rPr>
            </w:pPr>
            <w:r>
              <w:rPr>
                <w:rFonts w:ascii="宋体" w:hAnsi="宋体" w:cs="宋体" w:eastAsia="宋体" w:hint="default"/>
                <w:sz w:val="18"/>
                <w:szCs w:val="18"/>
              </w:rPr>
              <w:t>首发后承诺：自股份发行 之日起 </w:t>
            </w:r>
            <w:r>
              <w:rPr>
                <w:rFonts w:ascii="Arial" w:hAnsi="Arial" w:cs="Arial" w:eastAsia="Arial" w:hint="default"/>
                <w:sz w:val="18"/>
                <w:szCs w:val="18"/>
              </w:rPr>
              <w:t>36</w:t>
            </w:r>
            <w:r>
              <w:rPr>
                <w:rFonts w:ascii="Arial" w:hAnsi="Arial" w:cs="Arial" w:eastAsia="Arial" w:hint="default"/>
                <w:spacing w:val="-7"/>
                <w:sz w:val="18"/>
                <w:szCs w:val="18"/>
              </w:rPr>
              <w:t> </w:t>
            </w:r>
            <w:r>
              <w:rPr>
                <w:rFonts w:ascii="宋体" w:hAnsi="宋体" w:cs="宋体" w:eastAsia="宋体" w:hint="default"/>
                <w:sz w:val="18"/>
                <w:szCs w:val="18"/>
              </w:rPr>
              <w:t>个月不得转让</w:t>
            </w:r>
          </w:p>
        </w:tc>
      </w:tr>
      <w:tr>
        <w:trPr>
          <w:trHeight w:val="165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四川弘涛投资管理 有限公司－四川兴 晟国企改革发展股 权投资基金合伙企 业（有限合伙）</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8,483,563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8,483,563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2" w:right="169"/>
              <w:jc w:val="left"/>
              <w:rPr>
                <w:rFonts w:ascii="宋体" w:hAnsi="宋体" w:cs="宋体" w:eastAsia="宋体" w:hint="default"/>
                <w:sz w:val="18"/>
                <w:szCs w:val="18"/>
              </w:rPr>
            </w:pPr>
            <w:r>
              <w:rPr>
                <w:rFonts w:ascii="宋体" w:hAnsi="宋体" w:cs="宋体" w:eastAsia="宋体" w:hint="default"/>
                <w:sz w:val="18"/>
                <w:szCs w:val="18"/>
              </w:rPr>
              <w:t>首发后承诺：自股份发行 结束之日起锁定 </w:t>
            </w:r>
            <w:r>
              <w:rPr>
                <w:rFonts w:ascii="Arial" w:hAnsi="Arial" w:cs="Arial" w:eastAsia="Arial" w:hint="default"/>
                <w:sz w:val="18"/>
                <w:szCs w:val="18"/>
              </w:rPr>
              <w:t>12</w:t>
            </w:r>
            <w:r>
              <w:rPr>
                <w:rFonts w:ascii="Arial" w:hAnsi="Arial" w:cs="Arial" w:eastAsia="Arial" w:hint="default"/>
                <w:spacing w:val="39"/>
                <w:sz w:val="18"/>
                <w:szCs w:val="18"/>
              </w:rPr>
              <w:t> </w:t>
            </w:r>
            <w:r>
              <w:rPr>
                <w:rFonts w:ascii="宋体" w:hAnsi="宋体" w:cs="宋体" w:eastAsia="宋体" w:hint="default"/>
                <w:sz w:val="18"/>
                <w:szCs w:val="18"/>
              </w:rPr>
              <w:t>个月</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6,940,700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6,940,700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6"/>
              <w:jc w:val="left"/>
              <w:rPr>
                <w:rFonts w:ascii="宋体" w:hAnsi="宋体" w:cs="宋体" w:eastAsia="宋体" w:hint="default"/>
                <w:sz w:val="18"/>
                <w:szCs w:val="18"/>
              </w:rPr>
            </w:pPr>
            <w:r>
              <w:rPr>
                <w:rFonts w:ascii="宋体" w:hAnsi="宋体" w:cs="宋体" w:eastAsia="宋体" w:hint="default"/>
                <w:sz w:val="18"/>
                <w:szCs w:val="18"/>
              </w:rPr>
              <w:t>高管锁 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宋体" w:hAnsi="宋体" w:cs="宋体" w:eastAsia="宋体" w:hint="default"/>
                <w:sz w:val="18"/>
                <w:szCs w:val="18"/>
              </w:rPr>
              <w:t>每年解锁 </w:t>
            </w:r>
            <w:r>
              <w:rPr>
                <w:rFonts w:ascii="Arial" w:hAnsi="Arial" w:cs="Arial" w:eastAsia="Arial" w:hint="default"/>
                <w:sz w:val="18"/>
                <w:szCs w:val="18"/>
              </w:rPr>
              <w:t>25%</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王秀花</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2,540,674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2,540,674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6"/>
              <w:jc w:val="left"/>
              <w:rPr>
                <w:rFonts w:ascii="宋体" w:hAnsi="宋体" w:cs="宋体" w:eastAsia="宋体" w:hint="default"/>
                <w:sz w:val="18"/>
                <w:szCs w:val="18"/>
              </w:rPr>
            </w:pPr>
            <w:r>
              <w:rPr>
                <w:rFonts w:ascii="宋体" w:hAnsi="宋体" w:cs="宋体" w:eastAsia="宋体" w:hint="default"/>
                <w:sz w:val="18"/>
                <w:szCs w:val="18"/>
              </w:rPr>
              <w:t>高管锁 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宋体" w:hAnsi="宋体" w:cs="宋体" w:eastAsia="宋体" w:hint="default"/>
                <w:sz w:val="18"/>
                <w:szCs w:val="18"/>
              </w:rPr>
              <w:t>每年解锁 </w:t>
            </w:r>
            <w:r>
              <w:rPr>
                <w:rFonts w:ascii="Arial" w:hAnsi="Arial" w:cs="Arial" w:eastAsia="Arial" w:hint="default"/>
                <w:sz w:val="18"/>
                <w:szCs w:val="18"/>
              </w:rPr>
              <w:t>25%</w:t>
            </w:r>
          </w:p>
        </w:tc>
      </w:tr>
      <w:tr>
        <w:trPr>
          <w:trHeight w:val="71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1,849,494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1,849,494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6"/>
              <w:jc w:val="left"/>
              <w:rPr>
                <w:rFonts w:ascii="宋体" w:hAnsi="宋体" w:cs="宋体" w:eastAsia="宋体" w:hint="default"/>
                <w:sz w:val="18"/>
                <w:szCs w:val="18"/>
              </w:rPr>
            </w:pPr>
            <w:r>
              <w:rPr>
                <w:rFonts w:ascii="宋体" w:hAnsi="宋体" w:cs="宋体" w:eastAsia="宋体" w:hint="default"/>
                <w:sz w:val="18"/>
                <w:szCs w:val="18"/>
              </w:rPr>
              <w:t>高管锁 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宋体" w:hAnsi="宋体" w:cs="宋体" w:eastAsia="宋体" w:hint="default"/>
                <w:sz w:val="18"/>
                <w:szCs w:val="18"/>
              </w:rPr>
              <w:t>每年解锁 </w:t>
            </w:r>
            <w:r>
              <w:rPr>
                <w:rFonts w:ascii="Arial" w:hAnsi="Arial" w:cs="Arial" w:eastAsia="Arial" w:hint="default"/>
                <w:sz w:val="18"/>
                <w:szCs w:val="18"/>
              </w:rPr>
              <w:t>25%</w:t>
            </w:r>
          </w:p>
        </w:tc>
      </w:tr>
      <w:tr>
        <w:trPr>
          <w:trHeight w:val="10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朱明武</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2,538,366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1,184,571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1,353,795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26"/>
              <w:jc w:val="left"/>
              <w:rPr>
                <w:rFonts w:ascii="宋体" w:hAnsi="宋体" w:cs="宋体" w:eastAsia="宋体" w:hint="default"/>
                <w:sz w:val="18"/>
                <w:szCs w:val="18"/>
              </w:rPr>
            </w:pPr>
            <w:r>
              <w:rPr>
                <w:rFonts w:ascii="宋体" w:hAnsi="宋体" w:cs="宋体" w:eastAsia="宋体" w:hint="default"/>
                <w:sz w:val="18"/>
                <w:szCs w:val="18"/>
              </w:rPr>
              <w:t>首发后 限售股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90"/>
              <w:jc w:val="left"/>
              <w:rPr>
                <w:rFonts w:ascii="宋体" w:hAnsi="宋体" w:cs="宋体" w:eastAsia="宋体" w:hint="default"/>
                <w:sz w:val="18"/>
                <w:szCs w:val="18"/>
              </w:rPr>
            </w:pPr>
            <w:r>
              <w:rPr>
                <w:rFonts w:ascii="宋体" w:hAnsi="宋体" w:cs="宋体" w:eastAsia="宋体" w:hint="default"/>
                <w:sz w:val="18"/>
                <w:szCs w:val="18"/>
              </w:rPr>
              <w:t>首发后承诺：自股份发行 结束之日起锁定 </w:t>
            </w:r>
            <w:r>
              <w:rPr>
                <w:rFonts w:ascii="Arial" w:hAnsi="Arial" w:cs="Arial" w:eastAsia="Arial" w:hint="default"/>
                <w:sz w:val="18"/>
                <w:szCs w:val="18"/>
              </w:rPr>
              <w:t>12</w:t>
            </w:r>
            <w:r>
              <w:rPr>
                <w:rFonts w:ascii="Arial" w:hAnsi="Arial" w:cs="Arial" w:eastAsia="Arial" w:hint="default"/>
                <w:spacing w:val="40"/>
                <w:sz w:val="18"/>
                <w:szCs w:val="18"/>
              </w:rPr>
              <w:t> </w:t>
            </w:r>
            <w:r>
              <w:rPr>
                <w:rFonts w:ascii="宋体" w:hAnsi="宋体" w:cs="宋体" w:eastAsia="宋体" w:hint="default"/>
                <w:sz w:val="18"/>
                <w:szCs w:val="18"/>
              </w:rPr>
              <w:t>个 月，之后分三次解锁</w:t>
            </w:r>
          </w:p>
        </w:tc>
      </w:tr>
      <w:tr>
        <w:trPr>
          <w:trHeight w:val="165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28,142,342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20,015,981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8,126,361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z w:val="18"/>
                <w:szCs w:val="18"/>
              </w:rPr>
              <w:t>高管锁 </w:t>
            </w:r>
            <w:r>
              <w:rPr>
                <w:rFonts w:ascii="宋体" w:hAnsi="宋体" w:cs="宋体" w:eastAsia="宋体" w:hint="default"/>
                <w:spacing w:val="-14"/>
                <w:sz w:val="18"/>
                <w:szCs w:val="18"/>
              </w:rPr>
              <w:t>定；股权</w:t>
            </w:r>
            <w:r>
              <w:rPr>
                <w:rFonts w:ascii="宋体" w:hAnsi="宋体" w:cs="宋体" w:eastAsia="宋体" w:hint="default"/>
                <w:sz w:val="18"/>
                <w:szCs w:val="18"/>
              </w:rPr>
              <w:t> 激励限 售股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2" w:right="10"/>
              <w:jc w:val="left"/>
              <w:rPr>
                <w:rFonts w:ascii="宋体" w:hAnsi="宋体" w:cs="宋体" w:eastAsia="宋体" w:hint="default"/>
                <w:sz w:val="18"/>
                <w:szCs w:val="18"/>
              </w:rPr>
            </w:pPr>
            <w:r>
              <w:rPr>
                <w:rFonts w:ascii="宋体" w:hAnsi="宋体" w:cs="宋体" w:eastAsia="宋体" w:hint="default"/>
                <w:spacing w:val="-6"/>
                <w:sz w:val="18"/>
                <w:szCs w:val="18"/>
              </w:rPr>
              <w:t>高管锁定：每年解锁</w:t>
            </w:r>
            <w:r>
              <w:rPr>
                <w:rFonts w:ascii="宋体" w:hAnsi="宋体" w:cs="宋体" w:eastAsia="宋体" w:hint="default"/>
                <w:spacing w:val="-42"/>
                <w:sz w:val="18"/>
                <w:szCs w:val="18"/>
              </w:rPr>
              <w:t> </w:t>
            </w:r>
            <w:r>
              <w:rPr>
                <w:rFonts w:ascii="Arial" w:hAnsi="Arial" w:cs="Arial" w:eastAsia="Arial" w:hint="default"/>
                <w:sz w:val="18"/>
                <w:szCs w:val="18"/>
              </w:rPr>
              <w:t>25%</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股权激励限售股：自股份 发行结束之日起锁定</w:t>
            </w:r>
            <w:r>
              <w:rPr>
                <w:rFonts w:ascii="宋体" w:hAnsi="宋体" w:cs="宋体" w:eastAsia="宋体" w:hint="default"/>
                <w:spacing w:val="-57"/>
                <w:sz w:val="18"/>
                <w:szCs w:val="18"/>
              </w:rPr>
              <w:t> </w:t>
            </w:r>
            <w:r>
              <w:rPr>
                <w:rFonts w:ascii="Arial" w:hAnsi="Arial" w:cs="Arial" w:eastAsia="Arial" w:hint="default"/>
                <w:sz w:val="18"/>
                <w:szCs w:val="18"/>
              </w:rPr>
              <w:t>12</w:t>
            </w:r>
            <w:r>
              <w:rPr>
                <w:rFonts w:ascii="Arial" w:hAnsi="Arial" w:cs="Arial" w:eastAsia="Arial" w:hint="default"/>
                <w:spacing w:val="-16"/>
                <w:sz w:val="18"/>
                <w:szCs w:val="18"/>
              </w:rPr>
              <w:t> </w:t>
            </w:r>
            <w:r>
              <w:rPr>
                <w:rFonts w:ascii="宋体" w:hAnsi="宋体" w:cs="宋体" w:eastAsia="宋体" w:hint="default"/>
                <w:sz w:val="18"/>
                <w:szCs w:val="18"/>
              </w:rPr>
              <w:t>个 </w:t>
            </w:r>
            <w:r>
              <w:rPr>
                <w:rFonts w:ascii="宋体" w:hAnsi="宋体" w:cs="宋体" w:eastAsia="宋体" w:hint="default"/>
                <w:spacing w:val="-5"/>
                <w:sz w:val="18"/>
                <w:szCs w:val="18"/>
              </w:rPr>
              <w:t>月，之后按照</w:t>
            </w:r>
            <w:r>
              <w:rPr>
                <w:rFonts w:ascii="宋体" w:hAnsi="宋体" w:cs="宋体" w:eastAsia="宋体" w:hint="default"/>
                <w:spacing w:val="-38"/>
                <w:sz w:val="18"/>
                <w:szCs w:val="18"/>
              </w:rPr>
              <w:t> </w:t>
            </w:r>
            <w:r>
              <w:rPr>
                <w:rFonts w:ascii="Arial" w:hAnsi="Arial" w:cs="Arial" w:eastAsia="Arial" w:hint="default"/>
                <w:spacing w:val="-4"/>
                <w:sz w:val="18"/>
                <w:szCs w:val="18"/>
              </w:rPr>
              <w:t>30%</w:t>
            </w:r>
            <w:r>
              <w:rPr>
                <w:rFonts w:ascii="宋体" w:hAnsi="宋体" w:cs="宋体" w:eastAsia="宋体" w:hint="default"/>
                <w:spacing w:val="-4"/>
                <w:sz w:val="18"/>
                <w:szCs w:val="18"/>
              </w:rPr>
              <w:t>、</w:t>
            </w:r>
            <w:r>
              <w:rPr>
                <w:rFonts w:ascii="Arial" w:hAnsi="Arial" w:cs="Arial" w:eastAsia="Arial" w:hint="default"/>
                <w:spacing w:val="-4"/>
                <w:sz w:val="18"/>
                <w:szCs w:val="18"/>
              </w:rPr>
              <w:t>30%</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Arial" w:hAnsi="Arial" w:cs="Arial" w:eastAsia="Arial" w:hint="default"/>
                <w:sz w:val="18"/>
                <w:szCs w:val="18"/>
              </w:rPr>
              <w:t>40%</w:t>
            </w:r>
            <w:r>
              <w:rPr>
                <w:rFonts w:ascii="宋体" w:hAnsi="宋体" w:cs="宋体" w:eastAsia="宋体" w:hint="default"/>
                <w:sz w:val="18"/>
                <w:szCs w:val="18"/>
              </w:rPr>
              <w:t>分批解锁</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184,829,633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55,938,493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30,362,466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210,405,660</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200" w:left="1020" w:right="0"/>
        </w:sectPr>
      </w:pPr>
    </w:p>
    <w:p>
      <w:pPr>
        <w:spacing w:line="240" w:lineRule="auto" w:before="10"/>
        <w:rPr>
          <w:rFonts w:ascii="宋体" w:hAnsi="宋体" w:cs="宋体" w:eastAsia="宋体" w:hint="default"/>
          <w:sz w:val="19"/>
          <w:szCs w:val="19"/>
        </w:rPr>
      </w:pPr>
    </w:p>
    <w:p>
      <w:pPr>
        <w:pStyle w:val="Heading2"/>
        <w:spacing w:line="240" w:lineRule="auto" w:before="26"/>
        <w:ind w:right="996"/>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报告期内证券发行（不含优先股）情况" w:id="105"/>
      <w:bookmarkEnd w:id="105"/>
      <w:r>
        <w:rPr>
          <w:b w:val="0"/>
          <w:bCs w:val="0"/>
        </w:rPr>
      </w:r>
      <w:r>
        <w:rPr>
          <w:rFonts w:ascii="Arial" w:hAnsi="Arial" w:cs="Arial" w:eastAsia="Arial" w:hint="default"/>
        </w:rPr>
        <w:t>1</w:t>
      </w:r>
      <w:r>
        <w:rPr/>
        <w:t>、报告期内证券发行（不含优先股）情况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2" w:right="158"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3"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2" w:right="19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1" w:right="132"/>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年股票期 权</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01</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Arial" w:hAnsi="Arial" w:cs="Arial" w:eastAsia="Arial" w:hint="default"/>
                <w:sz w:val="18"/>
                <w:szCs w:val="18"/>
              </w:rPr>
            </w:pPr>
            <w:r>
              <w:rPr>
                <w:rFonts w:ascii="Arial"/>
                <w:sz w:val="18"/>
              </w:rPr>
              <w:t>14.90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Arial" w:hAnsi="Arial" w:cs="Arial" w:eastAsia="Arial" w:hint="default"/>
                <w:sz w:val="18"/>
                <w:szCs w:val="18"/>
              </w:rPr>
            </w:pPr>
            <w:r>
              <w:rPr>
                <w:rFonts w:ascii="Arial"/>
                <w:sz w:val="18"/>
              </w:rPr>
              <w:t>26,480,800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01</w:t>
            </w:r>
            <w:r>
              <w:rPr>
                <w:rFonts w:ascii="Arial" w:hAnsi="Arial" w:cs="Arial" w:eastAsia="Arial" w:hint="default"/>
                <w:spacing w:val="-1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26,480,800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Arial" w:hAnsi="Arial" w:cs="Arial" w:eastAsia="Arial" w:hint="default"/>
                <w:sz w:val="18"/>
                <w:szCs w:val="18"/>
              </w:rPr>
            </w:pPr>
            <w:r>
              <w:rPr>
                <w:rFonts w:ascii="Arial" w:hAnsi="Arial" w:cs="Arial" w:eastAsia="Arial" w:hint="default"/>
                <w:sz w:val="18"/>
                <w:szCs w:val="18"/>
              </w:rPr>
              <w:t>2023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8"/>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4" w:right="0"/>
              <w:jc w:val="left"/>
              <w:rPr>
                <w:rFonts w:ascii="Arial" w:hAnsi="Arial" w:cs="Arial" w:eastAsia="Arial" w:hint="default"/>
                <w:sz w:val="18"/>
                <w:szCs w:val="18"/>
              </w:rPr>
            </w:pPr>
            <w:r>
              <w:rPr>
                <w:rFonts w:ascii="Arial"/>
                <w:sz w:val="18"/>
              </w:rPr>
              <w:t>18.86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82" w:right="0"/>
              <w:jc w:val="left"/>
              <w:rPr>
                <w:rFonts w:ascii="Arial" w:hAnsi="Arial" w:cs="Arial" w:eastAsia="Arial" w:hint="default"/>
                <w:sz w:val="18"/>
                <w:szCs w:val="18"/>
              </w:rPr>
            </w:pPr>
            <w:r>
              <w:rPr>
                <w:rFonts w:ascii="Arial"/>
                <w:sz w:val="18"/>
              </w:rPr>
              <w:t>55,938,493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04</w:t>
            </w:r>
            <w:r>
              <w:rPr>
                <w:rFonts w:ascii="Arial" w:hAnsi="Arial" w:cs="Arial" w:eastAsia="Arial" w:hint="default"/>
                <w:spacing w:val="-1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55,938,493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Arial" w:hAnsi="Arial" w:cs="Arial" w:eastAsia="Arial" w:hint="default"/>
                <w:sz w:val="18"/>
                <w:szCs w:val="18"/>
              </w:rPr>
            </w:pPr>
            <w:r>
              <w:rPr>
                <w:rFonts w:ascii="Arial" w:hAnsi="Arial" w:cs="Arial" w:eastAsia="Arial" w:hint="default"/>
                <w:sz w:val="18"/>
                <w:szCs w:val="18"/>
              </w:rPr>
              <w:t>2999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Heading3"/>
        <w:spacing w:line="240" w:lineRule="auto" w:before="1"/>
        <w:ind w:right="996"/>
        <w:jc w:val="left"/>
      </w:pPr>
      <w:r>
        <w:rPr/>
        <w:t>报告期内证券发行（不含优先股）情况的说明</w:t>
      </w:r>
    </w:p>
    <w:p>
      <w:pPr>
        <w:pStyle w:val="Heading3"/>
        <w:spacing w:line="240" w:lineRule="auto" w:before="38"/>
        <w:ind w:right="996"/>
        <w:jc w:val="left"/>
      </w:pPr>
      <w:r>
        <w:rPr>
          <w:rFonts w:ascii="Arial" w:hAnsi="Arial" w:cs="Arial" w:eastAsia="Arial" w:hint="default"/>
        </w:rPr>
        <w:t>2019</w:t>
      </w:r>
      <w:r>
        <w:rPr/>
        <w:t>年</w:t>
      </w:r>
      <w:r>
        <w:rPr>
          <w:rFonts w:ascii="Arial" w:hAnsi="Arial" w:cs="Arial" w:eastAsia="Arial" w:hint="default"/>
        </w:rPr>
        <w:t>4</w:t>
      </w:r>
      <w:r>
        <w:rPr/>
        <w:t>月，公司非公开发行股份完成上市</w:t>
      </w:r>
      <w:r>
        <w:rPr>
          <w:rFonts w:ascii="Arial" w:hAnsi="Arial" w:cs="Arial" w:eastAsia="Arial" w:hint="default"/>
        </w:rPr>
        <w:t>55,938,493</w:t>
      </w:r>
      <w:r>
        <w:rPr/>
        <w:t>股。</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2、公司股份总数及股东结构的变动、公司资产和负债结构的变动情况说明" w:id="106"/>
      <w:bookmarkEnd w:id="106"/>
      <w:r>
        <w:rPr>
          <w:b w:val="0"/>
          <w:bCs w:val="0"/>
        </w:rPr>
      </w: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pStyle w:val="Heading3"/>
        <w:spacing w:line="261" w:lineRule="auto" w:before="43"/>
        <w:ind w:right="1195" w:firstLine="480"/>
        <w:jc w:val="both"/>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25</w:t>
      </w:r>
      <w:r>
        <w:rPr/>
        <w:t>日，公司召开第六届董事会第三十次会议，会议审议通过了《关于公司符 合非公开发行股票条件的议案》《关于公司非公开发行股票方案的议案》等议案。</w:t>
      </w:r>
    </w:p>
    <w:p>
      <w:pPr>
        <w:pStyle w:val="Heading3"/>
        <w:spacing w:line="259" w:lineRule="auto" w:before="24"/>
        <w:ind w:right="1010" w:firstLine="480"/>
        <w:jc w:val="left"/>
      </w:pPr>
      <w:r>
        <w:rPr>
          <w:rFonts w:ascii="Arial" w:hAnsi="Arial" w:cs="Arial" w:eastAsia="Arial" w:hint="default"/>
          <w:spacing w:val="-1"/>
        </w:rPr>
        <w:t>2019</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19</w:t>
      </w:r>
      <w:r>
        <w:rPr>
          <w:spacing w:val="-1"/>
        </w:rPr>
        <w:t>日，公司发布了《非公开发行股票上市公告书》等公告。</w:t>
      </w:r>
      <w:r>
        <w:rPr>
          <w:rFonts w:ascii="Arial" w:hAnsi="Arial" w:cs="Arial" w:eastAsia="Arial" w:hint="default"/>
          <w:spacing w:val="-1"/>
        </w:rPr>
        <w:t>2019</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24</w:t>
      </w:r>
      <w:r>
        <w:rPr>
          <w:spacing w:val="-1"/>
        </w:rPr>
        <w:t>日，</w:t>
      </w:r>
      <w:r>
        <w:rPr/>
        <w:t> 新增股份</w:t>
      </w:r>
      <w:r>
        <w:rPr>
          <w:rFonts w:ascii="Arial" w:hAnsi="Arial" w:cs="Arial" w:eastAsia="Arial" w:hint="default"/>
        </w:rPr>
        <w:t>55,938,493</w:t>
      </w:r>
      <w:r>
        <w:rPr/>
        <w:t>股在深圳证券交易所完成上市。</w:t>
      </w:r>
    </w:p>
    <w:p>
      <w:pPr>
        <w:pStyle w:val="Heading3"/>
        <w:spacing w:line="259" w:lineRule="auto" w:before="7"/>
        <w:ind w:right="1131" w:firstLine="480"/>
        <w:jc w:val="both"/>
      </w:pP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26</w:t>
      </w:r>
      <w:r>
        <w:rPr/>
        <w:t>日，公司第六届董事会第四十二次会议审议通过了《关于回购注销部分限 </w:t>
      </w:r>
      <w:r>
        <w:rPr>
          <w:spacing w:val="-12"/>
          <w:w w:val="99"/>
        </w:rPr>
        <w:t>制性股票的议案》。公司原</w:t>
      </w:r>
      <w:r>
        <w:rPr>
          <w:rFonts w:ascii="Arial" w:hAnsi="Arial" w:cs="Arial" w:eastAsia="Arial" w:hint="default"/>
          <w:spacing w:val="-12"/>
          <w:w w:val="99"/>
        </w:rPr>
        <w:t>64</w:t>
      </w:r>
      <w:r>
        <w:rPr>
          <w:spacing w:val="-12"/>
          <w:w w:val="99"/>
        </w:rPr>
        <w:t>名激励对象因辞职、被辞退或因个人原因放弃等原因，根据《</w:t>
      </w:r>
      <w:r>
        <w:rPr>
          <w:rFonts w:ascii="Arial" w:hAnsi="Arial" w:cs="Arial" w:eastAsia="Arial" w:hint="default"/>
          <w:spacing w:val="-12"/>
          <w:w w:val="99"/>
        </w:rPr>
        <w:t>2016</w:t>
      </w:r>
      <w:r>
        <w:rPr>
          <w:rFonts w:ascii="Arial" w:hAnsi="Arial" w:cs="Arial" w:eastAsia="Arial" w:hint="default"/>
          <w:spacing w:val="-55"/>
          <w:w w:val="99"/>
        </w:rPr>
        <w:t> </w:t>
      </w:r>
      <w:r>
        <w:rPr>
          <w:rFonts w:ascii="Arial" w:hAnsi="Arial" w:cs="Arial" w:eastAsia="Arial" w:hint="default"/>
          <w:spacing w:val="-55"/>
          <w:w w:val="99"/>
        </w:rPr>
      </w:r>
      <w:r>
        <w:rPr/>
        <w:t>年限制性股票激励计划（草案）》第十三章第二条的有关规定认定并同意公司对上述</w:t>
      </w:r>
      <w:r>
        <w:rPr>
          <w:rFonts w:ascii="Arial" w:hAnsi="Arial" w:cs="Arial" w:eastAsia="Arial" w:hint="default"/>
        </w:rPr>
        <w:t>64</w:t>
      </w:r>
      <w:r>
        <w:rPr/>
        <w:t>名员 工获授但尚未解锁的</w:t>
      </w:r>
      <w:r>
        <w:rPr>
          <w:rFonts w:ascii="Arial" w:hAnsi="Arial" w:cs="Arial" w:eastAsia="Arial" w:hint="default"/>
        </w:rPr>
        <w:t>1,012,200</w:t>
      </w:r>
      <w:r>
        <w:rPr/>
        <w:t>股限制性股票进行回购注销；公司</w:t>
      </w:r>
      <w:r>
        <w:rPr>
          <w:rFonts w:ascii="Arial" w:hAnsi="Arial" w:cs="Arial" w:eastAsia="Arial" w:hint="default"/>
        </w:rPr>
        <w:t>4</w:t>
      </w:r>
      <w:r>
        <w:rPr/>
        <w:t>名激励对象因个人考核成 </w:t>
      </w:r>
      <w:r>
        <w:rPr>
          <w:spacing w:val="-1"/>
        </w:rPr>
        <w:t>绩不达标，根据《</w:t>
      </w:r>
      <w:r>
        <w:rPr>
          <w:rFonts w:ascii="Arial" w:hAnsi="Arial" w:cs="Arial" w:eastAsia="Arial" w:hint="default"/>
          <w:spacing w:val="-1"/>
        </w:rPr>
        <w:t>2016</w:t>
      </w:r>
      <w:r>
        <w:rPr>
          <w:spacing w:val="-1"/>
        </w:rPr>
        <w:t>年限制性股票激励计划（草案）》第八章第二条的有关规定，同意公</w:t>
      </w:r>
      <w:r>
        <w:rPr>
          <w:spacing w:val="-101"/>
        </w:rPr>
        <w:t> </w:t>
      </w:r>
      <w:r>
        <w:rPr>
          <w:spacing w:val="-101"/>
        </w:rPr>
      </w:r>
      <w:r>
        <w:rPr/>
        <w:t>司对上述</w:t>
      </w:r>
      <w:r>
        <w:rPr>
          <w:rFonts w:ascii="Arial" w:hAnsi="Arial" w:cs="Arial" w:eastAsia="Arial" w:hint="default"/>
        </w:rPr>
        <w:t>4</w:t>
      </w:r>
      <w:r>
        <w:rPr/>
        <w:t>名员工获授但尚未解锁的</w:t>
      </w:r>
      <w:r>
        <w:rPr>
          <w:rFonts w:ascii="Arial" w:hAnsi="Arial" w:cs="Arial" w:eastAsia="Arial" w:hint="default"/>
        </w:rPr>
        <w:t>27,030</w:t>
      </w:r>
      <w:r>
        <w:rPr/>
        <w:t>股限制性股票进行回购注销。公司于</w:t>
      </w:r>
      <w:r>
        <w:rPr>
          <w:rFonts w:ascii="Arial" w:hAnsi="Arial" w:cs="Arial" w:eastAsia="Arial" w:hint="default"/>
        </w:rPr>
        <w:t>2019</w:t>
      </w:r>
      <w:r>
        <w:rPr/>
        <w:t>年</w:t>
      </w:r>
      <w:r>
        <w:rPr>
          <w:rFonts w:ascii="Arial" w:hAnsi="Arial" w:cs="Arial" w:eastAsia="Arial" w:hint="default"/>
        </w:rPr>
        <w:t>8</w:t>
      </w:r>
      <w:r>
        <w:rPr/>
        <w:t>月</w:t>
      </w:r>
      <w:r>
        <w:rPr>
          <w:rFonts w:ascii="Arial" w:hAnsi="Arial" w:cs="Arial" w:eastAsia="Arial" w:hint="default"/>
        </w:rPr>
        <w:t>6</w:t>
      </w:r>
      <w:r>
        <w:rPr>
          <w:rFonts w:ascii="Arial" w:hAnsi="Arial" w:cs="Arial" w:eastAsia="Arial" w:hint="default"/>
          <w:w w:val="99"/>
        </w:rPr>
        <w:t> </w:t>
      </w:r>
      <w:r>
        <w:rPr/>
        <w:t>日在中国证券登记结算有限公司深圳分公司完成回购注销。</w:t>
      </w:r>
    </w:p>
    <w:p>
      <w:pPr>
        <w:spacing w:line="240" w:lineRule="auto" w:before="1"/>
        <w:rPr>
          <w:rFonts w:ascii="宋体" w:hAnsi="宋体" w:cs="宋体" w:eastAsia="宋体" w:hint="default"/>
          <w:sz w:val="25"/>
          <w:szCs w:val="25"/>
        </w:rPr>
      </w:pPr>
    </w:p>
    <w:p>
      <w:pPr>
        <w:pStyle w:val="Heading4"/>
        <w:spacing w:line="240" w:lineRule="auto" w:before="0"/>
        <w:ind w:right="996"/>
        <w:jc w:val="left"/>
        <w:rPr>
          <w:b w:val="0"/>
          <w:bCs w:val="0"/>
        </w:rPr>
      </w:pPr>
      <w:bookmarkStart w:name="3、现存的内部职工股情况" w:id="107"/>
      <w:bookmarkEnd w:id="107"/>
      <w:r>
        <w:rPr>
          <w:b w:val="0"/>
          <w:bCs w:val="0"/>
        </w:rPr>
      </w:r>
      <w:r>
        <w:rPr>
          <w:rFonts w:ascii="Arial" w:hAnsi="Arial" w:cs="Arial" w:eastAsia="Arial" w:hint="default"/>
        </w:rPr>
        <w:t>3</w:t>
      </w:r>
      <w:r>
        <w:rPr/>
        <w:t>、现存的内部职工股情况</w:t>
      </w:r>
      <w:r>
        <w:rPr>
          <w:b w:val="0"/>
          <w:bCs w:val="0"/>
        </w:rPr>
      </w:r>
    </w:p>
    <w:p>
      <w:pPr>
        <w:spacing w:line="240" w:lineRule="auto" w:before="11"/>
        <w:rPr>
          <w:rFonts w:ascii="宋体" w:hAnsi="宋体" w:cs="宋体" w:eastAsia="宋体" w:hint="default"/>
          <w:b/>
          <w:bCs/>
          <w:sz w:val="22"/>
          <w:szCs w:val="22"/>
        </w:rPr>
      </w:pPr>
    </w:p>
    <w:p>
      <w:pPr>
        <w:spacing w:line="465" w:lineRule="auto" w:before="0"/>
        <w:ind w:left="112" w:right="7862"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三、股东和实际控制人情况" w:id="108"/>
      <w:bookmarkEnd w:id="108"/>
      <w:r>
        <w:rPr>
          <w:rFonts w:ascii="宋体" w:hAnsi="宋体" w:cs="宋体" w:eastAsia="宋体" w:hint="default"/>
          <w:w w:val="99"/>
          <w:sz w:val="24"/>
          <w:szCs w:val="24"/>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09"/>
      <w:bookmarkEnd w:id="109"/>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2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footerReference w:type="default" r:id="rId26"/>
          <w:pgSz w:w="11910" w:h="16840"/>
          <w:pgMar w:footer="1016" w:header="878" w:top="1100" w:bottom="1200" w:left="1020" w:right="0"/>
          <w:pgNumType w:start="7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14"/>
        <w:gridCol w:w="940"/>
        <w:gridCol w:w="1144"/>
        <w:gridCol w:w="1217"/>
        <w:gridCol w:w="1117"/>
        <w:gridCol w:w="1204"/>
        <w:gridCol w:w="1117"/>
        <w:gridCol w:w="576"/>
        <w:gridCol w:w="175"/>
        <w:gridCol w:w="942"/>
      </w:tblGrid>
      <w:tr>
        <w:trPr>
          <w:trHeight w:val="1338"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2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Arial" w:hAnsi="Arial" w:cs="Arial" w:eastAsia="Arial" w:hint="default"/>
                <w:sz w:val="18"/>
                <w:szCs w:val="18"/>
              </w:rPr>
            </w:pPr>
            <w:r>
              <w:rPr>
                <w:rFonts w:ascii="Arial"/>
                <w:spacing w:val="-1"/>
                <w:sz w:val="18"/>
              </w:rPr>
              <w:t>17,706</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28"/>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Arial" w:hAnsi="Arial" w:cs="Arial" w:eastAsia="Arial" w:hint="default"/>
                <w:sz w:val="18"/>
                <w:szCs w:val="18"/>
              </w:rPr>
            </w:pPr>
            <w:r>
              <w:rPr>
                <w:rFonts w:ascii="Arial"/>
                <w:spacing w:val="-1"/>
                <w:sz w:val="18"/>
              </w:rPr>
              <w:t>20,321</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15"/>
                <w:sz w:val="18"/>
                <w:szCs w:val="18"/>
              </w:rPr>
              <w:t>总数（如有）</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Arial" w:hAnsi="Arial" w:cs="Arial" w:eastAsia="Arial" w:hint="default"/>
                <w:sz w:val="18"/>
                <w:szCs w:val="18"/>
              </w:rPr>
            </w:pPr>
            <w:r>
              <w:rPr>
                <w:rFonts w:ascii="Arial"/>
                <w:w w:val="99"/>
                <w:sz w:val="18"/>
              </w:rPr>
              <w:t>0</w:t>
            </w:r>
            <w:r>
              <w:rPr>
                <w:rFonts w:ascii="Arial"/>
                <w:sz w:val="18"/>
              </w:rPr>
            </w:r>
          </w:p>
        </w:tc>
        <w:tc>
          <w:tcPr>
            <w:tcW w:w="18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34"/>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974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3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名股东持股情况</w:t>
            </w:r>
          </w:p>
        </w:tc>
      </w:tr>
      <w:tr>
        <w:trPr>
          <w:trHeight w:val="402" w:hRule="exact"/>
        </w:trPr>
        <w:tc>
          <w:tcPr>
            <w:tcW w:w="13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332" w:right="15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2" w:right="10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46" w:right="14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1" w:right="10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314" w:type="dxa"/>
            <w:vMerge/>
            <w:tcBorders>
              <w:left w:val="single" w:sz="4" w:space="0" w:color="000000"/>
              <w:bottom w:val="single" w:sz="4" w:space="0" w:color="000000"/>
              <w:right w:val="single" w:sz="4" w:space="0" w:color="000000"/>
            </w:tcBorders>
            <w:shd w:val="clear" w:color="auto" w:fill="D2D2D2"/>
          </w:tcPr>
          <w:p>
            <w:pPr/>
          </w:p>
        </w:tc>
        <w:tc>
          <w:tcPr>
            <w:tcW w:w="940" w:type="dxa"/>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146,034,655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-4,600,000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2"/>
                <w:sz w:val="18"/>
              </w:rPr>
              <w:t>112,975,991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33,058,664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64,370,000</w:t>
            </w: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境外法人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57,953,460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41,921,807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57,953,460</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both"/>
              <w:rPr>
                <w:rFonts w:ascii="宋体" w:hAnsi="宋体" w:cs="宋体" w:eastAsia="宋体" w:hint="default"/>
                <w:sz w:val="18"/>
                <w:szCs w:val="18"/>
              </w:rPr>
            </w:pPr>
            <w:r>
              <w:rPr>
                <w:rFonts w:ascii="宋体" w:hAnsi="宋体" w:cs="宋体" w:eastAsia="宋体" w:hint="default"/>
                <w:sz w:val="18"/>
                <w:szCs w:val="18"/>
              </w:rPr>
              <w:t>四川发展大数 据产业投资有 限责任公司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宋体" w:hAnsi="宋体" w:cs="宋体" w:eastAsia="宋体" w:hint="default"/>
                <w:sz w:val="18"/>
                <w:szCs w:val="18"/>
              </w:rPr>
            </w:pPr>
            <w:r>
              <w:rPr>
                <w:rFonts w:ascii="宋体" w:hAnsi="宋体" w:cs="宋体" w:eastAsia="宋体" w:hint="default"/>
                <w:sz w:val="18"/>
                <w:szCs w:val="18"/>
              </w:rPr>
              <w:t>国有法人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4.23%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34,199,363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34,199,363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34,199,363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任刚</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19,793,848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-6,383,050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10,470,760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9,323,088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10,500,000</w:t>
            </w: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left"/>
              <w:rPr>
                <w:rFonts w:ascii="宋体" w:hAnsi="宋体" w:cs="宋体" w:eastAsia="宋体" w:hint="default"/>
                <w:sz w:val="18"/>
                <w:szCs w:val="18"/>
              </w:rPr>
            </w:pPr>
            <w:r>
              <w:rPr>
                <w:rFonts w:ascii="宋体" w:hAnsi="宋体" w:cs="宋体" w:eastAsia="宋体" w:hint="default"/>
                <w:sz w:val="18"/>
                <w:szCs w:val="18"/>
              </w:rPr>
              <w:t>中国证券金融 股份有限公司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国有法人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16,732,802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16,732,802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15,422,432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-2,367,963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15,422,432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10,356,816</w:t>
            </w: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left"/>
              <w:rPr>
                <w:rFonts w:ascii="宋体" w:hAnsi="宋体" w:cs="宋体" w:eastAsia="宋体" w:hint="default"/>
                <w:sz w:val="18"/>
                <w:szCs w:val="18"/>
              </w:rPr>
            </w:pPr>
            <w:r>
              <w:rPr>
                <w:rFonts w:ascii="宋体" w:hAnsi="宋体" w:cs="宋体" w:eastAsia="宋体" w:hint="default"/>
                <w:sz w:val="18"/>
                <w:szCs w:val="18"/>
              </w:rPr>
              <w:t>上海云鑫创业 投资有限公司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13,255,567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13,255,567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13,255,567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夏郁葱</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10,316,318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10,316,318</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10,209,392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10,209,392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both"/>
              <w:rPr>
                <w:rFonts w:ascii="宋体" w:hAnsi="宋体" w:cs="宋体" w:eastAsia="宋体" w:hint="default"/>
                <w:sz w:val="18"/>
                <w:szCs w:val="18"/>
              </w:rPr>
            </w:pPr>
            <w:r>
              <w:rPr>
                <w:rFonts w:ascii="宋体" w:hAnsi="宋体" w:cs="宋体" w:eastAsia="宋体" w:hint="default"/>
                <w:sz w:val="18"/>
                <w:szCs w:val="18"/>
              </w:rPr>
              <w:t>首域投资管理</w:t>
            </w:r>
          </w:p>
          <w:p>
            <w:pPr>
              <w:pStyle w:val="TableParagraph"/>
              <w:spacing w:line="316" w:lineRule="auto" w:before="76"/>
              <w:ind w:left="101" w:right="120"/>
              <w:jc w:val="both"/>
              <w:rPr>
                <w:rFonts w:ascii="宋体" w:hAnsi="宋体" w:cs="宋体" w:eastAsia="宋体" w:hint="default"/>
                <w:sz w:val="18"/>
                <w:szCs w:val="18"/>
              </w:rPr>
            </w:pPr>
            <w:r>
              <w:rPr>
                <w:rFonts w:ascii="宋体" w:hAnsi="宋体" w:cs="宋体" w:eastAsia="宋体" w:hint="default"/>
                <w:sz w:val="18"/>
                <w:szCs w:val="18"/>
              </w:rPr>
              <w:t>（英国）有限 公司－首域环 球伞子基金： 首域中国增长 基金</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境外法人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5"/>
              <w:jc w:val="right"/>
              <w:rPr>
                <w:rFonts w:ascii="Arial" w:hAnsi="Arial" w:cs="Arial" w:eastAsia="Arial" w:hint="default"/>
                <w:sz w:val="18"/>
                <w:szCs w:val="18"/>
              </w:rPr>
            </w:pPr>
            <w:r>
              <w:rPr>
                <w:rFonts w:ascii="Arial"/>
                <w:spacing w:val="-2"/>
                <w:sz w:val="18"/>
              </w:rPr>
              <w:t>9,914,711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18"/>
                <w:szCs w:val="18"/>
              </w:rPr>
            </w:pPr>
            <w:r>
              <w:rPr>
                <w:rFonts w:ascii="Arial"/>
                <w:spacing w:val="-2"/>
                <w:sz w:val="18"/>
              </w:rPr>
              <w:t>9,914,711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18"/>
                <w:szCs w:val="18"/>
              </w:rPr>
            </w:pPr>
            <w:r>
              <w:rPr>
                <w:rFonts w:ascii="Arial"/>
                <w:spacing w:val="-2"/>
                <w:sz w:val="18"/>
              </w:rPr>
              <w:t>9,914,711</w:t>
            </w:r>
          </w:p>
        </w:tc>
        <w:tc>
          <w:tcPr>
            <w:tcW w:w="576" w:type="dxa"/>
            <w:tcBorders>
              <w:top w:val="single" w:sz="4" w:space="0" w:color="000000"/>
              <w:left w:val="single" w:sz="4" w:space="0" w:color="000000"/>
              <w:bottom w:val="single" w:sz="4" w:space="0" w:color="000000"/>
              <w:right w:val="single" w:sz="4" w:space="0" w:color="000000"/>
            </w:tcBorders>
          </w:tcPr>
          <w:p>
            <w:pPr/>
          </w:p>
        </w:tc>
        <w:tc>
          <w:tcPr>
            <w:tcW w:w="1117"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60"/>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 东的情况（如有）</w:t>
            </w:r>
          </w:p>
        </w:tc>
        <w:tc>
          <w:tcPr>
            <w:tcW w:w="74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76"/>
              <w:jc w:val="left"/>
              <w:rPr>
                <w:rFonts w:ascii="宋体" w:hAnsi="宋体" w:cs="宋体" w:eastAsia="宋体" w:hint="default"/>
                <w:sz w:val="18"/>
                <w:szCs w:val="18"/>
              </w:rPr>
            </w:pPr>
            <w:r>
              <w:rPr>
                <w:rFonts w:ascii="宋体" w:hAnsi="宋体" w:cs="宋体" w:eastAsia="宋体" w:hint="default"/>
                <w:sz w:val="18"/>
                <w:szCs w:val="18"/>
              </w:rPr>
              <w:t>四川发展大数据产业投资有限责任公司、上海云鑫创业投资有限公司认购公司非公开发行股 票成为前</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名股东。</w:t>
            </w:r>
          </w:p>
        </w:tc>
      </w:tr>
      <w:tr>
        <w:trPr>
          <w:trHeight w:val="714" w:hRule="exact"/>
        </w:trPr>
        <w:tc>
          <w:tcPr>
            <w:tcW w:w="22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0"/>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492"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邵学先生为公司董事长，任刚先生为联奕科技董事长，以上两人与其他股东之间不存在关联 </w:t>
            </w:r>
            <w:r>
              <w:rPr>
                <w:rFonts w:ascii="宋体" w:hAnsi="宋体" w:cs="宋体" w:eastAsia="宋体" w:hint="default"/>
                <w:spacing w:val="-1"/>
                <w:sz w:val="18"/>
                <w:szCs w:val="18"/>
              </w:rPr>
              <w:t>关系或一致行动关系。除此之外，公司未知其他股东之间是否存在关联关系或一致行动关系。</w:t>
            </w:r>
          </w:p>
        </w:tc>
      </w:tr>
      <w:tr>
        <w:trPr>
          <w:trHeight w:val="400" w:hRule="exact"/>
        </w:trPr>
        <w:tc>
          <w:tcPr>
            <w:tcW w:w="974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596"/>
        <w:gridCol w:w="2060"/>
        <w:gridCol w:w="2555"/>
        <w:gridCol w:w="2535"/>
      </w:tblGrid>
      <w:tr>
        <w:trPr>
          <w:trHeight w:val="402" w:hRule="exact"/>
        </w:trPr>
        <w:tc>
          <w:tcPr>
            <w:tcW w:w="2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575" w:right="124" w:hanging="452"/>
              <w:jc w:val="left"/>
              <w:rPr>
                <w:rFonts w:ascii="宋体" w:hAnsi="宋体" w:cs="宋体" w:eastAsia="宋体" w:hint="default"/>
                <w:sz w:val="18"/>
                <w:szCs w:val="18"/>
              </w:rPr>
            </w:pPr>
            <w:r>
              <w:rPr>
                <w:rFonts w:ascii="宋体" w:hAnsi="宋体" w:cs="宋体" w:eastAsia="宋体" w:hint="default"/>
                <w:sz w:val="18"/>
                <w:szCs w:val="18"/>
              </w:rPr>
              <w:t>报告期末持有无限售条 件股份数量</w:t>
            </w:r>
          </w:p>
        </w:tc>
        <w:tc>
          <w:tcPr>
            <w:tcW w:w="5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596" w:type="dxa"/>
            <w:vMerge/>
            <w:tcBorders>
              <w:left w:val="single" w:sz="4" w:space="0" w:color="000000"/>
              <w:bottom w:val="single" w:sz="4" w:space="0" w:color="000000"/>
              <w:right w:val="single" w:sz="4" w:space="0" w:color="000000"/>
            </w:tcBorders>
            <w:shd w:val="clear" w:color="auto" w:fill="D2D2D2"/>
          </w:tcPr>
          <w:p>
            <w:pPr/>
          </w:p>
        </w:tc>
        <w:tc>
          <w:tcPr>
            <w:tcW w:w="2060" w:type="dxa"/>
            <w:vMerge/>
            <w:tcBorders>
              <w:left w:val="single" w:sz="4" w:space="0" w:color="000000"/>
              <w:bottom w:val="single" w:sz="4" w:space="0" w:color="000000"/>
              <w:right w:val="single" w:sz="4" w:space="0" w:color="000000"/>
            </w:tcBorders>
            <w:shd w:val="clear" w:color="auto" w:fill="D2D2D2"/>
          </w:tcPr>
          <w:p>
            <w:pPr/>
          </w:p>
        </w:tc>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57,953,460</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57,953,460</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33,058,664</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33,058,664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16,732,802</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16,732,802</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15,422,432</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15,422,432</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夏郁葱</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10,316,318</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10,316,318</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首域投资管理（英国）有限公 司－首域环球伞子基金：首域 中国增长基金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Arial" w:hAnsi="Arial" w:cs="Arial" w:eastAsia="Arial" w:hint="default"/>
                <w:sz w:val="18"/>
                <w:szCs w:val="18"/>
              </w:rPr>
            </w:pPr>
            <w:r>
              <w:rPr>
                <w:rFonts w:ascii="Arial"/>
                <w:spacing w:val="-2"/>
                <w:sz w:val="18"/>
              </w:rPr>
              <w:t>9,914,711</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Arial" w:hAnsi="Arial" w:cs="Arial" w:eastAsia="Arial" w:hint="default"/>
                <w:sz w:val="18"/>
                <w:szCs w:val="18"/>
              </w:rPr>
            </w:pPr>
            <w:r>
              <w:rPr>
                <w:rFonts w:ascii="Arial"/>
                <w:spacing w:val="-2"/>
                <w:sz w:val="18"/>
              </w:rPr>
              <w:t>9,914,711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任刚</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9,323,088</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9,323,088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left"/>
              <w:rPr>
                <w:rFonts w:ascii="宋体" w:hAnsi="宋体" w:cs="宋体" w:eastAsia="宋体" w:hint="default"/>
                <w:sz w:val="18"/>
                <w:szCs w:val="18"/>
              </w:rPr>
            </w:pPr>
            <w:r>
              <w:rPr>
                <w:rFonts w:ascii="宋体" w:hAnsi="宋体" w:cs="宋体" w:eastAsia="宋体" w:hint="default"/>
                <w:sz w:val="18"/>
                <w:szCs w:val="18"/>
              </w:rPr>
              <w:t>中国对外经济贸易信托有限公 司－淡水泉精选</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2"/>
                <w:sz w:val="18"/>
              </w:rPr>
              <w:t>9,119,867</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2"/>
                <w:sz w:val="18"/>
              </w:rPr>
              <w:t>9,119,867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挪威中央银行－自有资金</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4"/>
                <w:sz w:val="18"/>
              </w:rPr>
              <w:t>8,111,667</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4"/>
                <w:sz w:val="18"/>
              </w:rPr>
              <w:t>8,111,667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李继红</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8,032,013</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8,032,013</w:t>
            </w:r>
          </w:p>
        </w:tc>
      </w:tr>
      <w:tr>
        <w:trPr>
          <w:trHeight w:val="1026" w:hRule="exact"/>
        </w:trPr>
        <w:tc>
          <w:tcPr>
            <w:tcW w:w="4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名股东之间关联关系或一致行动的说明</w:t>
            </w:r>
          </w:p>
        </w:tc>
        <w:tc>
          <w:tcPr>
            <w:tcW w:w="5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6"/>
              <w:jc w:val="both"/>
              <w:rPr>
                <w:rFonts w:ascii="宋体" w:hAnsi="宋体" w:cs="宋体" w:eastAsia="宋体" w:hint="default"/>
                <w:sz w:val="18"/>
                <w:szCs w:val="18"/>
              </w:rPr>
            </w:pPr>
            <w:r>
              <w:rPr>
                <w:rFonts w:ascii="宋体" w:hAnsi="宋体" w:cs="宋体" w:eastAsia="宋体" w:hint="default"/>
                <w:sz w:val="18"/>
                <w:szCs w:val="18"/>
              </w:rPr>
              <w:t>邵学先生为公司董事长，任刚先生为联奕科技董事长，以上两 人与其他股东间不存在关联关系或一致行动关系。除此之外， 公司未知其他股东之间是否存在关联关系或一致行动关系。</w:t>
            </w:r>
          </w:p>
        </w:tc>
      </w:tr>
      <w:tr>
        <w:trPr>
          <w:trHeight w:val="402" w:hRule="exact"/>
        </w:trPr>
        <w:tc>
          <w:tcPr>
            <w:tcW w:w="4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5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40" w:lineRule="auto" w:before="4"/>
        <w:ind w:right="996"/>
        <w:jc w:val="left"/>
      </w:pPr>
      <w:r>
        <w:rPr/>
        <w:t>公司前</w:t>
      </w:r>
      <w:r>
        <w:rPr>
          <w:spacing w:val="-64"/>
        </w:rPr>
        <w:t> </w:t>
      </w:r>
      <w:r>
        <w:rPr>
          <w:rFonts w:ascii="Arial" w:hAnsi="Arial" w:cs="Arial" w:eastAsia="Arial" w:hint="default"/>
        </w:rPr>
        <w:t>10</w:t>
      </w:r>
      <w:r>
        <w:rPr>
          <w:rFonts w:ascii="Arial" w:hAnsi="Arial" w:cs="Arial" w:eastAsia="Arial" w:hint="default"/>
          <w:spacing w:val="-13"/>
        </w:rPr>
        <w:t> </w:t>
      </w:r>
      <w:r>
        <w:rPr/>
        <w:t>名普通股股东、前</w:t>
      </w:r>
      <w:r>
        <w:rPr>
          <w:spacing w:val="-64"/>
        </w:rPr>
        <w:t> </w:t>
      </w:r>
      <w:r>
        <w:rPr>
          <w:rFonts w:ascii="Arial" w:hAnsi="Arial" w:cs="Arial" w:eastAsia="Arial" w:hint="default"/>
        </w:rPr>
        <w:t>10</w:t>
      </w:r>
      <w:r>
        <w:rPr>
          <w:rFonts w:ascii="Arial" w:hAnsi="Arial" w:cs="Arial" w:eastAsia="Arial" w:hint="default"/>
          <w:spacing w:val="-13"/>
        </w:rPr>
        <w:t> </w:t>
      </w:r>
      <w:r>
        <w:rPr/>
        <w:t>名无限售条件普通股股东在报告期内是否进行约定购回交易</w:t>
      </w:r>
    </w:p>
    <w:p>
      <w:pPr>
        <w:pStyle w:val="Heading3"/>
        <w:spacing w:line="240" w:lineRule="auto" w:before="19"/>
        <w:ind w:right="996"/>
        <w:jc w:val="left"/>
      </w:pPr>
      <w:r>
        <w:rPr>
          <w:rFonts w:ascii="Arial" w:hAnsi="Arial" w:cs="Arial" w:eastAsia="Arial" w:hint="default"/>
        </w:rPr>
        <w:t>□  </w:t>
      </w:r>
      <w:r>
        <w:rPr/>
        <w:t>是 √</w:t>
      </w:r>
      <w:r>
        <w:rPr>
          <w:spacing w:val="-15"/>
        </w:rPr>
        <w:t> </w:t>
      </w:r>
      <w:r>
        <w:rPr/>
        <w:t>否</w:t>
      </w:r>
    </w:p>
    <w:p>
      <w:pPr>
        <w:pStyle w:val="Heading3"/>
        <w:spacing w:line="240" w:lineRule="auto" w:before="21"/>
        <w:ind w:right="996"/>
        <w:jc w:val="left"/>
      </w:pPr>
      <w:r>
        <w:rPr/>
        <w:t>公司前</w:t>
      </w:r>
      <w:r>
        <w:rPr>
          <w:spacing w:val="-61"/>
        </w:rPr>
        <w:t> </w:t>
      </w:r>
      <w:r>
        <w:rPr>
          <w:rFonts w:ascii="Arial" w:hAnsi="Arial" w:cs="Arial" w:eastAsia="Arial" w:hint="default"/>
        </w:rPr>
        <w:t>10</w:t>
      </w:r>
      <w:r>
        <w:rPr>
          <w:rFonts w:ascii="Arial" w:hAnsi="Arial" w:cs="Arial" w:eastAsia="Arial" w:hint="default"/>
          <w:spacing w:val="-10"/>
        </w:rPr>
        <w:t> </w:t>
      </w:r>
      <w:r>
        <w:rPr/>
        <w:t>名普通股股东、前</w:t>
      </w:r>
      <w:r>
        <w:rPr>
          <w:spacing w:val="-61"/>
        </w:rPr>
        <w:t> </w:t>
      </w:r>
      <w:r>
        <w:rPr>
          <w:rFonts w:ascii="Arial" w:hAnsi="Arial" w:cs="Arial" w:eastAsia="Arial" w:hint="default"/>
        </w:rPr>
        <w:t>10</w:t>
      </w:r>
      <w:r>
        <w:rPr>
          <w:rFonts w:ascii="Arial" w:hAnsi="Arial" w:cs="Arial" w:eastAsia="Arial" w:hint="default"/>
          <w:spacing w:val="-7"/>
        </w:rPr>
        <w:t> </w:t>
      </w:r>
      <w:r>
        <w:rPr/>
        <w:t>名无限售条件普通股股东在报告期内未进行约定购回交易。</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2、公司控股股东情况" w:id="110"/>
      <w:bookmarkEnd w:id="110"/>
      <w:r>
        <w:rPr>
          <w:b w:val="0"/>
          <w:bCs w:val="0"/>
        </w:rPr>
      </w:r>
      <w:r>
        <w:rPr>
          <w:rFonts w:ascii="Arial" w:hAnsi="Arial" w:cs="Arial" w:eastAsia="Arial" w:hint="default"/>
        </w:rPr>
        <w:t>2</w:t>
      </w:r>
      <w:r>
        <w:rPr/>
        <w:t>、公司控股股东情况</w:t>
      </w:r>
      <w:r>
        <w:rPr>
          <w:b w:val="0"/>
          <w:bCs w:val="0"/>
        </w:rPr>
      </w:r>
    </w:p>
    <w:p>
      <w:pPr>
        <w:spacing w:line="240" w:lineRule="auto" w:before="11"/>
        <w:rPr>
          <w:rFonts w:ascii="宋体" w:hAnsi="宋体" w:cs="宋体" w:eastAsia="宋体" w:hint="default"/>
          <w:b/>
          <w:bCs/>
          <w:sz w:val="22"/>
          <w:szCs w:val="22"/>
        </w:rPr>
      </w:pPr>
    </w:p>
    <w:p>
      <w:pPr>
        <w:pStyle w:val="Heading3"/>
        <w:spacing w:line="268" w:lineRule="auto"/>
        <w:ind w:right="7874"/>
        <w:jc w:val="left"/>
      </w:pPr>
      <w:r>
        <w:rPr/>
        <w:t>控股股东性质：自然人控股 控股股东类型：自然人</w:t>
      </w:r>
    </w:p>
    <w:p>
      <w:pPr>
        <w:spacing w:line="240" w:lineRule="auto" w:before="7"/>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54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54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40" w:lineRule="auto" w:before="4"/>
        <w:ind w:right="996"/>
        <w:jc w:val="left"/>
      </w:pPr>
      <w:r>
        <w:rPr/>
        <w:t>控股股东报告期内变更</w:t>
      </w:r>
    </w:p>
    <w:p>
      <w:pPr>
        <w:pStyle w:val="Heading3"/>
        <w:spacing w:line="256" w:lineRule="auto" w:before="36"/>
        <w:ind w:right="7154"/>
        <w:jc w:val="left"/>
      </w:pPr>
      <w:r>
        <w:rPr>
          <w:rFonts w:ascii="Arial" w:hAnsi="Arial" w:cs="Arial" w:eastAsia="Arial" w:hint="default"/>
        </w:rPr>
        <w:t>□ </w:t>
      </w:r>
      <w:r>
        <w:rPr/>
        <w:t>适用 √</w:t>
      </w:r>
      <w:r>
        <w:rPr>
          <w:spacing w:val="-15"/>
        </w:rPr>
        <w:t> </w:t>
      </w:r>
      <w:r>
        <w:rPr/>
        <w:t>不适用</w:t>
      </w:r>
      <w:r>
        <w:rPr>
          <w:w w:val="99"/>
        </w:rPr>
        <w:t> </w:t>
      </w:r>
      <w:r>
        <w:rPr/>
        <w:t>公司报告期控股股东未发生变更。</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3、公司实际控制人及其一致行动人" w:id="111"/>
      <w:bookmarkEnd w:id="111"/>
      <w:r>
        <w:rPr>
          <w:b w:val="0"/>
          <w:bCs w:val="0"/>
        </w:rPr>
      </w:r>
      <w:r>
        <w:rPr>
          <w:rFonts w:ascii="Arial" w:hAnsi="Arial" w:cs="Arial" w:eastAsia="Arial" w:hint="default"/>
        </w:rPr>
        <w:t>3</w:t>
      </w:r>
      <w:r>
        <w:rPr/>
        <w:t>、公司实际控制人及其一致行动人</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t>实际控制人性质：境内自然人</w:t>
      </w:r>
    </w:p>
    <w:p>
      <w:pPr>
        <w:spacing w:after="0" w:line="240" w:lineRule="auto"/>
        <w:jc w:val="left"/>
        <w:sectPr>
          <w:pgSz w:w="11910" w:h="16840"/>
          <w:pgMar w:header="878" w:footer="1016"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26"/>
        <w:ind w:right="996"/>
        <w:jc w:val="left"/>
      </w:pPr>
      <w:r>
        <w:rPr/>
        <w:t>实际控制人类型：自然人</w:t>
      </w:r>
    </w:p>
    <w:p>
      <w:pPr>
        <w:spacing w:line="240" w:lineRule="auto" w:before="9"/>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1970"/>
        <w:gridCol w:w="2814"/>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4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年曾控股的境内外上市公司情况</w:t>
            </w:r>
          </w:p>
        </w:tc>
        <w:tc>
          <w:tcPr>
            <w:tcW w:w="4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40" w:lineRule="auto" w:before="2"/>
        <w:ind w:right="996"/>
        <w:jc w:val="left"/>
      </w:pPr>
      <w:r>
        <w:rPr/>
        <w:t>实际控制人报告期内变更</w:t>
      </w:r>
    </w:p>
    <w:p>
      <w:pPr>
        <w:pStyle w:val="Heading3"/>
        <w:spacing w:line="261" w:lineRule="auto" w:before="38"/>
        <w:ind w:right="5474"/>
        <w:jc w:val="left"/>
      </w:pPr>
      <w:r>
        <w:rPr>
          <w:rFonts w:ascii="Arial" w:hAnsi="Arial" w:cs="Arial" w:eastAsia="Arial" w:hint="default"/>
        </w:rPr>
        <w:t>□ </w:t>
      </w:r>
      <w:r>
        <w:rPr/>
        <w:t>适用 √</w:t>
      </w:r>
      <w:r>
        <w:rPr>
          <w:spacing w:val="-15"/>
        </w:rPr>
        <w:t> </w:t>
      </w:r>
      <w:r>
        <w:rPr/>
        <w:t>不适用</w:t>
      </w:r>
      <w:r>
        <w:rPr>
          <w:w w:val="99"/>
        </w:rPr>
        <w:t> </w:t>
      </w:r>
      <w:r>
        <w:rPr/>
        <w:t>公司报告期实际控制人未发生变更。</w:t>
      </w:r>
      <w:r>
        <w:rPr>
          <w:w w:val="99"/>
        </w:rPr>
        <w:t> </w:t>
      </w:r>
      <w:r>
        <w:rPr/>
        <w:t>公司与实际控制人之间的产权及控制关系的方框图</w:t>
      </w:r>
    </w:p>
    <w:p>
      <w:pPr>
        <w:spacing w:line="240" w:lineRule="auto" w:before="6"/>
        <w:rPr>
          <w:rFonts w:ascii="宋体" w:hAnsi="宋体" w:cs="宋体" w:eastAsia="宋体" w:hint="default"/>
          <w:sz w:val="27"/>
          <w:szCs w:val="27"/>
        </w:rPr>
      </w:pPr>
    </w:p>
    <w:p>
      <w:pPr>
        <w:spacing w:line="2205" w:lineRule="exact"/>
        <w:ind w:left="2157"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3522529" cy="1400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7" cstate="print"/>
                    <a:stretch>
                      <a:fillRect/>
                    </a:stretch>
                  </pic:blipFill>
                  <pic:spPr>
                    <a:xfrm>
                      <a:off x="0" y="0"/>
                      <a:ext cx="3522529" cy="140017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8"/>
        <w:rPr>
          <w:rFonts w:ascii="宋体" w:hAnsi="宋体" w:cs="宋体" w:eastAsia="宋体" w:hint="default"/>
          <w:sz w:val="23"/>
          <w:szCs w:val="23"/>
        </w:rPr>
      </w:pPr>
    </w:p>
    <w:p>
      <w:pPr>
        <w:pStyle w:val="Heading3"/>
        <w:spacing w:line="240" w:lineRule="auto"/>
        <w:ind w:right="996"/>
        <w:jc w:val="left"/>
      </w:pPr>
      <w:r>
        <w:rPr/>
        <w:t>实际控制人通过信托或其他资产管理方式控制公司</w:t>
      </w:r>
    </w:p>
    <w:p>
      <w:pPr>
        <w:pStyle w:val="Heading3"/>
        <w:spacing w:line="240" w:lineRule="auto" w:before="197"/>
        <w:ind w:right="996"/>
        <w:jc w:val="left"/>
      </w:pPr>
      <w:r>
        <w:rPr>
          <w:rFonts w:ascii="Arial" w:hAnsi="Arial" w:cs="Arial" w:eastAsia="Arial" w:hint="default"/>
        </w:rPr>
        <w:t>□  </w:t>
      </w:r>
      <w:r>
        <w:rPr/>
        <w:t>适用 √</w:t>
      </w:r>
      <w:r>
        <w:rPr>
          <w:spacing w:val="-15"/>
        </w:rPr>
        <w:t> </w:t>
      </w:r>
      <w:r>
        <w:rPr/>
        <w:t>不适用</w:t>
      </w:r>
    </w:p>
    <w:p>
      <w:pPr>
        <w:spacing w:line="240" w:lineRule="auto" w:before="5"/>
        <w:rPr>
          <w:rFonts w:ascii="宋体" w:hAnsi="宋体" w:cs="宋体" w:eastAsia="宋体" w:hint="default"/>
          <w:sz w:val="23"/>
          <w:szCs w:val="23"/>
        </w:rPr>
      </w:pPr>
    </w:p>
    <w:p>
      <w:pPr>
        <w:pStyle w:val="Heading4"/>
        <w:spacing w:line="240" w:lineRule="auto" w:before="0"/>
        <w:ind w:right="996"/>
        <w:jc w:val="left"/>
        <w:rPr>
          <w:b w:val="0"/>
          <w:bCs w:val="0"/>
        </w:rPr>
      </w:pPr>
      <w:bookmarkStart w:name="4、其他持股在10%以上的法人股东" w:id="112"/>
      <w:bookmarkEnd w:id="112"/>
      <w:r>
        <w:rPr>
          <w:b w:val="0"/>
          <w:bCs w:val="0"/>
        </w:rPr>
      </w:r>
      <w:r>
        <w:rPr>
          <w:rFonts w:ascii="Arial" w:hAnsi="Arial" w:cs="Arial" w:eastAsia="Arial" w:hint="default"/>
        </w:rPr>
        <w:t>4</w:t>
      </w:r>
      <w:r>
        <w:rPr/>
        <w:t>、其他持股在</w:t>
      </w:r>
      <w:r>
        <w:rPr>
          <w:spacing w:val="-60"/>
        </w:rPr>
        <w:t> </w:t>
      </w:r>
      <w:r>
        <w:rPr>
          <w:rFonts w:ascii="Arial" w:hAnsi="Arial" w:cs="Arial" w:eastAsia="Arial" w:hint="default"/>
        </w:rPr>
        <w:t>10%</w:t>
      </w:r>
      <w:r>
        <w:rPr/>
        <w:t>以上的法人股东</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5"/>
        </w:rPr>
        <w:t> </w:t>
      </w:r>
      <w:r>
        <w:rPr/>
        <w:t>不适用</w:t>
      </w:r>
    </w:p>
    <w:p>
      <w:pPr>
        <w:spacing w:line="240" w:lineRule="auto" w:before="3"/>
        <w:rPr>
          <w:rFonts w:ascii="宋体" w:hAnsi="宋体" w:cs="宋体" w:eastAsia="宋体" w:hint="default"/>
          <w:sz w:val="23"/>
          <w:szCs w:val="23"/>
        </w:rPr>
      </w:pPr>
    </w:p>
    <w:p>
      <w:pPr>
        <w:pStyle w:val="Heading4"/>
        <w:spacing w:line="240" w:lineRule="auto" w:before="0"/>
        <w:ind w:right="996"/>
        <w:jc w:val="left"/>
        <w:rPr>
          <w:b w:val="0"/>
          <w:bCs w:val="0"/>
        </w:rPr>
      </w:pPr>
      <w:bookmarkStart w:name="5、控股股东、实际控制人、重组方及其他承诺主体股份限制减持情况" w:id="113"/>
      <w:bookmarkEnd w:id="113"/>
      <w:r>
        <w:rPr>
          <w:b w:val="0"/>
          <w:bCs w:val="0"/>
        </w:rPr>
      </w:r>
      <w:r>
        <w:rPr>
          <w:rFonts w:ascii="Arial" w:hAnsi="Arial" w:cs="Arial" w:eastAsia="Arial"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5"/>
        </w:rPr>
        <w:t> </w:t>
      </w:r>
      <w:r>
        <w:rPr/>
        <w:t>不适用</w:t>
      </w:r>
    </w:p>
    <w:p>
      <w:pPr>
        <w:spacing w:after="0" w:line="240"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439" w:lineRule="exact" w:before="0"/>
        <w:ind w:left="3252" w:right="996" w:firstLine="0"/>
        <w:jc w:val="left"/>
        <w:rPr>
          <w:rFonts w:ascii="微软雅黑" w:hAnsi="微软雅黑" w:cs="微软雅黑" w:eastAsia="微软雅黑" w:hint="default"/>
          <w:sz w:val="32"/>
          <w:szCs w:val="32"/>
        </w:rPr>
      </w:pPr>
      <w:bookmarkStart w:name="第七节 优先股相关情况" w:id="114"/>
      <w:bookmarkEnd w:id="114"/>
      <w:r>
        <w:rPr/>
      </w:r>
      <w:r>
        <w:rPr>
          <w:rFonts w:ascii="微软雅黑" w:hAnsi="微软雅黑" w:cs="微软雅黑" w:eastAsia="微软雅黑" w:hint="default"/>
          <w:b/>
          <w:bCs/>
          <w:sz w:val="32"/>
          <w:szCs w:val="32"/>
        </w:rPr>
        <w:t>第七节</w:t>
      </w:r>
      <w:r>
        <w:rPr>
          <w:rFonts w:ascii="微软雅黑" w:hAnsi="微软雅黑" w:cs="微软雅黑" w:eastAsia="微软雅黑" w:hint="default"/>
          <w:b/>
          <w:bCs/>
          <w:spacing w:val="61"/>
          <w:sz w:val="32"/>
          <w:szCs w:val="32"/>
        </w:rPr>
        <w:t> </w:t>
      </w:r>
      <w:r>
        <w:rPr>
          <w:rFonts w:ascii="微软雅黑" w:hAnsi="微软雅黑" w:cs="微软雅黑" w:eastAsia="微软雅黑" w:hint="default"/>
          <w:b/>
          <w:bCs/>
          <w:sz w:val="32"/>
          <w:szCs w:val="32"/>
        </w:rPr>
        <w:t>优先股相关情况</w:t>
      </w:r>
      <w:r>
        <w:rPr>
          <w:rFonts w:ascii="微软雅黑" w:hAnsi="微软雅黑" w:cs="微软雅黑" w:eastAsia="微软雅黑" w:hint="default"/>
          <w:sz w:val="32"/>
          <w:szCs w:val="32"/>
        </w:rPr>
      </w:r>
    </w:p>
    <w:p>
      <w:pPr>
        <w:spacing w:line="240" w:lineRule="auto" w:before="16"/>
        <w:rPr>
          <w:rFonts w:ascii="微软雅黑" w:hAnsi="微软雅黑" w:cs="微软雅黑" w:eastAsia="微软雅黑" w:hint="default"/>
          <w:b/>
          <w:bCs/>
          <w:sz w:val="24"/>
          <w:szCs w:val="24"/>
        </w:rPr>
      </w:pPr>
    </w:p>
    <w:p>
      <w:pPr>
        <w:pStyle w:val="Heading3"/>
        <w:spacing w:line="256" w:lineRule="auto" w:before="26"/>
        <w:ind w:right="7874"/>
        <w:jc w:val="left"/>
      </w:pPr>
      <w:r>
        <w:rPr>
          <w:rFonts w:ascii="Arial" w:hAnsi="Arial" w:cs="Arial" w:eastAsia="Arial" w:hint="default"/>
        </w:rPr>
        <w:t>□ </w:t>
      </w:r>
      <w:r>
        <w:rPr/>
        <w:t>适用 √</w:t>
      </w:r>
      <w:r>
        <w:rPr>
          <w:spacing w:val="-15"/>
        </w:rPr>
        <w:t> </w:t>
      </w:r>
      <w:r>
        <w:rPr/>
        <w:t>不适用</w:t>
      </w:r>
      <w:r>
        <w:rPr>
          <w:w w:val="99"/>
        </w:rPr>
        <w:t> </w:t>
      </w:r>
      <w:r>
        <w:rPr/>
        <w:t>报告期公司不存在优先股。</w:t>
      </w:r>
    </w:p>
    <w:p>
      <w:pPr>
        <w:spacing w:after="0" w:line="256"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2613" w:right="996"/>
        <w:jc w:val="left"/>
        <w:rPr>
          <w:b w:val="0"/>
          <w:bCs w:val="0"/>
        </w:rPr>
      </w:pPr>
      <w:bookmarkStart w:name="第八节 可转换公司债券相关情况" w:id="115"/>
      <w:bookmarkEnd w:id="115"/>
      <w:r>
        <w:rPr>
          <w:b w:val="0"/>
          <w:bCs w:val="0"/>
        </w:rPr>
      </w:r>
      <w:bookmarkStart w:name="_bookmark5" w:id="116"/>
      <w:bookmarkEnd w:id="116"/>
      <w:r>
        <w:rPr>
          <w:b w:val="0"/>
          <w:bCs w:val="0"/>
        </w:rPr>
      </w:r>
      <w:r>
        <w:rPr/>
        <w:t>第八节</w:t>
      </w:r>
      <w:r>
        <w:rPr>
          <w:spacing w:val="57"/>
        </w:rPr>
        <w:t> </w:t>
      </w:r>
      <w:r>
        <w:rPr/>
        <w:t>可转换公司债券相关情况</w:t>
      </w:r>
      <w:r>
        <w:rPr>
          <w:b w:val="0"/>
          <w:bCs w:val="0"/>
        </w:rPr>
      </w:r>
    </w:p>
    <w:p>
      <w:pPr>
        <w:spacing w:line="240" w:lineRule="auto" w:before="8"/>
        <w:rPr>
          <w:rFonts w:ascii="微软雅黑" w:hAnsi="微软雅黑" w:cs="微软雅黑" w:eastAsia="微软雅黑" w:hint="default"/>
          <w:b/>
          <w:bCs/>
          <w:sz w:val="26"/>
          <w:szCs w:val="26"/>
        </w:rPr>
      </w:pPr>
    </w:p>
    <w:p>
      <w:pPr>
        <w:pStyle w:val="Heading3"/>
        <w:spacing w:line="256" w:lineRule="auto"/>
        <w:ind w:right="6914"/>
        <w:jc w:val="left"/>
      </w:pPr>
      <w:r>
        <w:rPr>
          <w:rFonts w:ascii="Arial" w:hAnsi="Arial" w:cs="Arial" w:eastAsia="Arial" w:hint="default"/>
        </w:rPr>
        <w:t>□ </w:t>
      </w:r>
      <w:r>
        <w:rPr/>
        <w:t>适用 √</w:t>
      </w:r>
      <w:r>
        <w:rPr>
          <w:spacing w:val="-15"/>
        </w:rPr>
        <w:t> </w:t>
      </w:r>
      <w:r>
        <w:rPr/>
        <w:t>不适用</w:t>
      </w:r>
      <w:r>
        <w:rPr>
          <w:w w:val="99"/>
        </w:rPr>
        <w:t> </w:t>
      </w:r>
      <w:r>
        <w:rPr/>
        <w:t>报告期公司不存在可转换公司债券。</w:t>
      </w:r>
    </w:p>
    <w:p>
      <w:pPr>
        <w:spacing w:after="0" w:line="256"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1653" w:right="996"/>
        <w:jc w:val="left"/>
        <w:rPr>
          <w:b w:val="0"/>
          <w:bCs w:val="0"/>
        </w:rPr>
      </w:pPr>
      <w:bookmarkStart w:name="第九节 董事、监事、高级管理人员和员工情况" w:id="117"/>
      <w:bookmarkEnd w:id="117"/>
      <w:r>
        <w:rPr>
          <w:b w:val="0"/>
          <w:bCs w:val="0"/>
        </w:rPr>
      </w:r>
      <w:bookmarkStart w:name="_bookmark6" w:id="118"/>
      <w:bookmarkEnd w:id="118"/>
      <w:r>
        <w:rPr>
          <w:b w:val="0"/>
          <w:bCs w:val="0"/>
        </w:rPr>
      </w:r>
      <w:r>
        <w:rPr/>
        <w:t>第九节</w:t>
      </w:r>
      <w:r>
        <w:rPr>
          <w:spacing w:val="55"/>
        </w:rPr>
        <w:t> </w:t>
      </w:r>
      <w:r>
        <w:rPr/>
        <w:t>董事、监事、高级管理人员和员工情况</w:t>
      </w:r>
      <w:r>
        <w:rPr>
          <w:b w:val="0"/>
          <w:bCs w:val="0"/>
        </w:rPr>
      </w:r>
    </w:p>
    <w:p>
      <w:pPr>
        <w:spacing w:line="240" w:lineRule="auto" w:before="8"/>
        <w:rPr>
          <w:rFonts w:ascii="微软雅黑" w:hAnsi="微软雅黑" w:cs="微软雅黑" w:eastAsia="微软雅黑" w:hint="default"/>
          <w:b/>
          <w:bCs/>
          <w:sz w:val="26"/>
          <w:szCs w:val="26"/>
        </w:rPr>
      </w:pPr>
    </w:p>
    <w:p>
      <w:pPr>
        <w:pStyle w:val="Heading2"/>
        <w:spacing w:line="240" w:lineRule="auto"/>
        <w:ind w:right="996"/>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67"/>
        <w:gridCol w:w="783"/>
        <w:gridCol w:w="617"/>
        <w:gridCol w:w="373"/>
        <w:gridCol w:w="463"/>
        <w:gridCol w:w="978"/>
        <w:gridCol w:w="893"/>
        <w:gridCol w:w="1287"/>
        <w:gridCol w:w="686"/>
        <w:gridCol w:w="1099"/>
        <w:gridCol w:w="738"/>
        <w:gridCol w:w="1291"/>
      </w:tblGrid>
      <w:tr>
        <w:trPr>
          <w:trHeight w:val="1650" w:hRule="exact"/>
        </w:trPr>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23" w:right="12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02" w:right="79"/>
              <w:jc w:val="left"/>
              <w:rPr>
                <w:rFonts w:ascii="宋体" w:hAnsi="宋体" w:cs="宋体" w:eastAsia="宋体" w:hint="default"/>
                <w:sz w:val="18"/>
                <w:szCs w:val="18"/>
              </w:rPr>
            </w:pPr>
            <w:r>
              <w:rPr>
                <w:rFonts w:ascii="宋体" w:hAnsi="宋体" w:cs="宋体" w:eastAsia="宋体" w:hint="default"/>
                <w:sz w:val="18"/>
                <w:szCs w:val="18"/>
              </w:rPr>
              <w:t>性 别</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37" w:right="134"/>
              <w:jc w:val="left"/>
              <w:rPr>
                <w:rFonts w:ascii="宋体" w:hAnsi="宋体" w:cs="宋体" w:eastAsia="宋体" w:hint="default"/>
                <w:sz w:val="18"/>
                <w:szCs w:val="18"/>
              </w:rPr>
            </w:pPr>
            <w:r>
              <w:rPr>
                <w:rFonts w:ascii="宋体" w:hAnsi="宋体" w:cs="宋体" w:eastAsia="宋体" w:hint="default"/>
                <w:sz w:val="18"/>
                <w:szCs w:val="18"/>
              </w:rPr>
              <w:t>年 龄</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72" w:right="16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6" w:right="157"/>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10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83" w:right="18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27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83" w:right="182"/>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10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28"/>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58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150,634,655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4,600,000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146,034,655</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干瑜静</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36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2,465,992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600,000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1,865,992</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8"/>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2002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8,388,322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341,800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8,046,522</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17,790,395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2,367,963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15,422,432</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63</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09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9"/>
              <w:jc w:val="right"/>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44</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51</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79"/>
              <w:jc w:val="right"/>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03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w w:val="95"/>
                <w:sz w:val="18"/>
              </w:rPr>
              <w:t>700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w w:val="95"/>
                <w:sz w:val="18"/>
              </w:rPr>
              <w:t>700</w:t>
            </w:r>
            <w:r>
              <w:rPr>
                <w:rFonts w:ascii="Arial"/>
                <w:sz w:val="18"/>
              </w:rPr>
            </w:r>
          </w:p>
        </w:tc>
      </w:tr>
      <w:tr>
        <w:trPr>
          <w:trHeight w:val="1024"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37</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08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767"/>
        <w:gridCol w:w="783"/>
        <w:gridCol w:w="617"/>
        <w:gridCol w:w="373"/>
        <w:gridCol w:w="463"/>
        <w:gridCol w:w="978"/>
        <w:gridCol w:w="893"/>
        <w:gridCol w:w="1287"/>
        <w:gridCol w:w="686"/>
        <w:gridCol w:w="1099"/>
        <w:gridCol w:w="738"/>
        <w:gridCol w:w="1291"/>
      </w:tblGrid>
      <w:tr>
        <w:trPr>
          <w:trHeight w:val="361" w:hRule="exact"/>
        </w:trPr>
        <w:tc>
          <w:tcPr>
            <w:tcW w:w="767"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
        </w:tc>
        <w:tc>
          <w:tcPr>
            <w:tcW w:w="373" w:type="dxa"/>
            <w:tcBorders>
              <w:top w:val="single" w:sz="4" w:space="0" w:color="000000"/>
              <w:left w:val="single" w:sz="4" w:space="0" w:color="000000"/>
              <w:bottom w:val="nil" w:sz="6" w:space="0" w:color="auto"/>
              <w:right w:val="single" w:sz="4" w:space="0" w:color="000000"/>
            </w:tcBorders>
          </w:tcPr>
          <w:p>
            <w:pPr/>
          </w:p>
        </w:tc>
        <w:tc>
          <w:tcPr>
            <w:tcW w:w="46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8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王珍</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
              <w:jc w:val="center"/>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center"/>
              <w:rPr>
                <w:rFonts w:ascii="Arial" w:hAnsi="Arial" w:cs="Arial" w:eastAsia="Arial" w:hint="default"/>
                <w:sz w:val="18"/>
                <w:szCs w:val="18"/>
              </w:rPr>
            </w:pPr>
            <w:r>
              <w:rPr>
                <w:rFonts w:ascii="Arial"/>
                <w:sz w:val="18"/>
              </w:rPr>
              <w:t>33</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52" w:hRule="exact"/>
        </w:trPr>
        <w:tc>
          <w:tcPr>
            <w:tcW w:w="767"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373" w:type="dxa"/>
            <w:tcBorders>
              <w:top w:val="nil" w:sz="6" w:space="0" w:color="auto"/>
              <w:left w:val="single" w:sz="4" w:space="0" w:color="000000"/>
              <w:bottom w:val="single" w:sz="4" w:space="0" w:color="000000"/>
              <w:right w:val="single" w:sz="4" w:space="0" w:color="000000"/>
            </w:tcBorders>
          </w:tcPr>
          <w:p>
            <w:pPr/>
          </w:p>
        </w:tc>
        <w:tc>
          <w:tcPr>
            <w:tcW w:w="46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67"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
        </w:tc>
        <w:tc>
          <w:tcPr>
            <w:tcW w:w="373" w:type="dxa"/>
            <w:tcBorders>
              <w:top w:val="single" w:sz="4" w:space="0" w:color="000000"/>
              <w:left w:val="single" w:sz="4" w:space="0" w:color="000000"/>
              <w:bottom w:val="nil" w:sz="6" w:space="0" w:color="auto"/>
              <w:right w:val="single" w:sz="4" w:space="0" w:color="000000"/>
            </w:tcBorders>
          </w:tcPr>
          <w:p>
            <w:pPr/>
          </w:p>
        </w:tc>
        <w:tc>
          <w:tcPr>
            <w:tcW w:w="46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8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龚玮</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
              <w:jc w:val="center"/>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5" w:right="0"/>
              <w:jc w:val="center"/>
              <w:rPr>
                <w:rFonts w:ascii="Arial" w:hAnsi="Arial" w:cs="Arial" w:eastAsia="Arial" w:hint="default"/>
                <w:sz w:val="18"/>
                <w:szCs w:val="18"/>
              </w:rPr>
            </w:pPr>
            <w:r>
              <w:rPr>
                <w:rFonts w:ascii="Arial"/>
                <w:sz w:val="18"/>
              </w:rPr>
              <w:t>30</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52" w:hRule="exact"/>
        </w:trPr>
        <w:tc>
          <w:tcPr>
            <w:tcW w:w="767"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373" w:type="dxa"/>
            <w:tcBorders>
              <w:top w:val="nil" w:sz="6" w:space="0" w:color="auto"/>
              <w:left w:val="single" w:sz="4" w:space="0" w:color="000000"/>
              <w:bottom w:val="single" w:sz="4" w:space="0" w:color="000000"/>
              <w:right w:val="single" w:sz="4" w:space="0" w:color="000000"/>
            </w:tcBorders>
          </w:tcPr>
          <w:p>
            <w:pPr/>
          </w:p>
        </w:tc>
        <w:tc>
          <w:tcPr>
            <w:tcW w:w="46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67"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
        </w:tc>
        <w:tc>
          <w:tcPr>
            <w:tcW w:w="373" w:type="dxa"/>
            <w:tcBorders>
              <w:top w:val="single" w:sz="4" w:space="0" w:color="000000"/>
              <w:left w:val="single" w:sz="4" w:space="0" w:color="000000"/>
              <w:bottom w:val="nil" w:sz="6" w:space="0" w:color="auto"/>
              <w:right w:val="single" w:sz="4" w:space="0" w:color="000000"/>
            </w:tcBorders>
          </w:tcPr>
          <w:p>
            <w:pPr/>
          </w:p>
        </w:tc>
        <w:tc>
          <w:tcPr>
            <w:tcW w:w="46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8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
              <w:jc w:val="center"/>
              <w:rPr>
                <w:rFonts w:ascii="宋体" w:hAnsi="宋体" w:cs="宋体" w:eastAsia="宋体" w:hint="default"/>
                <w:sz w:val="18"/>
                <w:szCs w:val="18"/>
              </w:rPr>
            </w:pPr>
            <w:r>
              <w:rPr>
                <w:rFonts w:ascii="宋体" w:hAnsi="宋体" w:cs="宋体" w:eastAsia="宋体" w:hint="default"/>
                <w:sz w:val="18"/>
                <w:szCs w:val="18"/>
              </w:rPr>
              <w:t>离任</w:t>
            </w:r>
          </w:p>
        </w:tc>
        <w:tc>
          <w:tcPr>
            <w:tcW w:w="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center"/>
              <w:rPr>
                <w:rFonts w:ascii="Arial" w:hAnsi="Arial" w:cs="Arial" w:eastAsia="Arial" w:hint="default"/>
                <w:sz w:val="18"/>
                <w:szCs w:val="18"/>
              </w:rPr>
            </w:pPr>
            <w:r>
              <w:rPr>
                <w:rFonts w:ascii="Arial"/>
                <w:sz w:val="18"/>
              </w:rPr>
              <w:t>26</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06</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0</w:t>
            </w:r>
            <w:r>
              <w:rPr>
                <w:rFonts w:ascii="Arial"/>
                <w:sz w:val="18"/>
              </w:rPr>
            </w:r>
          </w:p>
        </w:tc>
      </w:tr>
      <w:tr>
        <w:trPr>
          <w:trHeight w:val="352" w:hRule="exact"/>
        </w:trPr>
        <w:tc>
          <w:tcPr>
            <w:tcW w:w="767"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373" w:type="dxa"/>
            <w:tcBorders>
              <w:top w:val="nil" w:sz="6" w:space="0" w:color="auto"/>
              <w:left w:val="single" w:sz="4" w:space="0" w:color="000000"/>
              <w:bottom w:val="single" w:sz="4" w:space="0" w:color="000000"/>
              <w:right w:val="single" w:sz="4" w:space="0" w:color="000000"/>
            </w:tcBorders>
          </w:tcPr>
          <w:p>
            <w:pPr/>
          </w:p>
        </w:tc>
        <w:tc>
          <w:tcPr>
            <w:tcW w:w="46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67" w:type="dxa"/>
            <w:tcBorders>
              <w:top w:val="single" w:sz="4" w:space="0" w:color="000000"/>
              <w:left w:val="single" w:sz="4" w:space="0" w:color="000000"/>
              <w:bottom w:val="nil" w:sz="6" w:space="0" w:color="auto"/>
              <w:right w:val="single" w:sz="4" w:space="0" w:color="000000"/>
            </w:tcBorders>
          </w:tcPr>
          <w:p>
            <w:pPr/>
          </w:p>
        </w:tc>
        <w:tc>
          <w:tcPr>
            <w:tcW w:w="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首席财</w:t>
            </w:r>
          </w:p>
        </w:tc>
        <w:tc>
          <w:tcPr>
            <w:tcW w:w="617" w:type="dxa"/>
            <w:tcBorders>
              <w:top w:val="single" w:sz="4" w:space="0" w:color="000000"/>
              <w:left w:val="single" w:sz="4" w:space="0" w:color="000000"/>
              <w:bottom w:val="nil" w:sz="6" w:space="0" w:color="auto"/>
              <w:right w:val="single" w:sz="4" w:space="0" w:color="000000"/>
            </w:tcBorders>
          </w:tcPr>
          <w:p>
            <w:pPr/>
          </w:p>
        </w:tc>
        <w:tc>
          <w:tcPr>
            <w:tcW w:w="373" w:type="dxa"/>
            <w:tcBorders>
              <w:top w:val="single" w:sz="4" w:space="0" w:color="000000"/>
              <w:left w:val="single" w:sz="4" w:space="0" w:color="000000"/>
              <w:bottom w:val="nil" w:sz="6" w:space="0" w:color="auto"/>
              <w:right w:val="single" w:sz="4" w:space="0" w:color="000000"/>
            </w:tcBorders>
          </w:tcPr>
          <w:p>
            <w:pPr/>
          </w:p>
        </w:tc>
        <w:tc>
          <w:tcPr>
            <w:tcW w:w="463" w:type="dxa"/>
            <w:tcBorders>
              <w:top w:val="single" w:sz="4" w:space="0" w:color="000000"/>
              <w:left w:val="single" w:sz="4" w:space="0" w:color="000000"/>
              <w:bottom w:val="nil" w:sz="6" w:space="0" w:color="auto"/>
              <w:right w:val="single" w:sz="4" w:space="0" w:color="000000"/>
            </w:tcBorders>
          </w:tcPr>
          <w:p>
            <w:pP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8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12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务官、</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
              <w:jc w:val="center"/>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5" w:right="0"/>
              <w:jc w:val="center"/>
              <w:rPr>
                <w:rFonts w:ascii="Arial" w:hAnsi="Arial" w:cs="Arial" w:eastAsia="Arial" w:hint="default"/>
                <w:sz w:val="18"/>
                <w:szCs w:val="18"/>
              </w:rPr>
            </w:pPr>
            <w:r>
              <w:rPr>
                <w:rFonts w:ascii="Arial"/>
                <w:sz w:val="18"/>
              </w:rPr>
              <w:t>47</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01</w:t>
            </w:r>
          </w:p>
        </w:tc>
        <w:tc>
          <w:tcPr>
            <w:tcW w:w="8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tc>
        <w:tc>
          <w:tcPr>
            <w:tcW w:w="12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241,633</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40,000</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sz w:val="18"/>
              </w:rPr>
              <w:t>201,633</w:t>
            </w:r>
          </w:p>
        </w:tc>
      </w:tr>
      <w:tr>
        <w:trPr>
          <w:trHeight w:val="352" w:hRule="exact"/>
        </w:trPr>
        <w:tc>
          <w:tcPr>
            <w:tcW w:w="767" w:type="dxa"/>
            <w:tcBorders>
              <w:top w:val="nil" w:sz="6" w:space="0" w:color="auto"/>
              <w:left w:val="single" w:sz="4" w:space="0" w:color="000000"/>
              <w:bottom w:val="single" w:sz="4" w:space="0" w:color="000000"/>
              <w:right w:val="single" w:sz="4" w:space="0" w:color="000000"/>
            </w:tcBorders>
          </w:tcPr>
          <w:p>
            <w:pPr/>
          </w:p>
        </w:tc>
        <w:tc>
          <w:tcPr>
            <w:tcW w:w="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7" w:type="dxa"/>
            <w:tcBorders>
              <w:top w:val="nil" w:sz="6" w:space="0" w:color="auto"/>
              <w:left w:val="single" w:sz="4" w:space="0" w:color="000000"/>
              <w:bottom w:val="single" w:sz="4" w:space="0" w:color="000000"/>
              <w:right w:val="single" w:sz="4" w:space="0" w:color="000000"/>
            </w:tcBorders>
          </w:tcPr>
          <w:p>
            <w:pPr/>
          </w:p>
        </w:tc>
        <w:tc>
          <w:tcPr>
            <w:tcW w:w="373" w:type="dxa"/>
            <w:tcBorders>
              <w:top w:val="nil" w:sz="6" w:space="0" w:color="auto"/>
              <w:left w:val="single" w:sz="4" w:space="0" w:color="000000"/>
              <w:bottom w:val="single" w:sz="4" w:space="0" w:color="000000"/>
              <w:right w:val="single" w:sz="4" w:space="0" w:color="000000"/>
            </w:tcBorders>
          </w:tcPr>
          <w:p>
            <w:pPr/>
          </w:p>
        </w:tc>
        <w:tc>
          <w:tcPr>
            <w:tcW w:w="463" w:type="dxa"/>
            <w:tcBorders>
              <w:top w:val="nil" w:sz="6" w:space="0" w:color="auto"/>
              <w:left w:val="single" w:sz="4" w:space="0" w:color="000000"/>
              <w:bottom w:val="single" w:sz="4" w:space="0" w:color="000000"/>
              <w:right w:val="single" w:sz="4" w:space="0" w:color="000000"/>
            </w:tcBorders>
          </w:tcPr>
          <w:p>
            <w:pP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1291"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人力资 源总监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0"/>
              <w:jc w:val="center"/>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45" w:right="0"/>
              <w:jc w:val="center"/>
              <w:rPr>
                <w:rFonts w:ascii="Arial" w:hAnsi="Arial" w:cs="Arial" w:eastAsia="Arial" w:hint="default"/>
                <w:sz w:val="18"/>
                <w:szCs w:val="18"/>
              </w:rPr>
            </w:pPr>
            <w:r>
              <w:rPr>
                <w:rFonts w:ascii="Arial"/>
                <w:sz w:val="18"/>
              </w:rPr>
              <w:t>48</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278,713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228,713</w:t>
            </w:r>
          </w:p>
        </w:tc>
      </w:tr>
      <w:tr>
        <w:trPr>
          <w:trHeight w:val="1026"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0"/>
              <w:jc w:val="center"/>
              <w:rPr>
                <w:rFonts w:ascii="宋体" w:hAnsi="宋体" w:cs="宋体" w:eastAsia="宋体" w:hint="default"/>
                <w:sz w:val="18"/>
                <w:szCs w:val="18"/>
              </w:rPr>
            </w:pPr>
            <w:r>
              <w:rPr>
                <w:rFonts w:ascii="宋体" w:hAnsi="宋体" w:cs="宋体" w:eastAsia="宋体" w:hint="default"/>
                <w:sz w:val="18"/>
                <w:szCs w:val="18"/>
              </w:rPr>
              <w:t>现任</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5" w:right="0"/>
              <w:jc w:val="center"/>
              <w:rPr>
                <w:rFonts w:ascii="Arial" w:hAnsi="Arial" w:cs="Arial" w:eastAsia="Arial" w:hint="default"/>
                <w:sz w:val="18"/>
                <w:szCs w:val="18"/>
              </w:rPr>
            </w:pPr>
            <w:r>
              <w:rPr>
                <w:rFonts w:ascii="Arial"/>
                <w:sz w:val="18"/>
              </w:rPr>
              <w:t>40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Arial" w:hAnsi="Arial" w:cs="Arial" w:eastAsia="Arial" w:hint="default"/>
                <w:sz w:val="18"/>
                <w:szCs w:val="18"/>
              </w:rPr>
            </w:pPr>
            <w:r>
              <w:rPr>
                <w:rFonts w:ascii="Arial" w:hAnsi="Arial" w:cs="Arial" w:eastAsia="Arial" w:hint="default"/>
                <w:sz w:val="18"/>
                <w:szCs w:val="18"/>
              </w:rPr>
              <w:t>07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Arial" w:hAnsi="Arial" w:cs="Arial" w:eastAsia="Arial" w:hint="default"/>
                <w:sz w:val="18"/>
                <w:szCs w:val="18"/>
              </w:rPr>
            </w:pPr>
            <w:r>
              <w:rPr>
                <w:rFonts w:ascii="Arial" w:hAnsi="Arial" w:cs="Arial" w:eastAsia="Arial" w:hint="default"/>
                <w:sz w:val="18"/>
                <w:szCs w:val="18"/>
              </w:rPr>
              <w:t>06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249,195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249,195</w:t>
            </w:r>
          </w:p>
        </w:tc>
      </w:tr>
      <w:tr>
        <w:trPr>
          <w:trHeight w:val="644" w:hRule="exact"/>
        </w:trPr>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180,049,605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7,999,763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Arial" w:hAnsi="Arial" w:cs="Arial" w:eastAsia="Arial" w:hint="default"/>
                <w:sz w:val="18"/>
                <w:szCs w:val="18"/>
              </w:rPr>
            </w:pPr>
            <w:r>
              <w:rPr>
                <w:rFonts w:ascii="Arial"/>
                <w:w w:val="99"/>
                <w:sz w:val="18"/>
              </w:rPr>
              <w:t>0</w:t>
            </w:r>
            <w:r>
              <w:rPr>
                <w:rFonts w:ascii="Arial"/>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172,049,842</w:t>
            </w:r>
          </w:p>
        </w:tc>
      </w:tr>
    </w:tbl>
    <w:p>
      <w:pPr>
        <w:spacing w:line="240" w:lineRule="auto" w:before="1"/>
        <w:rPr>
          <w:rFonts w:ascii="宋体" w:hAnsi="宋体" w:cs="宋体" w:eastAsia="宋体" w:hint="default"/>
          <w:b/>
          <w:bCs/>
          <w:sz w:val="18"/>
          <w:szCs w:val="18"/>
        </w:rPr>
      </w:pPr>
    </w:p>
    <w:p>
      <w:pPr>
        <w:pStyle w:val="Heading2"/>
        <w:spacing w:line="240" w:lineRule="auto" w:before="26"/>
        <w:ind w:right="996"/>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4"/>
        </w:rPr>
        <w:t> </w:t>
      </w:r>
      <w:r>
        <w:rPr/>
        <w:t>不适用</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591"/>
        <w:gridCol w:w="3117"/>
        <w:gridCol w:w="2200"/>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3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类型</w:t>
            </w:r>
          </w:p>
        </w:tc>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07</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任期届满且已满六年</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07</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402"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王月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任期满离任</w:t>
            </w:r>
          </w:p>
        </w:tc>
        <w:tc>
          <w:tcPr>
            <w:tcW w:w="3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07</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line="240" w:lineRule="auto" w:before="3"/>
        <w:rPr>
          <w:rFonts w:ascii="宋体" w:hAnsi="宋体" w:cs="宋体" w:eastAsia="宋体" w:hint="default"/>
          <w:sz w:val="18"/>
          <w:szCs w:val="18"/>
        </w:rPr>
      </w:pPr>
    </w:p>
    <w:p>
      <w:pPr>
        <w:pStyle w:val="Heading2"/>
        <w:spacing w:line="240" w:lineRule="auto" w:before="26"/>
        <w:ind w:right="996"/>
        <w:jc w:val="left"/>
        <w:rPr>
          <w:b w:val="0"/>
          <w:bCs w:val="0"/>
        </w:rPr>
      </w:pPr>
      <w:bookmarkStart w:name="三、任职情况" w:id="121"/>
      <w:bookmarkEnd w:id="121"/>
      <w:r>
        <w:rPr>
          <w:b w:val="0"/>
          <w:bCs w:val="0"/>
        </w:rPr>
      </w:r>
      <w:r>
        <w:rPr/>
        <w:t>三、任职情况</w:t>
      </w:r>
      <w:r>
        <w:rPr>
          <w:b w:val="0"/>
          <w:bCs w:val="0"/>
        </w:rPr>
      </w:r>
    </w:p>
    <w:p>
      <w:pPr>
        <w:spacing w:line="240" w:lineRule="auto" w:before="8"/>
        <w:rPr>
          <w:rFonts w:ascii="宋体" w:hAnsi="宋体" w:cs="宋体" w:eastAsia="宋体" w:hint="default"/>
          <w:b/>
          <w:bCs/>
          <w:sz w:val="24"/>
          <w:szCs w:val="24"/>
        </w:rPr>
      </w:pPr>
    </w:p>
    <w:p>
      <w:pPr>
        <w:pStyle w:val="Heading3"/>
        <w:spacing w:line="273" w:lineRule="auto"/>
        <w:ind w:left="592" w:right="996" w:hanging="480"/>
        <w:jc w:val="left"/>
      </w:pPr>
      <w:r>
        <w:rPr/>
        <w:t>公司现任董事、监事、高级管理人员专业背景、主要工作经历以及目前在公司的主要职责 </w:t>
      </w:r>
      <w:r>
        <w:rPr>
          <w:rFonts w:ascii="宋体" w:hAnsi="宋体" w:cs="宋体" w:eastAsia="宋体" w:hint="default"/>
          <w:b/>
          <w:bCs/>
        </w:rPr>
        <w:t>公司董事会共七名董事，具体情况如下：</w:t>
      </w:r>
      <w:r>
        <w:rPr>
          <w:rFonts w:ascii="宋体" w:hAnsi="宋体" w:cs="宋体" w:eastAsia="宋体" w:hint="default"/>
          <w:b/>
          <w:bCs/>
          <w:w w:val="99"/>
        </w:rPr>
        <w:t> </w:t>
      </w:r>
      <w:r>
        <w:rPr/>
        <w:t>邵学先生，中国国籍，</w:t>
      </w:r>
      <w:r>
        <w:rPr>
          <w:rFonts w:ascii="Arial" w:hAnsi="Arial" w:cs="Arial" w:eastAsia="Arial" w:hint="default"/>
        </w:rPr>
        <w:t>1961</w:t>
      </w:r>
      <w:r>
        <w:rPr/>
        <w:t>年</w:t>
      </w:r>
      <w:r>
        <w:rPr>
          <w:rFonts w:ascii="Arial" w:hAnsi="Arial" w:cs="Arial" w:eastAsia="Arial" w:hint="default"/>
        </w:rPr>
        <w:t>12</w:t>
      </w:r>
      <w:r>
        <w:rPr/>
        <w:t>月出生，硕士学位，工程师职称。</w:t>
      </w:r>
      <w:r>
        <w:rPr>
          <w:rFonts w:ascii="Arial" w:hAnsi="Arial" w:cs="Arial" w:eastAsia="Arial" w:hint="default"/>
        </w:rPr>
        <w:t>2001</w:t>
      </w:r>
      <w:r>
        <w:rPr/>
        <w:t>年至</w:t>
      </w:r>
      <w:r>
        <w:rPr>
          <w:rFonts w:ascii="Arial" w:hAnsi="Arial" w:cs="Arial" w:eastAsia="Arial" w:hint="default"/>
        </w:rPr>
        <w:t>2016</w:t>
      </w:r>
      <w:r>
        <w:rPr/>
        <w:t>年、</w:t>
      </w:r>
    </w:p>
    <w:p>
      <w:pPr>
        <w:pStyle w:val="Heading3"/>
        <w:spacing w:line="259" w:lineRule="auto"/>
        <w:ind w:right="996"/>
        <w:jc w:val="left"/>
      </w:pPr>
      <w:r>
        <w:rPr>
          <w:rFonts w:ascii="Arial" w:hAnsi="Arial" w:cs="Arial" w:eastAsia="Arial" w:hint="default"/>
        </w:rPr>
        <w:t>2020</w:t>
      </w:r>
      <w:r>
        <w:rPr/>
        <w:t>年</w:t>
      </w:r>
      <w:r>
        <w:rPr>
          <w:rFonts w:ascii="Arial" w:hAnsi="Arial" w:cs="Arial" w:eastAsia="Arial" w:hint="default"/>
        </w:rPr>
        <w:t>2</w:t>
      </w:r>
      <w:r>
        <w:rPr/>
        <w:t>月至今任公司总经理，</w:t>
      </w:r>
      <w:r>
        <w:rPr>
          <w:rFonts w:ascii="Arial" w:hAnsi="Arial" w:cs="Arial" w:eastAsia="Arial" w:hint="default"/>
        </w:rPr>
        <w:t>2003</w:t>
      </w:r>
      <w:r>
        <w:rPr/>
        <w:t>年至今任公司董事长。目前还兼任华宇元典董事长，亿</w:t>
      </w:r>
      <w:r>
        <w:rPr>
          <w:spacing w:val="-93"/>
        </w:rPr>
        <w:t> </w:t>
      </w:r>
      <w:r>
        <w:rPr>
          <w:spacing w:val="-93"/>
        </w:rPr>
      </w:r>
      <w:r>
        <w:rPr/>
        <w:t>信华辰董事长，联奕科技董事，兼任北京华宇科创投资有限公司董事长。</w:t>
      </w:r>
    </w:p>
    <w:p>
      <w:pPr>
        <w:pStyle w:val="Heading3"/>
        <w:spacing w:line="259" w:lineRule="auto" w:before="26"/>
        <w:ind w:right="1120" w:firstLine="480"/>
        <w:jc w:val="both"/>
      </w:pPr>
      <w:r>
        <w:rPr>
          <w:spacing w:val="-2"/>
        </w:rPr>
        <w:t>干瑜静女士，中国国籍，</w:t>
      </w:r>
      <w:r>
        <w:rPr>
          <w:rFonts w:ascii="Arial" w:hAnsi="Arial" w:cs="Arial" w:eastAsia="Arial" w:hint="default"/>
          <w:spacing w:val="-2"/>
        </w:rPr>
        <w:t>1984</w:t>
      </w:r>
      <w:r>
        <w:rPr>
          <w:spacing w:val="-2"/>
        </w:rPr>
        <w:t>年</w:t>
      </w:r>
      <w:r>
        <w:rPr>
          <w:rFonts w:ascii="Arial" w:hAnsi="Arial" w:cs="Arial" w:eastAsia="Arial" w:hint="default"/>
          <w:spacing w:val="-2"/>
        </w:rPr>
        <w:t>4</w:t>
      </w:r>
      <w:r>
        <w:rPr>
          <w:spacing w:val="-2"/>
        </w:rPr>
        <w:t>月出生，硕士学位。</w:t>
      </w:r>
      <w:r>
        <w:rPr>
          <w:rFonts w:ascii="Arial" w:hAnsi="Arial" w:cs="Arial" w:eastAsia="Arial" w:hint="default"/>
          <w:spacing w:val="-2"/>
        </w:rPr>
        <w:t>2007</w:t>
      </w:r>
      <w:r>
        <w:rPr>
          <w:spacing w:val="-2"/>
        </w:rPr>
        <w:t>年</w:t>
      </w:r>
      <w:r>
        <w:rPr>
          <w:rFonts w:ascii="Arial" w:hAnsi="Arial" w:cs="Arial" w:eastAsia="Arial" w:hint="default"/>
          <w:spacing w:val="-2"/>
        </w:rPr>
        <w:t>6</w:t>
      </w:r>
      <w:r>
        <w:rPr>
          <w:spacing w:val="-2"/>
        </w:rPr>
        <w:t>月至</w:t>
      </w:r>
      <w:r>
        <w:rPr>
          <w:rFonts w:ascii="Arial" w:hAnsi="Arial" w:cs="Arial" w:eastAsia="Arial" w:hint="default"/>
          <w:spacing w:val="-2"/>
        </w:rPr>
        <w:t>2016</w:t>
      </w:r>
      <w:r>
        <w:rPr>
          <w:spacing w:val="-2"/>
        </w:rPr>
        <w:t>年</w:t>
      </w:r>
      <w:r>
        <w:rPr>
          <w:rFonts w:ascii="Arial" w:hAnsi="Arial" w:cs="Arial" w:eastAsia="Arial" w:hint="default"/>
          <w:spacing w:val="-2"/>
        </w:rPr>
        <w:t>4</w:t>
      </w:r>
      <w:r>
        <w:rPr>
          <w:spacing w:val="-2"/>
        </w:rPr>
        <w:t>月在中国电</w:t>
      </w:r>
      <w:r>
        <w:rPr/>
        <w:t> </w:t>
      </w:r>
      <w:r>
        <w:rPr>
          <w:spacing w:val="-3"/>
        </w:rPr>
        <w:t>力工程顾问集团西南电力设计院工作。</w:t>
      </w:r>
      <w:r>
        <w:rPr>
          <w:rFonts w:ascii="Arial" w:hAnsi="Arial" w:cs="Arial" w:eastAsia="Arial" w:hint="default"/>
          <w:spacing w:val="-3"/>
        </w:rPr>
        <w:t>2016</w:t>
      </w:r>
      <w:r>
        <w:rPr>
          <w:spacing w:val="-3"/>
        </w:rPr>
        <w:t>年</w:t>
      </w:r>
      <w:r>
        <w:rPr>
          <w:rFonts w:ascii="Arial" w:hAnsi="Arial" w:cs="Arial" w:eastAsia="Arial" w:hint="default"/>
          <w:spacing w:val="-3"/>
        </w:rPr>
        <w:t>4</w:t>
      </w:r>
      <w:r>
        <w:rPr>
          <w:spacing w:val="-3"/>
        </w:rPr>
        <w:t>月至</w:t>
      </w:r>
      <w:r>
        <w:rPr>
          <w:rFonts w:ascii="Arial" w:hAnsi="Arial" w:cs="Arial" w:eastAsia="Arial" w:hint="default"/>
          <w:spacing w:val="-3"/>
        </w:rPr>
        <w:t>2019</w:t>
      </w:r>
      <w:r>
        <w:rPr>
          <w:spacing w:val="-3"/>
        </w:rPr>
        <w:t>年</w:t>
      </w:r>
      <w:r>
        <w:rPr>
          <w:rFonts w:ascii="Arial" w:hAnsi="Arial" w:cs="Arial" w:eastAsia="Arial" w:hint="default"/>
          <w:spacing w:val="-3"/>
        </w:rPr>
        <w:t>1</w:t>
      </w:r>
      <w:r>
        <w:rPr>
          <w:spacing w:val="-3"/>
        </w:rPr>
        <w:t>月任四川发展（控股）有限责任</w:t>
      </w:r>
      <w:r>
        <w:rPr>
          <w:spacing w:val="-86"/>
        </w:rPr>
        <w:t> </w:t>
      </w:r>
      <w:r>
        <w:rPr>
          <w:spacing w:val="-86"/>
        </w:rPr>
      </w:r>
      <w:r>
        <w:rPr>
          <w:spacing w:val="-2"/>
        </w:rPr>
        <w:t>公司专职董事。</w:t>
      </w:r>
      <w:r>
        <w:rPr>
          <w:rFonts w:ascii="Arial" w:hAnsi="Arial" w:cs="Arial" w:eastAsia="Arial" w:hint="default"/>
          <w:spacing w:val="-2"/>
        </w:rPr>
        <w:t>2018</w:t>
      </w:r>
      <w:r>
        <w:rPr>
          <w:spacing w:val="-2"/>
        </w:rPr>
        <w:t>年</w:t>
      </w:r>
      <w:r>
        <w:rPr>
          <w:rFonts w:ascii="Arial" w:hAnsi="Arial" w:cs="Arial" w:eastAsia="Arial" w:hint="default"/>
          <w:spacing w:val="-2"/>
        </w:rPr>
        <w:t>10</w:t>
      </w:r>
      <w:r>
        <w:rPr>
          <w:spacing w:val="-2"/>
        </w:rPr>
        <w:t>月起任四川发展大数据产业投资有限责任公司董事长兼总经理，兼</w:t>
      </w:r>
      <w:r>
        <w:rPr>
          <w:spacing w:val="-79"/>
        </w:rPr>
        <w:t> </w:t>
      </w:r>
      <w:r>
        <w:rPr>
          <w:spacing w:val="-79"/>
        </w:rPr>
      </w:r>
      <w:r>
        <w:rPr/>
        <w:t>任四川数字金沙科技有限公司董事长。</w:t>
      </w:r>
    </w:p>
    <w:p>
      <w:pPr>
        <w:spacing w:after="0" w:line="259" w:lineRule="auto"/>
        <w:jc w:val="both"/>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6" w:lineRule="auto" w:before="26"/>
        <w:ind w:right="1128" w:firstLine="480"/>
        <w:jc w:val="both"/>
      </w:pPr>
      <w:r>
        <w:rPr/>
        <w:t>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w:t>
      </w:r>
      <w:r>
        <w:rPr>
          <w:rFonts w:ascii="Arial" w:hAnsi="Arial" w:cs="Arial" w:eastAsia="Arial" w:hint="default"/>
        </w:rPr>
        <w:t>2002</w:t>
      </w:r>
      <w:r>
        <w:rPr/>
        <w:t>年至今任公司 副总经理，</w:t>
      </w:r>
      <w:r>
        <w:rPr>
          <w:rFonts w:ascii="Arial" w:hAnsi="Arial" w:cs="Arial" w:eastAsia="Arial" w:hint="default"/>
        </w:rPr>
        <w:t>2007</w:t>
      </w:r>
      <w:r>
        <w:rPr/>
        <w:t>年至今任公司董事。目前还兼任华宇金信</w:t>
      </w:r>
      <w:r>
        <w:rPr>
          <w:rFonts w:ascii="Arial" w:hAnsi="Arial" w:cs="Arial" w:eastAsia="Arial" w:hint="default"/>
        </w:rPr>
        <w:t>(</w:t>
      </w:r>
      <w:r>
        <w:rPr/>
        <w:t>北京</w:t>
      </w:r>
      <w:r>
        <w:rPr>
          <w:rFonts w:ascii="Arial" w:hAnsi="Arial" w:cs="Arial" w:eastAsia="Arial" w:hint="default"/>
        </w:rPr>
        <w:t>)</w:t>
      </w:r>
      <w:r>
        <w:rPr/>
        <w:t>软件有限公司、北京华宇元</w:t>
      </w:r>
      <w:r>
        <w:rPr>
          <w:spacing w:val="-66"/>
        </w:rPr>
        <w:t> </w:t>
      </w:r>
      <w:r>
        <w:rPr>
          <w:spacing w:val="-66"/>
        </w:rPr>
      </w:r>
      <w:r>
        <w:rPr/>
        <w:t>典信息服务有限公司、华宇万户医疗科技（上海）有限公司、北京亿信华辰软件有限责任公</w:t>
      </w:r>
      <w:r>
        <w:rPr>
          <w:spacing w:val="-89"/>
        </w:rPr>
        <w:t> </w:t>
      </w:r>
      <w:r>
        <w:rPr>
          <w:spacing w:val="-89"/>
        </w:rPr>
      </w:r>
      <w:r>
        <w:rPr/>
        <w:t>司、联奕科技有限公司、北京华宇九品科技有限公司、广州华宇信息技术有限公司、上海浦</w:t>
      </w:r>
      <w:r>
        <w:rPr>
          <w:spacing w:val="-89"/>
        </w:rPr>
        <w:t> </w:t>
      </w:r>
      <w:r>
        <w:rPr>
          <w:spacing w:val="-89"/>
        </w:rPr>
      </w:r>
      <w:r>
        <w:rPr/>
        <w:t>东华宇信息技术有限公司董事。</w:t>
      </w:r>
    </w:p>
    <w:p>
      <w:pPr>
        <w:pStyle w:val="Heading3"/>
        <w:spacing w:line="264" w:lineRule="auto" w:before="19"/>
        <w:ind w:right="1125" w:firstLine="480"/>
        <w:jc w:val="both"/>
      </w:pPr>
      <w:r>
        <w:rPr/>
        <w:t>王琰先生，中国国籍，</w:t>
      </w:r>
      <w:r>
        <w:rPr>
          <w:rFonts w:ascii="Arial" w:hAnsi="Arial" w:cs="Arial" w:eastAsia="Arial" w:hint="default"/>
        </w:rPr>
        <w:t>1972</w:t>
      </w:r>
      <w:r>
        <w:rPr/>
        <w:t>年</w:t>
      </w:r>
      <w:r>
        <w:rPr>
          <w:rFonts w:ascii="Arial" w:hAnsi="Arial" w:cs="Arial" w:eastAsia="Arial" w:hint="default"/>
        </w:rPr>
        <w:t>4</w:t>
      </w:r>
      <w:r>
        <w:rPr/>
        <w:t>月出生，学士学位，中国注册会计师非执业员。</w:t>
      </w:r>
      <w:r>
        <w:rPr>
          <w:rFonts w:ascii="Arial" w:hAnsi="Arial" w:cs="Arial" w:eastAsia="Arial" w:hint="default"/>
        </w:rPr>
        <w:t>2014</w:t>
      </w:r>
      <w:r>
        <w:rPr/>
        <w:t>年 </w:t>
      </w:r>
      <w:r>
        <w:rPr>
          <w:spacing w:val="-2"/>
        </w:rPr>
        <w:t>至</w:t>
      </w:r>
      <w:r>
        <w:rPr>
          <w:rFonts w:ascii="Arial" w:hAnsi="Arial" w:cs="Arial" w:eastAsia="Arial" w:hint="default"/>
          <w:spacing w:val="-2"/>
        </w:rPr>
        <w:t>2019</w:t>
      </w:r>
      <w:r>
        <w:rPr>
          <w:spacing w:val="-2"/>
        </w:rPr>
        <w:t>年</w:t>
      </w:r>
      <w:r>
        <w:rPr>
          <w:rFonts w:ascii="Arial" w:hAnsi="Arial" w:cs="Arial" w:eastAsia="Arial" w:hint="default"/>
          <w:spacing w:val="-2"/>
        </w:rPr>
        <w:t>6</w:t>
      </w:r>
      <w:r>
        <w:rPr>
          <w:spacing w:val="-2"/>
        </w:rPr>
        <w:t>月任公司财务总监，</w:t>
      </w:r>
      <w:r>
        <w:rPr>
          <w:rFonts w:ascii="Arial" w:hAnsi="Arial" w:cs="Arial" w:eastAsia="Arial" w:hint="default"/>
          <w:spacing w:val="-2"/>
        </w:rPr>
        <w:t>2017</w:t>
      </w:r>
      <w:r>
        <w:rPr>
          <w:spacing w:val="-2"/>
        </w:rPr>
        <w:t>年</w:t>
      </w:r>
      <w:r>
        <w:rPr>
          <w:rFonts w:ascii="Arial" w:hAnsi="Arial" w:cs="Arial" w:eastAsia="Arial" w:hint="default"/>
          <w:spacing w:val="-2"/>
        </w:rPr>
        <w:t>9</w:t>
      </w:r>
      <w:r>
        <w:rPr>
          <w:spacing w:val="-2"/>
        </w:rPr>
        <w:t>月至</w:t>
      </w:r>
      <w:r>
        <w:rPr>
          <w:rFonts w:ascii="Arial" w:hAnsi="Arial" w:cs="Arial" w:eastAsia="Arial" w:hint="default"/>
          <w:spacing w:val="-2"/>
        </w:rPr>
        <w:t>2019</w:t>
      </w:r>
      <w:r>
        <w:rPr>
          <w:spacing w:val="-2"/>
        </w:rPr>
        <w:t>年</w:t>
      </w:r>
      <w:r>
        <w:rPr>
          <w:rFonts w:ascii="Arial" w:hAnsi="Arial" w:cs="Arial" w:eastAsia="Arial" w:hint="default"/>
          <w:spacing w:val="-2"/>
        </w:rPr>
        <w:t>6</w:t>
      </w:r>
      <w:r>
        <w:rPr>
          <w:spacing w:val="-2"/>
        </w:rPr>
        <w:t>月任公司副总经理，现任公司董事、首</w:t>
      </w:r>
      <w:r>
        <w:rPr>
          <w:spacing w:val="-79"/>
        </w:rPr>
        <w:t> </w:t>
      </w:r>
      <w:r>
        <w:rPr>
          <w:spacing w:val="-79"/>
        </w:rPr>
      </w:r>
      <w:r>
        <w:rPr>
          <w:spacing w:val="-7"/>
        </w:rPr>
        <w:t>席财务官。目前还兼任北京华宇信息技术有限公司、北京华宇九品科技有限公司、华宇金信</w:t>
      </w:r>
      <w:r>
        <w:rPr>
          <w:rFonts w:ascii="Arial" w:hAnsi="Arial" w:cs="Arial" w:eastAsia="Arial" w:hint="default"/>
          <w:spacing w:val="-7"/>
        </w:rPr>
        <w:t>(</w:t>
      </w:r>
      <w:r>
        <w:rPr>
          <w:spacing w:val="-7"/>
        </w:rPr>
        <w:t>北</w:t>
      </w:r>
      <w:r>
        <w:rPr>
          <w:spacing w:val="-107"/>
        </w:rPr>
        <w:t> </w:t>
      </w:r>
      <w:r>
        <w:rPr>
          <w:spacing w:val="-2"/>
        </w:rPr>
        <w:t>京</w:t>
      </w:r>
      <w:r>
        <w:rPr>
          <w:rFonts w:ascii="Arial" w:hAnsi="Arial" w:cs="Arial" w:eastAsia="Arial" w:hint="default"/>
          <w:spacing w:val="-2"/>
        </w:rPr>
        <w:t>)</w:t>
      </w:r>
      <w:r>
        <w:rPr>
          <w:spacing w:val="-2"/>
        </w:rPr>
        <w:t>软件有限公司、广州华宇信息技术有限公司、北京万户网络技术有限公司、北京亿信华辰</w:t>
      </w:r>
      <w:r>
        <w:rPr>
          <w:spacing w:val="-82"/>
        </w:rPr>
        <w:t> </w:t>
      </w:r>
      <w:r>
        <w:rPr>
          <w:spacing w:val="-82"/>
        </w:rPr>
      </w:r>
      <w:r>
        <w:rPr/>
        <w:t>软件有限责任公司、上海殊创数据技术有限责任公司、四川数字金沙科技有限公司、北京华</w:t>
      </w:r>
      <w:r>
        <w:rPr>
          <w:spacing w:val="-89"/>
        </w:rPr>
        <w:t> </w:t>
      </w:r>
      <w:r>
        <w:rPr>
          <w:spacing w:val="-89"/>
        </w:rPr>
      </w:r>
      <w:r>
        <w:rPr/>
        <w:t>宇元典信息服务有限公司、联奕科技有限公司、上海浦东华宇信息技术有限公司董事，华宇</w:t>
      </w:r>
      <w:r>
        <w:rPr>
          <w:spacing w:val="-89"/>
        </w:rPr>
        <w:t> </w:t>
      </w:r>
      <w:r>
        <w:rPr>
          <w:spacing w:val="-89"/>
        </w:rPr>
      </w:r>
      <w:r>
        <w:rPr>
          <w:spacing w:val="2"/>
        </w:rPr>
        <w:t>万户医疗科技</w:t>
      </w:r>
      <w:r>
        <w:rPr>
          <w:rFonts w:ascii="Arial" w:hAnsi="Arial" w:cs="Arial" w:eastAsia="Arial" w:hint="default"/>
          <w:spacing w:val="2"/>
        </w:rPr>
        <w:t>(</w:t>
      </w:r>
      <w:r>
        <w:rPr>
          <w:spacing w:val="2"/>
        </w:rPr>
        <w:t>上海</w:t>
      </w:r>
      <w:r>
        <w:rPr>
          <w:rFonts w:ascii="Arial" w:hAnsi="Arial" w:cs="Arial" w:eastAsia="Arial" w:hint="default"/>
          <w:spacing w:val="2"/>
        </w:rPr>
        <w:t>)</w:t>
      </w:r>
      <w:r>
        <w:rPr>
          <w:spacing w:val="2"/>
        </w:rPr>
        <w:t>有限公司董事长，深圳市捷视飞通科技股份有限公司监事，兼任北京光</w:t>
      </w:r>
      <w:r>
        <w:rPr>
          <w:spacing w:val="-105"/>
        </w:rPr>
        <w:t> </w:t>
      </w:r>
      <w:r>
        <w:rPr>
          <w:spacing w:val="-105"/>
        </w:rPr>
      </w:r>
      <w:r>
        <w:rPr/>
        <w:t>大汇晨养老服务有限公司董事。</w:t>
      </w:r>
    </w:p>
    <w:p>
      <w:pPr>
        <w:pStyle w:val="Heading3"/>
        <w:spacing w:line="266" w:lineRule="auto" w:before="22"/>
        <w:ind w:right="1130" w:firstLine="480"/>
        <w:jc w:val="both"/>
      </w:pPr>
      <w:r>
        <w:rPr/>
        <w:t>朱恒源先生，中国国籍，</w:t>
      </w:r>
      <w:r>
        <w:rPr>
          <w:rFonts w:ascii="Arial" w:hAnsi="Arial" w:cs="Arial" w:eastAsia="Arial" w:hint="default"/>
        </w:rPr>
        <w:t>1968</w:t>
      </w:r>
      <w:r>
        <w:rPr/>
        <w:t>年</w:t>
      </w:r>
      <w:r>
        <w:rPr>
          <w:rFonts w:ascii="Arial" w:hAnsi="Arial" w:cs="Arial" w:eastAsia="Arial" w:hint="default"/>
        </w:rPr>
        <w:t>7</w:t>
      </w:r>
      <w:r>
        <w:rPr/>
        <w:t>月出生，博士学历，清华大学经济管理学院副教授。 目前就职于清华大学经济管理学院，兼任中国全聚德（集团）股份有限公司独立董事、深圳</w:t>
      </w:r>
      <w:r>
        <w:rPr>
          <w:spacing w:val="-89"/>
        </w:rPr>
        <w:t> </w:t>
      </w:r>
      <w:r>
        <w:rPr>
          <w:spacing w:val="-89"/>
        </w:rPr>
      </w:r>
      <w:r>
        <w:rPr/>
        <w:t>艾勒可科技有限公司独立董事、海南京粮控股股份有限公司独立董事。</w:t>
      </w:r>
    </w:p>
    <w:p>
      <w:pPr>
        <w:pStyle w:val="Heading3"/>
        <w:spacing w:line="268" w:lineRule="auto" w:before="19"/>
        <w:ind w:right="998" w:firstLine="480"/>
        <w:jc w:val="left"/>
      </w:pPr>
      <w:r>
        <w:rPr>
          <w:spacing w:val="-2"/>
        </w:rPr>
        <w:t>甘培忠先生，中国国籍，</w:t>
      </w:r>
      <w:r>
        <w:rPr>
          <w:rFonts w:ascii="Arial" w:hAnsi="Arial" w:cs="Arial" w:eastAsia="Arial" w:hint="default"/>
          <w:spacing w:val="-2"/>
        </w:rPr>
        <w:t>1956</w:t>
      </w:r>
      <w:r>
        <w:rPr>
          <w:spacing w:val="-2"/>
        </w:rPr>
        <w:t>年</w:t>
      </w:r>
      <w:r>
        <w:rPr>
          <w:rFonts w:ascii="Arial" w:hAnsi="Arial" w:cs="Arial" w:eastAsia="Arial" w:hint="default"/>
          <w:spacing w:val="-2"/>
        </w:rPr>
        <w:t>5</w:t>
      </w:r>
      <w:r>
        <w:rPr>
          <w:spacing w:val="-2"/>
        </w:rPr>
        <w:t>月出生，博士学历，教授。</w:t>
      </w:r>
      <w:r>
        <w:rPr>
          <w:rFonts w:ascii="Arial" w:hAnsi="Arial" w:cs="Arial" w:eastAsia="Arial" w:hint="default"/>
          <w:spacing w:val="-2"/>
        </w:rPr>
        <w:t>2015</w:t>
      </w:r>
      <w:r>
        <w:rPr>
          <w:spacing w:val="-2"/>
        </w:rPr>
        <w:t>年起任公司独立董事。</w:t>
      </w:r>
      <w:r>
        <w:rPr/>
        <w:t> </w:t>
      </w:r>
      <w:r>
        <w:rPr>
          <w:rFonts w:ascii="Arial" w:hAnsi="Arial" w:cs="Arial" w:eastAsia="Arial" w:hint="default"/>
        </w:rPr>
        <w:t>1983</w:t>
      </w:r>
      <w:r>
        <w:rPr/>
        <w:t>年至</w:t>
      </w:r>
      <w:r>
        <w:rPr>
          <w:rFonts w:ascii="Arial" w:hAnsi="Arial" w:cs="Arial" w:eastAsia="Arial" w:hint="default"/>
        </w:rPr>
        <w:t>2019</w:t>
      </w:r>
      <w:r>
        <w:rPr/>
        <w:t>年</w:t>
      </w:r>
      <w:r>
        <w:rPr>
          <w:rFonts w:ascii="Arial" w:hAnsi="Arial" w:cs="Arial" w:eastAsia="Arial" w:hint="default"/>
        </w:rPr>
        <w:t>6</w:t>
      </w:r>
      <w:r>
        <w:rPr/>
        <w:t>月就职于北京大学法学院，</w:t>
      </w:r>
      <w:r>
        <w:rPr>
          <w:rFonts w:ascii="Arial" w:hAnsi="Arial" w:cs="Arial" w:eastAsia="Arial" w:hint="default"/>
        </w:rPr>
        <w:t>2019</w:t>
      </w:r>
      <w:r>
        <w:rPr/>
        <w:t>年</w:t>
      </w:r>
      <w:r>
        <w:rPr>
          <w:rFonts w:ascii="Arial" w:hAnsi="Arial" w:cs="Arial" w:eastAsia="Arial" w:hint="default"/>
        </w:rPr>
        <w:t>7</w:t>
      </w:r>
      <w:r>
        <w:rPr/>
        <w:t>月起受聘兰州大学法学院，现任兰大</w:t>
      </w:r>
      <w:r>
        <w:rPr>
          <w:spacing w:val="-46"/>
        </w:rPr>
        <w:t> </w:t>
      </w:r>
      <w:r>
        <w:rPr>
          <w:spacing w:val="-46"/>
        </w:rPr>
      </w:r>
      <w:r>
        <w:rPr/>
        <w:t>法学院院长。兼任最高人民法院特邀咨询员、最高人民法院案例指导专家委员会委员、中国</w:t>
      </w:r>
      <w:r>
        <w:rPr>
          <w:spacing w:val="-89"/>
        </w:rPr>
        <w:t> </w:t>
      </w:r>
      <w:r>
        <w:rPr>
          <w:spacing w:val="-89"/>
        </w:rPr>
      </w:r>
      <w:r>
        <w:rPr/>
        <w:t>商业法研究会会长、中国证券法学研究会副会长、中国经济法学研究会常务理事、辽宁省人</w:t>
      </w:r>
      <w:r>
        <w:rPr>
          <w:spacing w:val="-89"/>
        </w:rPr>
        <w:t> </w:t>
      </w:r>
      <w:r>
        <w:rPr>
          <w:spacing w:val="-89"/>
        </w:rPr>
      </w:r>
      <w:r>
        <w:rPr/>
        <w:t>民政府法律顾问、深圳国际仲裁院仲裁员；金徽酒股份有限公司独立董事、苏州道森钻采设</w:t>
      </w:r>
      <w:r>
        <w:rPr>
          <w:spacing w:val="-89"/>
        </w:rPr>
        <w:t> </w:t>
      </w:r>
      <w:r>
        <w:rPr>
          <w:spacing w:val="-89"/>
        </w:rPr>
      </w:r>
      <w:r>
        <w:rPr/>
        <w:t>备股份有限公司独立董事。</w:t>
      </w:r>
    </w:p>
    <w:p>
      <w:pPr>
        <w:pStyle w:val="Heading3"/>
        <w:spacing w:line="268" w:lineRule="auto" w:before="14"/>
        <w:ind w:right="1123" w:firstLine="480"/>
        <w:jc w:val="both"/>
      </w:pPr>
      <w:r>
        <w:rPr>
          <w:spacing w:val="-3"/>
        </w:rPr>
        <w:t>罗婷女士，中国国籍，</w:t>
      </w:r>
      <w:r>
        <w:rPr>
          <w:rFonts w:ascii="Arial" w:hAnsi="Arial" w:cs="Arial" w:eastAsia="Arial" w:hint="default"/>
          <w:spacing w:val="-3"/>
        </w:rPr>
        <w:t>1974</w:t>
      </w:r>
      <w:r>
        <w:rPr>
          <w:spacing w:val="-3"/>
        </w:rPr>
        <w:t>年</w:t>
      </w:r>
      <w:r>
        <w:rPr>
          <w:rFonts w:ascii="Arial" w:hAnsi="Arial" w:cs="Arial" w:eastAsia="Arial" w:hint="default"/>
          <w:spacing w:val="-3"/>
        </w:rPr>
        <w:t>12</w:t>
      </w:r>
      <w:r>
        <w:rPr>
          <w:spacing w:val="-3"/>
        </w:rPr>
        <w:t>月出生，博士学历，副教授。</w:t>
      </w:r>
      <w:r>
        <w:rPr>
          <w:rFonts w:ascii="Arial" w:hAnsi="Arial" w:cs="Arial" w:eastAsia="Arial" w:hint="default"/>
          <w:spacing w:val="-3"/>
        </w:rPr>
        <w:t>1997</w:t>
      </w:r>
      <w:r>
        <w:rPr>
          <w:spacing w:val="-3"/>
        </w:rPr>
        <w:t>年毕业于北京大学光</w:t>
      </w:r>
      <w:r>
        <w:rPr/>
        <w:t> </w:t>
      </w:r>
      <w:r>
        <w:rPr>
          <w:spacing w:val="-1"/>
        </w:rPr>
        <w:t>华管理学院，获经济学学士学位；</w:t>
      </w:r>
      <w:r>
        <w:rPr>
          <w:rFonts w:ascii="Arial" w:hAnsi="Arial" w:cs="Arial" w:eastAsia="Arial" w:hint="default"/>
          <w:spacing w:val="-1"/>
        </w:rPr>
        <w:t>2007</w:t>
      </w:r>
      <w:r>
        <w:rPr>
          <w:spacing w:val="-1"/>
        </w:rPr>
        <w:t>年毕业于美国威斯康辛大学麦迪逊分校商学院，获会</w:t>
      </w:r>
      <w:r>
        <w:rPr>
          <w:spacing w:val="-94"/>
        </w:rPr>
        <w:t> </w:t>
      </w:r>
      <w:r>
        <w:rPr>
          <w:spacing w:val="-94"/>
        </w:rPr>
      </w:r>
      <w:r>
        <w:rPr/>
        <w:t>计学博士学位；为非执业中国注册会计师。曾历任中国人保集团、中国人寿保险股份有限公</w:t>
      </w:r>
      <w:r>
        <w:rPr>
          <w:spacing w:val="-89"/>
        </w:rPr>
        <w:t> </w:t>
      </w:r>
      <w:r>
        <w:rPr>
          <w:spacing w:val="-89"/>
        </w:rPr>
      </w:r>
      <w:r>
        <w:rPr/>
        <w:t>司财务分析师、清华大学经济管理学院助理教授、副教授（博士生导师）等职务，现任清华</w:t>
      </w:r>
      <w:r>
        <w:rPr>
          <w:spacing w:val="-89"/>
        </w:rPr>
        <w:t> </w:t>
      </w:r>
      <w:r>
        <w:rPr>
          <w:spacing w:val="-89"/>
        </w:rPr>
      </w:r>
      <w:r>
        <w:rPr/>
        <w:t>大学经济管理学院长聘副教授（博士生导师）职务，兼任神州数码信息服务股份有限公司独</w:t>
      </w:r>
      <w:r>
        <w:rPr>
          <w:spacing w:val="-89"/>
        </w:rPr>
        <w:t> </w:t>
      </w:r>
      <w:r>
        <w:rPr>
          <w:spacing w:val="-89"/>
        </w:rPr>
      </w:r>
      <w:r>
        <w:rPr/>
        <w:t>立董事、阿尔卡特汽车技术股份有限公司独立董事、北京基康仪器股份有限公司独立董事。</w:t>
      </w:r>
    </w:p>
    <w:p>
      <w:pPr>
        <w:spacing w:line="276" w:lineRule="auto" w:before="14"/>
        <w:ind w:left="592" w:right="996" w:firstLine="2"/>
        <w:jc w:val="left"/>
        <w:rPr>
          <w:rFonts w:ascii="宋体" w:hAnsi="宋体" w:cs="宋体" w:eastAsia="宋体" w:hint="default"/>
          <w:sz w:val="24"/>
          <w:szCs w:val="24"/>
        </w:rPr>
      </w:pPr>
      <w:r>
        <w:rPr>
          <w:rFonts w:ascii="宋体" w:hAnsi="宋体" w:cs="宋体" w:eastAsia="宋体" w:hint="default"/>
          <w:b/>
          <w:bCs/>
          <w:sz w:val="24"/>
          <w:szCs w:val="24"/>
        </w:rPr>
        <w:t>公司监事会共三名监事，具体情况如下：</w:t>
      </w:r>
      <w:r>
        <w:rPr>
          <w:rFonts w:ascii="宋体" w:hAnsi="宋体" w:cs="宋体" w:eastAsia="宋体" w:hint="default"/>
          <w:b/>
          <w:bCs/>
          <w:w w:val="99"/>
          <w:sz w:val="24"/>
          <w:szCs w:val="24"/>
        </w:rPr>
        <w:t> </w:t>
      </w:r>
      <w:r>
        <w:rPr>
          <w:rFonts w:ascii="宋体" w:hAnsi="宋体" w:cs="宋体" w:eastAsia="宋体" w:hint="default"/>
          <w:spacing w:val="-1"/>
          <w:sz w:val="24"/>
          <w:szCs w:val="24"/>
        </w:rPr>
        <w:t>樊娇娇女士，中国国籍，</w:t>
      </w:r>
      <w:r>
        <w:rPr>
          <w:rFonts w:ascii="Arial" w:hAnsi="Arial" w:cs="Arial" w:eastAsia="Arial" w:hint="default"/>
          <w:spacing w:val="-1"/>
          <w:sz w:val="24"/>
          <w:szCs w:val="24"/>
        </w:rPr>
        <w:t>1982</w:t>
      </w:r>
      <w:r>
        <w:rPr>
          <w:rFonts w:ascii="宋体" w:hAnsi="宋体" w:cs="宋体" w:eastAsia="宋体" w:hint="default"/>
          <w:spacing w:val="-1"/>
          <w:sz w:val="24"/>
          <w:szCs w:val="24"/>
        </w:rPr>
        <w:t>年</w:t>
      </w:r>
      <w:r>
        <w:rPr>
          <w:rFonts w:ascii="Arial" w:hAnsi="Arial" w:cs="Arial" w:eastAsia="Arial" w:hint="default"/>
          <w:spacing w:val="-1"/>
          <w:sz w:val="24"/>
          <w:szCs w:val="24"/>
        </w:rPr>
        <w:t>8</w:t>
      </w:r>
      <w:r>
        <w:rPr>
          <w:rFonts w:ascii="宋体" w:hAnsi="宋体" w:cs="宋体" w:eastAsia="宋体" w:hint="default"/>
          <w:spacing w:val="-1"/>
          <w:sz w:val="24"/>
          <w:szCs w:val="24"/>
        </w:rPr>
        <w:t>月出生，学士学位。</w:t>
      </w:r>
      <w:r>
        <w:rPr>
          <w:rFonts w:ascii="Arial" w:hAnsi="Arial" w:cs="Arial" w:eastAsia="Arial" w:hint="default"/>
          <w:spacing w:val="-1"/>
          <w:sz w:val="24"/>
          <w:szCs w:val="24"/>
        </w:rPr>
        <w:t>2007</w:t>
      </w:r>
      <w:r>
        <w:rPr>
          <w:rFonts w:ascii="宋体" w:hAnsi="宋体" w:cs="宋体" w:eastAsia="宋体" w:hint="default"/>
          <w:spacing w:val="-1"/>
          <w:sz w:val="24"/>
          <w:szCs w:val="24"/>
        </w:rPr>
        <w:t>年至</w:t>
      </w:r>
      <w:r>
        <w:rPr>
          <w:rFonts w:ascii="Arial" w:hAnsi="Arial" w:cs="Arial" w:eastAsia="Arial" w:hint="default"/>
          <w:spacing w:val="-1"/>
          <w:sz w:val="24"/>
          <w:szCs w:val="24"/>
        </w:rPr>
        <w:t>2016</w:t>
      </w:r>
      <w:r>
        <w:rPr>
          <w:rFonts w:ascii="宋体" w:hAnsi="宋体" w:cs="宋体" w:eastAsia="宋体" w:hint="default"/>
          <w:spacing w:val="-1"/>
          <w:sz w:val="24"/>
          <w:szCs w:val="24"/>
        </w:rPr>
        <w:t>年任公司监事，现</w:t>
      </w:r>
    </w:p>
    <w:p>
      <w:pPr>
        <w:pStyle w:val="Heading3"/>
        <w:spacing w:line="276" w:lineRule="auto"/>
        <w:ind w:left="592" w:right="996" w:hanging="480"/>
        <w:jc w:val="left"/>
      </w:pPr>
      <w:r>
        <w:rPr/>
        <w:t>任公司监事会主席，目前还担任公司党委书记、华宇信息行政部经理。 王珍女士，中国国籍，</w:t>
      </w:r>
      <w:r>
        <w:rPr>
          <w:rFonts w:ascii="Arial" w:hAnsi="Arial" w:cs="Arial" w:eastAsia="Arial" w:hint="default"/>
        </w:rPr>
        <w:t>1987</w:t>
      </w:r>
      <w:r>
        <w:rPr/>
        <w:t>年</w:t>
      </w:r>
      <w:r>
        <w:rPr>
          <w:rFonts w:ascii="Arial" w:hAnsi="Arial" w:cs="Arial" w:eastAsia="Arial" w:hint="default"/>
        </w:rPr>
        <w:t>1</w:t>
      </w:r>
      <w:r>
        <w:rPr/>
        <w:t>月出生，硕士学位。</w:t>
      </w:r>
      <w:r>
        <w:rPr>
          <w:rFonts w:ascii="Arial" w:hAnsi="Arial" w:cs="Arial" w:eastAsia="Arial" w:hint="default"/>
        </w:rPr>
        <w:t>2011</w:t>
      </w:r>
      <w:r>
        <w:rPr/>
        <w:t>年至</w:t>
      </w:r>
      <w:r>
        <w:rPr>
          <w:rFonts w:ascii="Arial" w:hAnsi="Arial" w:cs="Arial" w:eastAsia="Arial" w:hint="default"/>
        </w:rPr>
        <w:t>2013</w:t>
      </w:r>
      <w:r>
        <w:rPr/>
        <w:t>年就职于</w:t>
      </w:r>
      <w:r>
        <w:rPr>
          <w:rFonts w:ascii="Arial" w:hAnsi="Arial" w:cs="Arial" w:eastAsia="Arial" w:hint="default"/>
        </w:rPr>
        <w:t>K11</w:t>
      </w:r>
      <w:r>
        <w:rPr/>
        <w:t>购物艺</w:t>
      </w:r>
    </w:p>
    <w:p>
      <w:pPr>
        <w:pStyle w:val="Heading3"/>
        <w:spacing w:line="261" w:lineRule="auto"/>
        <w:ind w:left="592" w:right="996" w:hanging="480"/>
        <w:jc w:val="left"/>
      </w:pPr>
      <w:r>
        <w:rPr/>
        <w:t>术中心，</w:t>
      </w:r>
      <w:r>
        <w:rPr>
          <w:rFonts w:ascii="Arial" w:hAnsi="Arial" w:cs="Arial" w:eastAsia="Arial" w:hint="default"/>
        </w:rPr>
        <w:t>2013</w:t>
      </w:r>
      <w:r>
        <w:rPr/>
        <w:t>年至今就职于北京华宇信息技术有限公司，担任培训经理。 </w:t>
      </w:r>
      <w:r>
        <w:rPr>
          <w:spacing w:val="-1"/>
        </w:rPr>
        <w:t>龚玮女士，中国国籍，</w:t>
      </w:r>
      <w:r>
        <w:rPr>
          <w:rFonts w:ascii="Arial" w:hAnsi="Arial" w:cs="Arial" w:eastAsia="Arial" w:hint="default"/>
          <w:spacing w:val="-1"/>
        </w:rPr>
        <w:t>1990</w:t>
      </w:r>
      <w:r>
        <w:rPr>
          <w:spacing w:val="-1"/>
        </w:rPr>
        <w:t>年</w:t>
      </w:r>
      <w:r>
        <w:rPr>
          <w:rFonts w:ascii="Arial" w:hAnsi="Arial" w:cs="Arial" w:eastAsia="Arial" w:hint="default"/>
          <w:spacing w:val="-1"/>
        </w:rPr>
        <w:t>4</w:t>
      </w:r>
      <w:r>
        <w:rPr>
          <w:spacing w:val="-1"/>
        </w:rPr>
        <w:t>月出生，硕士学位。</w:t>
      </w:r>
      <w:r>
        <w:rPr>
          <w:rFonts w:ascii="Arial" w:hAnsi="Arial" w:cs="Arial" w:eastAsia="Arial" w:hint="default"/>
          <w:spacing w:val="-1"/>
        </w:rPr>
        <w:t>2013</w:t>
      </w:r>
      <w:r>
        <w:rPr>
          <w:spacing w:val="-1"/>
        </w:rPr>
        <w:t>年至</w:t>
      </w:r>
      <w:r>
        <w:rPr>
          <w:rFonts w:ascii="Arial" w:hAnsi="Arial" w:cs="Arial" w:eastAsia="Arial" w:hint="default"/>
          <w:spacing w:val="-1"/>
        </w:rPr>
        <w:t>2014</w:t>
      </w:r>
      <w:r>
        <w:rPr>
          <w:spacing w:val="-1"/>
        </w:rPr>
        <w:t>年就职于中科软科技</w:t>
      </w:r>
    </w:p>
    <w:p>
      <w:pPr>
        <w:pStyle w:val="Heading3"/>
        <w:spacing w:line="259" w:lineRule="auto" w:before="2"/>
        <w:ind w:right="996"/>
        <w:jc w:val="left"/>
      </w:pPr>
      <w:r>
        <w:rPr>
          <w:spacing w:val="2"/>
        </w:rPr>
        <w:t>股份有限公司，</w:t>
      </w:r>
      <w:r>
        <w:rPr>
          <w:rFonts w:ascii="Arial" w:hAnsi="Arial" w:cs="Arial" w:eastAsia="Arial" w:hint="default"/>
          <w:spacing w:val="2"/>
        </w:rPr>
        <w:t>2014</w:t>
      </w:r>
      <w:r>
        <w:rPr>
          <w:spacing w:val="2"/>
        </w:rPr>
        <w:t>年至</w:t>
      </w:r>
      <w:r>
        <w:rPr>
          <w:rFonts w:ascii="Arial" w:hAnsi="Arial" w:cs="Arial" w:eastAsia="Arial" w:hint="default"/>
          <w:spacing w:val="2"/>
        </w:rPr>
        <w:t>2017</w:t>
      </w:r>
      <w:r>
        <w:rPr>
          <w:spacing w:val="2"/>
        </w:rPr>
        <w:t>年就职于北京启明星辰信息安全技术有限公司，</w:t>
      </w:r>
      <w:r>
        <w:rPr>
          <w:rFonts w:ascii="Arial" w:hAnsi="Arial" w:cs="Arial" w:eastAsia="Arial" w:hint="default"/>
          <w:spacing w:val="2"/>
        </w:rPr>
        <w:t>2017</w:t>
      </w:r>
      <w:r>
        <w:rPr>
          <w:spacing w:val="2"/>
        </w:rPr>
        <w:t>年至今</w:t>
      </w:r>
      <w:r>
        <w:rPr>
          <w:spacing w:val="-117"/>
        </w:rPr>
        <w:t> </w:t>
      </w:r>
      <w:r>
        <w:rPr>
          <w:spacing w:val="-117"/>
        </w:rPr>
      </w:r>
      <w:r>
        <w:rPr/>
        <w:t>就职于北京华宇软件股份有限公司，担任合并报表经理。</w:t>
      </w:r>
    </w:p>
    <w:p>
      <w:pPr>
        <w:spacing w:line="276" w:lineRule="auto" w:before="26"/>
        <w:ind w:left="592" w:right="2114" w:firstLine="2"/>
        <w:jc w:val="left"/>
        <w:rPr>
          <w:rFonts w:ascii="宋体" w:hAnsi="宋体" w:cs="宋体" w:eastAsia="宋体" w:hint="default"/>
          <w:sz w:val="24"/>
          <w:szCs w:val="24"/>
        </w:rPr>
      </w:pPr>
      <w:r>
        <w:rPr>
          <w:rFonts w:ascii="宋体" w:hAnsi="宋体" w:cs="宋体" w:eastAsia="宋体" w:hint="default"/>
          <w:b/>
          <w:bCs/>
          <w:sz w:val="24"/>
          <w:szCs w:val="24"/>
        </w:rPr>
        <w:t>高级管理人员具体情况如下：</w:t>
      </w:r>
      <w:r>
        <w:rPr>
          <w:rFonts w:ascii="宋体" w:hAnsi="宋体" w:cs="宋体" w:eastAsia="宋体" w:hint="default"/>
          <w:b/>
          <w:bCs/>
          <w:w w:val="99"/>
          <w:sz w:val="24"/>
          <w:szCs w:val="24"/>
        </w:rPr>
        <w:t> </w:t>
      </w:r>
      <w:r>
        <w:rPr>
          <w:rFonts w:ascii="宋体" w:hAnsi="宋体" w:cs="宋体" w:eastAsia="宋体" w:hint="default"/>
          <w:sz w:val="24"/>
          <w:szCs w:val="24"/>
        </w:rPr>
        <w:t>高级管理人员邵学先生、王琰先生、赵晓明先生简历见上述董事会成员介绍。</w:t>
      </w:r>
    </w:p>
    <w:p>
      <w:pPr>
        <w:spacing w:after="0" w:line="276" w:lineRule="auto"/>
        <w:jc w:val="left"/>
        <w:rPr>
          <w:rFonts w:ascii="宋体" w:hAnsi="宋体" w:cs="宋体" w:eastAsia="宋体" w:hint="default"/>
          <w:sz w:val="24"/>
          <w:szCs w:val="24"/>
        </w:rPr>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1" w:lineRule="auto" w:before="26"/>
        <w:ind w:right="1128" w:firstLine="480"/>
        <w:jc w:val="both"/>
      </w:pPr>
      <w:r>
        <w:rPr/>
        <w:t>邢立君女士，中国国籍，</w:t>
      </w:r>
      <w:r>
        <w:rPr>
          <w:rFonts w:ascii="Arial" w:hAnsi="Arial" w:cs="Arial" w:eastAsia="Arial" w:hint="default"/>
        </w:rPr>
        <w:t>1972</w:t>
      </w:r>
      <w:r>
        <w:rPr/>
        <w:t>年</w:t>
      </w:r>
      <w:r>
        <w:rPr>
          <w:rFonts w:ascii="Arial" w:hAnsi="Arial" w:cs="Arial" w:eastAsia="Arial" w:hint="default"/>
        </w:rPr>
        <w:t>1</w:t>
      </w:r>
      <w:r>
        <w:rPr/>
        <w:t>月出生，硕士学位。</w:t>
      </w:r>
      <w:r>
        <w:rPr>
          <w:rFonts w:ascii="Arial" w:hAnsi="Arial" w:cs="Arial" w:eastAsia="Arial" w:hint="default"/>
        </w:rPr>
        <w:t>2014</w:t>
      </w:r>
      <w:r>
        <w:rPr/>
        <w:t>年起任公司人力资源总监， 目前还兼任大连华宇董事。</w:t>
      </w:r>
    </w:p>
    <w:p>
      <w:pPr>
        <w:pStyle w:val="Heading3"/>
        <w:spacing w:line="259" w:lineRule="auto" w:before="22"/>
        <w:ind w:right="1123" w:firstLine="480"/>
        <w:jc w:val="both"/>
      </w:pPr>
      <w:r>
        <w:rPr>
          <w:spacing w:val="-1"/>
        </w:rPr>
        <w:t>韦光宇先生，中国国籍，</w:t>
      </w:r>
      <w:r>
        <w:rPr>
          <w:rFonts w:ascii="Arial" w:hAnsi="Arial" w:cs="Arial" w:eastAsia="Arial" w:hint="default"/>
          <w:spacing w:val="-1"/>
        </w:rPr>
        <w:t>1980</w:t>
      </w:r>
      <w:r>
        <w:rPr>
          <w:spacing w:val="-1"/>
        </w:rPr>
        <w:t>年</w:t>
      </w:r>
      <w:r>
        <w:rPr>
          <w:rFonts w:ascii="Arial" w:hAnsi="Arial" w:cs="Arial" w:eastAsia="Arial" w:hint="default"/>
          <w:spacing w:val="-1"/>
        </w:rPr>
        <w:t>8</w:t>
      </w:r>
      <w:r>
        <w:rPr>
          <w:spacing w:val="-1"/>
        </w:rPr>
        <w:t>月出生，硕士学位。</w:t>
      </w:r>
      <w:r>
        <w:rPr>
          <w:rFonts w:ascii="Arial" w:hAnsi="Arial" w:cs="Arial" w:eastAsia="Arial" w:hint="default"/>
          <w:spacing w:val="-1"/>
        </w:rPr>
        <w:t>2002</w:t>
      </w:r>
      <w:r>
        <w:rPr>
          <w:spacing w:val="-1"/>
        </w:rPr>
        <w:t>年至</w:t>
      </w:r>
      <w:r>
        <w:rPr>
          <w:rFonts w:ascii="Arial" w:hAnsi="Arial" w:cs="Arial" w:eastAsia="Arial" w:hint="default"/>
          <w:spacing w:val="-1"/>
        </w:rPr>
        <w:t>2008</w:t>
      </w:r>
      <w:r>
        <w:rPr>
          <w:spacing w:val="-1"/>
        </w:rPr>
        <w:t>年，就职于斯玛特</w:t>
      </w:r>
      <w:r>
        <w:rPr/>
        <w:t> </w:t>
      </w:r>
      <w:r>
        <w:rPr>
          <w:spacing w:val="-8"/>
        </w:rPr>
        <w:t>电子设备（北京）有限公司；</w:t>
      </w:r>
      <w:r>
        <w:rPr>
          <w:rFonts w:ascii="Arial" w:hAnsi="Arial" w:cs="Arial" w:eastAsia="Arial" w:hint="default"/>
          <w:spacing w:val="-8"/>
        </w:rPr>
        <w:t>2010</w:t>
      </w:r>
      <w:r>
        <w:rPr>
          <w:spacing w:val="-8"/>
        </w:rPr>
        <w:t>年至</w:t>
      </w:r>
      <w:r>
        <w:rPr>
          <w:rFonts w:ascii="Arial" w:hAnsi="Arial" w:cs="Arial" w:eastAsia="Arial" w:hint="default"/>
          <w:spacing w:val="-8"/>
        </w:rPr>
        <w:t>2014</w:t>
      </w:r>
      <w:r>
        <w:rPr>
          <w:spacing w:val="-8"/>
        </w:rPr>
        <w:t>年就职于北京神州数码供应链服务有限公司；</w:t>
      </w:r>
      <w:r>
        <w:rPr>
          <w:rFonts w:ascii="Arial" w:hAnsi="Arial" w:cs="Arial" w:eastAsia="Arial" w:hint="default"/>
          <w:spacing w:val="-8"/>
        </w:rPr>
        <w:t>2014</w:t>
      </w:r>
      <w:r>
        <w:rPr>
          <w:rFonts w:ascii="Arial" w:hAnsi="Arial" w:cs="Arial" w:eastAsia="Arial" w:hint="default"/>
          <w:spacing w:val="-60"/>
        </w:rPr>
        <w:t> </w:t>
      </w:r>
      <w:r>
        <w:rPr>
          <w:rFonts w:ascii="Arial" w:hAnsi="Arial" w:cs="Arial" w:eastAsia="Arial" w:hint="default"/>
          <w:spacing w:val="-60"/>
        </w:rPr>
      </w:r>
      <w:r>
        <w:rPr/>
        <w:t>年</w:t>
      </w:r>
      <w:r>
        <w:rPr>
          <w:rFonts w:ascii="Arial" w:hAnsi="Arial" w:cs="Arial" w:eastAsia="Arial" w:hint="default"/>
        </w:rPr>
        <w:t>3</w:t>
      </w:r>
      <w:r>
        <w:rPr/>
        <w:t>月至</w:t>
      </w:r>
      <w:r>
        <w:rPr>
          <w:rFonts w:ascii="Arial" w:hAnsi="Arial" w:cs="Arial" w:eastAsia="Arial" w:hint="default"/>
        </w:rPr>
        <w:t>2016</w:t>
      </w:r>
      <w:r>
        <w:rPr/>
        <w:t>年</w:t>
      </w:r>
      <w:r>
        <w:rPr>
          <w:rFonts w:ascii="Arial" w:hAnsi="Arial" w:cs="Arial" w:eastAsia="Arial" w:hint="default"/>
        </w:rPr>
        <w:t>7</w:t>
      </w:r>
      <w:r>
        <w:rPr/>
        <w:t>月任公司总经理助理，</w:t>
      </w:r>
      <w:r>
        <w:rPr>
          <w:rFonts w:ascii="Arial" w:hAnsi="Arial" w:cs="Arial" w:eastAsia="Arial" w:hint="default"/>
        </w:rPr>
        <w:t>2016</w:t>
      </w:r>
      <w:r>
        <w:rPr/>
        <w:t>年</w:t>
      </w:r>
      <w:r>
        <w:rPr>
          <w:rFonts w:ascii="Arial" w:hAnsi="Arial" w:cs="Arial" w:eastAsia="Arial" w:hint="default"/>
        </w:rPr>
        <w:t>7</w:t>
      </w:r>
      <w:r>
        <w:rPr/>
        <w:t>月至今任公司董事会秘书，目前还兼任北京</w:t>
      </w:r>
      <w:r>
        <w:rPr>
          <w:spacing w:val="-117"/>
        </w:rPr>
        <w:t> </w:t>
      </w:r>
      <w:r>
        <w:rPr>
          <w:spacing w:val="-117"/>
        </w:rPr>
      </w:r>
      <w:r>
        <w:rPr/>
        <w:t>华宇九品科技有限公司、华宇万户医疗科技</w:t>
      </w:r>
      <w:r>
        <w:rPr>
          <w:rFonts w:ascii="Arial" w:hAnsi="Arial" w:cs="Arial" w:eastAsia="Arial" w:hint="default"/>
        </w:rPr>
        <w:t>(</w:t>
      </w:r>
      <w:r>
        <w:rPr/>
        <w:t>上海</w:t>
      </w:r>
      <w:r>
        <w:rPr>
          <w:rFonts w:ascii="Arial" w:hAnsi="Arial" w:cs="Arial" w:eastAsia="Arial" w:hint="default"/>
        </w:rPr>
        <w:t>)</w:t>
      </w:r>
      <w:r>
        <w:rPr/>
        <w:t>有限公司董事。</w:t>
      </w:r>
    </w:p>
    <w:p>
      <w:pPr>
        <w:pStyle w:val="Heading3"/>
        <w:spacing w:line="240" w:lineRule="auto" w:before="5"/>
        <w:ind w:right="996"/>
        <w:jc w:val="left"/>
      </w:pPr>
      <w:r>
        <w:rPr/>
        <w:t>在股东单位任职情况</w:t>
      </w:r>
    </w:p>
    <w:p>
      <w:pPr>
        <w:pStyle w:val="Heading3"/>
        <w:spacing w:line="259" w:lineRule="auto" w:before="46"/>
        <w:ind w:right="8594"/>
        <w:jc w:val="left"/>
      </w:pPr>
      <w:r>
        <w:rPr>
          <w:rFonts w:ascii="Arial" w:hAnsi="Arial" w:cs="Arial" w:eastAsia="Arial" w:hint="default"/>
        </w:rPr>
        <w:t>□ </w:t>
      </w:r>
      <w:r>
        <w:rPr/>
        <w:t>适用 √</w:t>
      </w:r>
      <w:r>
        <w:rPr>
          <w:spacing w:val="-15"/>
        </w:rPr>
        <w:t> </w:t>
      </w:r>
      <w:r>
        <w:rPr/>
        <w:t>不适用</w:t>
      </w:r>
      <w:r>
        <w:rPr>
          <w:w w:val="99"/>
        </w:rPr>
        <w:t> </w:t>
      </w:r>
      <w:r>
        <w:rPr/>
        <w:t>在其他单位任职情况</w:t>
      </w:r>
    </w:p>
    <w:p>
      <w:pPr>
        <w:pStyle w:val="Heading3"/>
        <w:spacing w:line="240" w:lineRule="auto" w:before="26"/>
        <w:ind w:right="996"/>
        <w:jc w:val="left"/>
      </w:pPr>
      <w:r>
        <w:rPr>
          <w:rFonts w:ascii="Arial" w:hAnsi="Arial" w:cs="Arial" w:eastAsia="Arial" w:hint="default"/>
        </w:rPr>
        <w:t>√  </w:t>
      </w:r>
      <w:r>
        <w:rPr/>
        <w:t>适用 □</w:t>
      </w:r>
      <w:r>
        <w:rPr>
          <w:spacing w:val="-14"/>
        </w:rPr>
        <w:t> </w:t>
      </w:r>
      <w:r>
        <w:rPr/>
        <w:t>不适用</w:t>
      </w:r>
    </w:p>
    <w:p>
      <w:pPr>
        <w:spacing w:line="240" w:lineRule="auto" w:before="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917"/>
        <w:gridCol w:w="3300"/>
        <w:gridCol w:w="1433"/>
        <w:gridCol w:w="1867"/>
        <w:gridCol w:w="950"/>
        <w:gridCol w:w="1101"/>
      </w:tblGrid>
      <w:tr>
        <w:trPr>
          <w:trHeight w:val="1338" w:hRule="exact"/>
        </w:trPr>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3" w:right="181"/>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51" w:right="170"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8" w:right="10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6" w:right="183"/>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pacing w:val="-7"/>
                <w:sz w:val="18"/>
                <w:szCs w:val="18"/>
              </w:rPr>
              <w:t>董事长、总经理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干瑜静</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四川发展大数据产业投资有限责任公司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7"/>
                <w:sz w:val="18"/>
                <w:szCs w:val="18"/>
              </w:rPr>
              <w:t>董事长、总经理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兰州大学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苏州道森钻采设备股份有限公司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金徽酒股份有限公司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pacing w:val="-5"/>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深圳艾勒可科技有限公司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海南京粮控股股份有限公司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长聘副教授</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阿尔卡特汽车技术股份有限公司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北京基康仪器股份有限公司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pacing w:val="-5"/>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w w:val="99"/>
                <w:sz w:val="21"/>
              </w:rPr>
              <w:t>/</w:t>
            </w:r>
            <w:r>
              <w:rPr>
                <w:rFonts w:ascii="宋体"/>
                <w:sz w:val="21"/>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5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2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40" w:lineRule="auto" w:before="4"/>
        <w:ind w:right="996"/>
        <w:jc w:val="left"/>
      </w:pPr>
      <w:r>
        <w:rPr/>
        <w:t>公司现任及报告期内离任董事、监事和高级管理人员近三年证券监管机构处罚的情况</w:t>
      </w:r>
    </w:p>
    <w:p>
      <w:pPr>
        <w:spacing w:line="444" w:lineRule="auto" w:before="36"/>
        <w:ind w:left="112" w:right="6417"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四、董事、监事、高级管理人员报酬情况" w:id="122"/>
      <w:bookmarkEnd w:id="122"/>
      <w:r>
        <w:rPr>
          <w:rFonts w:ascii="宋体" w:hAnsi="宋体" w:cs="宋体" w:eastAsia="宋体" w:hint="default"/>
          <w:w w:val="99"/>
          <w:sz w:val="24"/>
          <w:szCs w:val="24"/>
        </w:rPr>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pStyle w:val="Heading3"/>
        <w:spacing w:line="240" w:lineRule="auto" w:before="96"/>
        <w:ind w:right="996"/>
        <w:jc w:val="left"/>
      </w:pPr>
      <w:r>
        <w:rPr/>
        <w:t>董事、监事、高级管理人员报酬的决策程序、确定依据、实际支付情况</w:t>
      </w:r>
    </w:p>
    <w:p>
      <w:pPr>
        <w:pStyle w:val="Heading3"/>
        <w:spacing w:line="256" w:lineRule="auto" w:before="36"/>
        <w:ind w:left="592" w:right="996" w:hanging="480"/>
        <w:jc w:val="left"/>
      </w:pPr>
      <w:r>
        <w:rPr>
          <w:rFonts w:ascii="Arial" w:hAnsi="Arial" w:cs="Arial" w:eastAsia="Arial" w:hint="default"/>
        </w:rPr>
        <w:t>1</w:t>
      </w:r>
      <w:r>
        <w:rPr/>
        <w:t>、董事、监事、高级管理人员报酬的决策程序： </w:t>
      </w:r>
      <w:r>
        <w:rPr>
          <w:spacing w:val="-3"/>
        </w:rPr>
        <w:t>公司高管薪酬由董事会薪酬与考核委员会审核，并提交董事会审议决定。公司董事薪酬、</w:t>
      </w:r>
    </w:p>
    <w:p>
      <w:pPr>
        <w:pStyle w:val="Heading3"/>
        <w:spacing w:line="295" w:lineRule="exact"/>
        <w:ind w:right="996"/>
        <w:jc w:val="left"/>
      </w:pPr>
      <w:r>
        <w:rPr/>
        <w:t>独立董事津贴由董事会审议，并提交股东大会审议决定。公司监事不在公司领取薪酬。公司</w:t>
      </w:r>
    </w:p>
    <w:p>
      <w:pPr>
        <w:spacing w:after="0" w:line="295" w:lineRule="exact"/>
        <w:jc w:val="left"/>
        <w:sectPr>
          <w:pgSz w:w="11910" w:h="16840"/>
          <w:pgMar w:header="878" w:footer="1016" w:top="1100" w:bottom="1200" w:left="1020" w:right="0"/>
        </w:sectPr>
      </w:pPr>
    </w:p>
    <w:p>
      <w:pPr>
        <w:spacing w:line="240" w:lineRule="auto" w:before="10"/>
        <w:rPr>
          <w:rFonts w:ascii="宋体" w:hAnsi="宋体" w:cs="宋体" w:eastAsia="宋体" w:hint="default"/>
          <w:sz w:val="19"/>
          <w:szCs w:val="19"/>
        </w:rPr>
      </w:pPr>
    </w:p>
    <w:p>
      <w:pPr>
        <w:pStyle w:val="Heading3"/>
        <w:spacing w:line="240" w:lineRule="auto" w:before="26"/>
        <w:ind w:right="996"/>
        <w:jc w:val="left"/>
      </w:pPr>
      <w:r>
        <w:rPr/>
        <w:t>内部董事、监事按公司担任的职务发放薪酬。</w:t>
      </w:r>
    </w:p>
    <w:p>
      <w:pPr>
        <w:pStyle w:val="Heading3"/>
        <w:spacing w:line="256" w:lineRule="auto" w:before="36"/>
        <w:ind w:left="592" w:right="1154" w:hanging="480"/>
        <w:jc w:val="left"/>
      </w:pPr>
      <w:r>
        <w:rPr>
          <w:rFonts w:ascii="Arial" w:hAnsi="Arial" w:cs="Arial" w:eastAsia="Arial" w:hint="default"/>
        </w:rPr>
        <w:t>2</w:t>
      </w:r>
      <w:r>
        <w:rPr/>
        <w:t>、董事、监事、高级管理人员报酬确定依据： 公司高级管理人员的薪酬与其承担的责任、风险和经营业绩挂钩。薪酬主要考虑职位、</w:t>
      </w:r>
    </w:p>
    <w:p>
      <w:pPr>
        <w:pStyle w:val="Heading3"/>
        <w:spacing w:line="312" w:lineRule="exact" w:before="12"/>
        <w:ind w:right="1154"/>
        <w:jc w:val="left"/>
      </w:pPr>
      <w:r>
        <w:rPr/>
        <w:t>责任、能力、市场薪资行情等因素确定，按月发放。公司将根据经营业绩情况，在恰当的时 候对高级管理人员实施股权激励计划，具体激励计划根据其承担责任、风险和绩效决定。</w:t>
      </w:r>
    </w:p>
    <w:p>
      <w:pPr>
        <w:pStyle w:val="Heading3"/>
        <w:spacing w:line="240" w:lineRule="auto" w:before="10"/>
        <w:ind w:right="996"/>
        <w:jc w:val="left"/>
      </w:pPr>
      <w:r>
        <w:rPr>
          <w:rFonts w:ascii="Arial" w:hAnsi="Arial" w:cs="Arial" w:eastAsia="Arial" w:hint="default"/>
        </w:rPr>
        <w:t>3</w:t>
      </w:r>
      <w:r>
        <w:rPr/>
        <w:t>、董事、监事和高级管理人员报酬的实际支付情况：</w:t>
      </w:r>
    </w:p>
    <w:p>
      <w:pPr>
        <w:pStyle w:val="Heading3"/>
        <w:spacing w:line="312" w:lineRule="exact" w:before="50"/>
        <w:ind w:right="1181" w:firstLine="480"/>
        <w:jc w:val="left"/>
      </w:pPr>
      <w:r>
        <w:rPr/>
        <w:t>公司董事、监事、高级管理人员</w:t>
      </w:r>
      <w:r>
        <w:rPr>
          <w:spacing w:val="-62"/>
        </w:rPr>
        <w:t> </w:t>
      </w:r>
      <w:r>
        <w:rPr>
          <w:rFonts w:ascii="Arial" w:hAnsi="Arial" w:cs="Arial" w:eastAsia="Arial" w:hint="default"/>
        </w:rPr>
        <w:t>2019</w:t>
      </w:r>
      <w:r>
        <w:rPr>
          <w:rFonts w:ascii="Arial" w:hAnsi="Arial" w:cs="Arial" w:eastAsia="Arial" w:hint="default"/>
          <w:spacing w:val="-8"/>
        </w:rPr>
        <w:t> </w:t>
      </w:r>
      <w:r>
        <w:rPr/>
        <w:t>年度在公司领取的税前报酬总额为</w:t>
      </w:r>
      <w:r>
        <w:rPr>
          <w:spacing w:val="-62"/>
        </w:rPr>
        <w:t> </w:t>
      </w:r>
      <w:r>
        <w:rPr>
          <w:rFonts w:ascii="Arial" w:hAnsi="Arial" w:cs="Arial" w:eastAsia="Arial" w:hint="default"/>
        </w:rPr>
        <w:t>3,832,102</w:t>
      </w:r>
      <w:r>
        <w:rPr>
          <w:rFonts w:ascii="Arial" w:hAnsi="Arial" w:cs="Arial" w:eastAsia="Arial" w:hint="default"/>
          <w:spacing w:val="50"/>
        </w:rPr>
        <w:t> </w:t>
      </w:r>
      <w:r>
        <w:rPr/>
        <w:t>元 人民币。</w:t>
      </w:r>
    </w:p>
    <w:p>
      <w:pPr>
        <w:pStyle w:val="Heading3"/>
        <w:spacing w:line="240" w:lineRule="auto" w:before="10"/>
        <w:ind w:right="996"/>
        <w:jc w:val="left"/>
      </w:pPr>
      <w:r>
        <w:rPr/>
        <w:t>公司报告期内董事、监事和高级管理人员报酬情况</w:t>
      </w:r>
    </w:p>
    <w:p>
      <w:pPr>
        <w:spacing w:before="8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681"/>
        <w:gridCol w:w="1053"/>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姓名</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干瑜静</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w w:val="99"/>
                <w:sz w:val="18"/>
              </w:rPr>
              <w:t>0</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43.45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董事、首席财务官</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w w:val="95"/>
                <w:sz w:val="18"/>
              </w:rPr>
              <w:t>17.5</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5"/>
                <w:sz w:val="18"/>
              </w:rPr>
              <w:t>20</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w w:val="95"/>
                <w:sz w:val="18"/>
              </w:rPr>
              <w:t>20</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3"/>
                <w:sz w:val="18"/>
              </w:rPr>
              <w:t>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w w:val="95"/>
                <w:sz w:val="18"/>
              </w:rPr>
              <w:t>9.17</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王珍</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w w:val="95"/>
                <w:sz w:val="18"/>
              </w:rPr>
              <w:t>0.66</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龚玮</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w w:val="95"/>
                <w:sz w:val="18"/>
              </w:rPr>
              <w:t>38.1</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383.22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19" w:right="0"/>
              <w:jc w:val="left"/>
              <w:rPr>
                <w:rFonts w:ascii="Arial" w:hAnsi="Arial" w:cs="Arial" w:eastAsia="Arial" w:hint="default"/>
                <w:sz w:val="18"/>
                <w:szCs w:val="18"/>
              </w:rPr>
            </w:pPr>
            <w:r>
              <w:rPr>
                <w:rFonts w:ascii="Arial"/>
                <w:sz w:val="18"/>
              </w:rPr>
              <w:t>--</w:t>
            </w:r>
          </w:p>
        </w:tc>
      </w:tr>
    </w:tbl>
    <w:p>
      <w:pPr>
        <w:spacing w:after="0" w:line="240" w:lineRule="auto"/>
        <w:jc w:val="left"/>
        <w:rPr>
          <w:rFonts w:ascii="Arial" w:hAnsi="Arial" w:cs="Arial" w:eastAsia="Arial" w:hint="default"/>
          <w:sz w:val="18"/>
          <w:szCs w:val="18"/>
        </w:rPr>
        <w:sectPr>
          <w:footerReference w:type="default" r:id="rId28"/>
          <w:pgSz w:w="11910" w:h="16840"/>
          <w:pgMar w:footer="1016" w:header="878" w:top="1100" w:bottom="1200" w:left="1020" w:right="0"/>
          <w:pgNumType w:start="80"/>
        </w:sectPr>
      </w:pPr>
    </w:p>
    <w:p>
      <w:pPr>
        <w:pStyle w:val="Heading3"/>
        <w:spacing w:line="240" w:lineRule="auto" w:before="2"/>
        <w:ind w:right="-20"/>
        <w:jc w:val="left"/>
      </w:pPr>
      <w:r>
        <w:rPr/>
        <w:t>公司董事、高级管理人员报告期内被授予的股权激励情况</w:t>
      </w:r>
    </w:p>
    <w:p>
      <w:pPr>
        <w:pStyle w:val="Heading3"/>
        <w:spacing w:line="240" w:lineRule="auto" w:before="38"/>
        <w:ind w:right="-20"/>
        <w:jc w:val="left"/>
      </w:pPr>
      <w:r>
        <w:rPr>
          <w:rFonts w:ascii="Arial" w:hAnsi="Arial" w:cs="Arial" w:eastAsia="Arial" w:hint="default"/>
        </w:rPr>
        <w:t>√  </w:t>
      </w:r>
      <w:r>
        <w:rPr/>
        <w:t>适用 □</w:t>
      </w:r>
      <w:r>
        <w:rPr>
          <w:spacing w:val="-1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6113" w:space="2805"/>
            <w:col w:w="1972"/>
          </w:cols>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84"/>
        <w:gridCol w:w="1350"/>
        <w:gridCol w:w="666"/>
        <w:gridCol w:w="673"/>
        <w:gridCol w:w="870"/>
        <w:gridCol w:w="870"/>
        <w:gridCol w:w="870"/>
        <w:gridCol w:w="870"/>
        <w:gridCol w:w="870"/>
        <w:gridCol w:w="870"/>
        <w:gridCol w:w="870"/>
      </w:tblGrid>
      <w:tr>
        <w:trPr>
          <w:trHeight w:val="1962" w:hRule="exact"/>
        </w:trPr>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7" w:right="147"/>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0" w:right="150"/>
              <w:jc w:val="both"/>
              <w:rPr>
                <w:rFonts w:ascii="宋体" w:hAnsi="宋体" w:cs="宋体" w:eastAsia="宋体" w:hint="default"/>
                <w:sz w:val="18"/>
                <w:szCs w:val="18"/>
              </w:rPr>
            </w:pPr>
            <w:r>
              <w:rPr>
                <w:rFonts w:ascii="宋体" w:hAnsi="宋体" w:cs="宋体" w:eastAsia="宋体" w:hint="default"/>
                <w:sz w:val="18"/>
                <w:szCs w:val="18"/>
              </w:rPr>
              <w:t>报告 期内 已行 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35" w:right="133" w:firstLine="24"/>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157"/>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2" w:lineRule="auto" w:before="19"/>
              <w:ind w:left="249" w:right="223"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71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5"/>
              <w:jc w:val="left"/>
              <w:rPr>
                <w:rFonts w:ascii="宋体" w:hAnsi="宋体" w:cs="宋体" w:eastAsia="宋体" w:hint="default"/>
                <w:sz w:val="18"/>
                <w:szCs w:val="18"/>
              </w:rPr>
            </w:pPr>
            <w:r>
              <w:rPr>
                <w:rFonts w:ascii="宋体" w:hAnsi="宋体" w:cs="宋体" w:eastAsia="宋体" w:hint="default"/>
                <w:sz w:val="18"/>
                <w:szCs w:val="18"/>
              </w:rPr>
              <w:t>董事、首席财 务官</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7" w:right="0"/>
              <w:jc w:val="left"/>
              <w:rPr>
                <w:rFonts w:ascii="Arial" w:hAnsi="Arial" w:cs="Arial" w:eastAsia="Arial" w:hint="default"/>
                <w:sz w:val="18"/>
                <w:szCs w:val="18"/>
              </w:rPr>
            </w:pPr>
            <w:r>
              <w:rPr>
                <w:rFonts w:ascii="Arial"/>
                <w:sz w:val="18"/>
              </w:rPr>
              <w:t>25.4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60,000</w:t>
            </w: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7" w:right="0"/>
              <w:jc w:val="left"/>
              <w:rPr>
                <w:rFonts w:ascii="Arial" w:hAnsi="Arial" w:cs="Arial" w:eastAsia="Arial" w:hint="default"/>
                <w:sz w:val="18"/>
                <w:szCs w:val="18"/>
              </w:rPr>
            </w:pPr>
            <w:r>
              <w:rPr>
                <w:rFonts w:ascii="Arial"/>
                <w:sz w:val="18"/>
              </w:rPr>
              <w:t>25.4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60,000</w:t>
            </w: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7" w:right="0"/>
              <w:jc w:val="left"/>
              <w:rPr>
                <w:rFonts w:ascii="Arial" w:hAnsi="Arial" w:cs="Arial" w:eastAsia="Arial" w:hint="default"/>
                <w:sz w:val="18"/>
                <w:szCs w:val="18"/>
              </w:rPr>
            </w:pPr>
            <w:r>
              <w:rPr>
                <w:rFonts w:ascii="Arial"/>
                <w:sz w:val="18"/>
              </w:rPr>
              <w:t>25.4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60,000</w:t>
            </w: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71" w:right="0"/>
              <w:jc w:val="left"/>
              <w:rPr>
                <w:rFonts w:ascii="Arial" w:hAnsi="Arial" w:cs="Arial" w:eastAsia="Arial" w:hint="default"/>
                <w:sz w:val="18"/>
                <w:szCs w:val="18"/>
              </w:rPr>
            </w:pPr>
            <w:r>
              <w:rPr>
                <w:rFonts w:ascii="Arial"/>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315,000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180,000</w:t>
            </w:r>
          </w:p>
        </w:tc>
      </w:tr>
      <w:tr>
        <w:trPr>
          <w:trHeight w:val="402" w:hRule="exact"/>
        </w:trPr>
        <w:tc>
          <w:tcPr>
            <w:tcW w:w="2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4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996"/>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员工数量、专业构成及教育程度" w:id="124"/>
      <w:bookmarkEnd w:id="124"/>
      <w:r>
        <w:rPr>
          <w:b w:val="0"/>
          <w:bCs w:val="0"/>
        </w:rPr>
      </w:r>
      <w:r>
        <w:rPr>
          <w:rFonts w:ascii="Arial" w:hAnsi="Arial" w:cs="Arial" w:eastAsia="Arial"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5"/>
                <w:sz w:val="18"/>
              </w:rPr>
              <w:t>52</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7,287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7,339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7,339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5</w:t>
            </w:r>
            <w:r>
              <w:rPr>
                <w:rFonts w:ascii="Arial"/>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w w:val="95"/>
                <w:sz w:val="18"/>
              </w:rPr>
              <w:t>535</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5,921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w w:val="95"/>
                <w:sz w:val="18"/>
              </w:rPr>
              <w:t>70</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管理人员及其他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5"/>
                <w:sz w:val="18"/>
              </w:rPr>
              <w:t>813</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7,339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硕士研究生及以上学历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5"/>
                <w:sz w:val="18"/>
              </w:rPr>
              <w:t>421</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5,450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w w:val="95"/>
                <w:sz w:val="18"/>
              </w:rPr>
              <w:t>96</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7,339</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b/>
          <w:bCs/>
          <w:sz w:val="20"/>
          <w:szCs w:val="20"/>
        </w:rPr>
      </w:pPr>
    </w:p>
    <w:p>
      <w:pPr>
        <w:pStyle w:val="Heading4"/>
        <w:spacing w:line="240" w:lineRule="auto"/>
        <w:ind w:right="996"/>
        <w:jc w:val="left"/>
        <w:rPr>
          <w:b w:val="0"/>
          <w:bCs w:val="0"/>
        </w:rPr>
      </w:pPr>
      <w:bookmarkStart w:name="2、薪酬政策" w:id="125"/>
      <w:bookmarkEnd w:id="125"/>
      <w:r>
        <w:rPr>
          <w:b w:val="0"/>
          <w:bCs w:val="0"/>
        </w:rPr>
      </w:r>
      <w:r>
        <w:rPr>
          <w:rFonts w:ascii="Arial" w:hAnsi="Arial" w:cs="Arial" w:eastAsia="Arial" w:hint="default"/>
        </w:rPr>
        <w:t>2</w:t>
      </w:r>
      <w:r>
        <w:rPr/>
        <w:t>、薪酬政策</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right="1171" w:firstLine="480"/>
        <w:jc w:val="both"/>
      </w:pPr>
      <w:r>
        <w:rPr/>
        <w:t>公司设有完善的薪酬体系，高级管理人员实行年薪制；员工薪酬根据岗位，并结合本地 区同行业薪资水平及公司实际情况进行确定。</w:t>
      </w:r>
    </w:p>
    <w:p>
      <w:pPr>
        <w:spacing w:line="240" w:lineRule="auto" w:before="10"/>
        <w:rPr>
          <w:rFonts w:ascii="宋体" w:hAnsi="宋体" w:cs="宋体" w:eastAsia="宋体" w:hint="default"/>
          <w:sz w:val="23"/>
          <w:szCs w:val="23"/>
        </w:rPr>
      </w:pPr>
    </w:p>
    <w:p>
      <w:pPr>
        <w:pStyle w:val="Heading4"/>
        <w:spacing w:line="240" w:lineRule="auto" w:before="0"/>
        <w:ind w:right="996"/>
        <w:jc w:val="left"/>
        <w:rPr>
          <w:b w:val="0"/>
          <w:bCs w:val="0"/>
        </w:rPr>
      </w:pPr>
      <w:bookmarkStart w:name="3、培训计划" w:id="126"/>
      <w:bookmarkEnd w:id="126"/>
      <w:r>
        <w:rPr>
          <w:b w:val="0"/>
          <w:bCs w:val="0"/>
        </w:rPr>
      </w:r>
      <w:r>
        <w:rPr>
          <w:rFonts w:ascii="Arial" w:hAnsi="Arial" w:cs="Arial" w:eastAsia="Arial" w:hint="default"/>
        </w:rPr>
        <w:t>3</w:t>
      </w:r>
      <w:r>
        <w:rPr/>
        <w:t>、培训计划</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right="1171" w:firstLine="480"/>
        <w:jc w:val="both"/>
      </w:pPr>
      <w:r>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spacing w:line="240" w:lineRule="auto" w:before="10"/>
        <w:rPr>
          <w:rFonts w:ascii="宋体" w:hAnsi="宋体" w:cs="宋体" w:eastAsia="宋体" w:hint="default"/>
          <w:sz w:val="23"/>
          <w:szCs w:val="23"/>
        </w:rPr>
      </w:pPr>
    </w:p>
    <w:p>
      <w:pPr>
        <w:pStyle w:val="Heading4"/>
        <w:spacing w:line="240" w:lineRule="auto" w:before="0"/>
        <w:ind w:right="996"/>
        <w:jc w:val="left"/>
        <w:rPr>
          <w:b w:val="0"/>
          <w:bCs w:val="0"/>
        </w:rPr>
      </w:pPr>
      <w:bookmarkStart w:name="4、劳务外包情况" w:id="127"/>
      <w:bookmarkEnd w:id="127"/>
      <w:r>
        <w:rPr>
          <w:b w:val="0"/>
          <w:bCs w:val="0"/>
        </w:rPr>
      </w:r>
      <w:r>
        <w:rPr>
          <w:rFonts w:ascii="Arial" w:hAnsi="Arial" w:cs="Arial" w:eastAsia="Arial" w:hint="default"/>
        </w:rPr>
        <w:t>4</w:t>
      </w:r>
      <w:r>
        <w:rPr/>
        <w:t>、劳务外包情况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spacing w:val="-15"/>
        </w:rPr>
        <w:t> </w:t>
      </w:r>
      <w:r>
        <w:rPr/>
        <w:t>不适用</w:t>
      </w:r>
    </w:p>
    <w:p>
      <w:pPr>
        <w:spacing w:after="0" w:line="240"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3814" w:right="4734"/>
        <w:jc w:val="center"/>
        <w:rPr>
          <w:b w:val="0"/>
          <w:bCs w:val="0"/>
        </w:rPr>
      </w:pPr>
      <w:bookmarkStart w:name="第十节 公司治理" w:id="128"/>
      <w:bookmarkEnd w:id="128"/>
      <w:r>
        <w:rPr>
          <w:b w:val="0"/>
          <w:bCs w:val="0"/>
        </w:rPr>
      </w:r>
      <w:bookmarkStart w:name="_bookmark7" w:id="129"/>
      <w:bookmarkEnd w:id="129"/>
      <w:r>
        <w:rPr>
          <w:b w:val="0"/>
          <w:bCs w:val="0"/>
        </w:rPr>
      </w:r>
      <w:r>
        <w:rPr/>
        <w:t>第十节</w:t>
      </w:r>
      <w:r>
        <w:rPr>
          <w:spacing w:val="62"/>
        </w:rPr>
        <w:t> </w:t>
      </w:r>
      <w:r>
        <w:rPr/>
        <w:t>公司治理</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left="212" w:right="1119"/>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Heading3"/>
        <w:spacing w:line="278" w:lineRule="auto"/>
        <w:ind w:left="212" w:right="1152" w:firstLine="482"/>
        <w:jc w:val="left"/>
      </w:pPr>
      <w:r>
        <w:rPr/>
        <w:t>报告期内，公司严格按照《公司法》《证券法》《上市公司治理准则》《深圳证券交易 所创业板股票上市规则》《深圳证券交易所创业板上市公司规范运作指引》等法律、法规的 要求，不断完善公司的法人治理结构，建立健全公司内部管理和控制制度，规范公司运作， 提高公司治理水平。 公司治理的实际状况与中国证监会发布的有关上市公司治理的规范性文件是否存在重大差异</w:t>
      </w:r>
    </w:p>
    <w:p>
      <w:pPr>
        <w:pStyle w:val="Heading3"/>
        <w:spacing w:line="256" w:lineRule="auto"/>
        <w:ind w:left="212" w:right="1154"/>
        <w:jc w:val="left"/>
      </w:pPr>
      <w:r>
        <w:rPr>
          <w:rFonts w:ascii="Arial" w:hAnsi="Arial" w:cs="Arial" w:eastAsia="Arial" w:hint="default"/>
        </w:rPr>
        <w:t>□ </w:t>
      </w:r>
      <w:r>
        <w:rPr/>
        <w:t>是 √</w:t>
      </w:r>
      <w:r>
        <w:rPr>
          <w:spacing w:val="-15"/>
        </w:rPr>
        <w:t> </w:t>
      </w:r>
      <w:r>
        <w:rPr/>
        <w:t>否</w:t>
      </w:r>
      <w:r>
        <w:rPr>
          <w:w w:val="99"/>
        </w:rPr>
        <w:t> </w:t>
      </w:r>
      <w:r>
        <w:rPr/>
        <w:t>公司治理的实际状况与中国证监会发布的有关上市公司治理的规范性文件不存在重大差异。</w:t>
      </w:r>
    </w:p>
    <w:p>
      <w:pPr>
        <w:spacing w:line="240" w:lineRule="auto" w:before="6"/>
        <w:rPr>
          <w:rFonts w:ascii="宋体" w:hAnsi="宋体" w:cs="宋体" w:eastAsia="宋体" w:hint="default"/>
          <w:sz w:val="21"/>
          <w:szCs w:val="21"/>
        </w:rPr>
      </w:pPr>
    </w:p>
    <w:p>
      <w:pPr>
        <w:spacing w:line="468" w:lineRule="auto" w:before="0"/>
        <w:ind w:left="212" w:right="2354" w:firstLine="0"/>
        <w:jc w:val="left"/>
        <w:rPr>
          <w:rFonts w:ascii="宋体" w:hAnsi="宋体" w:cs="宋体" w:eastAsia="宋体" w:hint="default"/>
          <w:sz w:val="24"/>
          <w:szCs w:val="24"/>
        </w:rPr>
      </w:pPr>
      <w:bookmarkStart w:name="二、公司相对于控股股东在业务、人员、资产、机构、财务等方面的独立情况" w:id="131"/>
      <w:bookmarkEnd w:id="131"/>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公司相对于控股股东在业务、人员、资产、机构、财务等方面能够保证独立性。 </w:t>
      </w:r>
      <w:bookmarkStart w:name="三、同业竞争情况" w:id="132"/>
      <w:bookmarkEnd w:id="132"/>
      <w:r>
        <w:rPr>
          <w:rFonts w:ascii="宋体" w:hAnsi="宋体" w:cs="宋体" w:eastAsia="宋体" w:hint="default"/>
          <w:sz w:val="24"/>
          <w:szCs w:val="24"/>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465" w:lineRule="auto" w:before="72"/>
        <w:ind w:left="212" w:right="4248"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四、报告期内召开的年度股东大会和临时股东大会的有关情况" w:id="133"/>
      <w:bookmarkEnd w:id="133"/>
      <w:r>
        <w:rPr>
          <w:rFonts w:ascii="宋体" w:hAnsi="宋体" w:cs="宋体" w:eastAsia="宋体" w:hint="default"/>
          <w:w w:val="99"/>
          <w:sz w:val="24"/>
          <w:szCs w:val="24"/>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34"/>
      <w:bookmarkEnd w:id="134"/>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2167"/>
        <w:gridCol w:w="1350"/>
        <w:gridCol w:w="967"/>
        <w:gridCol w:w="1783"/>
        <w:gridCol w:w="1750"/>
        <w:gridCol w:w="1781"/>
      </w:tblGrid>
      <w:tr>
        <w:trPr>
          <w:trHeight w:val="714" w:hRule="exact"/>
        </w:trPr>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8" w:right="118"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8"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年年度股东大会</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27.62%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05</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20</w:t>
            </w:r>
            <w:r>
              <w:rPr>
                <w:rFonts w:ascii="Arial" w:hAnsi="Arial" w:cs="Arial" w:eastAsia="Arial" w:hint="default"/>
                <w:spacing w:val="-13"/>
                <w:sz w:val="18"/>
                <w:szCs w:val="18"/>
              </w:rPr>
              <w:t> </w:t>
            </w:r>
            <w:r>
              <w:rPr>
                <w:rFonts w:ascii="宋体" w:hAnsi="宋体" w:cs="宋体" w:eastAsia="宋体" w:hint="default"/>
                <w:sz w:val="18"/>
                <w:szCs w:val="18"/>
              </w:rPr>
              <w:t>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center"/>
              <w:rPr>
                <w:rFonts w:ascii="Arial" w:hAnsi="Arial" w:cs="Arial" w:eastAsia="Arial" w:hint="default"/>
                <w:sz w:val="18"/>
                <w:szCs w:val="18"/>
              </w:rPr>
            </w:pPr>
            <w:hyperlink r:id="rId10">
              <w:r>
                <w:rPr>
                  <w:rFonts w:ascii="Arial"/>
                  <w:sz w:val="18"/>
                </w:rPr>
                <w:t>www.cninfo.com.cn</w:t>
              </w:r>
            </w:hyperlink>
          </w:p>
        </w:tc>
      </w:tr>
      <w:tr>
        <w:trPr>
          <w:trHeight w:val="718"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年第一次股东大会</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28.08%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06</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28</w:t>
            </w:r>
            <w:r>
              <w:rPr>
                <w:rFonts w:ascii="Arial" w:hAnsi="Arial" w:cs="Arial" w:eastAsia="Arial" w:hint="default"/>
                <w:spacing w:val="-13"/>
                <w:sz w:val="18"/>
                <w:szCs w:val="18"/>
              </w:rPr>
              <w:t> </w:t>
            </w:r>
            <w:r>
              <w:rPr>
                <w:rFonts w:ascii="宋体" w:hAnsi="宋体" w:cs="宋体" w:eastAsia="宋体" w:hint="default"/>
                <w:sz w:val="18"/>
                <w:szCs w:val="18"/>
              </w:rPr>
              <w:t>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center"/>
              <w:rPr>
                <w:rFonts w:ascii="Arial" w:hAnsi="Arial" w:cs="Arial" w:eastAsia="Arial" w:hint="default"/>
                <w:sz w:val="18"/>
                <w:szCs w:val="18"/>
              </w:rPr>
            </w:pPr>
            <w:hyperlink r:id="rId10">
              <w:r>
                <w:rPr>
                  <w:rFonts w:ascii="Arial"/>
                  <w:sz w:val="18"/>
                </w:rPr>
                <w:t>www.cninfo.com.cn</w:t>
              </w:r>
            </w:hyperlink>
          </w:p>
        </w:tc>
      </w:tr>
    </w:tbl>
    <w:p>
      <w:pPr>
        <w:spacing w:line="240" w:lineRule="auto" w:before="3"/>
        <w:rPr>
          <w:rFonts w:ascii="宋体" w:hAnsi="宋体" w:cs="宋体" w:eastAsia="宋体" w:hint="default"/>
          <w:b/>
          <w:bCs/>
          <w:sz w:val="19"/>
          <w:szCs w:val="19"/>
        </w:rPr>
      </w:pPr>
    </w:p>
    <w:p>
      <w:pPr>
        <w:pStyle w:val="Heading4"/>
        <w:spacing w:line="240" w:lineRule="auto"/>
        <w:ind w:left="212" w:right="1119"/>
        <w:jc w:val="left"/>
        <w:rPr>
          <w:b w:val="0"/>
          <w:bCs w:val="0"/>
        </w:rPr>
      </w:pPr>
      <w:bookmarkStart w:name="2、表决权恢复的优先股股东请求召开临时股东大会" w:id="135"/>
      <w:bookmarkEnd w:id="135"/>
      <w:r>
        <w:rPr>
          <w:b w:val="0"/>
          <w:bCs w:val="0"/>
        </w:rPr>
      </w:r>
      <w:r>
        <w:rPr>
          <w:rFonts w:ascii="Arial" w:hAnsi="Arial" w:cs="Arial" w:eastAsia="Arial"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2"/>
          <w:szCs w:val="22"/>
        </w:rPr>
      </w:pPr>
    </w:p>
    <w:p>
      <w:pPr>
        <w:spacing w:line="465" w:lineRule="auto" w:before="0"/>
        <w:ind w:left="212" w:right="6658"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宋体" w:hAnsi="宋体" w:cs="宋体" w:eastAsia="宋体" w:hint="default"/>
          <w:spacing w:val="-15"/>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五、报告期内独立董事履行职责的情况" w:id="136"/>
      <w:bookmarkEnd w:id="136"/>
      <w:r>
        <w:rPr>
          <w:rFonts w:ascii="宋体" w:hAnsi="宋体" w:cs="宋体" w:eastAsia="宋体" w:hint="default"/>
          <w:w w:val="99"/>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7"/>
      <w:bookmarkEnd w:id="137"/>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p>
      <w:pPr>
        <w:spacing w:line="400" w:lineRule="exact"/>
        <w:ind w:left="2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pt;mso-position-horizontal-relative:char;mso-position-vertical-relative:line" type="#_x0000_t202" filled="true" fillcolor="#d2d2d2" stroked="true" strokeweight=".48pt" strokecolor="#000000">
            <w10:anchorlock/>
            <v:textbox inset="0,0,0,0">
              <w:txbxContent>
                <w:p>
                  <w:pPr>
                    <w:spacing w:before="50"/>
                    <w:ind w:left="1"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878" w:footer="1016" w:top="1100" w:bottom="1200" w:left="9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017"/>
        <w:gridCol w:w="1283"/>
        <w:gridCol w:w="1455"/>
        <w:gridCol w:w="1163"/>
        <w:gridCol w:w="1163"/>
        <w:gridCol w:w="953"/>
        <w:gridCol w:w="1373"/>
        <w:gridCol w:w="1163"/>
      </w:tblGrid>
      <w:tr>
        <w:trPr>
          <w:trHeight w:val="1026" w:hRule="exact"/>
        </w:trPr>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2" w:right="142"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6" w:right="184"/>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51" w:right="180"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01" w:right="109" w:hanging="89"/>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0" w:right="140"/>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9</w:t>
            </w:r>
            <w:r>
              <w:rPr>
                <w:rFonts w:ascii="Arial"/>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6</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3</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402" w:hRule="exact"/>
        </w:trPr>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9</w:t>
            </w:r>
            <w:r>
              <w:rPr>
                <w:rFonts w:ascii="Arial"/>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8</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1</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402" w:hRule="exact"/>
        </w:trPr>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3</w:t>
            </w:r>
            <w:r>
              <w:rPr>
                <w:rFonts w:ascii="Arial"/>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1</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2</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w w:val="99"/>
                <w:sz w:val="18"/>
              </w:rPr>
              <w:t>0</w:t>
            </w:r>
            <w:r>
              <w:rPr>
                <w:rFonts w:ascii="Arial"/>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2</w:t>
            </w:r>
            <w:r>
              <w:rPr>
                <w:rFonts w:ascii="Arial"/>
                <w:sz w:val="18"/>
              </w:rPr>
            </w:r>
          </w:p>
        </w:tc>
      </w:tr>
      <w:tr>
        <w:trPr>
          <w:trHeight w:val="402" w:hRule="exact"/>
        </w:trPr>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6</w:t>
            </w:r>
            <w:r>
              <w:rPr>
                <w:rFonts w:ascii="Arial"/>
                <w:sz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5</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1</w:t>
            </w:r>
            <w:r>
              <w:rPr>
                <w:rFonts w:ascii="Arial"/>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w w:val="99"/>
                <w:sz w:val="18"/>
              </w:rPr>
              <w:t>0</w:t>
            </w:r>
            <w:r>
              <w:rPr>
                <w:rFonts w:ascii="Arial"/>
                <w:sz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w w:val="99"/>
                <w:sz w:val="18"/>
              </w:rPr>
              <w:t>2</w:t>
            </w:r>
            <w:r>
              <w:rPr>
                <w:rFonts w:ascii="Arial"/>
                <w:sz w:val="18"/>
              </w:rPr>
            </w:r>
          </w:p>
        </w:tc>
      </w:tr>
    </w:tbl>
    <w:p>
      <w:pPr>
        <w:spacing w:line="240" w:lineRule="auto" w:before="4"/>
        <w:rPr>
          <w:rFonts w:ascii="宋体" w:hAnsi="宋体" w:cs="宋体" w:eastAsia="宋体" w:hint="default"/>
          <w:b/>
          <w:bCs/>
          <w:sz w:val="19"/>
          <w:szCs w:val="19"/>
        </w:rPr>
      </w:pPr>
    </w:p>
    <w:p>
      <w:pPr>
        <w:pStyle w:val="Heading4"/>
        <w:spacing w:line="240" w:lineRule="auto"/>
        <w:ind w:right="996"/>
        <w:jc w:val="left"/>
        <w:rPr>
          <w:b w:val="0"/>
          <w:bCs w:val="0"/>
        </w:rPr>
      </w:pPr>
      <w:bookmarkStart w:name="2、独立董事对公司有关事项提出异议的情况" w:id="138"/>
      <w:bookmarkEnd w:id="138"/>
      <w:r>
        <w:rPr>
          <w:b w:val="0"/>
          <w:bCs w:val="0"/>
        </w:rPr>
      </w:r>
      <w:r>
        <w:rPr>
          <w:rFonts w:ascii="Arial" w:hAnsi="Arial" w:cs="Arial" w:eastAsia="Arial"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t>独立董事对公司有关事项是否提出异议</w:t>
      </w:r>
    </w:p>
    <w:p>
      <w:pPr>
        <w:pStyle w:val="Heading3"/>
        <w:spacing w:line="254" w:lineRule="auto" w:before="38"/>
        <w:ind w:right="5714"/>
        <w:jc w:val="left"/>
      </w:pPr>
      <w:r>
        <w:rPr>
          <w:rFonts w:ascii="Arial" w:hAnsi="Arial" w:cs="Arial" w:eastAsia="Arial" w:hint="default"/>
        </w:rPr>
        <w:t>□ </w:t>
      </w:r>
      <w:r>
        <w:rPr/>
        <w:t>是 √</w:t>
      </w:r>
      <w:r>
        <w:rPr>
          <w:spacing w:val="-15"/>
        </w:rPr>
        <w:t> </w:t>
      </w:r>
      <w:r>
        <w:rPr/>
        <w:t>否</w:t>
      </w:r>
      <w:r>
        <w:rPr>
          <w:w w:val="99"/>
        </w:rPr>
        <w:t> </w:t>
      </w:r>
      <w:r>
        <w:rPr/>
        <w:t>报告期内独立董事对公司有关事项未提出异议。</w:t>
      </w:r>
    </w:p>
    <w:p>
      <w:pPr>
        <w:spacing w:line="240" w:lineRule="auto" w:before="8"/>
        <w:rPr>
          <w:rFonts w:ascii="宋体" w:hAnsi="宋体" w:cs="宋体" w:eastAsia="宋体" w:hint="default"/>
          <w:sz w:val="23"/>
          <w:szCs w:val="23"/>
        </w:rPr>
      </w:pPr>
    </w:p>
    <w:p>
      <w:pPr>
        <w:pStyle w:val="Heading4"/>
        <w:spacing w:line="240" w:lineRule="auto" w:before="0"/>
        <w:ind w:right="996"/>
        <w:jc w:val="left"/>
        <w:rPr>
          <w:b w:val="0"/>
          <w:bCs w:val="0"/>
        </w:rPr>
      </w:pPr>
      <w:bookmarkStart w:name="3、独立董事履行职责的其他说明" w:id="139"/>
      <w:bookmarkEnd w:id="139"/>
      <w:r>
        <w:rPr>
          <w:b w:val="0"/>
          <w:bCs w:val="0"/>
        </w:rPr>
      </w:r>
      <w:r>
        <w:rPr>
          <w:rFonts w:ascii="Arial" w:hAnsi="Arial" w:cs="Arial" w:eastAsia="Arial" w:hint="default"/>
        </w:rPr>
        <w:t>3</w:t>
      </w:r>
      <w:r>
        <w:rPr/>
        <w:t>、独立董事履行职责的其他说明</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t>独立董事对公司有关建议是否被采纳</w:t>
      </w:r>
    </w:p>
    <w:p>
      <w:pPr>
        <w:pStyle w:val="Heading3"/>
        <w:spacing w:line="256" w:lineRule="auto" w:before="36"/>
        <w:ind w:right="5474"/>
        <w:jc w:val="left"/>
      </w:pPr>
      <w:r>
        <w:rPr>
          <w:rFonts w:ascii="Arial" w:hAnsi="Arial" w:cs="Arial" w:eastAsia="Arial" w:hint="default"/>
        </w:rPr>
        <w:t>√ </w:t>
      </w:r>
      <w:r>
        <w:rPr/>
        <w:t>是 □</w:t>
      </w:r>
      <w:r>
        <w:rPr>
          <w:spacing w:val="-13"/>
        </w:rPr>
        <w:t> </w:t>
      </w:r>
      <w:r>
        <w:rPr/>
        <w:t>否 独立董事对公司有关建议被采纳或未被采纳的说明</w:t>
      </w:r>
    </w:p>
    <w:p>
      <w:pPr>
        <w:pStyle w:val="Heading3"/>
        <w:spacing w:line="273" w:lineRule="auto" w:before="43"/>
        <w:ind w:right="996" w:firstLine="480"/>
        <w:jc w:val="left"/>
      </w:pPr>
      <w:r>
        <w:rPr>
          <w:spacing w:val="-3"/>
        </w:rPr>
        <w:t>独立董事勤勉尽责，严格按照中国证监会的相关规定及《公司章程》《董事会议事规则》</w:t>
      </w:r>
      <w:r>
        <w:rPr/>
        <w:t> 和《独立董事制度》开展工作，关注公司运作，独立履行职责，对公司内部控制建设、管理 体系建设、人才梯队建设和重大决策等方面提出了专业性建议，对公司财务及生产活动进行 了有效监督，提高了公司决策的科学性，为完善公司监督机制，维护公司和全体股东的合法 权益发挥了应有的作用。</w:t>
      </w:r>
    </w:p>
    <w:p>
      <w:pPr>
        <w:spacing w:line="636" w:lineRule="exact" w:before="60"/>
        <w:ind w:left="592" w:right="1154" w:hanging="480"/>
        <w:jc w:val="left"/>
        <w:rPr>
          <w:rFonts w:ascii="宋体" w:hAnsi="宋体" w:cs="宋体" w:eastAsia="宋体" w:hint="default"/>
          <w:sz w:val="24"/>
          <w:szCs w:val="24"/>
        </w:rPr>
      </w:pPr>
      <w:bookmarkStart w:name="六、董事会下设专门委员会在报告期内履行职责情况" w:id="140"/>
      <w:bookmarkEnd w:id="140"/>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公司董事会下设审计委员会、战略委员会、提名委员会及薪酬与考核委员会四个专门委</w:t>
      </w:r>
    </w:p>
    <w:p>
      <w:pPr>
        <w:pStyle w:val="Heading3"/>
        <w:spacing w:line="267" w:lineRule="exact"/>
        <w:ind w:right="996"/>
        <w:jc w:val="left"/>
      </w:pPr>
      <w:r>
        <w:rPr/>
        <w:t>员会。</w:t>
      </w:r>
    </w:p>
    <w:p>
      <w:pPr>
        <w:pStyle w:val="Heading3"/>
        <w:spacing w:line="259" w:lineRule="auto" w:before="43"/>
        <w:ind w:left="592" w:right="1154"/>
        <w:jc w:val="left"/>
      </w:pPr>
      <w:r>
        <w:rPr>
          <w:rFonts w:ascii="Times New Roman" w:hAnsi="Times New Roman" w:cs="Times New Roman" w:eastAsia="Times New Roman" w:hint="default"/>
        </w:rPr>
        <w:t>1</w:t>
      </w:r>
      <w:r>
        <w:rPr/>
        <w:t>、审计委员会的履职情况 报告期内，根据《董事会审计委员会工作细则》，审计委员会充分发挥了审核与监督作</w:t>
      </w:r>
    </w:p>
    <w:p>
      <w:pPr>
        <w:pStyle w:val="Heading3"/>
        <w:spacing w:line="268" w:lineRule="auto" w:before="24"/>
        <w:ind w:right="996"/>
        <w:jc w:val="left"/>
      </w:pPr>
      <w:r>
        <w:rPr/>
        <w:t>用，主要负责公司财务监督和核查工作及外部审计机构的沟通、协调工作。审计委员会对公 司</w:t>
      </w:r>
      <w:r>
        <w:rPr>
          <w:rFonts w:ascii="Arial" w:hAnsi="Arial" w:cs="Arial" w:eastAsia="Arial" w:hint="default"/>
        </w:rPr>
        <w:t>2019</w:t>
      </w:r>
      <w:r>
        <w:rPr/>
        <w:t>年内部控制情况进行了核查，认为公司已经建立的内控制度体系符合相关法规的规 定，并能有效控制相关风险。</w:t>
      </w:r>
      <w:r>
        <w:rPr>
          <w:rFonts w:ascii="Arial" w:hAnsi="Arial" w:cs="Arial" w:eastAsia="Arial" w:hint="default"/>
        </w:rPr>
        <w:t>2019</w:t>
      </w:r>
      <w:r>
        <w:rPr/>
        <w:t>年，审计委员会共召开了</w:t>
      </w:r>
      <w:r>
        <w:rPr>
          <w:rFonts w:ascii="Arial" w:hAnsi="Arial" w:cs="Arial" w:eastAsia="Arial" w:hint="default"/>
        </w:rPr>
        <w:t>4</w:t>
      </w:r>
      <w:r>
        <w:rPr/>
        <w:t>次会议，重点对公司定期财务 </w:t>
      </w:r>
      <w:r>
        <w:rPr>
          <w:spacing w:val="-3"/>
        </w:rPr>
        <w:t>报告、募集资金使用情况、监督公司内部审计制度实施、协助制定和审查公司内部控制制度，</w:t>
      </w:r>
      <w:r>
        <w:rPr>
          <w:spacing w:val="-80"/>
        </w:rPr>
        <w:t> </w:t>
      </w:r>
      <w:r>
        <w:rPr>
          <w:spacing w:val="-80"/>
        </w:rPr>
      </w:r>
      <w:r>
        <w:rPr/>
        <w:t>对重大关联交易进行审计、监督等事项进行审议。审计委员会就会计师事务所从事公司年度 审计的工作进行了总结评价。</w:t>
      </w:r>
    </w:p>
    <w:p>
      <w:pPr>
        <w:pStyle w:val="Heading3"/>
        <w:spacing w:line="259" w:lineRule="auto" w:before="14"/>
        <w:ind w:left="592" w:right="1154"/>
        <w:jc w:val="left"/>
      </w:pPr>
      <w:r>
        <w:rPr>
          <w:rFonts w:ascii="Times New Roman" w:hAnsi="Times New Roman" w:cs="Times New Roman" w:eastAsia="Times New Roman" w:hint="default"/>
        </w:rPr>
        <w:t>2</w:t>
      </w:r>
      <w:r>
        <w:rPr/>
        <w:t>、薪酬与考核委员会的履职情况 报告期内，公司董事会薪酬与考核委员会依照相关法规及《公司章程》《董事会薪酬与</w:t>
      </w:r>
    </w:p>
    <w:p>
      <w:pPr>
        <w:pStyle w:val="Heading3"/>
        <w:spacing w:line="240" w:lineRule="auto" w:before="24"/>
        <w:ind w:right="996"/>
        <w:jc w:val="left"/>
      </w:pPr>
      <w:r>
        <w:rPr/>
        <w:t>考核委员会工作细则》的规定履行了对公司股权激励计划进行管理、审查公司董事及高级管</w:t>
      </w:r>
    </w:p>
    <w:p>
      <w:pPr>
        <w:spacing w:after="0" w:line="240" w:lineRule="auto"/>
        <w:jc w:val="left"/>
        <w:sectPr>
          <w:pgSz w:w="11910" w:h="16840"/>
          <w:pgMar w:header="878" w:footer="1016" w:top="1100" w:bottom="1200" w:left="1020" w:right="0"/>
        </w:sectPr>
      </w:pPr>
    </w:p>
    <w:p>
      <w:pPr>
        <w:spacing w:line="240" w:lineRule="auto" w:before="6"/>
        <w:rPr>
          <w:rFonts w:ascii="宋体" w:hAnsi="宋体" w:cs="宋体" w:eastAsia="宋体" w:hint="default"/>
          <w:sz w:val="21"/>
          <w:szCs w:val="21"/>
        </w:rPr>
      </w:pPr>
    </w:p>
    <w:p>
      <w:pPr>
        <w:pStyle w:val="Heading3"/>
        <w:spacing w:line="261" w:lineRule="auto" w:before="26"/>
        <w:ind w:right="1206"/>
        <w:jc w:val="left"/>
      </w:pPr>
      <w:r>
        <w:rPr/>
        <w:t>理人员的履行职责情况等相关职责。</w:t>
      </w:r>
      <w:r>
        <w:rPr>
          <w:rFonts w:ascii="Arial" w:hAnsi="Arial" w:cs="Arial" w:eastAsia="Arial" w:hint="default"/>
        </w:rPr>
        <w:t>2019</w:t>
      </w:r>
      <w:r>
        <w:rPr/>
        <w:t>年度，薪酬与考核委员会共召开了</w:t>
      </w:r>
      <w:r>
        <w:rPr>
          <w:rFonts w:ascii="Arial" w:hAnsi="Arial" w:cs="Arial" w:eastAsia="Arial" w:hint="default"/>
        </w:rPr>
        <w:t>2</w:t>
      </w:r>
      <w:r>
        <w:rPr/>
        <w:t>次会议，重点 对</w:t>
      </w:r>
      <w:r>
        <w:rPr>
          <w:rFonts w:ascii="Arial" w:hAnsi="Arial" w:cs="Arial" w:eastAsia="Arial" w:hint="default"/>
        </w:rPr>
        <w:t>2019</w:t>
      </w:r>
      <w:r>
        <w:rPr/>
        <w:t>年董事和高级管理人员薪酬情况、股权激励情况进行审核。</w:t>
      </w:r>
    </w:p>
    <w:p>
      <w:pPr>
        <w:pStyle w:val="Heading3"/>
        <w:spacing w:line="259" w:lineRule="auto" w:before="2"/>
        <w:ind w:left="592" w:right="1154"/>
        <w:jc w:val="left"/>
      </w:pPr>
      <w:r>
        <w:rPr>
          <w:rFonts w:ascii="Times New Roman" w:hAnsi="Times New Roman" w:cs="Times New Roman" w:eastAsia="Times New Roman" w:hint="default"/>
        </w:rPr>
        <w:t>3</w:t>
      </w:r>
      <w:r>
        <w:rPr/>
        <w:t>、提名委员会的履职情况 报告期内，公司董事会提名委员会依照相关法规及《公司章程》《董事会提名委员会工</w:t>
      </w:r>
    </w:p>
    <w:p>
      <w:pPr>
        <w:pStyle w:val="Heading3"/>
        <w:spacing w:line="261" w:lineRule="auto" w:before="24"/>
        <w:ind w:right="996"/>
        <w:jc w:val="left"/>
      </w:pPr>
      <w:r>
        <w:rPr>
          <w:spacing w:val="-3"/>
        </w:rPr>
        <w:t>作细则》的规定，报告期内召开了</w:t>
      </w:r>
      <w:r>
        <w:rPr>
          <w:rFonts w:ascii="Arial" w:hAnsi="Arial" w:cs="Arial" w:eastAsia="Arial" w:hint="default"/>
          <w:spacing w:val="-3"/>
        </w:rPr>
        <w:t>2</w:t>
      </w:r>
      <w:r>
        <w:rPr>
          <w:spacing w:val="-3"/>
        </w:rPr>
        <w:t>次会议，对董事候选人和高级管理人选进行审查并提出建</w:t>
      </w:r>
      <w:r>
        <w:rPr>
          <w:spacing w:val="-95"/>
        </w:rPr>
        <w:t> </w:t>
      </w:r>
      <w:r>
        <w:rPr>
          <w:spacing w:val="-95"/>
        </w:rPr>
      </w:r>
      <w:r>
        <w:rPr/>
        <w:t>议，积极履行了职责。</w:t>
      </w:r>
    </w:p>
    <w:p>
      <w:pPr>
        <w:pStyle w:val="Heading3"/>
        <w:spacing w:line="259" w:lineRule="auto" w:before="22"/>
        <w:ind w:left="592" w:right="996"/>
        <w:jc w:val="left"/>
      </w:pPr>
      <w:r>
        <w:rPr>
          <w:rFonts w:ascii="Times New Roman" w:hAnsi="Times New Roman" w:cs="Times New Roman" w:eastAsia="Times New Roman" w:hint="default"/>
        </w:rPr>
        <w:t>4</w:t>
      </w:r>
      <w:r>
        <w:rPr/>
        <w:t>、战略委员会的履职情况 </w:t>
      </w:r>
      <w:r>
        <w:rPr>
          <w:spacing w:val="-3"/>
        </w:rPr>
        <w:t>报告期内，公司战略委员会依照相关法规及《公司章程》《董事会战略委员会工作细则》</w:t>
      </w:r>
    </w:p>
    <w:p>
      <w:pPr>
        <w:pStyle w:val="Heading3"/>
        <w:spacing w:line="261" w:lineRule="auto" w:before="24"/>
        <w:ind w:right="996"/>
        <w:jc w:val="left"/>
      </w:pPr>
      <w:r>
        <w:rPr>
          <w:spacing w:val="-3"/>
        </w:rPr>
        <w:t>的规定，报告期内召开了</w:t>
      </w:r>
      <w:r>
        <w:rPr>
          <w:rFonts w:ascii="Arial" w:hAnsi="Arial" w:cs="Arial" w:eastAsia="Arial" w:hint="default"/>
          <w:spacing w:val="-3"/>
        </w:rPr>
        <w:t>2</w:t>
      </w:r>
      <w:r>
        <w:rPr>
          <w:spacing w:val="-3"/>
        </w:rPr>
        <w:t>次会议，重点对公司战略执行情况进行回顾总结，根据公司所处的</w:t>
      </w:r>
      <w:r>
        <w:rPr>
          <w:spacing w:val="-95"/>
        </w:rPr>
        <w:t> </w:t>
      </w:r>
      <w:r>
        <w:rPr>
          <w:spacing w:val="-95"/>
        </w:rPr>
      </w:r>
      <w:r>
        <w:rPr/>
        <w:t>行业和市场形势及时进行了战略规划研究，并对公司的发展战略提出了合理的建议。</w:t>
      </w:r>
    </w:p>
    <w:p>
      <w:pPr>
        <w:spacing w:line="610" w:lineRule="atLeast" w:before="4"/>
        <w:ind w:left="112" w:right="4994" w:firstLine="0"/>
        <w:jc w:val="left"/>
        <w:rPr>
          <w:rFonts w:ascii="宋体" w:hAnsi="宋体" w:cs="宋体" w:eastAsia="宋体" w:hint="default"/>
          <w:sz w:val="24"/>
          <w:szCs w:val="24"/>
        </w:rPr>
      </w:pPr>
      <w:bookmarkStart w:name="七、监事会工作情况" w:id="141"/>
      <w:bookmarkEnd w:id="141"/>
      <w:r>
        <w:rPr/>
      </w: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监事会在报告期内的监督活动中发现公司是否存在风险</w:t>
      </w:r>
    </w:p>
    <w:p>
      <w:pPr>
        <w:pStyle w:val="Heading3"/>
        <w:spacing w:line="256" w:lineRule="auto" w:before="38"/>
        <w:ind w:right="6194"/>
        <w:jc w:val="left"/>
      </w:pPr>
      <w:r>
        <w:rPr>
          <w:rFonts w:ascii="Arial" w:hAnsi="Arial" w:cs="Arial" w:eastAsia="Arial" w:hint="default"/>
        </w:rPr>
        <w:t>□ </w:t>
      </w:r>
      <w:r>
        <w:rPr/>
        <w:t>是 √</w:t>
      </w:r>
      <w:r>
        <w:rPr>
          <w:spacing w:val="-15"/>
        </w:rPr>
        <w:t> </w:t>
      </w:r>
      <w:r>
        <w:rPr/>
        <w:t>否</w:t>
      </w:r>
      <w:r>
        <w:rPr>
          <w:w w:val="99"/>
        </w:rPr>
        <w:t> </w:t>
      </w:r>
      <w:r>
        <w:rPr/>
        <w:t>公司监事会对报告期内的监督事项无异议。</w:t>
      </w:r>
    </w:p>
    <w:p>
      <w:pPr>
        <w:spacing w:line="636" w:lineRule="exact" w:before="52"/>
        <w:ind w:left="592" w:right="1154" w:hanging="480"/>
        <w:jc w:val="left"/>
        <w:rPr>
          <w:rFonts w:ascii="宋体" w:hAnsi="宋体" w:cs="宋体" w:eastAsia="宋体" w:hint="default"/>
          <w:sz w:val="24"/>
          <w:szCs w:val="24"/>
        </w:rPr>
      </w:pPr>
      <w:bookmarkStart w:name="八、高级管理人员的考评及激励情况" w:id="142"/>
      <w:bookmarkEnd w:id="142"/>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公司建立了完善的高级管理人员绩效管理体系，明确了高级管理人员考核、晋升、培训</w:t>
      </w:r>
    </w:p>
    <w:p>
      <w:pPr>
        <w:pStyle w:val="Heading3"/>
        <w:spacing w:line="264" w:lineRule="exact"/>
        <w:ind w:right="996"/>
        <w:jc w:val="left"/>
      </w:pPr>
      <w:r>
        <w:rPr/>
        <w:t>和奖惩激励机制，有效的提升了公司治理水平，进一步完善高级管理人员绩效评价和激励、</w:t>
      </w:r>
    </w:p>
    <w:p>
      <w:pPr>
        <w:pStyle w:val="Heading3"/>
        <w:spacing w:line="273" w:lineRule="auto" w:before="46"/>
        <w:ind w:right="1154"/>
        <w:jc w:val="left"/>
      </w:pPr>
      <w:r>
        <w:rPr/>
        <w:t>约束机制，最大限度地调动公司高级管理人员的积极性及创造性，确保公司各项业务的顺利 开展，促进了公司业绩稳定持续发展，更好维护广大投资者的根本利益。</w:t>
      </w:r>
    </w:p>
    <w:p>
      <w:pPr>
        <w:spacing w:line="240" w:lineRule="auto" w:before="0"/>
        <w:rPr>
          <w:rFonts w:ascii="宋体" w:hAnsi="宋体" w:cs="宋体" w:eastAsia="宋体" w:hint="default"/>
          <w:sz w:val="22"/>
          <w:szCs w:val="22"/>
        </w:rPr>
      </w:pPr>
    </w:p>
    <w:p>
      <w:pPr>
        <w:pStyle w:val="Heading2"/>
        <w:spacing w:line="240" w:lineRule="auto"/>
        <w:ind w:right="996"/>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报告期内发现的内部控制重大缺陷的具体情况" w:id="144"/>
      <w:bookmarkEnd w:id="144"/>
      <w:r>
        <w:rPr>
          <w:b w:val="0"/>
          <w:bCs w:val="0"/>
        </w:rPr>
      </w:r>
      <w:r>
        <w:rPr>
          <w:rFonts w:ascii="Arial" w:hAnsi="Arial" w:cs="Arial" w:eastAsia="Arial"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是 √</w:t>
      </w:r>
      <w:r>
        <w:rPr>
          <w:spacing w:val="-15"/>
        </w:rPr>
        <w:t> </w:t>
      </w:r>
      <w:r>
        <w:rPr/>
        <w:t>否</w:t>
      </w:r>
    </w:p>
    <w:p>
      <w:pPr>
        <w:spacing w:line="240" w:lineRule="auto" w:before="5"/>
        <w:rPr>
          <w:rFonts w:ascii="宋体" w:hAnsi="宋体" w:cs="宋体" w:eastAsia="宋体" w:hint="default"/>
          <w:sz w:val="23"/>
          <w:szCs w:val="23"/>
        </w:rPr>
      </w:pPr>
    </w:p>
    <w:p>
      <w:pPr>
        <w:pStyle w:val="Heading4"/>
        <w:spacing w:line="240" w:lineRule="auto" w:before="0"/>
        <w:ind w:right="996"/>
        <w:jc w:val="left"/>
        <w:rPr>
          <w:b w:val="0"/>
          <w:bCs w:val="0"/>
        </w:rPr>
      </w:pPr>
      <w:bookmarkStart w:name="2、内控自我评价报告" w:id="145"/>
      <w:bookmarkEnd w:id="145"/>
      <w:r>
        <w:rPr>
          <w:b w:val="0"/>
          <w:bCs w:val="0"/>
        </w:rPr>
      </w:r>
      <w:r>
        <w:rPr>
          <w:rFonts w:ascii="Arial" w:hAnsi="Arial" w:cs="Arial" w:eastAsia="Arial"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10"/>
        <w:gridCol w:w="4308"/>
        <w:gridCol w:w="4050"/>
      </w:tblGrid>
      <w:tr>
        <w:trPr>
          <w:trHeight w:val="402" w:hRule="exact"/>
        </w:trPr>
        <w:tc>
          <w:tcPr>
            <w:tcW w:w="5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5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5"/>
              <w:jc w:val="right"/>
              <w:rPr>
                <w:rFonts w:ascii="Arial" w:hAnsi="Arial" w:cs="Arial" w:eastAsia="Arial" w:hint="default"/>
                <w:sz w:val="18"/>
                <w:szCs w:val="18"/>
              </w:rPr>
            </w:pPr>
            <w:hyperlink r:id="rId10">
              <w:r>
                <w:rPr>
                  <w:rFonts w:ascii="Arial"/>
                  <w:spacing w:val="-1"/>
                  <w:w w:val="95"/>
                  <w:sz w:val="18"/>
                </w:rPr>
                <w:t>www.cninfo.com.cn</w:t>
              </w:r>
              <w:r>
                <w:rPr>
                  <w:rFonts w:ascii="Arial"/>
                  <w:spacing w:val="-1"/>
                  <w:sz w:val="18"/>
                </w:rPr>
              </w:r>
            </w:hyperlink>
          </w:p>
        </w:tc>
      </w:tr>
      <w:tr>
        <w:trPr>
          <w:trHeight w:val="402" w:hRule="exact"/>
        </w:trPr>
        <w:tc>
          <w:tcPr>
            <w:tcW w:w="5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99.86%</w:t>
            </w:r>
          </w:p>
        </w:tc>
      </w:tr>
      <w:tr>
        <w:trPr>
          <w:trHeight w:val="402" w:hRule="exact"/>
        </w:trPr>
        <w:tc>
          <w:tcPr>
            <w:tcW w:w="5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167"/>
        <w:gridCol w:w="3983"/>
        <w:gridCol w:w="4418"/>
      </w:tblGrid>
      <w:tr>
        <w:trPr>
          <w:trHeight w:val="397" w:hRule="exact"/>
        </w:trPr>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一、重大缺陷：</w:t>
            </w:r>
          </w:p>
        </w:tc>
        <w:tc>
          <w:tcPr>
            <w:tcW w:w="4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一、重大缺陷：</w:t>
            </w:r>
          </w:p>
        </w:tc>
      </w:tr>
      <w:tr>
        <w:trPr>
          <w:trHeight w:val="336"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、公司董事、监事和高级管理人员舞弊并给公</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、缺乏民主决策程序或重大事项违反决策程序出现</w:t>
            </w:r>
          </w:p>
        </w:tc>
      </w:tr>
      <w:tr>
        <w:trPr>
          <w:trHeight w:val="329"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司造成重要损失和不利影响；</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重大失误，给公司造成定量标准认定的重大损失；</w:t>
            </w:r>
          </w:p>
        </w:tc>
      </w:tr>
      <w:tr>
        <w:trPr>
          <w:trHeight w:val="336"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、已经发现并报告给管理层的财务报告内部控</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、严重违反国家法律、法规，受到政府部门处罚，且</w:t>
            </w:r>
          </w:p>
        </w:tc>
      </w:tr>
      <w:tr>
        <w:trPr>
          <w:trHeight w:val="326"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制重大缺陷在经过合理时间后，未得到整改；</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2" w:right="0"/>
              <w:jc w:val="left"/>
              <w:rPr>
                <w:rFonts w:ascii="宋体" w:hAnsi="宋体" w:cs="宋体" w:eastAsia="宋体" w:hint="default"/>
                <w:sz w:val="18"/>
                <w:szCs w:val="18"/>
              </w:rPr>
            </w:pPr>
            <w:r>
              <w:rPr>
                <w:rFonts w:ascii="宋体" w:hAnsi="宋体" w:cs="宋体" w:eastAsia="宋体" w:hint="default"/>
                <w:sz w:val="18"/>
                <w:szCs w:val="18"/>
              </w:rPr>
              <w:t>对公司定期报告披露造成重大负面影响；</w:t>
            </w:r>
          </w:p>
        </w:tc>
      </w:tr>
      <w:tr>
        <w:trPr>
          <w:trHeight w:val="358"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、发现以前年度存在重大会计差错，对已披露</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、关键管理人员或高级技术人员流失严重；</w:t>
            </w:r>
          </w:p>
        </w:tc>
      </w:tr>
      <w:tr>
        <w:trPr>
          <w:trHeight w:val="33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的财务报告进行更正；</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、媒体负面新闻频现，情况属实，造成重大社会影响；</w:t>
            </w:r>
          </w:p>
        </w:tc>
      </w:tr>
      <w:tr>
        <w:trPr>
          <w:trHeight w:val="331"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、公司内部控制环境无效；</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、重要业务缺乏制度控制或制度系统性失效，给公司</w:t>
            </w:r>
          </w:p>
        </w:tc>
      </w:tr>
      <w:tr>
        <w:trPr>
          <w:trHeight w:val="35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、注册会计师发现的却未被公司内部控制识别</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造成按定量标准认定的重大损失；</w:t>
            </w:r>
          </w:p>
        </w:tc>
      </w:tr>
      <w:tr>
        <w:trPr>
          <w:trHeight w:val="31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的当期财务报告中的重大错报；</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、已经发现并报告给管理层的非财务报告内部控制</w:t>
            </w:r>
          </w:p>
        </w:tc>
      </w:tr>
      <w:tr>
        <w:trPr>
          <w:trHeight w:val="353"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、审计委员会和内部审计机构对财务报告的内</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重大缺陷在合理的时间内未得到整改。</w:t>
            </w:r>
          </w:p>
        </w:tc>
      </w:tr>
      <w:tr>
        <w:trPr>
          <w:trHeight w:val="415"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部监督无效。</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二、重要缺陷：</w:t>
            </w:r>
          </w:p>
        </w:tc>
      </w:tr>
      <w:tr>
        <w:trPr>
          <w:trHeight w:val="249"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二、重要缺陷：</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、民主决策程序存在但不够完善或决策程序出现失</w:t>
            </w:r>
          </w:p>
        </w:tc>
      </w:tr>
      <w:tr>
        <w:trPr>
          <w:trHeight w:val="35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、未依照公认会计准则选择和应用会计政策；</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误，给公司造成定量标准认定的重要财产损失；</w:t>
            </w:r>
          </w:p>
        </w:tc>
      </w:tr>
      <w:tr>
        <w:trPr>
          <w:trHeight w:val="33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、未建立反舞弊程序和控制措施或无效；</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、违反国家法律、法规，受到政府部门处罚，但未对</w:t>
            </w:r>
          </w:p>
        </w:tc>
      </w:tr>
      <w:tr>
        <w:trPr>
          <w:trHeight w:val="35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、对于非常规或特殊交易的账务处理没有建立</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公司定期报告披露造成负面影响；</w:t>
            </w:r>
          </w:p>
        </w:tc>
      </w:tr>
      <w:tr>
        <w:trPr>
          <w:trHeight w:val="329"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或实施相应的控制机制，且没有相应的补偿性控</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、关键岗位业务人员流失严重；</w:t>
            </w:r>
          </w:p>
        </w:tc>
      </w:tr>
      <w:tr>
        <w:trPr>
          <w:trHeight w:val="335"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、媒体出现负面新闻，波及局部区域；</w:t>
            </w:r>
          </w:p>
        </w:tc>
      </w:tr>
      <w:tr>
        <w:trPr>
          <w:trHeight w:val="33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、对于期末财务报告过程的控制存在一项或多</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、重要业务制度执行过程中存在较大缺陷；</w:t>
            </w:r>
          </w:p>
        </w:tc>
      </w:tr>
      <w:tr>
        <w:trPr>
          <w:trHeight w:val="33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项缺陷且不能合理保证编制的财务报表达到真</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、已经发现并报告给管理层的非财务报告内部控制</w:t>
            </w:r>
          </w:p>
        </w:tc>
      </w:tr>
      <w:tr>
        <w:trPr>
          <w:trHeight w:val="327"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实、准确的目标。</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2" w:right="0"/>
              <w:jc w:val="left"/>
              <w:rPr>
                <w:rFonts w:ascii="宋体" w:hAnsi="宋体" w:cs="宋体" w:eastAsia="宋体" w:hint="default"/>
                <w:sz w:val="18"/>
                <w:szCs w:val="18"/>
              </w:rPr>
            </w:pPr>
            <w:r>
              <w:rPr>
                <w:rFonts w:ascii="宋体" w:hAnsi="宋体" w:cs="宋体" w:eastAsia="宋体" w:hint="default"/>
                <w:sz w:val="18"/>
                <w:szCs w:val="18"/>
              </w:rPr>
              <w:t>重要缺陷在合理的时间内未得到整改。</w:t>
            </w:r>
          </w:p>
        </w:tc>
      </w:tr>
      <w:tr>
        <w:trPr>
          <w:trHeight w:val="353"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三、一般缺陷：</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三、一般缺陷：</w:t>
            </w:r>
          </w:p>
        </w:tc>
      </w:tr>
      <w:tr>
        <w:trPr>
          <w:trHeight w:val="331"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未构成重大缺陷、重要缺陷标准的，和财务报告</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除上述重大缺陷、重要缺陷之外，其他非财务报告相</w:t>
            </w:r>
          </w:p>
        </w:tc>
      </w:tr>
      <w:tr>
        <w:trPr>
          <w:trHeight w:val="377" w:hRule="exact"/>
        </w:trPr>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3"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相关的其他内部控制缺陷。</w:t>
            </w:r>
          </w:p>
        </w:tc>
        <w:tc>
          <w:tcPr>
            <w:tcW w:w="4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关的内部控制缺陷。</w:t>
            </w:r>
          </w:p>
        </w:tc>
      </w:tr>
      <w:tr>
        <w:trPr>
          <w:trHeight w:val="358" w:hRule="exact"/>
        </w:trPr>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一、重大缺陷：利润表项目错报≥利润总额的</w:t>
            </w:r>
          </w:p>
        </w:tc>
        <w:tc>
          <w:tcPr>
            <w:tcW w:w="441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Arial" w:hAnsi="Arial" w:cs="Arial" w:eastAsia="Arial" w:hint="default"/>
                <w:spacing w:val="-4"/>
                <w:sz w:val="18"/>
                <w:szCs w:val="18"/>
              </w:rPr>
              <w:t>5%</w:t>
            </w:r>
            <w:r>
              <w:rPr>
                <w:rFonts w:ascii="宋体" w:hAnsi="宋体" w:cs="宋体" w:eastAsia="宋体" w:hint="default"/>
                <w:spacing w:val="-4"/>
                <w:sz w:val="18"/>
                <w:szCs w:val="18"/>
              </w:rPr>
              <w:t>；资产负债表项目错报≥资产总额的</w:t>
            </w:r>
            <w:r>
              <w:rPr>
                <w:rFonts w:ascii="宋体" w:hAnsi="宋体" w:cs="宋体" w:eastAsia="宋体" w:hint="default"/>
                <w:spacing w:val="-41"/>
                <w:sz w:val="18"/>
                <w:szCs w:val="18"/>
              </w:rPr>
              <w:t> </w:t>
            </w:r>
            <w:r>
              <w:rPr>
                <w:rFonts w:ascii="Arial" w:hAnsi="Arial" w:cs="Arial" w:eastAsia="Arial" w:hint="default"/>
                <w:spacing w:val="-13"/>
                <w:sz w:val="18"/>
                <w:szCs w:val="18"/>
              </w:rPr>
              <w:t>2%</w:t>
            </w:r>
            <w:r>
              <w:rPr>
                <w:rFonts w:ascii="宋体" w:hAnsi="宋体" w:cs="宋体" w:eastAsia="宋体" w:hint="default"/>
                <w:spacing w:val="-13"/>
                <w:sz w:val="18"/>
                <w:szCs w:val="18"/>
              </w:rPr>
              <w:t>。二、</w:t>
            </w:r>
          </w:p>
        </w:tc>
        <w:tc>
          <w:tcPr>
            <w:tcW w:w="441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103" w:right="102"/>
              <w:jc w:val="both"/>
              <w:rPr>
                <w:rFonts w:ascii="宋体" w:hAnsi="宋体" w:cs="宋体" w:eastAsia="宋体" w:hint="default"/>
                <w:sz w:val="18"/>
                <w:szCs w:val="18"/>
              </w:rPr>
            </w:pPr>
            <w:r>
              <w:rPr>
                <w:rFonts w:ascii="宋体" w:hAnsi="宋体" w:cs="宋体" w:eastAsia="宋体" w:hint="default"/>
                <w:sz w:val="18"/>
                <w:szCs w:val="18"/>
              </w:rPr>
              <w:t>重要缺陷：利润总额的</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≤利润表项目错报＜ 利润总额的</w:t>
            </w:r>
            <w:r>
              <w:rPr>
                <w:rFonts w:ascii="宋体" w:hAnsi="宋体" w:cs="宋体" w:eastAsia="宋体" w:hint="default"/>
                <w:spacing w:val="-43"/>
                <w:sz w:val="18"/>
                <w:szCs w:val="18"/>
              </w:rPr>
              <w:t> </w:t>
            </w:r>
            <w:r>
              <w:rPr>
                <w:rFonts w:ascii="Arial" w:hAnsi="Arial" w:cs="Arial" w:eastAsia="Arial" w:hint="default"/>
                <w:spacing w:val="-11"/>
                <w:w w:val="99"/>
                <w:sz w:val="18"/>
                <w:szCs w:val="18"/>
              </w:rPr>
              <w:t>5%</w:t>
            </w:r>
            <w:r>
              <w:rPr>
                <w:rFonts w:ascii="宋体" w:hAnsi="宋体" w:cs="宋体" w:eastAsia="宋体" w:hint="default"/>
                <w:spacing w:val="-11"/>
                <w:w w:val="99"/>
                <w:sz w:val="18"/>
                <w:szCs w:val="18"/>
              </w:rPr>
              <w:t>；资产总额的</w:t>
            </w:r>
            <w:r>
              <w:rPr>
                <w:rFonts w:ascii="宋体" w:hAnsi="宋体" w:cs="宋体" w:eastAsia="宋体" w:hint="default"/>
                <w:spacing w:val="-41"/>
                <w:w w:val="99"/>
                <w:sz w:val="18"/>
                <w:szCs w:val="18"/>
              </w:rPr>
              <w:t> </w:t>
            </w:r>
            <w:r>
              <w:rPr>
                <w:rFonts w:ascii="Arial" w:hAnsi="Arial" w:cs="Arial" w:eastAsia="Arial" w:hint="default"/>
                <w:spacing w:val="-1"/>
                <w:w w:val="99"/>
                <w:sz w:val="18"/>
                <w:szCs w:val="18"/>
              </w:rPr>
              <w:t>1%</w:t>
            </w:r>
            <w:r>
              <w:rPr>
                <w:rFonts w:ascii="宋体" w:hAnsi="宋体" w:cs="宋体" w:eastAsia="宋体" w:hint="default"/>
                <w:spacing w:val="-1"/>
                <w:w w:val="99"/>
                <w:sz w:val="18"/>
                <w:szCs w:val="18"/>
              </w:rPr>
              <w:t>≤资产负债表项</w:t>
            </w:r>
            <w:r>
              <w:rPr>
                <w:rFonts w:ascii="宋体" w:hAnsi="宋体" w:cs="宋体" w:eastAsia="宋体" w:hint="default"/>
                <w:sz w:val="18"/>
                <w:szCs w:val="18"/>
              </w:rPr>
              <w:t> 目错报＜资产总额的</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。三、一般缺陷：利润</w:t>
            </w:r>
          </w:p>
        </w:tc>
        <w:tc>
          <w:tcPr>
            <w:tcW w:w="4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16" w:lineRule="auto"/>
              <w:ind w:left="102" w:right="164"/>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非财务报告内部控制缺陷评价的定量标准参照财务报 告内部控制缺陷评价的定量标准执行。</w:t>
            </w:r>
          </w:p>
        </w:tc>
      </w:tr>
      <w:tr>
        <w:trPr>
          <w:trHeight w:val="312" w:hRule="exact"/>
        </w:trPr>
        <w:tc>
          <w:tcPr>
            <w:tcW w:w="1167" w:type="dxa"/>
            <w:tcBorders>
              <w:top w:val="nil" w:sz="6" w:space="0" w:color="auto"/>
              <w:left w:val="single" w:sz="4" w:space="0" w:color="000000"/>
              <w:bottom w:val="nil" w:sz="6" w:space="0" w:color="auto"/>
              <w:right w:val="single" w:sz="4" w:space="0" w:color="000000"/>
            </w:tcBorders>
            <w:shd w:val="clear" w:color="auto" w:fill="D2D2D2"/>
          </w:tcPr>
          <w:p>
            <w:pPr/>
          </w:p>
        </w:tc>
        <w:tc>
          <w:tcPr>
            <w:tcW w:w="39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表项目错报＜利润总额的</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；资产负债表项目</w:t>
            </w:r>
          </w:p>
        </w:tc>
        <w:tc>
          <w:tcPr>
            <w:tcW w:w="441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441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5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4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5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4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5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4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5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4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2"/>
        <w:rPr>
          <w:rFonts w:ascii="宋体" w:hAnsi="宋体" w:cs="宋体" w:eastAsia="宋体" w:hint="default"/>
          <w:b/>
          <w:bCs/>
          <w:sz w:val="18"/>
          <w:szCs w:val="18"/>
        </w:rPr>
      </w:pPr>
    </w:p>
    <w:p>
      <w:pPr>
        <w:spacing w:line="468" w:lineRule="auto" w:before="26"/>
        <w:ind w:left="112" w:right="7139" w:firstLine="0"/>
        <w:jc w:val="left"/>
        <w:rPr>
          <w:rFonts w:ascii="宋体" w:hAnsi="宋体" w:cs="宋体" w:eastAsia="宋体" w:hint="default"/>
          <w:sz w:val="24"/>
          <w:szCs w:val="24"/>
        </w:rPr>
      </w:pPr>
      <w:r>
        <w:rPr/>
        <w:pict>
          <v:shape style="position:absolute;margin-left:56.700001pt;margin-top:51.655624pt;width:478.4pt;height:20pt;mso-position-horizontal-relative:page;mso-position-vertical-relative:paragraph;z-index:-1030696" type="#_x0000_t202" filled="true" fillcolor="#d2d2d2" stroked="true" strokeweight=".48pt" strokecolor="#000000">
            <v:textbox inset="0,0,0,0">
              <w:txbxContent>
                <w:p>
                  <w:pPr>
                    <w:spacing w:before="51"/>
                    <w:ind w:left="0" w:right="1" w:firstLine="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xbxContent>
            </v:textbox>
            <v:fill type="solid"/>
            <w10:wrap type="none"/>
          </v:shape>
        </w:pict>
      </w:r>
      <w:bookmarkStart w:name="十、内部控制审计报告或鉴证报告" w:id="146"/>
      <w:bookmarkEnd w:id="146"/>
      <w:r>
        <w:rPr/>
      </w:r>
      <w:r>
        <w:rPr>
          <w:rFonts w:ascii="宋体" w:hAnsi="宋体" w:cs="宋体" w:eastAsia="宋体" w:hint="default"/>
          <w:b/>
          <w:bCs/>
          <w:sz w:val="24"/>
          <w:szCs w:val="24"/>
        </w:rPr>
        <w:t>十、内部控制审计报告或鉴证报告</w:t>
      </w:r>
      <w:r>
        <w:rPr>
          <w:rFonts w:ascii="宋体" w:hAnsi="宋体" w:cs="宋体" w:eastAsia="宋体" w:hint="default"/>
          <w:b/>
          <w:bCs/>
          <w:w w:val="99"/>
          <w:sz w:val="24"/>
          <w:szCs w:val="24"/>
        </w:rPr>
        <w:t> </w:t>
      </w:r>
      <w:r>
        <w:rPr>
          <w:rFonts w:ascii="宋体" w:hAnsi="宋体" w:cs="宋体" w:eastAsia="宋体" w:hint="default"/>
          <w:sz w:val="24"/>
          <w:szCs w:val="24"/>
        </w:rPr>
        <w:t>内部控制鉴证报告</w:t>
      </w:r>
    </w:p>
    <w:p>
      <w:pPr>
        <w:spacing w:after="0" w:line="468" w:lineRule="auto"/>
        <w:jc w:val="left"/>
        <w:rPr>
          <w:rFonts w:ascii="宋体" w:hAnsi="宋体" w:cs="宋体" w:eastAsia="宋体" w:hint="default"/>
          <w:sz w:val="24"/>
          <w:szCs w:val="24"/>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037"/>
        <w:gridCol w:w="4531"/>
      </w:tblGrid>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1" w:right="104"/>
              <w:jc w:val="left"/>
              <w:rPr>
                <w:rFonts w:ascii="宋体" w:hAnsi="宋体" w:cs="宋体" w:eastAsia="宋体" w:hint="default"/>
                <w:sz w:val="18"/>
                <w:szCs w:val="18"/>
              </w:rPr>
            </w:pPr>
            <w:r>
              <w:rPr>
                <w:rFonts w:ascii="宋体" w:hAnsi="宋体" w:cs="宋体" w:eastAsia="宋体" w:hint="default"/>
                <w:sz w:val="18"/>
                <w:szCs w:val="18"/>
              </w:rPr>
              <w:t>我们认为，华宇软件公司按照《企业内部控制基本规范》和相关规定于</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日在所有重大方面保持了与财 务报表相关的有效的内部控制。</w:t>
            </w:r>
          </w:p>
        </w:tc>
      </w:tr>
      <w:tr>
        <w:trPr>
          <w:trHeight w:val="402" w:hRule="exact"/>
        </w:trPr>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Arial" w:hAnsi="Arial" w:cs="Arial" w:eastAsia="Arial" w:hint="default"/>
                <w:sz w:val="18"/>
                <w:szCs w:val="18"/>
              </w:rPr>
            </w:pPr>
            <w:hyperlink r:id="rId10">
              <w:r>
                <w:rPr>
                  <w:rFonts w:ascii="Arial"/>
                  <w:sz w:val="18"/>
                </w:rPr>
                <w:t>www.cninfo.com.cn</w:t>
              </w:r>
            </w:hyperlink>
          </w:p>
        </w:tc>
      </w:tr>
      <w:tr>
        <w:trPr>
          <w:trHeight w:val="402" w:hRule="exact"/>
        </w:trPr>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3"/>
        <w:spacing w:line="240" w:lineRule="auto" w:before="4"/>
        <w:ind w:right="996"/>
        <w:jc w:val="left"/>
      </w:pPr>
      <w:r>
        <w:rPr/>
        <w:t>会计师事务所是否出具非标准意见的内部控制鉴证报告</w:t>
      </w:r>
    </w:p>
    <w:p>
      <w:pPr>
        <w:pStyle w:val="Heading3"/>
        <w:spacing w:line="256" w:lineRule="auto" w:before="36"/>
        <w:ind w:right="2594"/>
        <w:jc w:val="left"/>
      </w:pPr>
      <w:r>
        <w:rPr>
          <w:rFonts w:ascii="Arial" w:hAnsi="Arial" w:cs="Arial" w:eastAsia="Arial" w:hint="default"/>
        </w:rPr>
        <w:t>□ </w:t>
      </w:r>
      <w:r>
        <w:rPr/>
        <w:t>是 √</w:t>
      </w:r>
      <w:r>
        <w:rPr>
          <w:spacing w:val="-15"/>
        </w:rPr>
        <w:t> </w:t>
      </w:r>
      <w:r>
        <w:rPr/>
        <w:t>否</w:t>
      </w:r>
      <w:r>
        <w:rPr>
          <w:w w:val="99"/>
        </w:rPr>
        <w:t> </w:t>
      </w:r>
      <w:r>
        <w:rPr/>
        <w:t>会计师事务所出具的内部控制鉴证报告与董事会的自我评价报告意见是否一致</w:t>
      </w:r>
    </w:p>
    <w:p>
      <w:pPr>
        <w:pStyle w:val="Heading3"/>
        <w:spacing w:line="240" w:lineRule="auto" w:before="22"/>
        <w:ind w:right="996"/>
        <w:jc w:val="left"/>
      </w:pPr>
      <w:r>
        <w:rPr>
          <w:rFonts w:ascii="Arial" w:hAnsi="Arial" w:cs="Arial" w:eastAsia="Arial" w:hint="default"/>
        </w:rPr>
        <w:t>√  </w:t>
      </w:r>
      <w:r>
        <w:rPr/>
        <w:t>是 □</w:t>
      </w:r>
      <w:r>
        <w:rPr>
          <w:spacing w:val="-14"/>
        </w:rPr>
        <w:t> </w:t>
      </w:r>
      <w:r>
        <w:rPr/>
        <w:t>否</w:t>
      </w:r>
    </w:p>
    <w:p>
      <w:pPr>
        <w:spacing w:after="0" w:line="240"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439" w:lineRule="exact" w:before="0"/>
        <w:ind w:left="2932" w:right="996" w:firstLine="0"/>
        <w:jc w:val="left"/>
        <w:rPr>
          <w:rFonts w:ascii="微软雅黑" w:hAnsi="微软雅黑" w:cs="微软雅黑" w:eastAsia="微软雅黑" w:hint="default"/>
          <w:sz w:val="32"/>
          <w:szCs w:val="32"/>
        </w:rPr>
      </w:pPr>
      <w:bookmarkStart w:name="第十二节 财务报告" w:id="147"/>
      <w:bookmarkEnd w:id="147"/>
      <w:r>
        <w:rPr/>
      </w:r>
      <w:bookmarkStart w:name="第十一节 公司债券相关情况" w:id="148"/>
      <w:bookmarkEnd w:id="148"/>
      <w:r>
        <w:rPr/>
      </w:r>
      <w:r>
        <w:rPr>
          <w:rFonts w:ascii="微软雅黑" w:hAnsi="微软雅黑" w:cs="微软雅黑" w:eastAsia="微软雅黑" w:hint="default"/>
          <w:b/>
          <w:bCs/>
          <w:sz w:val="32"/>
          <w:szCs w:val="32"/>
        </w:rPr>
        <w:t>第十一节</w:t>
      </w:r>
      <w:r>
        <w:rPr>
          <w:rFonts w:ascii="微软雅黑" w:hAnsi="微软雅黑" w:cs="微软雅黑" w:eastAsia="微软雅黑" w:hint="default"/>
          <w:b/>
          <w:bCs/>
          <w:spacing w:val="59"/>
          <w:sz w:val="32"/>
          <w:szCs w:val="32"/>
        </w:rPr>
        <w:t> </w:t>
      </w:r>
      <w:r>
        <w:rPr>
          <w:rFonts w:ascii="微软雅黑" w:hAnsi="微软雅黑" w:cs="微软雅黑" w:eastAsia="微软雅黑" w:hint="default"/>
          <w:b/>
          <w:bCs/>
          <w:sz w:val="32"/>
          <w:szCs w:val="32"/>
        </w:rPr>
        <w:t>公司债券相关情况</w:t>
      </w:r>
      <w:r>
        <w:rPr>
          <w:rFonts w:ascii="微软雅黑" w:hAnsi="微软雅黑" w:cs="微软雅黑" w:eastAsia="微软雅黑" w:hint="default"/>
          <w:sz w:val="32"/>
          <w:szCs w:val="32"/>
        </w:rPr>
      </w:r>
    </w:p>
    <w:p>
      <w:pPr>
        <w:spacing w:line="240" w:lineRule="auto" w:before="4"/>
        <w:rPr>
          <w:rFonts w:ascii="微软雅黑" w:hAnsi="微软雅黑" w:cs="微软雅黑" w:eastAsia="微软雅黑" w:hint="default"/>
          <w:b/>
          <w:bCs/>
          <w:sz w:val="28"/>
          <w:szCs w:val="28"/>
        </w:rPr>
      </w:pPr>
    </w:p>
    <w:p>
      <w:pPr>
        <w:pStyle w:val="Heading3"/>
        <w:spacing w:line="312" w:lineRule="exact"/>
        <w:ind w:right="1154"/>
        <w:jc w:val="left"/>
      </w:pPr>
      <w:r>
        <w:rPr/>
        <w:t>公司是否存在公开发行并在证券交易所上市，且在年度报告批准报出日未到期或到期未能全 额兑付的公司债券</w:t>
      </w:r>
    </w:p>
    <w:p>
      <w:pPr>
        <w:pStyle w:val="Heading3"/>
        <w:spacing w:line="240" w:lineRule="auto" w:before="10"/>
        <w:ind w:right="996"/>
        <w:jc w:val="left"/>
      </w:pPr>
      <w:r>
        <w:rPr/>
        <w:t>否</w:t>
      </w:r>
    </w:p>
    <w:p>
      <w:pPr>
        <w:spacing w:after="0" w:line="240" w:lineRule="auto"/>
        <w:jc w:val="left"/>
        <w:sectPr>
          <w:pgSz w:w="11910" w:h="16840"/>
          <w:pgMar w:header="878"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3573" w:right="996"/>
        <w:jc w:val="left"/>
        <w:rPr>
          <w:b w:val="0"/>
          <w:bCs w:val="0"/>
        </w:rPr>
      </w:pPr>
      <w:bookmarkStart w:name="_bookmark8" w:id="149"/>
      <w:bookmarkEnd w:id="149"/>
      <w:r>
        <w:rPr>
          <w:b w:val="0"/>
          <w:bCs w:val="0"/>
        </w:rPr>
      </w:r>
      <w:r>
        <w:rPr/>
        <w:t>第十二节</w:t>
      </w:r>
      <w:r>
        <w:rPr>
          <w:spacing w:val="61"/>
        </w:rPr>
        <w:t> </w:t>
      </w:r>
      <w:r>
        <w:rPr/>
        <w:t>财务报告</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996"/>
        <w:jc w:val="left"/>
        <w:rPr>
          <w:b w:val="0"/>
          <w:bCs w:val="0"/>
        </w:rPr>
      </w:pPr>
      <w:bookmarkStart w:name="一、审计报告" w:id="150"/>
      <w:bookmarkEnd w:id="150"/>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Arial" w:hAnsi="Arial" w:cs="Arial" w:eastAsia="Arial" w:hint="default"/>
                <w:sz w:val="18"/>
                <w:szCs w:val="18"/>
              </w:rPr>
            </w:pPr>
            <w:r>
              <w:rPr>
                <w:rFonts w:ascii="宋体" w:hAnsi="宋体" w:cs="宋体" w:eastAsia="宋体" w:hint="default"/>
                <w:sz w:val="18"/>
                <w:szCs w:val="18"/>
              </w:rPr>
              <w:t>大华会计师事务所</w:t>
            </w:r>
            <w:r>
              <w:rPr>
                <w:rFonts w:ascii="Arial" w:hAnsi="Arial" w:cs="Arial" w:eastAsia="Arial" w:hint="default"/>
                <w:sz w:val="18"/>
                <w:szCs w:val="18"/>
              </w:rPr>
              <w:t>(</w:t>
            </w:r>
            <w:r>
              <w:rPr>
                <w:rFonts w:ascii="宋体" w:hAnsi="宋体" w:cs="宋体" w:eastAsia="宋体" w:hint="default"/>
                <w:sz w:val="18"/>
                <w:szCs w:val="18"/>
              </w:rPr>
              <w:t>特殊普通合伙</w:t>
            </w:r>
            <w:r>
              <w:rPr>
                <w:rFonts w:ascii="Arial" w:hAnsi="Arial" w:cs="Arial" w:eastAsia="Arial"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Arial" w:hAnsi="Arial" w:cs="Arial" w:eastAsia="Arial" w:hint="default"/>
                <w:sz w:val="18"/>
                <w:szCs w:val="18"/>
              </w:rPr>
              <w:t>[2020]001524</w:t>
            </w:r>
            <w:r>
              <w:rPr>
                <w:rFonts w:ascii="Arial" w:hAnsi="Arial" w:cs="Arial" w:eastAsia="Arial" w:hint="default"/>
                <w:spacing w:val="-12"/>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宋春磊、詹连君</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Heading4"/>
        <w:spacing w:line="376" w:lineRule="auto" w:before="0"/>
        <w:ind w:left="676" w:right="0" w:hanging="564"/>
        <w:jc w:val="left"/>
        <w:rPr>
          <w:b w:val="0"/>
          <w:bCs w:val="0"/>
        </w:rPr>
      </w:pPr>
      <w:r>
        <w:rPr>
          <w:w w:val="95"/>
        </w:rPr>
        <w:t>北京华宇软件股份有限公司全体股东：</w:t>
      </w:r>
      <w:r>
        <w:rPr>
          <w:spacing w:val="70"/>
          <w:w w:val="95"/>
        </w:rPr>
        <w:t> </w:t>
      </w:r>
      <w:r>
        <w:rPr>
          <w:spacing w:val="70"/>
          <w:w w:val="95"/>
        </w:rPr>
      </w:r>
      <w:r>
        <w:rPr/>
        <w:t>一、审计意见</w:t>
      </w:r>
      <w:r>
        <w:rPr>
          <w:b w:val="0"/>
          <w:bCs w:val="0"/>
        </w:rPr>
      </w:r>
    </w:p>
    <w:p>
      <w:pPr>
        <w:pStyle w:val="Heading2"/>
        <w:spacing w:line="240" w:lineRule="auto" w:before="2"/>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200" w:left="1020" w:right="0"/>
          <w:cols w:num="2" w:equalWidth="0">
            <w:col w:w="3694" w:space="405"/>
            <w:col w:w="6791"/>
          </w:cols>
        </w:sectPr>
      </w:pPr>
    </w:p>
    <w:p>
      <w:pPr>
        <w:pStyle w:val="BodyText"/>
        <w:spacing w:line="259" w:lineRule="auto" w:before="37"/>
        <w:ind w:right="1125" w:firstLine="420"/>
        <w:jc w:val="both"/>
      </w:pPr>
      <w:r>
        <w:rPr>
          <w:w w:val="95"/>
        </w:rPr>
        <w:t>我们审计了北京华宇软件股份有限公司</w:t>
      </w:r>
      <w:r>
        <w:rPr>
          <w:rFonts w:ascii="Arial" w:hAnsi="Arial" w:cs="Arial" w:eastAsia="Arial" w:hint="default"/>
          <w:w w:val="95"/>
        </w:rPr>
        <w:t>(</w:t>
      </w:r>
      <w:r>
        <w:rPr>
          <w:w w:val="95"/>
        </w:rPr>
        <w:t>以下简称华宇软件公司</w:t>
      </w:r>
      <w:r>
        <w:rPr>
          <w:rFonts w:ascii="Arial" w:hAnsi="Arial" w:cs="Arial" w:eastAsia="Arial" w:hint="default"/>
          <w:w w:val="95"/>
        </w:rPr>
        <w:t>)</w:t>
      </w:r>
      <w:r>
        <w:rPr>
          <w:w w:val="95"/>
        </w:rPr>
        <w:t>财务报表，包括</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日的合</w:t>
      </w:r>
      <w:r>
        <w:rPr>
          <w:w w:val="99"/>
        </w:rPr>
        <w:t> </w:t>
      </w:r>
      <w:r>
        <w:rPr>
          <w:spacing w:val="-1"/>
          <w:w w:val="95"/>
        </w:rPr>
        <w:t>并及母公司资产负债表，</w:t>
      </w:r>
      <w:r>
        <w:rPr>
          <w:rFonts w:ascii="Arial" w:hAnsi="Arial" w:cs="Arial" w:eastAsia="Arial" w:hint="default"/>
          <w:spacing w:val="-1"/>
          <w:w w:val="95"/>
        </w:rPr>
        <w:t>2019</w:t>
      </w:r>
      <w:r>
        <w:rPr>
          <w:spacing w:val="-1"/>
          <w:w w:val="95"/>
        </w:rPr>
        <w:t>年度的合并及母公司利润表、合并及母公司现金流量表、合并及母公司股东</w:t>
      </w:r>
      <w:r>
        <w:rPr>
          <w:spacing w:val="50"/>
          <w:w w:val="95"/>
        </w:rPr>
        <w:t> </w:t>
      </w:r>
      <w:r>
        <w:rPr>
          <w:spacing w:val="50"/>
          <w:w w:val="95"/>
        </w:rPr>
      </w:r>
      <w:r>
        <w:rPr/>
        <w:t>权益变动表以及相关财务报表附注。</w:t>
      </w:r>
    </w:p>
    <w:p>
      <w:pPr>
        <w:pStyle w:val="BodyText"/>
        <w:spacing w:line="240" w:lineRule="auto" w:before="140"/>
        <w:ind w:left="532" w:right="996"/>
        <w:jc w:val="left"/>
      </w:pPr>
      <w:r>
        <w:rPr/>
        <w:t>我们认为，后附的财务报表在所有重大方面按照企业会计准则的规定编制，公允反映了华宇软件公司</w:t>
      </w:r>
    </w:p>
    <w:p>
      <w:pPr>
        <w:pStyle w:val="BodyText"/>
        <w:spacing w:line="367" w:lineRule="auto" w:before="37"/>
        <w:ind w:left="532" w:right="996" w:hanging="420"/>
        <w:jc w:val="left"/>
      </w:pP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日的合并及母公司财务状况以及</w:t>
      </w:r>
      <w:r>
        <w:rPr>
          <w:rFonts w:ascii="Arial" w:hAnsi="Arial" w:cs="Arial" w:eastAsia="Arial" w:hint="default"/>
        </w:rPr>
        <w:t>2019</w:t>
      </w:r>
      <w:r>
        <w:rPr/>
        <w:t>年度的合并及母公司经营成果和现金流量。</w:t>
      </w:r>
      <w:r>
        <w:rPr>
          <w:w w:val="99"/>
        </w:rPr>
        <w:t> </w:t>
      </w:r>
      <w:r>
        <w:rPr>
          <w:rFonts w:ascii="宋体" w:hAnsi="宋体" w:cs="宋体" w:eastAsia="宋体" w:hint="default"/>
          <w:b/>
          <w:bCs/>
        </w:rPr>
        <w:t>二、形成审计意见的基础</w:t>
      </w:r>
      <w:r>
        <w:rPr>
          <w:rFonts w:ascii="宋体" w:hAnsi="宋体" w:cs="宋体" w:eastAsia="宋体" w:hint="default"/>
          <w:b/>
          <w:bCs/>
          <w:w w:val="99"/>
        </w:rPr>
        <w:t> </w:t>
      </w:r>
      <w:r>
        <w:rPr>
          <w:w w:val="95"/>
        </w:rPr>
        <w:t>我们按照中国注册会计师审计准则的规定执行了审计工作。审计报告的“注册会计师对财务报表审计</w:t>
      </w:r>
      <w:r>
        <w:rPr/>
      </w:r>
    </w:p>
    <w:p>
      <w:pPr>
        <w:pStyle w:val="BodyText"/>
        <w:spacing w:line="201" w:lineRule="exact"/>
        <w:ind w:right="996"/>
        <w:jc w:val="left"/>
      </w:pPr>
      <w:r>
        <w:rPr/>
        <w:t>的责任”部分进一步阐述了我们在这些准则下的责任。按照中国注册会计师职业道德守则，我们独立于华</w:t>
      </w:r>
    </w:p>
    <w:p>
      <w:pPr>
        <w:pStyle w:val="BodyText"/>
        <w:spacing w:line="273" w:lineRule="auto" w:before="37"/>
        <w:ind w:right="996"/>
        <w:jc w:val="left"/>
      </w:pPr>
      <w:r>
        <w:rPr>
          <w:w w:val="95"/>
        </w:rPr>
        <w:t>宇软件公司，并履行了职业道德方面的其他责任。我们相信，我们获取的审计证据是充分、适当的，为发</w:t>
      </w:r>
      <w:r>
        <w:rPr>
          <w:spacing w:val="44"/>
          <w:w w:val="95"/>
        </w:rPr>
        <w:t> </w:t>
      </w:r>
      <w:r>
        <w:rPr>
          <w:spacing w:val="44"/>
          <w:w w:val="95"/>
        </w:rPr>
      </w:r>
      <w:r>
        <w:rPr/>
        <w:t>表审计意见提供了基础。</w:t>
      </w:r>
    </w:p>
    <w:p>
      <w:pPr>
        <w:pStyle w:val="BodyText"/>
        <w:spacing w:line="432" w:lineRule="exact" w:before="27"/>
        <w:ind w:left="532" w:right="996" w:firstLine="144"/>
        <w:jc w:val="left"/>
      </w:pPr>
      <w:r>
        <w:rPr>
          <w:rFonts w:ascii="宋体" w:hAnsi="宋体" w:cs="宋体" w:eastAsia="宋体" w:hint="default"/>
          <w:b/>
          <w:bCs/>
        </w:rPr>
        <w:t>三、关键审计事项</w:t>
      </w:r>
      <w:r>
        <w:rPr>
          <w:rFonts w:ascii="宋体" w:hAnsi="宋体" w:cs="宋体" w:eastAsia="宋体" w:hint="default"/>
          <w:b/>
          <w:bCs/>
          <w:w w:val="99"/>
        </w:rPr>
        <w:t> </w:t>
      </w:r>
      <w:r>
        <w:rPr>
          <w:w w:val="95"/>
        </w:rPr>
        <w:t>关键审计事项是我们根据职业判断，认为对本期财务报表审计最为重要的事项。这些事项的应对以对</w:t>
      </w:r>
      <w:r>
        <w:rPr/>
      </w:r>
    </w:p>
    <w:p>
      <w:pPr>
        <w:pStyle w:val="BodyText"/>
        <w:spacing w:line="255" w:lineRule="exact"/>
        <w:ind w:right="996"/>
        <w:jc w:val="left"/>
      </w:pPr>
      <w:r>
        <w:rPr/>
        <w:t>财务报表整体进行审计并形成审计意见为背景，我们不对这些事项单独发表意见。</w:t>
      </w:r>
    </w:p>
    <w:p>
      <w:pPr>
        <w:pStyle w:val="BodyText"/>
        <w:spacing w:line="240" w:lineRule="auto" w:before="157"/>
        <w:ind w:left="532" w:right="996"/>
        <w:jc w:val="left"/>
      </w:pPr>
      <w:r>
        <w:rPr/>
        <w:t>我们确定下列事项是需要在审计报告中沟通的关键审计事项：</w:t>
      </w:r>
    </w:p>
    <w:p>
      <w:pPr>
        <w:pStyle w:val="BodyText"/>
        <w:spacing w:line="240" w:lineRule="auto" w:before="157"/>
        <w:ind w:left="681" w:right="996"/>
        <w:jc w:val="left"/>
      </w:pPr>
      <w:r>
        <w:rPr>
          <w:rFonts w:ascii="Arial" w:hAnsi="Arial" w:cs="Arial" w:eastAsia="Arial" w:hint="default"/>
        </w:rPr>
        <w:t>1</w:t>
      </w:r>
      <w:r>
        <w:rPr/>
        <w:t>、商誉减值事项</w:t>
      </w:r>
    </w:p>
    <w:p>
      <w:pPr>
        <w:spacing w:line="357" w:lineRule="auto" w:before="142"/>
        <w:ind w:left="674" w:right="8444" w:firstLine="7"/>
        <w:jc w:val="left"/>
        <w:rPr>
          <w:rFonts w:ascii="宋体" w:hAnsi="宋体" w:cs="宋体" w:eastAsia="宋体" w:hint="default"/>
          <w:sz w:val="21"/>
          <w:szCs w:val="21"/>
        </w:rPr>
      </w:pPr>
      <w:r>
        <w:rPr>
          <w:rFonts w:ascii="Arial" w:hAnsi="Arial" w:cs="Arial" w:eastAsia="Arial" w:hint="default"/>
          <w:w w:val="95"/>
          <w:sz w:val="21"/>
          <w:szCs w:val="21"/>
        </w:rPr>
        <w:t>2</w:t>
      </w:r>
      <w:r>
        <w:rPr>
          <w:rFonts w:ascii="宋体" w:hAnsi="宋体" w:cs="宋体" w:eastAsia="宋体" w:hint="default"/>
          <w:w w:val="95"/>
          <w:sz w:val="21"/>
          <w:szCs w:val="21"/>
        </w:rPr>
        <w:t>、开发支出资本化</w:t>
      </w:r>
      <w:r>
        <w:rPr>
          <w:rFonts w:ascii="宋体" w:hAnsi="宋体" w:cs="宋体" w:eastAsia="宋体" w:hint="default"/>
          <w:spacing w:val="-25"/>
          <w:w w:val="95"/>
          <w:sz w:val="21"/>
          <w:szCs w:val="21"/>
        </w:rPr>
        <w:t> </w:t>
      </w:r>
      <w:r>
        <w:rPr>
          <w:rFonts w:ascii="宋体" w:hAnsi="宋体" w:cs="宋体" w:eastAsia="宋体" w:hint="default"/>
          <w:spacing w:val="-25"/>
          <w:w w:val="95"/>
          <w:sz w:val="21"/>
          <w:szCs w:val="21"/>
        </w:rPr>
      </w:r>
      <w:r>
        <w:rPr>
          <w:rFonts w:ascii="Arial" w:hAnsi="Arial" w:cs="Arial" w:eastAsia="Arial" w:hint="default"/>
          <w:b/>
          <w:bCs/>
          <w:sz w:val="21"/>
          <w:szCs w:val="21"/>
        </w:rPr>
        <w:t>(</w:t>
      </w:r>
      <w:r>
        <w:rPr>
          <w:rFonts w:ascii="宋体" w:hAnsi="宋体" w:cs="宋体" w:eastAsia="宋体" w:hint="default"/>
          <w:b/>
          <w:bCs/>
          <w:sz w:val="21"/>
          <w:szCs w:val="21"/>
        </w:rPr>
        <w:t>一</w:t>
      </w:r>
      <w:r>
        <w:rPr>
          <w:rFonts w:ascii="Arial" w:hAnsi="Arial" w:cs="Arial" w:eastAsia="Arial" w:hint="default"/>
          <w:b/>
          <w:bCs/>
          <w:sz w:val="21"/>
          <w:szCs w:val="21"/>
        </w:rPr>
        <w:t>)</w:t>
      </w:r>
      <w:r>
        <w:rPr>
          <w:rFonts w:ascii="Arial" w:hAnsi="Arial" w:cs="Arial" w:eastAsia="Arial" w:hint="default"/>
          <w:b/>
          <w:bCs/>
          <w:spacing w:val="42"/>
          <w:sz w:val="21"/>
          <w:szCs w:val="21"/>
        </w:rPr>
        <w:t> </w:t>
      </w:r>
      <w:r>
        <w:rPr>
          <w:rFonts w:ascii="宋体" w:hAnsi="宋体" w:cs="宋体" w:eastAsia="宋体" w:hint="default"/>
          <w:b/>
          <w:bCs/>
          <w:sz w:val="21"/>
          <w:szCs w:val="21"/>
        </w:rPr>
        <w:t>商誉减值事项</w:t>
      </w:r>
      <w:r>
        <w:rPr>
          <w:rFonts w:ascii="宋体" w:hAnsi="宋体" w:cs="宋体" w:eastAsia="宋体" w:hint="default"/>
          <w:b/>
          <w:bCs/>
          <w:w w:val="99"/>
          <w:sz w:val="21"/>
          <w:szCs w:val="21"/>
        </w:rPr>
        <w:t> </w:t>
      </w:r>
      <w:r>
        <w:rPr>
          <w:rFonts w:ascii="Arial" w:hAnsi="Arial" w:cs="Arial" w:eastAsia="Arial" w:hint="default"/>
          <w:b/>
          <w:bCs/>
          <w:sz w:val="21"/>
          <w:szCs w:val="21"/>
        </w:rPr>
        <w:t>1</w:t>
      </w:r>
      <w:r>
        <w:rPr>
          <w:rFonts w:ascii="宋体" w:hAnsi="宋体" w:cs="宋体" w:eastAsia="宋体" w:hint="default"/>
          <w:b/>
          <w:bCs/>
          <w:sz w:val="21"/>
          <w:szCs w:val="21"/>
        </w:rPr>
        <w:t>、事项描述</w:t>
      </w:r>
      <w:r>
        <w:rPr>
          <w:rFonts w:ascii="宋体" w:hAnsi="宋体" w:cs="宋体" w:eastAsia="宋体" w:hint="default"/>
          <w:sz w:val="21"/>
          <w:szCs w:val="21"/>
        </w:rPr>
      </w:r>
    </w:p>
    <w:p>
      <w:pPr>
        <w:pStyle w:val="BodyText"/>
        <w:spacing w:line="240" w:lineRule="auto" w:before="27"/>
        <w:ind w:left="532" w:right="996"/>
        <w:jc w:val="left"/>
      </w:pPr>
      <w:r>
        <w:rPr/>
        <w:t>请参阅合并财务报表附注五、</w:t>
      </w:r>
      <w:r>
        <w:rPr>
          <w:rFonts w:ascii="Arial" w:hAnsi="Arial" w:cs="Arial" w:eastAsia="Arial" w:hint="default"/>
        </w:rPr>
        <w:t>19</w:t>
      </w:r>
      <w:r>
        <w:rPr/>
        <w:t>及附注七、</w:t>
      </w:r>
      <w:r>
        <w:rPr>
          <w:rFonts w:ascii="Arial" w:hAnsi="Arial" w:cs="Arial" w:eastAsia="Arial" w:hint="default"/>
        </w:rPr>
        <w:t>15</w:t>
      </w:r>
      <w:r>
        <w:rPr/>
        <w:t>。</w:t>
      </w:r>
    </w:p>
    <w:p>
      <w:pPr>
        <w:pStyle w:val="BodyText"/>
        <w:spacing w:line="259" w:lineRule="auto" w:before="142"/>
        <w:ind w:right="1118" w:firstLine="568"/>
        <w:jc w:val="both"/>
      </w:pPr>
      <w:r>
        <w:rPr>
          <w:w w:val="95"/>
        </w:rPr>
        <w:t>截止</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日，华宇软件公司商誉账面原值</w:t>
      </w:r>
      <w:r>
        <w:rPr>
          <w:rFonts w:ascii="Arial" w:hAnsi="Arial" w:cs="Arial" w:eastAsia="Arial" w:hint="default"/>
          <w:w w:val="95"/>
        </w:rPr>
        <w:t>166,106.61</w:t>
      </w:r>
      <w:r>
        <w:rPr>
          <w:w w:val="95"/>
        </w:rPr>
        <w:t>万元，未计提商誉减值准备，商誉账</w:t>
      </w:r>
      <w:r>
        <w:rPr>
          <w:w w:val="99"/>
        </w:rPr>
        <w:t> </w:t>
      </w:r>
      <w:r>
        <w:rPr/>
        <w:t>面价值</w:t>
      </w:r>
      <w:r>
        <w:rPr>
          <w:rFonts w:ascii="Arial" w:hAnsi="Arial" w:cs="Arial" w:eastAsia="Arial" w:hint="default"/>
        </w:rPr>
        <w:t>166,106.61</w:t>
      </w:r>
      <w:r>
        <w:rPr/>
        <w:t>万元，占</w:t>
      </w:r>
      <w:r>
        <w:rPr>
          <w:rFonts w:ascii="Arial" w:hAnsi="Arial" w:cs="Arial" w:eastAsia="Arial" w:hint="default"/>
        </w:rPr>
        <w:t>2019</w:t>
      </w:r>
      <w:r>
        <w:rPr/>
        <w:t>年合并财务报表资产总额的</w:t>
      </w:r>
      <w:r>
        <w:rPr>
          <w:rFonts w:ascii="Arial" w:hAnsi="Arial" w:cs="Arial" w:eastAsia="Arial" w:hint="default"/>
        </w:rPr>
        <w:t>22.72%</w:t>
      </w:r>
      <w:r>
        <w:rPr/>
        <w:t>。华宇软件公司商誉主要来自收购联</w:t>
      </w:r>
      <w:r>
        <w:rPr>
          <w:spacing w:val="-50"/>
        </w:rPr>
        <w:t> </w:t>
      </w:r>
      <w:r>
        <w:rPr>
          <w:spacing w:val="-50"/>
        </w:rPr>
      </w:r>
      <w:r>
        <w:rPr/>
        <w:t>奕科技有限公司、北京万户网络技术有限公司等子公司所形成。</w:t>
      </w:r>
    </w:p>
    <w:p>
      <w:pPr>
        <w:spacing w:after="0" w:line="259" w:lineRule="auto"/>
        <w:jc w:val="both"/>
        <w:sectPr>
          <w:type w:val="continuous"/>
          <w:pgSz w:w="11910" w:h="16840"/>
          <w:pgMar w:top="106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0" w:firstLine="568"/>
        <w:jc w:val="both"/>
      </w:pPr>
      <w:r>
        <w:rPr/>
        <w:t>管理层在每年年终终了对商誉进行减值测试，并依据减值测试的结果调整商誉的账面价值。由于商</w:t>
      </w:r>
      <w:r>
        <w:rPr>
          <w:w w:val="99"/>
        </w:rPr>
        <w:t> </w:t>
      </w:r>
      <w:r>
        <w:rPr>
          <w:w w:val="95"/>
        </w:rPr>
        <w:t>誉减值测试的结果很大程度上依赖于管理层所做的估计和采用的假设，特别是在预测相关资产组的预测期</w:t>
      </w:r>
      <w:r>
        <w:rPr>
          <w:spacing w:val="39"/>
          <w:w w:val="95"/>
        </w:rPr>
        <w:t> </w:t>
      </w:r>
      <w:r>
        <w:rPr>
          <w:spacing w:val="39"/>
          <w:w w:val="95"/>
        </w:rPr>
      </w:r>
      <w:r>
        <w:rPr>
          <w:w w:val="95"/>
        </w:rPr>
        <w:t>间的收入、毛利率、经营费用、折现率等涉及管理层的重大判断。该等估计均存在重大不确定性，受管理</w:t>
      </w:r>
      <w:r>
        <w:rPr>
          <w:spacing w:val="44"/>
          <w:w w:val="95"/>
        </w:rPr>
        <w:t> </w:t>
      </w:r>
      <w:r>
        <w:rPr>
          <w:spacing w:val="44"/>
          <w:w w:val="95"/>
        </w:rPr>
      </w:r>
      <w:r>
        <w:rPr>
          <w:w w:val="95"/>
        </w:rPr>
        <w:t>层对未来市场以及对经济环境判断的影响，采用不同的估计和假设会对评估的商誉可收回价值有很大的影   </w:t>
      </w:r>
      <w:r>
        <w:rPr>
          <w:spacing w:val="39"/>
          <w:w w:val="95"/>
        </w:rPr>
        <w:t> </w:t>
      </w:r>
      <w:r>
        <w:rPr>
          <w:spacing w:val="39"/>
          <w:w w:val="95"/>
        </w:rPr>
      </w:r>
      <w:r>
        <w:rPr/>
        <w:t>响。</w:t>
      </w:r>
    </w:p>
    <w:p>
      <w:pPr>
        <w:pStyle w:val="BodyText"/>
        <w:spacing w:line="273" w:lineRule="auto" w:before="127"/>
        <w:ind w:right="1133" w:firstLine="568"/>
        <w:jc w:val="both"/>
      </w:pPr>
      <w:r>
        <w:rPr/>
        <w:t>由于商誉对财务报表有重大影响，且商誉减值依赖于管理层重大的会计估计和判断，因此我们将其</w:t>
      </w:r>
      <w:r>
        <w:rPr>
          <w:w w:val="99"/>
        </w:rPr>
        <w:t> </w:t>
      </w:r>
      <w:r>
        <w:rPr/>
        <w:t>认定为关键审计事项。</w:t>
      </w:r>
    </w:p>
    <w:p>
      <w:pPr>
        <w:spacing w:line="357" w:lineRule="auto" w:before="127"/>
        <w:ind w:left="681" w:right="547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w w:val="95"/>
          <w:sz w:val="21"/>
          <w:szCs w:val="21"/>
        </w:rPr>
        <w:t>我们对于商誉减值事项所实施的重要审计程序包括：</w:t>
      </w:r>
      <w:r>
        <w:rPr>
          <w:rFonts w:ascii="宋体" w:hAnsi="宋体" w:cs="宋体" w:eastAsia="宋体" w:hint="default"/>
          <w:sz w:val="21"/>
          <w:szCs w:val="21"/>
        </w:rPr>
      </w:r>
    </w:p>
    <w:p>
      <w:pPr>
        <w:pStyle w:val="BodyText"/>
        <w:spacing w:line="259" w:lineRule="auto" w:before="54"/>
        <w:ind w:right="1132" w:firstLine="568"/>
        <w:jc w:val="both"/>
      </w:pPr>
      <w:r>
        <w:rPr>
          <w:rFonts w:ascii="Arial" w:hAnsi="Arial" w:cs="Arial" w:eastAsia="Arial" w:hint="default"/>
        </w:rPr>
        <w:t>(1)</w:t>
      </w:r>
      <w:r>
        <w:rPr>
          <w:rFonts w:ascii="Arial" w:hAnsi="Arial" w:cs="Arial" w:eastAsia="Arial" w:hint="default"/>
          <w:spacing w:val="46"/>
        </w:rPr>
        <w:t> </w:t>
      </w:r>
      <w:r>
        <w:rPr>
          <w:spacing w:val="2"/>
        </w:rPr>
        <w:t>了解与评价管理层与商誉减值测试相关的内部控制设计合理性，并测试相关内部控制运行的有</w:t>
      </w:r>
      <w:r>
        <w:rPr>
          <w:w w:val="99"/>
        </w:rPr>
        <w:t> </w:t>
      </w:r>
      <w:r>
        <w:rPr/>
        <w:t>效性；</w:t>
      </w:r>
    </w:p>
    <w:p>
      <w:pPr>
        <w:pStyle w:val="BodyText"/>
        <w:spacing w:line="240" w:lineRule="auto" w:before="140"/>
        <w:ind w:left="681" w:right="996"/>
        <w:jc w:val="left"/>
      </w:pPr>
      <w:r>
        <w:rPr>
          <w:rFonts w:ascii="Arial" w:hAnsi="Arial" w:cs="Arial" w:eastAsia="Arial" w:hint="default"/>
        </w:rPr>
        <w:t>(2)</w:t>
      </w:r>
      <w:r>
        <w:rPr>
          <w:rFonts w:ascii="Arial" w:hAnsi="Arial" w:cs="Arial" w:eastAsia="Arial" w:hint="default"/>
          <w:spacing w:val="33"/>
        </w:rPr>
        <w:t> </w:t>
      </w:r>
      <w:r>
        <w:rPr/>
        <w:t>复核管理层对资产组的认定和商誉的分摊方法；</w:t>
      </w:r>
    </w:p>
    <w:p>
      <w:pPr>
        <w:pStyle w:val="BodyText"/>
        <w:spacing w:line="259" w:lineRule="auto" w:before="142"/>
        <w:ind w:right="1132" w:firstLine="568"/>
        <w:jc w:val="both"/>
      </w:pPr>
      <w:r>
        <w:rPr>
          <w:rFonts w:ascii="Arial" w:hAnsi="Arial" w:cs="Arial" w:eastAsia="Arial" w:hint="default"/>
        </w:rPr>
        <w:t>(3)</w:t>
      </w:r>
      <w:r>
        <w:rPr>
          <w:rFonts w:ascii="Arial" w:hAnsi="Arial" w:cs="Arial" w:eastAsia="Arial" w:hint="default"/>
          <w:spacing w:val="46"/>
        </w:rPr>
        <w:t> </w:t>
      </w:r>
      <w:r>
        <w:rPr>
          <w:spacing w:val="2"/>
        </w:rPr>
        <w:t>与公司管理层讨论商誉减值测试过程中所使用的方法、关键评估的假设、参数的选择、预测期</w:t>
      </w:r>
      <w:r>
        <w:rPr>
          <w:w w:val="99"/>
        </w:rPr>
        <w:t> </w:t>
      </w:r>
      <w:r>
        <w:rPr/>
        <w:t>间的收入、毛利率、经营费用及现金流折现率等的合理性；</w:t>
      </w:r>
    </w:p>
    <w:p>
      <w:pPr>
        <w:pStyle w:val="BodyText"/>
        <w:spacing w:line="259" w:lineRule="auto" w:before="140"/>
        <w:ind w:right="1132" w:firstLine="568"/>
        <w:jc w:val="both"/>
      </w:pPr>
      <w:r>
        <w:rPr>
          <w:rFonts w:ascii="Arial" w:hAnsi="Arial" w:cs="Arial" w:eastAsia="Arial" w:hint="default"/>
        </w:rPr>
        <w:t>(4)</w:t>
      </w:r>
      <w:r>
        <w:rPr>
          <w:rFonts w:ascii="Arial" w:hAnsi="Arial" w:cs="Arial" w:eastAsia="Arial" w:hint="default"/>
          <w:spacing w:val="46"/>
        </w:rPr>
        <w:t> </w:t>
      </w:r>
      <w:r>
        <w:rPr>
          <w:spacing w:val="2"/>
        </w:rPr>
        <w:t>与公司管理层聘请的外部评估机构专家等讨论商誉减值测试过程中所使用的方法、关键评估的</w:t>
      </w:r>
      <w:r>
        <w:rPr>
          <w:w w:val="99"/>
        </w:rPr>
        <w:t> </w:t>
      </w:r>
      <w:r>
        <w:rPr/>
        <w:t>假设、参数的选择、预测期间的收入、毛利率、经营费用及现金流折现率等的合理性；</w:t>
      </w:r>
    </w:p>
    <w:p>
      <w:pPr>
        <w:pStyle w:val="BodyText"/>
        <w:spacing w:line="266" w:lineRule="auto" w:before="140"/>
        <w:ind w:right="1132" w:firstLine="568"/>
        <w:jc w:val="both"/>
      </w:pPr>
      <w:r>
        <w:rPr>
          <w:rFonts w:ascii="Arial" w:hAnsi="Arial" w:cs="Arial" w:eastAsia="Arial" w:hint="default"/>
        </w:rPr>
        <w:t>(5)</w:t>
      </w:r>
      <w:r>
        <w:rPr>
          <w:rFonts w:ascii="Arial" w:hAnsi="Arial" w:cs="Arial" w:eastAsia="Arial" w:hint="default"/>
          <w:spacing w:val="46"/>
        </w:rPr>
        <w:t> </w:t>
      </w:r>
      <w:r>
        <w:rPr>
          <w:spacing w:val="2"/>
        </w:rPr>
        <w:t>将公司管理层在以往年度商誉减值测试过程中所使用的关键假设和参数、预测期间的收入、毛</w:t>
      </w:r>
      <w:r>
        <w:rPr>
          <w:w w:val="99"/>
        </w:rPr>
        <w:t> </w:t>
      </w:r>
      <w:r>
        <w:rPr>
          <w:w w:val="95"/>
        </w:rPr>
        <w:t>利率、经营费用及现金流量等，与本年度所使用的关键假设和参数、本年经营业绩等作对比，以评估管理</w:t>
      </w:r>
      <w:r>
        <w:rPr>
          <w:spacing w:val="41"/>
          <w:w w:val="95"/>
        </w:rPr>
        <w:t> </w:t>
      </w:r>
      <w:r>
        <w:rPr>
          <w:spacing w:val="41"/>
          <w:w w:val="95"/>
        </w:rPr>
      </w:r>
      <w:r>
        <w:rPr/>
        <w:t>层预测过程的可靠性和准确性，并向管理层询问显著差异的原因；</w:t>
      </w:r>
    </w:p>
    <w:p>
      <w:pPr>
        <w:pStyle w:val="BodyText"/>
        <w:spacing w:line="259" w:lineRule="auto" w:before="134"/>
        <w:ind w:right="1132" w:firstLine="568"/>
        <w:jc w:val="both"/>
      </w:pPr>
      <w:r>
        <w:rPr>
          <w:rFonts w:ascii="Arial" w:hAnsi="Arial" w:cs="Arial" w:eastAsia="Arial" w:hint="default"/>
        </w:rPr>
        <w:t>(6)</w:t>
      </w:r>
      <w:r>
        <w:rPr>
          <w:rFonts w:ascii="Arial" w:hAnsi="Arial" w:cs="Arial" w:eastAsia="Arial" w:hint="default"/>
          <w:spacing w:val="46"/>
        </w:rPr>
        <w:t> </w:t>
      </w:r>
      <w:r>
        <w:rPr>
          <w:spacing w:val="2"/>
        </w:rPr>
        <w:t>结合同行业标准、宏观经济和所属行业的发展趋势等，评估商誉减值测试过程中所使用的关键</w:t>
      </w:r>
      <w:r>
        <w:rPr>
          <w:w w:val="99"/>
        </w:rPr>
        <w:t> </w:t>
      </w:r>
      <w:r>
        <w:rPr/>
        <w:t>假设和参数的合理性；</w:t>
      </w:r>
    </w:p>
    <w:p>
      <w:pPr>
        <w:pStyle w:val="BodyText"/>
        <w:spacing w:line="240" w:lineRule="auto" w:before="140"/>
        <w:ind w:left="681" w:right="996"/>
        <w:jc w:val="left"/>
      </w:pPr>
      <w:r>
        <w:rPr>
          <w:rFonts w:ascii="Arial" w:hAnsi="Arial" w:cs="Arial" w:eastAsia="Arial" w:hint="default"/>
        </w:rPr>
        <w:t>(7)</w:t>
      </w:r>
      <w:r>
        <w:rPr>
          <w:rFonts w:ascii="Arial" w:hAnsi="Arial" w:cs="Arial" w:eastAsia="Arial" w:hint="default"/>
          <w:spacing w:val="26"/>
        </w:rPr>
        <w:t> </w:t>
      </w:r>
      <w:r>
        <w:rPr/>
        <w:t>评价由公司管理层聘请的外部评估机构的独立性、客观性、经验和资质；</w:t>
      </w:r>
    </w:p>
    <w:p>
      <w:pPr>
        <w:pStyle w:val="BodyText"/>
        <w:spacing w:line="240" w:lineRule="auto" w:before="142"/>
        <w:ind w:left="681" w:right="996"/>
        <w:jc w:val="left"/>
      </w:pPr>
      <w:r>
        <w:rPr>
          <w:rFonts w:ascii="Arial" w:hAnsi="Arial" w:cs="Arial" w:eastAsia="Arial" w:hint="default"/>
        </w:rPr>
        <w:t>(8)</w:t>
      </w:r>
      <w:r>
        <w:rPr>
          <w:rFonts w:ascii="Arial" w:hAnsi="Arial" w:cs="Arial" w:eastAsia="Arial" w:hint="default"/>
          <w:spacing w:val="34"/>
        </w:rPr>
        <w:t> </w:t>
      </w:r>
      <w:r>
        <w:rPr/>
        <w:t>测试未来现金流量净现值的计算是否准确；</w:t>
      </w:r>
    </w:p>
    <w:p>
      <w:pPr>
        <w:pStyle w:val="BodyText"/>
        <w:spacing w:line="357" w:lineRule="auto" w:before="142"/>
        <w:ind w:left="681" w:right="1978"/>
        <w:jc w:val="left"/>
      </w:pPr>
      <w:r>
        <w:rPr>
          <w:rFonts w:ascii="Arial" w:hAnsi="Arial" w:cs="Arial" w:eastAsia="Arial" w:hint="default"/>
        </w:rPr>
        <w:t>(9)</w:t>
      </w:r>
      <w:r>
        <w:rPr>
          <w:rFonts w:ascii="Arial" w:hAnsi="Arial" w:cs="Arial" w:eastAsia="Arial" w:hint="default"/>
          <w:spacing w:val="27"/>
        </w:rPr>
        <w:t> </w:t>
      </w:r>
      <w:r>
        <w:rPr/>
        <w:t>评估管理层于</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日对商誉及其减值估计结果、财务报表的披露是否恰当。</w:t>
      </w:r>
      <w:r>
        <w:rPr>
          <w:w w:val="99"/>
        </w:rPr>
        <w:t> </w:t>
      </w:r>
      <w:r>
        <w:rPr/>
        <w:t>基于已执行的审计工作，我们认为，管理层在商誉减值测试中作出的判断是合理的。</w:t>
      </w:r>
    </w:p>
    <w:p>
      <w:pPr>
        <w:pStyle w:val="Heading4"/>
        <w:spacing w:line="240" w:lineRule="auto" w:before="54"/>
        <w:ind w:left="674" w:right="996"/>
        <w:jc w:val="left"/>
        <w:rPr>
          <w:b w:val="0"/>
          <w:bCs w:val="0"/>
        </w:rPr>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39"/>
        </w:rPr>
        <w:t> </w:t>
      </w:r>
      <w:r>
        <w:rPr/>
        <w:t>开发支出资本化</w:t>
      </w:r>
      <w:r>
        <w:rPr>
          <w:b w:val="0"/>
          <w:bCs w:val="0"/>
        </w:rPr>
      </w:r>
    </w:p>
    <w:p>
      <w:pPr>
        <w:spacing w:line="357" w:lineRule="auto" w:before="142"/>
        <w:ind w:left="532" w:right="5876" w:firstLine="141"/>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、事项描述</w:t>
      </w:r>
      <w:r>
        <w:rPr>
          <w:rFonts w:ascii="宋体" w:hAnsi="宋体" w:cs="宋体" w:eastAsia="宋体" w:hint="default"/>
          <w:b/>
          <w:bCs/>
          <w:w w:val="99"/>
          <w:sz w:val="21"/>
          <w:szCs w:val="21"/>
        </w:rPr>
        <w:t> </w:t>
      </w:r>
      <w:r>
        <w:rPr>
          <w:rFonts w:ascii="宋体" w:hAnsi="宋体" w:cs="宋体" w:eastAsia="宋体" w:hint="default"/>
          <w:sz w:val="21"/>
          <w:szCs w:val="21"/>
        </w:rPr>
        <w:t>请参阅合并财务报表附注五、</w:t>
      </w:r>
      <w:r>
        <w:rPr>
          <w:rFonts w:ascii="Arial" w:hAnsi="Arial" w:cs="Arial" w:eastAsia="Arial" w:hint="default"/>
          <w:sz w:val="21"/>
          <w:szCs w:val="21"/>
        </w:rPr>
        <w:t>18</w:t>
      </w:r>
      <w:r>
        <w:rPr>
          <w:rFonts w:ascii="宋体" w:hAnsi="宋体" w:cs="宋体" w:eastAsia="宋体" w:hint="default"/>
          <w:sz w:val="21"/>
          <w:szCs w:val="21"/>
        </w:rPr>
        <w:t>及附注七、</w:t>
      </w:r>
      <w:r>
        <w:rPr>
          <w:rFonts w:ascii="Arial" w:hAnsi="Arial" w:cs="Arial" w:eastAsia="Arial" w:hint="default"/>
          <w:sz w:val="21"/>
          <w:szCs w:val="21"/>
        </w:rPr>
        <w:t>14</w:t>
      </w:r>
      <w:r>
        <w:rPr>
          <w:rFonts w:ascii="宋体" w:hAnsi="宋体" w:cs="宋体" w:eastAsia="宋体" w:hint="default"/>
          <w:sz w:val="21"/>
          <w:szCs w:val="21"/>
        </w:rPr>
        <w:t>。</w:t>
      </w:r>
    </w:p>
    <w:p>
      <w:pPr>
        <w:pStyle w:val="BodyText"/>
        <w:spacing w:line="259" w:lineRule="auto" w:before="27"/>
        <w:ind w:right="1116" w:firstLine="420"/>
        <w:jc w:val="left"/>
      </w:pPr>
      <w:r>
        <w:rPr>
          <w:spacing w:val="3"/>
        </w:rPr>
        <w:t>华宇软件公司</w:t>
      </w:r>
      <w:r>
        <w:rPr>
          <w:rFonts w:ascii="Arial" w:hAnsi="Arial" w:cs="Arial" w:eastAsia="Arial" w:hint="default"/>
          <w:spacing w:val="3"/>
        </w:rPr>
        <w:t>2019</w:t>
      </w:r>
      <w:r>
        <w:rPr>
          <w:spacing w:val="3"/>
        </w:rPr>
        <w:t>年度开发阶段支出</w:t>
      </w:r>
      <w:r>
        <w:rPr>
          <w:rFonts w:ascii="Arial" w:hAnsi="Arial" w:cs="Arial" w:eastAsia="Arial" w:hint="default"/>
          <w:spacing w:val="3"/>
        </w:rPr>
        <w:t>21,044.23</w:t>
      </w:r>
      <w:r>
        <w:rPr>
          <w:spacing w:val="3"/>
        </w:rPr>
        <w:t>万元，本期因项目开发完成资本化金额</w:t>
      </w:r>
      <w:r>
        <w:rPr>
          <w:rFonts w:ascii="Arial" w:hAnsi="Arial" w:cs="Arial" w:eastAsia="Arial" w:hint="default"/>
          <w:spacing w:val="3"/>
        </w:rPr>
        <w:t>18,293.57</w:t>
      </w:r>
      <w:r>
        <w:rPr>
          <w:spacing w:val="3"/>
        </w:rPr>
        <w:t>万</w:t>
      </w:r>
      <w:r>
        <w:rPr>
          <w:w w:val="99"/>
        </w:rPr>
        <w:t> </w:t>
      </w:r>
      <w:r>
        <w:rPr/>
        <w:t>元，占期末资产总额比重</w:t>
      </w:r>
      <w:r>
        <w:rPr>
          <w:rFonts w:ascii="Arial" w:hAnsi="Arial" w:cs="Arial" w:eastAsia="Arial" w:hint="default"/>
        </w:rPr>
        <w:t>2.50%</w:t>
      </w:r>
      <w:r>
        <w:rPr/>
        <w:t>。</w:t>
      </w:r>
    </w:p>
    <w:p>
      <w:pPr>
        <w:pStyle w:val="BodyText"/>
        <w:spacing w:line="273" w:lineRule="auto" w:before="123"/>
        <w:ind w:right="996" w:firstLine="420"/>
        <w:jc w:val="left"/>
      </w:pPr>
      <w:r>
        <w:rPr>
          <w:w w:val="95"/>
        </w:rPr>
        <w:t>华宇软件公司本年度研发支出金额较大，且管理层对于研发阶段与开发阶段的划分、开发支出是否满</w:t>
      </w:r>
      <w:r>
        <w:rPr>
          <w:w w:val="99"/>
        </w:rPr>
        <w:t> </w:t>
      </w:r>
      <w:r>
        <w:rPr/>
        <w:t>足会计准则规定的资本化条件等的重大判断，均会对当期净利润产生较大影响。</w:t>
      </w:r>
    </w:p>
    <w:p>
      <w:pPr>
        <w:pStyle w:val="BodyText"/>
        <w:spacing w:line="240" w:lineRule="auto" w:before="127"/>
        <w:ind w:left="532" w:right="996"/>
        <w:jc w:val="left"/>
      </w:pPr>
      <w:r>
        <w:rPr/>
        <w:t>由于开发支出是否资本化涉及管理层重大判断，因此我们将开发支出认定为关键审计事项。</w:t>
      </w:r>
    </w:p>
    <w:p>
      <w:pPr>
        <w:spacing w:line="357" w:lineRule="auto" w:before="157"/>
        <w:ind w:left="681" w:right="403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w w:val="95"/>
          <w:sz w:val="21"/>
          <w:szCs w:val="21"/>
        </w:rPr>
        <w:t>我们对于开发支出资本化事项所实施的重要审计程序包括：</w:t>
      </w:r>
      <w:r>
        <w:rPr>
          <w:rFonts w:ascii="宋体" w:hAnsi="宋体" w:cs="宋体" w:eastAsia="宋体" w:hint="default"/>
          <w:sz w:val="21"/>
          <w:szCs w:val="21"/>
        </w:rPr>
      </w:r>
    </w:p>
    <w:p>
      <w:pPr>
        <w:pStyle w:val="BodyText"/>
        <w:spacing w:line="240" w:lineRule="auto" w:before="54"/>
        <w:ind w:left="681" w:right="996"/>
        <w:jc w:val="left"/>
      </w:pPr>
      <w:r>
        <w:rPr>
          <w:rFonts w:ascii="Arial" w:hAnsi="Arial" w:cs="Arial" w:eastAsia="Arial" w:hint="default"/>
        </w:rPr>
        <w:t>(1)</w:t>
      </w:r>
      <w:r>
        <w:rPr>
          <w:rFonts w:ascii="Arial" w:hAnsi="Arial" w:cs="Arial" w:eastAsia="Arial" w:hint="default"/>
          <w:spacing w:val="19"/>
        </w:rPr>
        <w:t> </w:t>
      </w:r>
      <w:r>
        <w:rPr/>
        <w:t>了解与评价管理层与开发支出相关的内部控制设计合理性，并测试相关内部控制运行的有效性；</w:t>
      </w:r>
    </w:p>
    <w:p>
      <w:pPr>
        <w:spacing w:after="0" w:line="240" w:lineRule="auto"/>
        <w:jc w:val="left"/>
        <w:sectPr>
          <w:footerReference w:type="default" r:id="rId29"/>
          <w:pgSz w:w="11910" w:h="16840"/>
          <w:pgMar w:footer="1016" w:header="878" w:top="1100" w:bottom="1200" w:left="1020" w:right="0"/>
          <w:pgNumType w:start="90"/>
        </w:sectPr>
      </w:pPr>
    </w:p>
    <w:p>
      <w:pPr>
        <w:spacing w:line="240" w:lineRule="auto" w:before="12"/>
        <w:rPr>
          <w:rFonts w:ascii="宋体" w:hAnsi="宋体" w:cs="宋体" w:eastAsia="宋体" w:hint="default"/>
          <w:sz w:val="20"/>
          <w:szCs w:val="20"/>
        </w:rPr>
      </w:pPr>
    </w:p>
    <w:p>
      <w:pPr>
        <w:pStyle w:val="BodyText"/>
        <w:spacing w:line="240" w:lineRule="auto" w:before="34"/>
        <w:ind w:left="681" w:right="996"/>
        <w:jc w:val="left"/>
      </w:pPr>
      <w:r>
        <w:rPr>
          <w:rFonts w:ascii="Arial" w:hAnsi="Arial" w:cs="Arial" w:eastAsia="Arial" w:hint="default"/>
        </w:rPr>
        <w:t>(2)</w:t>
      </w:r>
      <w:r>
        <w:rPr>
          <w:rFonts w:ascii="Arial" w:hAnsi="Arial" w:cs="Arial" w:eastAsia="Arial" w:hint="default"/>
          <w:spacing w:val="26"/>
        </w:rPr>
        <w:t> </w:t>
      </w:r>
      <w:r>
        <w:rPr/>
        <w:t>评估管理层所采用的开发支出资本化的政策是否符合企业会计准则的相关规定；</w:t>
      </w:r>
    </w:p>
    <w:p>
      <w:pPr>
        <w:pStyle w:val="BodyText"/>
        <w:spacing w:line="266" w:lineRule="auto" w:before="142"/>
        <w:ind w:right="1132" w:firstLine="568"/>
        <w:jc w:val="both"/>
      </w:pPr>
      <w:r>
        <w:rPr>
          <w:rFonts w:ascii="Arial" w:hAnsi="Arial" w:cs="Arial" w:eastAsia="Arial" w:hint="default"/>
        </w:rPr>
        <w:t>(3)</w:t>
      </w:r>
      <w:r>
        <w:rPr>
          <w:rFonts w:ascii="Arial" w:hAnsi="Arial" w:cs="Arial" w:eastAsia="Arial" w:hint="default"/>
          <w:spacing w:val="46"/>
        </w:rPr>
        <w:t> </w:t>
      </w:r>
      <w:r>
        <w:rPr>
          <w:spacing w:val="2"/>
        </w:rPr>
        <w:t>对于本期开发支出资本化的项目，与管理层讨论公司将其资本化时所做的评估和分析，包括其</w:t>
      </w:r>
      <w:r>
        <w:rPr>
          <w:w w:val="99"/>
        </w:rPr>
        <w:t> </w:t>
      </w:r>
      <w:r>
        <w:rPr>
          <w:w w:val="95"/>
        </w:rPr>
        <w:t>归集的研发支出是否与资本化项目相关、研究阶段和开发阶段的划分是否合理、开发支出资本化是否符合</w:t>
      </w:r>
      <w:r>
        <w:rPr>
          <w:spacing w:val="40"/>
          <w:w w:val="95"/>
        </w:rPr>
        <w:t> </w:t>
      </w:r>
      <w:r>
        <w:rPr>
          <w:spacing w:val="40"/>
          <w:w w:val="95"/>
        </w:rPr>
      </w:r>
      <w:r>
        <w:rPr/>
        <w:t>企业会计准则的规定，以及项目的技术可行性和如何产生未来经济利益的判断依据和相关假设；</w:t>
      </w:r>
    </w:p>
    <w:p>
      <w:pPr>
        <w:pStyle w:val="BodyText"/>
        <w:spacing w:line="259" w:lineRule="auto" w:before="134"/>
        <w:ind w:right="1132" w:firstLine="568"/>
        <w:jc w:val="both"/>
      </w:pPr>
      <w:r>
        <w:rPr>
          <w:rFonts w:ascii="Arial" w:hAnsi="Arial" w:cs="Arial" w:eastAsia="Arial" w:hint="default"/>
        </w:rPr>
        <w:t>(4)</w:t>
      </w:r>
      <w:r>
        <w:rPr>
          <w:rFonts w:ascii="Arial" w:hAnsi="Arial" w:cs="Arial" w:eastAsia="Arial" w:hint="default"/>
          <w:spacing w:val="46"/>
        </w:rPr>
        <w:t> </w:t>
      </w:r>
      <w:r>
        <w:rPr>
          <w:spacing w:val="2"/>
        </w:rPr>
        <w:t>对于本期开发支出资本化的项目，检查与开发支出资本化相关的文件，包括不限于立项文件、</w:t>
      </w:r>
      <w:r>
        <w:rPr>
          <w:w w:val="99"/>
        </w:rPr>
        <w:t> </w:t>
      </w:r>
      <w:r>
        <w:rPr/>
        <w:t>可行性研究报告等，检查各项目开始资本化时点是否准确；</w:t>
      </w:r>
    </w:p>
    <w:p>
      <w:pPr>
        <w:pStyle w:val="BodyText"/>
        <w:spacing w:line="259" w:lineRule="auto" w:before="140"/>
        <w:ind w:right="1132" w:firstLine="568"/>
        <w:jc w:val="both"/>
      </w:pPr>
      <w:r>
        <w:rPr>
          <w:rFonts w:ascii="Arial" w:hAnsi="Arial" w:cs="Arial" w:eastAsia="Arial" w:hint="default"/>
        </w:rPr>
        <w:t>(5)</w:t>
      </w:r>
      <w:r>
        <w:rPr>
          <w:rFonts w:ascii="Arial" w:hAnsi="Arial" w:cs="Arial" w:eastAsia="Arial" w:hint="default"/>
          <w:spacing w:val="46"/>
        </w:rPr>
        <w:t> </w:t>
      </w:r>
      <w:r>
        <w:rPr>
          <w:spacing w:val="2"/>
        </w:rPr>
        <w:t>抽取开发支出会计记录的样本，检查相关原始凭证、期末项目进度报告，验证开发支出的真实</w:t>
      </w:r>
      <w:r>
        <w:rPr>
          <w:w w:val="99"/>
        </w:rPr>
        <w:t> </w:t>
      </w:r>
      <w:r>
        <w:rPr/>
        <w:t>性、金额的准确性；</w:t>
      </w:r>
    </w:p>
    <w:p>
      <w:pPr>
        <w:pStyle w:val="BodyText"/>
        <w:spacing w:line="367" w:lineRule="auto" w:before="140"/>
        <w:ind w:left="676" w:right="2114" w:firstLine="4"/>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45"/>
        </w:rPr>
        <w:t> </w:t>
      </w:r>
      <w:r>
        <w:rPr/>
        <w:t>评估管理层开发支出的财务报表披露是否恰当。</w:t>
      </w:r>
      <w:r>
        <w:rPr>
          <w:w w:val="99"/>
        </w:rPr>
        <w:t> </w:t>
      </w:r>
      <w:r>
        <w:rPr>
          <w:w w:val="95"/>
        </w:rPr>
        <w:t>基于已执行的审计工作，我们认为，管理层开发支出核算中作出的判断是合理的。</w:t>
      </w:r>
      <w:r>
        <w:rPr>
          <w:spacing w:val="58"/>
          <w:w w:val="95"/>
        </w:rPr>
        <w:t> </w:t>
      </w:r>
      <w:r>
        <w:rPr>
          <w:spacing w:val="58"/>
          <w:w w:val="95"/>
        </w:rPr>
      </w:r>
      <w:r>
        <w:rPr>
          <w:rFonts w:ascii="宋体" w:hAnsi="宋体" w:cs="宋体" w:eastAsia="宋体" w:hint="default"/>
          <w:b/>
          <w:bCs/>
        </w:rPr>
        <w:t>四、其他信息</w:t>
      </w:r>
      <w:r>
        <w:rPr>
          <w:rFonts w:ascii="宋体" w:hAnsi="宋体" w:cs="宋体" w:eastAsia="宋体" w:hint="default"/>
        </w:rPr>
      </w:r>
    </w:p>
    <w:p>
      <w:pPr>
        <w:pStyle w:val="BodyText"/>
        <w:spacing w:line="259" w:lineRule="auto" w:before="46"/>
        <w:ind w:right="1130" w:firstLine="420"/>
        <w:jc w:val="both"/>
      </w:pPr>
      <w:r>
        <w:rPr>
          <w:spacing w:val="-1"/>
          <w:w w:val="95"/>
        </w:rPr>
        <w:t>华宇软件公司管理层对其他信息负责。其他信息包括</w:t>
      </w:r>
      <w:r>
        <w:rPr>
          <w:rFonts w:ascii="Arial" w:hAnsi="Arial" w:cs="Arial" w:eastAsia="Arial" w:hint="default"/>
          <w:spacing w:val="-1"/>
          <w:w w:val="95"/>
        </w:rPr>
        <w:t>2019</w:t>
      </w:r>
      <w:r>
        <w:rPr>
          <w:spacing w:val="-1"/>
          <w:w w:val="95"/>
        </w:rPr>
        <w:t>年年度报告中涵盖的信息，但不包括财务报</w:t>
      </w:r>
      <w:r>
        <w:rPr>
          <w:spacing w:val="-96"/>
          <w:w w:val="95"/>
        </w:rPr>
        <w:t> </w:t>
      </w:r>
      <w:r>
        <w:rPr>
          <w:spacing w:val="-96"/>
          <w:w w:val="95"/>
        </w:rPr>
      </w:r>
      <w:r>
        <w:rPr/>
        <w:t>表和我们的审计报告。</w:t>
      </w:r>
    </w:p>
    <w:p>
      <w:pPr>
        <w:pStyle w:val="BodyText"/>
        <w:spacing w:line="432" w:lineRule="exact" w:before="40"/>
        <w:ind w:left="532" w:right="996"/>
        <w:jc w:val="left"/>
      </w:pPr>
      <w:r>
        <w:rPr/>
        <w:t>我们对财务报表发表的审计意见不涵盖其他信息，我们也不对其他信息发表任何形式的鉴证结论。</w:t>
      </w:r>
      <w:r>
        <w:rPr>
          <w:w w:val="99"/>
        </w:rPr>
        <w:t> </w:t>
      </w:r>
      <w:r>
        <w:rPr>
          <w:w w:val="95"/>
        </w:rPr>
        <w:t>结合我们对财务报表的审计，我们的责任是阅读其他信息，在此过程中，考虑其他信息是否与财务报</w:t>
      </w:r>
      <w:r>
        <w:rPr/>
      </w:r>
    </w:p>
    <w:p>
      <w:pPr>
        <w:pStyle w:val="BodyText"/>
        <w:spacing w:line="255" w:lineRule="exact"/>
        <w:ind w:right="996"/>
        <w:jc w:val="left"/>
      </w:pPr>
      <w:r>
        <w:rPr/>
        <w:t>表或我们在审计过程中了解的情况存在重大不一致或者似乎存在重大错报。</w:t>
      </w:r>
    </w:p>
    <w:p>
      <w:pPr>
        <w:pStyle w:val="BodyText"/>
        <w:spacing w:line="273" w:lineRule="auto" w:before="157"/>
        <w:ind w:right="1130" w:firstLine="420"/>
        <w:jc w:val="both"/>
      </w:pPr>
      <w:r>
        <w:rPr>
          <w:w w:val="95"/>
        </w:rPr>
        <w:t>基于我们已执行的工作，如果我们确定其他信息存在重大错报，我们应当报告该事实。在这方面，我</w:t>
      </w:r>
      <w:r>
        <w:rPr>
          <w:w w:val="99"/>
        </w:rPr>
        <w:t> </w:t>
      </w:r>
      <w:r>
        <w:rPr/>
        <w:t>们无任何事项需要报告。</w:t>
      </w:r>
    </w:p>
    <w:p>
      <w:pPr>
        <w:spacing w:line="432" w:lineRule="exact" w:before="27"/>
        <w:ind w:left="532" w:right="996" w:firstLine="144"/>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w w:val="95"/>
          <w:sz w:val="21"/>
          <w:szCs w:val="21"/>
        </w:rPr>
        <w:t>华宇软件公司管理层负责按照企业会计准则的规定编制财务报表，使其实现公允反映，并设计、执行</w:t>
      </w:r>
      <w:r>
        <w:rPr>
          <w:rFonts w:ascii="宋体" w:hAnsi="宋体" w:cs="宋体" w:eastAsia="宋体" w:hint="default"/>
          <w:sz w:val="21"/>
          <w:szCs w:val="21"/>
        </w:rPr>
      </w:r>
    </w:p>
    <w:p>
      <w:pPr>
        <w:pStyle w:val="BodyText"/>
        <w:spacing w:line="255" w:lineRule="exact"/>
        <w:ind w:right="996"/>
        <w:jc w:val="left"/>
      </w:pPr>
      <w:r>
        <w:rPr/>
        <w:t>和维护必要的内部控制，以使财务报表不存在由于舞弊或错误导致的重大错报。</w:t>
      </w:r>
    </w:p>
    <w:p>
      <w:pPr>
        <w:pStyle w:val="BodyText"/>
        <w:spacing w:line="273" w:lineRule="auto" w:before="157"/>
        <w:ind w:right="1130" w:firstLine="420"/>
        <w:jc w:val="both"/>
      </w:pPr>
      <w:r>
        <w:rPr>
          <w:w w:val="95"/>
        </w:rPr>
        <w:t>在编制财务报表时，华宇软件公司管理层负责评估华宇软件公司的持续经营能力，披露与持续经营相</w:t>
      </w:r>
      <w:r>
        <w:rPr>
          <w:w w:val="99"/>
        </w:rPr>
        <w:t> </w:t>
      </w:r>
      <w:r>
        <w:rPr>
          <w:w w:val="95"/>
        </w:rPr>
        <w:t>关的事项（如适用），并运用持续经营假设，除非管理层计划清算华宇软件公司、终止运营或别无其他现</w:t>
      </w:r>
      <w:r>
        <w:rPr>
          <w:spacing w:val="44"/>
          <w:w w:val="95"/>
        </w:rPr>
        <w:t> </w:t>
      </w:r>
      <w:r>
        <w:rPr>
          <w:spacing w:val="44"/>
          <w:w w:val="95"/>
        </w:rPr>
      </w:r>
      <w:r>
        <w:rPr/>
        <w:t>实的选择。</w:t>
      </w:r>
    </w:p>
    <w:p>
      <w:pPr>
        <w:spacing w:line="376" w:lineRule="auto" w:before="127"/>
        <w:ind w:left="676" w:right="5924" w:hanging="144"/>
        <w:jc w:val="left"/>
        <w:rPr>
          <w:rFonts w:ascii="宋体" w:hAnsi="宋体" w:cs="宋体" w:eastAsia="宋体" w:hint="default"/>
          <w:sz w:val="21"/>
          <w:szCs w:val="21"/>
        </w:rPr>
      </w:pPr>
      <w:r>
        <w:rPr>
          <w:rFonts w:ascii="宋体" w:hAnsi="宋体" w:cs="宋体" w:eastAsia="宋体" w:hint="default"/>
          <w:sz w:val="21"/>
          <w:szCs w:val="21"/>
        </w:rPr>
        <w:t>治理层负责监督华宇软件公司的财务报告过程。</w:t>
      </w:r>
      <w:r>
        <w:rPr>
          <w:rFonts w:ascii="宋体" w:hAnsi="宋体" w:cs="宋体" w:eastAsia="宋体" w:hint="default"/>
          <w:w w:val="99"/>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before="37"/>
        <w:ind w:right="1132" w:firstLine="420"/>
        <w:jc w:val="both"/>
      </w:pPr>
      <w:r>
        <w:rPr>
          <w:w w:val="95"/>
        </w:rPr>
        <w:t>我们的目标是对财务报表整体是否不存在由于舞弊或错误导致的重大错报获取合理保证，并出具包含</w:t>
      </w:r>
      <w:r>
        <w:rPr>
          <w:w w:val="99"/>
        </w:rPr>
        <w:t> </w:t>
      </w:r>
      <w:r>
        <w:rPr>
          <w:w w:val="95"/>
        </w:rPr>
        <w:t>审计意见的审计报告。合理保证是高水平的保证，但并不能保证按照审计准则执行的审计在某一重大错报</w:t>
      </w:r>
      <w:r>
        <w:rPr>
          <w:spacing w:val="37"/>
          <w:w w:val="95"/>
        </w:rPr>
        <w:t> </w:t>
      </w:r>
      <w:r>
        <w:rPr>
          <w:spacing w:val="37"/>
          <w:w w:val="95"/>
        </w:rPr>
      </w:r>
      <w:r>
        <w:rPr>
          <w:w w:val="95"/>
        </w:rPr>
        <w:t>存在时总能发现。错报可能由于舞弊或错误导致，如果合理预期错报单独或汇总起来可能影响财务报表使</w:t>
      </w:r>
      <w:r>
        <w:rPr>
          <w:spacing w:val="37"/>
          <w:w w:val="95"/>
        </w:rPr>
        <w:t> </w:t>
      </w:r>
      <w:r>
        <w:rPr>
          <w:spacing w:val="37"/>
          <w:w w:val="95"/>
        </w:rPr>
      </w:r>
      <w:r>
        <w:rPr/>
        <w:t>用者依据财务报表作出的经济决策，则通常认为错报是重大的。</w:t>
      </w:r>
    </w:p>
    <w:p>
      <w:pPr>
        <w:pStyle w:val="BodyText"/>
        <w:spacing w:line="273" w:lineRule="auto" w:before="127"/>
        <w:ind w:right="1130" w:firstLine="420"/>
        <w:jc w:val="both"/>
      </w:pPr>
      <w:r>
        <w:rPr>
          <w:w w:val="95"/>
        </w:rPr>
        <w:t>在按照审计准则执行审计工作的过程中，我们运用职业判断，并保持职业怀疑。同时，我们也执行以</w:t>
      </w:r>
      <w:r>
        <w:rPr>
          <w:spacing w:val="-97"/>
          <w:w w:val="95"/>
        </w:rPr>
        <w:t> </w:t>
      </w:r>
      <w:r>
        <w:rPr>
          <w:spacing w:val="-97"/>
          <w:w w:val="95"/>
        </w:rPr>
      </w:r>
      <w:r>
        <w:rPr/>
        <w:t>下工作：</w:t>
      </w:r>
    </w:p>
    <w:p>
      <w:pPr>
        <w:pStyle w:val="BodyText"/>
        <w:spacing w:line="268" w:lineRule="auto" w:before="127"/>
        <w:ind w:right="996" w:firstLine="420"/>
        <w:jc w:val="left"/>
      </w:pPr>
      <w:r>
        <w:rPr>
          <w:rFonts w:ascii="Arial" w:hAnsi="Arial" w:cs="Arial" w:eastAsia="Arial" w:hint="default"/>
          <w:w w:val="95"/>
        </w:rPr>
        <w:t>1</w:t>
      </w:r>
      <w:r>
        <w:rPr>
          <w:w w:val="95"/>
        </w:rPr>
        <w:t>、识别和评估由于舞弊或错误导致的财务报表重大错报风险，设计和实施审计程序以应对这些风险，</w:t>
      </w:r>
      <w:r>
        <w:rPr>
          <w:w w:val="99"/>
        </w:rPr>
        <w:t> </w:t>
      </w:r>
      <w:r>
        <w:rPr/>
        <w:t>并获取充分、适当的审计证据，作为发表审计意见的基础。由于舞弊可能涉及串通、伪造、故意遗漏、虚</w:t>
      </w:r>
      <w:r>
        <w:rPr>
          <w:w w:val="99"/>
        </w:rPr>
        <w:t> </w:t>
      </w:r>
      <w:r>
        <w:rPr/>
        <w:t>假陈述或凌驾于内部控制之上，未能发现由于舞弊导致的重大错报的风险高于未能发现由于错误导致的重</w:t>
      </w:r>
      <w:r>
        <w:rPr>
          <w:w w:val="99"/>
        </w:rPr>
        <w:t> </w:t>
      </w:r>
      <w:r>
        <w:rPr/>
        <w:t>大错报的风险。</w:t>
      </w:r>
    </w:p>
    <w:p>
      <w:pPr>
        <w:pStyle w:val="BodyText"/>
        <w:spacing w:line="240" w:lineRule="auto" w:before="132"/>
        <w:ind w:left="532" w:right="996"/>
        <w:jc w:val="left"/>
      </w:pPr>
      <w:r>
        <w:rPr>
          <w:rFonts w:ascii="Arial" w:hAnsi="Arial" w:cs="Arial" w:eastAsia="Arial" w:hint="default"/>
        </w:rPr>
        <w:t>2</w:t>
      </w:r>
      <w:r>
        <w:rPr/>
        <w:t>、了解与审计相关的内部控制，以设计恰当的审计程序。</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left="532" w:right="996"/>
        <w:jc w:val="left"/>
      </w:pPr>
      <w:r>
        <w:rPr>
          <w:rFonts w:ascii="Arial" w:hAnsi="Arial" w:cs="Arial" w:eastAsia="Arial" w:hint="default"/>
        </w:rPr>
        <w:t>3</w:t>
      </w:r>
      <w:r>
        <w:rPr/>
        <w:t>、评价管理层选用会计政策的恰当性和作出会计估计及相关披露的合理性。</w:t>
      </w:r>
    </w:p>
    <w:p>
      <w:pPr>
        <w:pStyle w:val="BodyText"/>
        <w:spacing w:line="268" w:lineRule="auto" w:before="142"/>
        <w:ind w:right="1132" w:firstLine="420"/>
        <w:jc w:val="both"/>
      </w:pPr>
      <w:r>
        <w:rPr>
          <w:rFonts w:ascii="Arial" w:hAnsi="Arial" w:cs="Arial" w:eastAsia="Arial" w:hint="default"/>
          <w:spacing w:val="2"/>
          <w:w w:val="95"/>
        </w:rPr>
        <w:t>4</w:t>
      </w:r>
      <w:r>
        <w:rPr>
          <w:spacing w:val="2"/>
          <w:w w:val="95"/>
        </w:rPr>
        <w:t>、对管理层使用持续经营假设的恰当性得出结论。同时，根据获取的审计证据，就可能导致对华宇</w:t>
      </w:r>
      <w:r>
        <w:rPr>
          <w:spacing w:val="-92"/>
          <w:w w:val="95"/>
        </w:rPr>
        <w:t> </w:t>
      </w:r>
      <w:r>
        <w:rPr>
          <w:spacing w:val="-92"/>
          <w:w w:val="95"/>
        </w:rPr>
      </w:r>
      <w:r>
        <w:rPr>
          <w:w w:val="95"/>
        </w:rPr>
        <w:t>软件公司持续经营能力产生重大疑虑的事项或情况是否存在重大不确定性得出结论。如果我们得出结论认</w:t>
      </w:r>
      <w:r>
        <w:rPr>
          <w:spacing w:val="39"/>
          <w:w w:val="95"/>
        </w:rPr>
        <w:t> </w:t>
      </w:r>
      <w:r>
        <w:rPr>
          <w:spacing w:val="39"/>
          <w:w w:val="95"/>
        </w:rPr>
      </w:r>
      <w:r>
        <w:rPr>
          <w:w w:val="95"/>
        </w:rPr>
        <w:t>为存在重大不确定性，审计准则要求我们在审计报告中提请报告使用者注意财务报表中的相关披露；如果</w:t>
      </w:r>
      <w:r>
        <w:rPr>
          <w:spacing w:val="38"/>
          <w:w w:val="95"/>
        </w:rPr>
        <w:t> </w:t>
      </w:r>
      <w:r>
        <w:rPr>
          <w:spacing w:val="38"/>
          <w:w w:val="95"/>
        </w:rPr>
      </w:r>
      <w:r>
        <w:rPr>
          <w:w w:val="95"/>
        </w:rPr>
        <w:t>披露不充分，我们应当发表非无保留意见。我们的结论基于截至审计报告日可获得的信息。然而，未来的</w:t>
      </w:r>
      <w:r>
        <w:rPr>
          <w:spacing w:val="41"/>
          <w:w w:val="95"/>
        </w:rPr>
        <w:t> </w:t>
      </w:r>
      <w:r>
        <w:rPr>
          <w:spacing w:val="41"/>
          <w:w w:val="95"/>
        </w:rPr>
      </w:r>
      <w:r>
        <w:rPr/>
        <w:t>事项或情况可能导致华宇软件公司不能持续经营。</w:t>
      </w:r>
    </w:p>
    <w:p>
      <w:pPr>
        <w:pStyle w:val="BodyText"/>
        <w:spacing w:line="240" w:lineRule="auto" w:before="132"/>
        <w:ind w:left="532" w:right="996"/>
        <w:jc w:val="left"/>
      </w:pPr>
      <w:r>
        <w:rPr>
          <w:rFonts w:ascii="Arial" w:hAnsi="Arial" w:cs="Arial" w:eastAsia="Arial" w:hint="default"/>
        </w:rPr>
        <w:t>5</w:t>
      </w:r>
      <w:r>
        <w:rPr/>
        <w:t>、评价财务报表的总体列报、结构和内容，并评价财务报表是否公允反映相关交易和事项。</w:t>
      </w:r>
    </w:p>
    <w:p>
      <w:pPr>
        <w:pStyle w:val="BodyText"/>
        <w:spacing w:line="259" w:lineRule="auto" w:before="142"/>
        <w:ind w:right="1133" w:firstLine="420"/>
        <w:jc w:val="both"/>
      </w:pPr>
      <w:r>
        <w:rPr>
          <w:rFonts w:ascii="Arial" w:hAnsi="Arial" w:cs="Arial" w:eastAsia="Arial" w:hint="default"/>
          <w:spacing w:val="2"/>
          <w:w w:val="95"/>
        </w:rPr>
        <w:t>6</w:t>
      </w:r>
      <w:r>
        <w:rPr>
          <w:spacing w:val="2"/>
          <w:w w:val="95"/>
        </w:rPr>
        <w:t>、就华宇软件公司中实体或业务活动的财务信息获取充分、适当的审计证据，以对财务报表发表意</w:t>
      </w:r>
      <w:r>
        <w:rPr>
          <w:spacing w:val="-92"/>
          <w:w w:val="95"/>
        </w:rPr>
        <w:t> </w:t>
      </w:r>
      <w:r>
        <w:rPr>
          <w:spacing w:val="-92"/>
          <w:w w:val="95"/>
        </w:rPr>
      </w:r>
      <w:r>
        <w:rPr/>
        <w:t>见。我们负责指导、监督和执行集团审计。我们对审计意见承担全部责任。</w:t>
      </w:r>
    </w:p>
    <w:p>
      <w:pPr>
        <w:pStyle w:val="BodyText"/>
        <w:spacing w:line="273" w:lineRule="auto" w:before="140"/>
        <w:ind w:right="1135" w:firstLine="420"/>
        <w:jc w:val="both"/>
      </w:pPr>
      <w:r>
        <w:rPr>
          <w:w w:val="95"/>
        </w:rPr>
        <w:t>我们与治理层就计划的审计范围、时间安排和重大审计发现等事项进行沟通，包括沟通我们在审计中</w:t>
      </w:r>
      <w:r>
        <w:rPr>
          <w:w w:val="99"/>
        </w:rPr>
        <w:t> </w:t>
      </w:r>
      <w:r>
        <w:rPr/>
        <w:t>识别出的值得关注的内部控制缺陷。</w:t>
      </w:r>
    </w:p>
    <w:p>
      <w:pPr>
        <w:pStyle w:val="BodyText"/>
        <w:spacing w:line="273" w:lineRule="auto" w:before="127"/>
        <w:ind w:right="1132" w:firstLine="420"/>
        <w:jc w:val="both"/>
      </w:pPr>
      <w:r>
        <w:rPr>
          <w:w w:val="95"/>
        </w:rPr>
        <w:t>我们还就已遵守与独立性相关的职业道德要求向治理层提供声明，并与治理层沟通可能被合理认为影</w:t>
      </w:r>
      <w:r>
        <w:rPr>
          <w:w w:val="99"/>
        </w:rPr>
        <w:t> </w:t>
      </w:r>
      <w:r>
        <w:rPr/>
        <w:t>响我们独立性的所有关系和其他事项，以及相关的防范措施（如适用）。</w:t>
      </w:r>
    </w:p>
    <w:p>
      <w:pPr>
        <w:pStyle w:val="BodyText"/>
        <w:spacing w:line="273" w:lineRule="auto" w:before="127"/>
        <w:ind w:right="1132" w:firstLine="420"/>
        <w:jc w:val="both"/>
      </w:pPr>
      <w:r>
        <w:rPr>
          <w:w w:val="95"/>
        </w:rPr>
        <w:t>从与治理层沟通过的事项中，我们确定哪些事项对本期财务报表审计最为重要，因而构成关键审计事</w:t>
      </w:r>
      <w:r>
        <w:rPr>
          <w:w w:val="99"/>
        </w:rPr>
        <w:t> </w:t>
      </w:r>
      <w:r>
        <w:rPr>
          <w:w w:val="95"/>
        </w:rPr>
        <w:t>项。我们在审计报告中描述这些事项，除非法律法规禁止公开披露这些事项，或在极少数情形下，如果合</w:t>
      </w:r>
      <w:r>
        <w:rPr>
          <w:spacing w:val="41"/>
          <w:w w:val="95"/>
        </w:rPr>
        <w:t> </w:t>
      </w:r>
      <w:r>
        <w:rPr>
          <w:spacing w:val="41"/>
          <w:w w:val="95"/>
        </w:rPr>
      </w:r>
      <w:r>
        <w:rPr>
          <w:w w:val="95"/>
        </w:rPr>
        <w:t>理预期在审计报告中沟通某事项造成的负面后果超过在公众利益方面产生的益处，我们确定不应在审计报</w:t>
      </w:r>
      <w:r>
        <w:rPr>
          <w:spacing w:val="37"/>
          <w:w w:val="95"/>
        </w:rPr>
        <w:t> </w:t>
      </w:r>
      <w:r>
        <w:rPr>
          <w:spacing w:val="37"/>
          <w:w w:val="95"/>
        </w:rPr>
      </w:r>
      <w:r>
        <w:rPr/>
        <w:t>告中沟通该事项。</w:t>
      </w:r>
    </w:p>
    <w:p>
      <w:pPr>
        <w:spacing w:line="240" w:lineRule="auto" w:before="10"/>
        <w:rPr>
          <w:rFonts w:ascii="宋体" w:hAnsi="宋体" w:cs="宋体" w:eastAsia="宋体" w:hint="default"/>
          <w:sz w:val="21"/>
          <w:szCs w:val="21"/>
        </w:rPr>
      </w:pPr>
    </w:p>
    <w:p>
      <w:pPr>
        <w:pStyle w:val="Heading2"/>
        <w:spacing w:line="240" w:lineRule="auto"/>
        <w:ind w:right="996"/>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996"/>
        <w:jc w:val="left"/>
      </w:pPr>
      <w:r>
        <w:rPr/>
        <w:t>财务附注中报表的单位为：元</w:t>
      </w:r>
    </w:p>
    <w:p>
      <w:pPr>
        <w:spacing w:line="240" w:lineRule="auto" w:before="12"/>
        <w:rPr>
          <w:rFonts w:ascii="宋体" w:hAnsi="宋体" w:cs="宋体" w:eastAsia="宋体" w:hint="default"/>
          <w:sz w:val="25"/>
          <w:szCs w:val="25"/>
        </w:rPr>
      </w:pPr>
    </w:p>
    <w:p>
      <w:pPr>
        <w:pStyle w:val="Heading4"/>
        <w:spacing w:line="240" w:lineRule="auto" w:before="0"/>
        <w:ind w:right="996"/>
        <w:jc w:val="left"/>
        <w:rPr>
          <w:b w:val="0"/>
          <w:bCs w:val="0"/>
        </w:rPr>
      </w:pPr>
      <w:bookmarkStart w:name="1、合并资产负债表" w:id="152"/>
      <w:bookmarkEnd w:id="152"/>
      <w:r>
        <w:rPr>
          <w:b w:val="0"/>
          <w:bCs w:val="0"/>
        </w:rPr>
      </w:r>
      <w:r>
        <w:rPr>
          <w:rFonts w:ascii="Arial" w:hAnsi="Arial" w:cs="Arial" w:eastAsia="Arial"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8"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8" w:firstLine="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1020" w:right="0"/>
          <w:cols w:num="3" w:equalWidth="0">
            <w:col w:w="3173" w:space="863"/>
            <w:col w:w="1678" w:space="3203"/>
            <w:col w:w="197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2,356,598,426.12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1,303,142,047.61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3,385,781.54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1,581,100.00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1,103,020,902.46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923,975,361.74</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16,386,948.63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39,702,660.85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278,672,774.43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283,634,799.06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1,044,938.00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720,285,271.75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677,082,569.92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3,231,757.79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Arial" w:hAnsi="Arial" w:cs="Arial" w:eastAsia="Arial" w:hint="default"/>
                <w:sz w:val="18"/>
                <w:szCs w:val="18"/>
              </w:rPr>
            </w:pPr>
            <w:r>
              <w:rPr>
                <w:rFonts w:ascii="Arial"/>
                <w:spacing w:val="-2"/>
                <w:sz w:val="18"/>
              </w:rPr>
              <w:t>10,576,220.11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4,481,581,862.72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3,239,694,759.29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131,000,000.00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4,031,484.32</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80,340,000.00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129,000,000.00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257,598,303.83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252,901,655.59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3,155,416.39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371,703,001.49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288,458,816.48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228,307,174.77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200,800,569.84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1,661,066,055.81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1,661,066,055.81</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8,478,685.19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10,142,123.57</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87,869,743.85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43,562,582.39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2,828,394,449.26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2,591,087,220.07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7,309,976,311.98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5,830,781,979.36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39,000,000.00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9,552,801.00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506,531,938.85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431,436,428.16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545,724,164.45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695,363,183.24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21,304,409.83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20,004,067.79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95,894,230.42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78,935,962.94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115,518,966.80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197,033,327.33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231,125.00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27,000,000.00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1,294,526,511.35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1,488,772,969.46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17,994,815.43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21,408,680.00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2,374,581.10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3,489,194.98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20,369,396.53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24,897,874.98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1,314,895,907.88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1,513,670,844.44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809,390,723.00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754,491,460.00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2,937,323,945.19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1,900,345,553.82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76,282,839.13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144,387,030.64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66,937,932.47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64,002,272.39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2,199,315,334.80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1,673,697,359.82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5,936,685,096.33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4,248,149,615.39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58,395,307.77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68,961,519.53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5,995,080,404.10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w w:val="95"/>
                <w:sz w:val="18"/>
              </w:rPr>
              <w:t>4,317,111,134.92</w:t>
            </w:r>
            <w:r>
              <w:rPr>
                <w:rFonts w:ascii="Arial"/>
                <w:spacing w:val="-2"/>
                <w:sz w:val="18"/>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7,309,976,311.98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5,830,781,979.36</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主管会计工作负责人：王琰</w:t>
        <w:tab/>
        <w:t>会计机构负责人：张绪梅</w:t>
      </w:r>
    </w:p>
    <w:p>
      <w:pPr>
        <w:spacing w:line="240" w:lineRule="auto" w:before="0"/>
        <w:rPr>
          <w:rFonts w:ascii="宋体" w:hAnsi="宋体" w:cs="宋体" w:eastAsia="宋体" w:hint="default"/>
          <w:sz w:val="18"/>
          <w:szCs w:val="18"/>
        </w:rPr>
      </w:pPr>
    </w:p>
    <w:p>
      <w:pPr>
        <w:pStyle w:val="Heading4"/>
        <w:spacing w:line="240" w:lineRule="auto" w:before="118"/>
        <w:ind w:right="996"/>
        <w:jc w:val="left"/>
        <w:rPr>
          <w:b w:val="0"/>
          <w:bCs w:val="0"/>
        </w:rPr>
      </w:pPr>
      <w:bookmarkStart w:name="2、母公司资产负债表" w:id="153"/>
      <w:bookmarkEnd w:id="153"/>
      <w:r>
        <w:rPr>
          <w:b w:val="0"/>
          <w:bCs w:val="0"/>
        </w:rPr>
      </w:r>
      <w:r>
        <w:rPr>
          <w:rFonts w:ascii="Arial" w:hAnsi="Arial" w:cs="Arial" w:eastAsia="Arial"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5"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5"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83" w:right="0"/>
              <w:jc w:val="left"/>
              <w:rPr>
                <w:rFonts w:ascii="Arial" w:hAnsi="Arial" w:cs="Arial" w:eastAsia="Arial" w:hint="default"/>
                <w:sz w:val="18"/>
                <w:szCs w:val="18"/>
              </w:rPr>
            </w:pPr>
            <w:r>
              <w:rPr>
                <w:rFonts w:ascii="Arial"/>
                <w:sz w:val="18"/>
              </w:rPr>
              <w:t>816,843,186.12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81" w:right="0"/>
              <w:jc w:val="left"/>
              <w:rPr>
                <w:rFonts w:ascii="Arial" w:hAnsi="Arial" w:cs="Arial" w:eastAsia="Arial" w:hint="default"/>
                <w:sz w:val="18"/>
                <w:szCs w:val="18"/>
              </w:rPr>
            </w:pPr>
            <w:r>
              <w:rPr>
                <w:rFonts w:ascii="Arial"/>
                <w:sz w:val="18"/>
              </w:rPr>
              <w:t>296,260,042.96</w:t>
            </w:r>
          </w:p>
        </w:tc>
      </w:tr>
    </w:tbl>
    <w:p>
      <w:pPr>
        <w:spacing w:after="0" w:line="240" w:lineRule="auto"/>
        <w:jc w:val="lef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18,746,028.65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22,091,627.46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253,152,707.18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150,302,957.88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1,044,938.00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237,539.63</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1,079,618.47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200,165.17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1,090,059,080.05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469,104,793.47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131,000,000.00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2,926,188,193.01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2,554,501,581.68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80,340,000.00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129,000,000.00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28,872,282.12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30,230,417.77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3,019,562.95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9,975,431.02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12,213,556.80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13,061,612.52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3,179,633,594.88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2,738,769,042.99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4,269,692,674.93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3,207,873,836.46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25,545,763.29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25,844,430.00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2,142,877.94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489,418.87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206,966.41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189,343.05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1,736,510.15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2,714,877.98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110,898,564.67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170,250,250.12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140,530,682.46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199,488,320.02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20,843.03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777,280.00</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20,843.03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777,280.00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140,551,525.49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200,265,600.02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809,390,723.00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754,491,460.00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3,093,254,330.37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2,074,349,037.03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76,282,839.13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144,387,030.64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66,937,932.47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64,002,272.39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235,841,002.73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259,152,497.66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4,129,141,149.44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3,007,608,236.44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4,269,692,674.93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3,207,873,836.46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996"/>
        <w:jc w:val="left"/>
        <w:rPr>
          <w:b w:val="0"/>
          <w:bCs w:val="0"/>
        </w:rPr>
      </w:pPr>
      <w:bookmarkStart w:name="3、合并利润表" w:id="154"/>
      <w:bookmarkEnd w:id="154"/>
      <w:r>
        <w:rPr>
          <w:b w:val="0"/>
          <w:bCs w:val="0"/>
        </w:rPr>
      </w:r>
      <w:r>
        <w:rPr>
          <w:rFonts w:ascii="Arial" w:hAnsi="Arial" w:cs="Arial" w:eastAsia="Arial"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4"/>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3,510,147,949.37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2,708,496,168.56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3,510,147,949.37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2,708,496,168.56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2,973,523,911.66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2,291,827,934.80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2,081,652,152.40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1,532,347,397.66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4"/>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25,402,076.96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25,776,902.33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254,566,344.38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198,935,513.56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281,683,581.64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305,390,513.29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348,928,564.38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235,990,689.67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-18,708,808.10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-6,613,081.71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1,913,520.84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1,965,030.19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502"/>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21,019,475.23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9,051,244.54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131,346,027.78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110,279,089.24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865,261.10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36,442,028.01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31,484.32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-2,392,479.08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-33,002,517.63</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-21,286,419.77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552.56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-352,513.73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635,833,361.52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541,750,417.51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10,471.36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216,509.70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12,563,151.09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2"/>
                <w:sz w:val="18"/>
              </w:rPr>
              <w:t>11,214,317.81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623,280,681.79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530,752,609.40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41,333,259.21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Arial" w:hAnsi="Arial" w:cs="Arial" w:eastAsia="Arial" w:hint="default"/>
                <w:sz w:val="18"/>
                <w:szCs w:val="18"/>
              </w:rPr>
            </w:pPr>
            <w:r>
              <w:rPr>
                <w:rFonts w:ascii="Arial"/>
                <w:spacing w:val="-2"/>
                <w:sz w:val="18"/>
              </w:rPr>
              <w:t>41,995,446.11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581,947,422.58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488,757,163.29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持续经营净利润（净亏损以“－”号填列）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582,936,549.04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488,757,163.29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终止经营净利润（净亏损以“－”号填列）</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-989,126.46</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归属于母公司所有者的净利润</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580,389,850.75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497,708,243.20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少数股东损益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1,557,571.83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-8,951,079.91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重新计量设定受益计划变动额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权益法下不能转损益的其他综合收益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4"/>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其他权益工具投资公允价值变动</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企业自身信用风险公允价值变动</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权益法下可转损益的其他综合收益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其他债权投资公允价值变动</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可供出售金融资产公允价值变动损益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金融资产重分类计入其他综合收益的金额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持有至到期投资重分类为可供出售金融资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其他债权投资信用减值准备</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现金流量套期储备</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外币财务报表折算差额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其他</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44"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581,947,422.58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488,757,163.29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580,389,850.75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497,708,243.20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1,557,571.83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-8,951,079.91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w w:val="95"/>
                <w:sz w:val="18"/>
              </w:rPr>
              <w:t>0.74</w:t>
            </w:r>
            <w:r>
              <w:rPr>
                <w:rFonts w:ascii="Arial"/>
                <w:sz w:val="18"/>
              </w:rPr>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w w:val="95"/>
                <w:sz w:val="18"/>
              </w:rPr>
              <w:t>0.67</w:t>
            </w:r>
            <w:r>
              <w:rPr>
                <w:rFonts w:ascii="Arial"/>
                <w:sz w:val="18"/>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w w:val="95"/>
                <w:sz w:val="18"/>
              </w:rPr>
              <w:t>0.73</w:t>
            </w:r>
            <w:r>
              <w:rPr>
                <w:rFonts w:ascii="Arial"/>
                <w:sz w:val="18"/>
              </w:rPr>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w w:val="95"/>
                <w:sz w:val="18"/>
              </w:rPr>
              <w:t>0.67</w:t>
            </w:r>
            <w:r>
              <w:rPr>
                <w:rFonts w:ascii="Arial"/>
                <w:sz w:val="18"/>
              </w:rPr>
            </w:r>
          </w:p>
        </w:tc>
      </w:tr>
    </w:tbl>
    <w:p>
      <w:pPr>
        <w:tabs>
          <w:tab w:pos="3532" w:val="left" w:leader="none"/>
          <w:tab w:pos="7672" w:val="left" w:leader="none"/>
        </w:tabs>
        <w:spacing w:line="595" w:lineRule="auto" w:before="50"/>
        <w:ind w:left="112" w:right="115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Arial" w:hAnsi="Arial" w:cs="Arial" w:eastAsia="Arial" w:hint="default"/>
          <w:sz w:val="18"/>
          <w:szCs w:val="18"/>
        </w:rPr>
        <w:t>0.00 </w:t>
      </w:r>
      <w:r>
        <w:rPr>
          <w:rFonts w:ascii="宋体" w:hAnsi="宋体" w:cs="宋体" w:eastAsia="宋体" w:hint="default"/>
          <w:sz w:val="18"/>
          <w:szCs w:val="18"/>
        </w:rPr>
        <w:t>元，上期被合并方实现的净利润为：</w:t>
      </w:r>
      <w:r>
        <w:rPr>
          <w:rFonts w:ascii="Arial" w:hAnsi="Arial" w:cs="Arial" w:eastAsia="Arial" w:hint="default"/>
          <w:sz w:val="18"/>
          <w:szCs w:val="18"/>
        </w:rPr>
        <w:t>0.00</w:t>
      </w:r>
      <w:r>
        <w:rPr>
          <w:rFonts w:ascii="Arial" w:hAnsi="Arial" w:cs="Arial" w:eastAsia="Arial" w:hint="default"/>
          <w:spacing w:val="-15"/>
          <w:sz w:val="18"/>
          <w:szCs w:val="18"/>
        </w:rPr>
        <w:t> </w:t>
      </w:r>
      <w:r>
        <w:rPr>
          <w:rFonts w:ascii="宋体" w:hAnsi="宋体" w:cs="宋体" w:eastAsia="宋体" w:hint="default"/>
          <w:sz w:val="18"/>
          <w:szCs w:val="18"/>
        </w:rPr>
        <w:t>元。 法定代表人：邵学</w:t>
        <w:tab/>
        <w:t>主管会计工作负责人：王琰</w:t>
        <w:tab/>
        <w:t>会计机构负责人：张绪梅 </w:t>
      </w:r>
      <w:bookmarkStart w:name="4、母公司利润表" w:id="155"/>
      <w:bookmarkEnd w:id="155"/>
      <w:r>
        <w:rPr>
          <w:rFonts w:ascii="宋体" w:hAnsi="宋体" w:cs="宋体" w:eastAsia="宋体" w:hint="default"/>
          <w:sz w:val="18"/>
          <w:szCs w:val="18"/>
        </w:rPr>
      </w:r>
      <w:r>
        <w:rPr>
          <w:rFonts w:ascii="Arial" w:hAnsi="Arial" w:cs="Arial" w:eastAsia="Arial"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53,495,518.12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61,643,781.43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780,370.27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30,172.41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1,487,662.62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1,597,245.57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26,247,084.98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32,327,780.16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2"/>
                <w:sz w:val="18"/>
              </w:rPr>
              <w:t>11,181,796.41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4,342,337.94</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-12,798,174.01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-3,130,549.13</w:t>
            </w:r>
          </w:p>
        </w:tc>
      </w:tr>
    </w:tbl>
    <w:p>
      <w:pPr>
        <w:spacing w:after="0" w:line="240" w:lineRule="auto"/>
        <w:jc w:val="right"/>
        <w:rPr>
          <w:rFonts w:ascii="Arial" w:hAnsi="Arial" w:cs="Arial" w:eastAsia="Arial" w:hint="default"/>
          <w:sz w:val="18"/>
          <w:szCs w:val="18"/>
        </w:rPr>
        <w:sectPr>
          <w:footerReference w:type="default" r:id="rId30"/>
          <w:pgSz w:w="11910" w:h="16840"/>
          <w:pgMar w:footer="1016" w:header="878" w:top="1100" w:bottom="1200" w:left="1020" w:right="0"/>
          <w:pgNumType w:start="10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556,150.68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1,166,393.84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13,360,373.93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4,305,499.91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8,289,023.99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9,817,755.35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178,722.26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136,442,028.01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31,484.32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-2,392,479.08</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499,832.52</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504,472.93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34,096.75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35,564,356.62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173,275,147.52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1,947,215.66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133,068.00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33,617,140.96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173,142,079.52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4,867,175.59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5,697,632.21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28,749,965.37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167,444,447.31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4"/>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28,749,965.37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167,444,447.31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4"/>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重新计量设定受益计划变动额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其他权益工具投资公允价值变动</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企业自身信用风险公允价值变动</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权益法下可转损益的其他综合收益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其他债权投资公允价值变动</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可供出售金融资产公允价值变动损益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73"/>
              <w:jc w:val="right"/>
              <w:rPr>
                <w:rFonts w:ascii="宋体" w:hAnsi="宋体" w:cs="宋体" w:eastAsia="宋体" w:hint="default"/>
                <w:sz w:val="18"/>
                <w:szCs w:val="18"/>
              </w:rPr>
            </w:pPr>
            <w:r>
              <w:rPr>
                <w:rFonts w:ascii="Arial" w:hAnsi="Arial" w:cs="Arial" w:eastAsia="Arial" w:hint="default"/>
                <w:w w:val="95"/>
                <w:sz w:val="18"/>
                <w:szCs w:val="18"/>
              </w:rPr>
              <w:t>4.</w:t>
            </w:r>
            <w:r>
              <w:rPr>
                <w:rFonts w:ascii="宋体" w:hAnsi="宋体" w:cs="宋体" w:eastAsia="宋体" w:hint="default"/>
                <w:w w:val="95"/>
                <w:sz w:val="18"/>
                <w:szCs w:val="18"/>
              </w:rPr>
              <w:t>金融资产重分类计入其他综合收益的金额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持有至到期投资重分类为可供出售金融资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其他债权投资信用减值准备</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现金流量套期储备</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外币财务报表折算差额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其他</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1" w:right="0"/>
              <w:jc w:val="left"/>
              <w:rPr>
                <w:rFonts w:ascii="Arial" w:hAnsi="Arial" w:cs="Arial" w:eastAsia="Arial" w:hint="default"/>
                <w:sz w:val="18"/>
                <w:szCs w:val="18"/>
              </w:rPr>
            </w:pPr>
            <w:r>
              <w:rPr>
                <w:rFonts w:ascii="Arial"/>
                <w:sz w:val="18"/>
              </w:rPr>
              <w:t>28,749,965.37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1" w:right="0"/>
              <w:jc w:val="left"/>
              <w:rPr>
                <w:rFonts w:ascii="Arial" w:hAnsi="Arial" w:cs="Arial" w:eastAsia="Arial" w:hint="default"/>
                <w:sz w:val="18"/>
                <w:szCs w:val="18"/>
              </w:rPr>
            </w:pPr>
            <w:r>
              <w:rPr>
                <w:rFonts w:ascii="Arial"/>
                <w:sz w:val="18"/>
              </w:rPr>
              <w:t>167,444,447.31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ind w:right="996"/>
        <w:jc w:val="left"/>
        <w:rPr>
          <w:b w:val="0"/>
          <w:bCs w:val="0"/>
        </w:rPr>
      </w:pPr>
      <w:bookmarkStart w:name="5、合并现金流量表" w:id="156"/>
      <w:bookmarkEnd w:id="156"/>
      <w:r>
        <w:rPr>
          <w:b w:val="0"/>
          <w:bCs w:val="0"/>
        </w:rPr>
      </w:r>
      <w:r>
        <w:rPr>
          <w:rFonts w:ascii="Arial" w:hAnsi="Arial" w:cs="Arial" w:eastAsia="Arial"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3,525,923,637.89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1"/>
                <w:sz w:val="18"/>
              </w:rPr>
              <w:t>2,920,884,280.68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82,523,070.96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90,210,620.12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273,423,785.52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195,632,667.26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3,881,870,494.37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3,206,727,568.06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1,551,060,526.32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1"/>
                <w:sz w:val="18"/>
              </w:rPr>
              <w:t>1,265,957,477.08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0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989,822,226.50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743,246,063.95</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253,225,750.10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272,031,251.74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614,654,305.92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605,331,465.71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3,408,762,808.84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2,886,566,258.48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473,107,685.53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320,161,309.58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213,235.29</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处置固定资产、无形资产和其他长期资产收回的现金</w:t>
            </w:r>
            <w:r>
              <w:rPr>
                <w:rFonts w:ascii="宋体" w:hAnsi="宋体" w:cs="宋体" w:eastAsia="宋体" w:hint="default"/>
                <w:sz w:val="18"/>
                <w:szCs w:val="18"/>
              </w:rPr>
              <w:t> 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18,332.18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80,475.00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391,500,000.00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391,731,567.47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580,475.00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247,462,928.44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198,805,155.01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82,340,000.00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25,000,000.00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20,833,748.03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39,407,081.17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794,066,695.84</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1,144,703,372.31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263,212,236.18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-752,971,804.84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-262,631,761.18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1,057,582,978.23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12,095,399.90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14,610,000.00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9,652,818.20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39,000,000.00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453.06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994,399.13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1,067,236,249.49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52,089,799.03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75,652,818.20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60,350,000.00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51,877,081.45</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39,914,676.33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11,532,882.36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15,852,916.46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139,062,782.01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3"/>
                <w:sz w:val="18"/>
              </w:rPr>
              <w:t>116,117,592.79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928,173,467.48</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-64,027,793.76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648,309,348.17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-6,498,245.36</w:t>
            </w: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1,261,271,687.09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1,267,769,932.45</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1" w:right="0"/>
              <w:jc w:val="left"/>
              <w:rPr>
                <w:rFonts w:ascii="Arial" w:hAnsi="Arial" w:cs="Arial" w:eastAsia="Arial" w:hint="default"/>
                <w:sz w:val="18"/>
                <w:szCs w:val="18"/>
              </w:rPr>
            </w:pPr>
            <w:r>
              <w:rPr>
                <w:rFonts w:ascii="Arial"/>
                <w:sz w:val="18"/>
              </w:rPr>
              <w:t>1,909,581,035.26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2" w:right="0"/>
              <w:jc w:val="left"/>
              <w:rPr>
                <w:rFonts w:ascii="Arial" w:hAnsi="Arial" w:cs="Arial" w:eastAsia="Arial" w:hint="default"/>
                <w:sz w:val="18"/>
                <w:szCs w:val="18"/>
              </w:rPr>
            </w:pPr>
            <w:r>
              <w:rPr>
                <w:rFonts w:ascii="Arial"/>
                <w:sz w:val="18"/>
              </w:rPr>
              <w:t>1,261,271,687.09</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ind w:right="996"/>
        <w:jc w:val="left"/>
        <w:rPr>
          <w:b w:val="0"/>
          <w:bCs w:val="0"/>
        </w:rPr>
      </w:pPr>
      <w:bookmarkStart w:name="6、母公司现金流量表" w:id="157"/>
      <w:bookmarkEnd w:id="157"/>
      <w:r>
        <w:rPr>
          <w:b w:val="0"/>
          <w:bCs w:val="0"/>
        </w:rPr>
      </w:r>
      <w:r>
        <w:rPr>
          <w:rFonts w:ascii="Arial" w:hAnsi="Arial" w:cs="Arial" w:eastAsia="Arial"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66,981,082.10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83,528,429.08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6,763,987.02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6,632,311.95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45,962,549.00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7,465,262.32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119,707,618.12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97,626,003.35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1,427,192.49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1,430,188.00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16,448,314.22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14,874,085.27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2"/>
                <w:sz w:val="18"/>
              </w:rPr>
              <w:t>11,813,363.74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9,693,501.68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119,659,525.09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152,808,115.33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149,348,395.54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178,805,890.28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-29,640,777.42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-81,179,886.93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213,235.29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100,000,000.00</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处置固定资产、无形资产和其他长期资产收回的现金</w:t>
            </w:r>
            <w:r>
              <w:rPr>
                <w:rFonts w:ascii="宋体" w:hAnsi="宋体" w:cs="宋体" w:eastAsia="宋体" w:hint="default"/>
                <w:sz w:val="18"/>
                <w:szCs w:val="18"/>
              </w:rPr>
              <w:t> 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391,500,000.00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391,713,235.29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100,500,000.00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23,680.00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458,449.42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412,340,000.00</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58,000,000.00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20,833,748.03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39,407,081.17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780,000,000.00</w:t>
            </w: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1,213,197,428.03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97,865,530.59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-821,484,192.74</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2,634,469.41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1,042,972,978.23</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1,095,399.90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453.06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994,399.13</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678"/>
        <w:gridCol w:w="2445"/>
        <w:gridCol w:w="2445"/>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1,042,973,431.29</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2,089,799.03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49,732,435.61</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37,929,309.89</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11,532,882.36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15,852,916.46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61,265,317.97</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53,782,226.35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981,708,113.32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-51,692,427.32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45" w:type="dxa"/>
            <w:tcBorders>
              <w:top w:val="single" w:sz="4" w:space="0" w:color="000000"/>
              <w:left w:val="single" w:sz="4" w:space="0" w:color="000000"/>
              <w:bottom w:val="single" w:sz="4" w:space="0" w:color="000000"/>
              <w:right w:val="single" w:sz="4" w:space="0" w:color="000000"/>
            </w:tcBorders>
          </w:tcPr>
          <w:p>
            <w:pPr/>
          </w:p>
        </w:tc>
        <w:tc>
          <w:tcPr>
            <w:tcW w:w="24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130,583,143.16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-130,237,844.84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296,260,042.96</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426,497,887.80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426,843,186.12</w:t>
            </w:r>
          </w:p>
        </w:tc>
        <w:tc>
          <w:tcPr>
            <w:tcW w:w="2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296,260,042.96</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
        <w:rPr>
          <w:rFonts w:ascii="Times New Roman" w:hAnsi="Times New Roman" w:cs="Times New Roman" w:eastAsia="Times New Roman" w:hint="default"/>
          <w:sz w:val="3"/>
          <w:szCs w:val="3"/>
        </w:rPr>
      </w:pPr>
    </w:p>
    <w:p>
      <w:pPr>
        <w:spacing w:line="20" w:lineRule="exact"/>
        <w:ind w:left="1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71.75pt;height:.75pt;mso-position-horizontal-relative:char;mso-position-vertical-relative:line" coordorigin="0,0" coordsize="15435,15">
            <v:group style="position:absolute;left:7;top:7;width:15420;height:2" coordorigin="7,7" coordsize="15420,2">
              <v:shape style="position:absolute;left:7;top:7;width:15420;height:2" coordorigin="7,7" coordsize="15420,0" path="m7,7l154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26" w:right="0"/>
        <w:jc w:val="left"/>
        <w:rPr>
          <w:b w:val="0"/>
          <w:bCs w:val="0"/>
        </w:rPr>
      </w:pPr>
      <w:bookmarkStart w:name="7、合并所有者权益变动表" w:id="158"/>
      <w:bookmarkEnd w:id="158"/>
      <w:r>
        <w:rPr>
          <w:b w:val="0"/>
          <w:bCs w:val="0"/>
        </w:rPr>
      </w:r>
      <w:r>
        <w:rPr>
          <w:rFonts w:ascii="Arial" w:hAnsi="Arial" w:cs="Arial" w:eastAsia="Arial" w:hint="default"/>
        </w:rPr>
        <w:t>7</w:t>
      </w:r>
      <w:r>
        <w:rPr/>
        <w:t>、合并所有者权益变动表</w:t>
      </w:r>
      <w:r>
        <w:rPr>
          <w:b w:val="0"/>
          <w:bCs w:val="0"/>
        </w:rPr>
      </w:r>
    </w:p>
    <w:p>
      <w:pPr>
        <w:spacing w:line="240" w:lineRule="auto" w:before="7"/>
        <w:rPr>
          <w:rFonts w:ascii="宋体" w:hAnsi="宋体" w:cs="宋体" w:eastAsia="宋体" w:hint="default"/>
          <w:b/>
          <w:bCs/>
          <w:sz w:val="26"/>
          <w:szCs w:val="26"/>
        </w:rPr>
      </w:pPr>
    </w:p>
    <w:p>
      <w:pPr>
        <w:tabs>
          <w:tab w:pos="14797" w:val="left" w:leader="none"/>
        </w:tabs>
        <w:spacing w:before="0"/>
        <w:ind w:left="126"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2"/>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402" w:hRule="exact"/>
        </w:trPr>
        <w:tc>
          <w:tcPr>
            <w:tcW w:w="1701" w:type="dxa"/>
            <w:vMerge/>
            <w:tcBorders>
              <w:left w:val="single" w:sz="4" w:space="0" w:color="000000"/>
              <w:right w:val="single" w:sz="4" w:space="0" w:color="000000"/>
            </w:tcBorders>
            <w:shd w:val="clear" w:color="auto" w:fill="D2D2D2"/>
          </w:tcPr>
          <w:p>
            <w:pPr/>
          </w:p>
        </w:tc>
        <w:tc>
          <w:tcPr>
            <w:tcW w:w="107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1701" w:type="dxa"/>
            <w:vMerge/>
            <w:tcBorders>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49"/>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8"/>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r>
      <w:tr>
        <w:trPr>
          <w:trHeight w:val="124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2"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1,900,345,553.82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144,387,030.64</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64,002,272.39</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1,673,697,359.82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4,248,149,615.39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68,961,519.53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4,317,111,134.92</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60,663.54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-2,164,443.62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-2,103,780.08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-87,135.74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-2,190,915.82</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1,900,345,553.82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144,387,030.64</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64,062,935.93</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1,671,532,916.20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4,246,045,835.31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68,874,383.79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4,314,920,219.10</w:t>
            </w: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2"/>
              <w:jc w:val="left"/>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6"/>
                <w:sz w:val="18"/>
                <w:szCs w:val="18"/>
              </w:rPr>
              <w:t>金额（减少以“－”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54,899,263.00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1,036,978,391.37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-68,104,191.51</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2,874,996.54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527,782,418.60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1,690,639,261.02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-10,479,076.02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1,680,160,185.00</w:t>
            </w: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580,389,850.75</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580,389,850.75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1,557,571.83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581,947,422.58</w:t>
            </w:r>
          </w:p>
        </w:tc>
      </w:tr>
    </w:tbl>
    <w:p>
      <w:pPr>
        <w:spacing w:after="0" w:line="240" w:lineRule="auto"/>
        <w:jc w:val="right"/>
        <w:rPr>
          <w:rFonts w:ascii="Times New Roman" w:hAnsi="Times New Roman" w:cs="Times New Roman" w:eastAsia="Times New Roman" w:hint="default"/>
          <w:sz w:val="18"/>
          <w:szCs w:val="18"/>
        </w:rPr>
        <w:sectPr>
          <w:headerReference w:type="default" r:id="rId31"/>
          <w:footerReference w:type="default" r:id="rId32"/>
          <w:pgSz w:w="16840" w:h="11910" w:orient="landscape"/>
          <w:pgMar w:header="868" w:footer="1016" w:top="1060" w:bottom="1200" w:left="440" w:right="700"/>
          <w:pgNumType w:start="106"/>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721" w:hRule="exact"/>
        </w:trPr>
        <w:tc>
          <w:tcPr>
            <w:tcW w:w="17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54,899,263.00</w:t>
            </w: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1,036,978,391.37</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-68,104,191.51</w:t>
            </w: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1,159,981,845.88</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-12,036,647.85</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1,147,945,198.03</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1</w:t>
            </w:r>
            <w:r>
              <w:rPr>
                <w:rFonts w:ascii="宋体" w:hAnsi="宋体" w:cs="宋体" w:eastAsia="宋体" w:hint="default"/>
                <w:spacing w:val="-7"/>
                <w:sz w:val="18"/>
                <w:szCs w:val="18"/>
              </w:rPr>
              <w:t>．所有者投入的普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55,938,493.00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987,039,845.15</w:t>
            </w: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1,042,978,338.15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1,057,588,338.15</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．其他权益工具持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．股份支付计入所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有者权益的金额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-1,039,230.00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60,019,292.45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-68,104,191.51</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127,084,253.96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1,429,425.41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128,513,679.37</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-10,080,746.23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-10,080,746.23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-28,076,073.26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-38,156,819.49</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2,874,996.54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-52,607,432.15</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-49,732,435.61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-49,732,435.61</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2,874,996.54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-2,874,996.54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．提取一般风险准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．对所有者（或股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-49,732,435.61</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-49,732,435.61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-49,732,435.61</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1</w:t>
            </w:r>
            <w:r>
              <w:rPr>
                <w:rFonts w:ascii="宋体" w:hAnsi="宋体" w:cs="宋体" w:eastAsia="宋体" w:hint="default"/>
                <w:spacing w:val="-7"/>
                <w:sz w:val="18"/>
                <w:szCs w:val="18"/>
              </w:rPr>
              <w:t>．资本公积转增资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．盈余公积转增资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．盈余公积弥补亏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4</w:t>
            </w:r>
            <w:r>
              <w:rPr>
                <w:rFonts w:ascii="宋体" w:hAnsi="宋体" w:cs="宋体" w:eastAsia="宋体" w:hint="default"/>
                <w:spacing w:val="-7"/>
                <w:sz w:val="18"/>
                <w:szCs w:val="18"/>
              </w:rPr>
              <w:t>．设定受益计划变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动额结转留存收益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460" w:right="70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721" w:hRule="exact"/>
        </w:trPr>
        <w:tc>
          <w:tcPr>
            <w:tcW w:w="17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5</w:t>
            </w:r>
            <w:r>
              <w:rPr>
                <w:rFonts w:ascii="宋体" w:hAnsi="宋体" w:cs="宋体" w:eastAsia="宋体" w:hint="default"/>
                <w:spacing w:val="-7"/>
                <w:sz w:val="18"/>
                <w:szCs w:val="18"/>
              </w:rPr>
              <w:t>．其他综合收益结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转留存收益</w:t>
            </w:r>
          </w:p>
        </w:tc>
        <w:tc>
          <w:tcPr>
            <w:tcW w:w="1418"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809,390,723.00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2,937,323,945.19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76,282,839.13</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66,937,932.47</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2,199,315,334.80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5,936,685,096.33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58,395,307.77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5,995,080,404.10</w:t>
            </w:r>
          </w:p>
        </w:tc>
      </w:tr>
    </w:tbl>
    <w:p>
      <w:pPr>
        <w:tabs>
          <w:tab w:pos="14806" w:val="left" w:leader="none"/>
        </w:tabs>
        <w:spacing w:before="50"/>
        <w:ind w:left="137" w:right="0"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年年度</w:t>
            </w:r>
          </w:p>
        </w:tc>
      </w:tr>
      <w:tr>
        <w:trPr>
          <w:trHeight w:val="402" w:hRule="exact"/>
        </w:trPr>
        <w:tc>
          <w:tcPr>
            <w:tcW w:w="1701" w:type="dxa"/>
            <w:vMerge/>
            <w:tcBorders>
              <w:left w:val="single" w:sz="4" w:space="0" w:color="000000"/>
              <w:right w:val="single" w:sz="4" w:space="0" w:color="000000"/>
            </w:tcBorders>
            <w:shd w:val="clear" w:color="auto" w:fill="D2D2D2"/>
          </w:tcPr>
          <w:p>
            <w:pPr/>
          </w:p>
        </w:tc>
        <w:tc>
          <w:tcPr>
            <w:tcW w:w="107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1701" w:type="dxa"/>
            <w:vMerge/>
            <w:tcBorders>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149"/>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8"/>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r>
      <w:tr>
        <w:trPr>
          <w:trHeight w:val="124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1"/>
              <w:ind w:left="103" w:right="-1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1"/>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02"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760,681,176.00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1,910,555,620.24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245,922,733.22</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47,257,827.66</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1,230,662,871.24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3,703,234,761.92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9" w:right="0"/>
              <w:jc w:val="left"/>
              <w:rPr>
                <w:rFonts w:ascii="Times New Roman" w:hAnsi="Times New Roman" w:cs="Times New Roman" w:eastAsia="Times New Roman" w:hint="default"/>
                <w:sz w:val="18"/>
                <w:szCs w:val="18"/>
              </w:rPr>
            </w:pPr>
            <w:r>
              <w:rPr>
                <w:rFonts w:ascii="Times New Roman"/>
                <w:sz w:val="18"/>
              </w:rPr>
              <w:t>67,007,767.76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 w:right="0"/>
              <w:jc w:val="left"/>
              <w:rPr>
                <w:rFonts w:ascii="Times New Roman" w:hAnsi="Times New Roman" w:cs="Times New Roman" w:eastAsia="Times New Roman" w:hint="default"/>
                <w:sz w:val="18"/>
                <w:szCs w:val="18"/>
              </w:rPr>
            </w:pPr>
            <w:r>
              <w:rPr>
                <w:rFonts w:ascii="Times New Roman"/>
                <w:sz w:val="18"/>
              </w:rPr>
              <w:t>3,770,242,529.68</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460" w:right="70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409" w:hRule="exact"/>
        </w:trPr>
        <w:tc>
          <w:tcPr>
            <w:tcW w:w="17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760,681,176.00</w:t>
            </w: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1,910,555,620.24</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245,922,733.22</w:t>
            </w: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47,257,827.66</w:t>
            </w: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1,230,662,871.24</w:t>
            </w:r>
          </w:p>
        </w:tc>
        <w:tc>
          <w:tcPr>
            <w:tcW w:w="283"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3,703,234,761.92</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67,007,767.76</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3,770,242,529.68</w:t>
            </w: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2"/>
              <w:jc w:val="left"/>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6"/>
                <w:sz w:val="18"/>
                <w:szCs w:val="18"/>
              </w:rPr>
              <w:t>金额（减少以“－”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-6,189,716.00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-10,210,066.42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-101,535,702.58</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16,744,444.73</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443,034,488.58</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544,914,853.47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1,953,751.77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546,868,605.24</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46"/>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497,708,243.20</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497,708,243.20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-8,951,079.91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488,757,163.29</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46"/>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-6,189,716.00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-10,210,066.42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-101,535,702.58</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85,135,920.16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10,904,831.68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96,040,751.84</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1</w:t>
            </w:r>
            <w:r>
              <w:rPr>
                <w:rFonts w:ascii="宋体" w:hAnsi="宋体" w:cs="宋体" w:eastAsia="宋体" w:hint="default"/>
                <w:spacing w:val="-7"/>
                <w:sz w:val="18"/>
                <w:szCs w:val="18"/>
              </w:rPr>
              <w:t>．所有者投入的普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．其他权益工具持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．股份支付计入所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有者权益的金额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-1,702,314.00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-7,048,931.00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-101,535,702.58</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92,784,457.58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-95,168.32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92,689,289.26</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-4,487,402.00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-3,161,135.42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-7,648,537.42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-7,648,537.42</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16,744,444.73</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-54,673,754.62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-37,929,309.89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-37,929,309.89</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16,744,444.73</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-16,744,444.73</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．提取一般风险准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．对所有者（或股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-37,929,309.89</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-37,929,309.89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-37,929,309.89</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4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1</w:t>
            </w:r>
            <w:r>
              <w:rPr>
                <w:rFonts w:ascii="宋体" w:hAnsi="宋体" w:cs="宋体" w:eastAsia="宋体" w:hint="default"/>
                <w:spacing w:val="-7"/>
                <w:sz w:val="18"/>
                <w:szCs w:val="18"/>
              </w:rPr>
              <w:t>．资本公积转增资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1016" w:top="1060" w:bottom="1200" w:left="460" w:right="70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701"/>
        <w:gridCol w:w="1418"/>
        <w:gridCol w:w="283"/>
        <w:gridCol w:w="284"/>
        <w:gridCol w:w="283"/>
        <w:gridCol w:w="1560"/>
        <w:gridCol w:w="1417"/>
        <w:gridCol w:w="284"/>
        <w:gridCol w:w="283"/>
        <w:gridCol w:w="1276"/>
        <w:gridCol w:w="283"/>
        <w:gridCol w:w="1560"/>
        <w:gridCol w:w="283"/>
        <w:gridCol w:w="1559"/>
        <w:gridCol w:w="1418"/>
        <w:gridCol w:w="1559"/>
      </w:tblGrid>
      <w:tr>
        <w:trPr>
          <w:trHeight w:val="721" w:hRule="exact"/>
        </w:trPr>
        <w:tc>
          <w:tcPr>
            <w:tcW w:w="17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2</w:t>
            </w:r>
            <w:r>
              <w:rPr>
                <w:rFonts w:ascii="宋体" w:hAnsi="宋体" w:cs="宋体" w:eastAsia="宋体" w:hint="default"/>
                <w:spacing w:val="-7"/>
                <w:sz w:val="18"/>
                <w:szCs w:val="18"/>
              </w:rPr>
              <w:t>．盈余公积转增资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本（或股本）</w:t>
            </w:r>
          </w:p>
        </w:tc>
        <w:tc>
          <w:tcPr>
            <w:tcW w:w="1418"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．盈余公积弥补亏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2" w:right="101"/>
              <w:jc w:val="left"/>
              <w:rPr>
                <w:rFonts w:ascii="宋体" w:hAnsi="宋体" w:cs="宋体" w:eastAsia="宋体" w:hint="default"/>
                <w:sz w:val="18"/>
                <w:szCs w:val="18"/>
              </w:rPr>
            </w:pPr>
            <w:r>
              <w:rPr>
                <w:rFonts w:ascii="Arial" w:hAnsi="Arial" w:cs="Arial" w:eastAsia="Arial" w:hint="default"/>
                <w:spacing w:val="-7"/>
                <w:sz w:val="18"/>
                <w:szCs w:val="18"/>
              </w:rPr>
              <w:t>4</w:t>
            </w:r>
            <w:r>
              <w:rPr>
                <w:rFonts w:ascii="宋体" w:hAnsi="宋体" w:cs="宋体" w:eastAsia="宋体" w:hint="default"/>
                <w:spacing w:val="-7"/>
                <w:sz w:val="18"/>
                <w:szCs w:val="18"/>
              </w:rPr>
              <w:t>．设定受益计划变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动额结转留存收益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2" w:right="101"/>
              <w:jc w:val="left"/>
              <w:rPr>
                <w:rFonts w:ascii="宋体" w:hAnsi="宋体" w:cs="宋体" w:eastAsia="宋体" w:hint="default"/>
                <w:sz w:val="18"/>
                <w:szCs w:val="18"/>
              </w:rPr>
            </w:pPr>
            <w:r>
              <w:rPr>
                <w:rFonts w:ascii="Arial" w:hAnsi="Arial" w:cs="Arial" w:eastAsia="Arial" w:hint="default"/>
                <w:spacing w:val="-7"/>
                <w:sz w:val="18"/>
                <w:szCs w:val="18"/>
              </w:rPr>
              <w:t>5</w:t>
            </w:r>
            <w:r>
              <w:rPr>
                <w:rFonts w:ascii="宋体" w:hAnsi="宋体" w:cs="宋体" w:eastAsia="宋体" w:hint="default"/>
                <w:spacing w:val="-7"/>
                <w:sz w:val="18"/>
                <w:szCs w:val="18"/>
              </w:rPr>
              <w:t>．其他综合收益结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1,900,345,553.82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144,387,030.64</w:t>
            </w: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64,002,272.39</w:t>
            </w: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1,673,697,359.82</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4,248,149,615.39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9" w:right="0"/>
              <w:jc w:val="left"/>
              <w:rPr>
                <w:rFonts w:ascii="Times New Roman" w:hAnsi="Times New Roman" w:cs="Times New Roman" w:eastAsia="Times New Roman" w:hint="default"/>
                <w:sz w:val="18"/>
                <w:szCs w:val="18"/>
              </w:rPr>
            </w:pPr>
            <w:r>
              <w:rPr>
                <w:rFonts w:ascii="Times New Roman"/>
                <w:sz w:val="18"/>
              </w:rPr>
              <w:t>68,961,519.53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4,317,111,134.92</w:t>
            </w:r>
          </w:p>
        </w:tc>
      </w:tr>
    </w:tbl>
    <w:p>
      <w:pPr>
        <w:spacing w:after="0" w:line="240" w:lineRule="auto"/>
        <w:jc w:val="left"/>
        <w:rPr>
          <w:rFonts w:ascii="Times New Roman" w:hAnsi="Times New Roman" w:cs="Times New Roman" w:eastAsia="Times New Roman" w:hint="default"/>
          <w:sz w:val="18"/>
          <w:szCs w:val="18"/>
        </w:rPr>
        <w:sectPr>
          <w:footerReference w:type="default" r:id="rId33"/>
          <w:pgSz w:w="16840" w:h="11910" w:orient="landscape"/>
          <w:pgMar w:footer="1016" w:header="868" w:top="1060" w:bottom="1200" w:left="460" w:right="700"/>
          <w:pgNumType w:start="110"/>
        </w:sectPr>
      </w:pPr>
    </w:p>
    <w:p>
      <w:pPr>
        <w:spacing w:line="240" w:lineRule="auto" w:before="1"/>
        <w:rPr>
          <w:rFonts w:ascii="Times New Roman" w:hAnsi="Times New Roman" w:cs="Times New Roman" w:eastAsia="Times New Roman" w:hint="default"/>
          <w:sz w:val="3"/>
          <w:szCs w:val="3"/>
        </w:rPr>
      </w:pPr>
    </w:p>
    <w:p>
      <w:pPr>
        <w:spacing w:line="20" w:lineRule="exact"/>
        <w:ind w:left="1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71.75pt;height:.75pt;mso-position-horizontal-relative:char;mso-position-vertical-relative:line" coordorigin="0,0" coordsize="15435,15">
            <v:group style="position:absolute;left:7;top:7;width:15420;height:2" coordorigin="7,7" coordsize="15420,2">
              <v:shape style="position:absolute;left:7;top:7;width:15420;height:2" coordorigin="7,7" coordsize="15420,0" path="m7,7l154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26" w:right="0"/>
        <w:jc w:val="left"/>
        <w:rPr>
          <w:b w:val="0"/>
          <w:bCs w:val="0"/>
        </w:rPr>
      </w:pPr>
      <w:bookmarkStart w:name="8、母公司所有者权益变动表" w:id="159"/>
      <w:bookmarkEnd w:id="159"/>
      <w:r>
        <w:rPr>
          <w:b w:val="0"/>
          <w:bCs w:val="0"/>
        </w:rPr>
      </w:r>
      <w:r>
        <w:rPr>
          <w:rFonts w:ascii="Arial" w:hAnsi="Arial" w:cs="Arial" w:eastAsia="Arial" w:hint="default"/>
        </w:rPr>
        <w:t>8</w:t>
      </w:r>
      <w:r>
        <w:rPr/>
        <w:t>、母公司所有者权益变动表</w:t>
      </w:r>
      <w:r>
        <w:rPr>
          <w:b w:val="0"/>
          <w:bCs w:val="0"/>
        </w:rPr>
      </w:r>
    </w:p>
    <w:p>
      <w:pPr>
        <w:spacing w:line="240" w:lineRule="auto" w:before="7"/>
        <w:rPr>
          <w:rFonts w:ascii="宋体" w:hAnsi="宋体" w:cs="宋体" w:eastAsia="宋体" w:hint="default"/>
          <w:b/>
          <w:bCs/>
          <w:sz w:val="26"/>
          <w:szCs w:val="26"/>
        </w:rPr>
      </w:pPr>
    </w:p>
    <w:p>
      <w:pPr>
        <w:tabs>
          <w:tab w:pos="14797" w:val="left" w:leader="none"/>
        </w:tabs>
        <w:spacing w:before="0"/>
        <w:ind w:left="126"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2"/>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4395"/>
        <w:gridCol w:w="1559"/>
        <w:gridCol w:w="283"/>
        <w:gridCol w:w="284"/>
        <w:gridCol w:w="283"/>
        <w:gridCol w:w="1560"/>
        <w:gridCol w:w="1417"/>
        <w:gridCol w:w="709"/>
        <w:gridCol w:w="425"/>
        <w:gridCol w:w="1276"/>
        <w:gridCol w:w="1417"/>
        <w:gridCol w:w="284"/>
        <w:gridCol w:w="1559"/>
      </w:tblGrid>
      <w:tr>
        <w:trPr>
          <w:trHeight w:val="402" w:hRule="exact"/>
        </w:trPr>
        <w:tc>
          <w:tcPr>
            <w:tcW w:w="4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714" w:hRule="exact"/>
        </w:trPr>
        <w:tc>
          <w:tcPr>
            <w:tcW w:w="4395" w:type="dxa"/>
            <w:vMerge/>
            <w:tcBorders>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14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17" w:right="11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102" w:right="-9"/>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26" w:hRule="exact"/>
        </w:trPr>
        <w:tc>
          <w:tcPr>
            <w:tcW w:w="439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9"/>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2,074,349,037.03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144,387,030.64</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64,002,272.39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259,152,497.66</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3,007,608,236.44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60,663.54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545,971.85</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606,635.39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2,074,349,037.03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144,387,030.64</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64,062,935.93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259,698,469.51</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3,008,214,871.83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54,899,263.00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1,018,905,293.34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-68,104,191.51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2,874,996.54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-23,857,466.78</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1,120,926,277.61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28,749,965.37</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28,749,965.37</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54,899,263.00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1,018,905,293.34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-68,104,191.51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1,141,908,747.85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55,938,493.00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987,039,845.15</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1,042,978,338.15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-1,039,230.00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31,865,448.19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-68,104,191.51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98,930,409.70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2,874,996.54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-52,607,432.15</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-49,732,435.61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2,874,996.54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-2,874,996.54</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-49,732,435.61</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-49,732,435.61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1016" w:top="1060" w:bottom="1200" w:left="440" w:right="700"/>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95"/>
        <w:gridCol w:w="1559"/>
        <w:gridCol w:w="283"/>
        <w:gridCol w:w="284"/>
        <w:gridCol w:w="283"/>
        <w:gridCol w:w="1560"/>
        <w:gridCol w:w="1417"/>
        <w:gridCol w:w="709"/>
        <w:gridCol w:w="425"/>
        <w:gridCol w:w="1276"/>
        <w:gridCol w:w="1417"/>
        <w:gridCol w:w="284"/>
        <w:gridCol w:w="1559"/>
      </w:tblGrid>
      <w:tr>
        <w:trPr>
          <w:trHeight w:val="376" w:hRule="exact"/>
        </w:trPr>
        <w:tc>
          <w:tcPr>
            <w:tcW w:w="43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559"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709"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．设定受益计划变动额结转留存收益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．其他综合收益结转留存收益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809,390,723.00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3,093,254,330.37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76,282,839.13</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66,937,932.47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235,841,002.73</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4,129,141,149.44</w:t>
            </w:r>
          </w:p>
        </w:tc>
      </w:tr>
    </w:tbl>
    <w:p>
      <w:pPr>
        <w:tabs>
          <w:tab w:pos="14866" w:val="left" w:leader="none"/>
        </w:tabs>
        <w:spacing w:before="50"/>
        <w:ind w:left="106" w:right="0" w:firstLine="0"/>
        <w:jc w:val="left"/>
        <w:rPr>
          <w:rFonts w:ascii="宋体" w:hAnsi="宋体" w:cs="宋体" w:eastAsia="宋体" w:hint="default"/>
          <w:sz w:val="18"/>
          <w:szCs w:val="18"/>
        </w:rPr>
      </w:pPr>
      <w:r>
        <w:rPr>
          <w:rFonts w:ascii="宋体" w:hAnsi="宋体" w:cs="宋体" w:eastAsia="宋体" w:hint="default"/>
          <w:sz w:val="18"/>
          <w:szCs w:val="18"/>
        </w:rPr>
        <w:t>上期金额</w:t>
        <w:tab/>
      </w:r>
      <w:r>
        <w:rPr>
          <w:rFonts w:ascii="宋体" w:hAnsi="宋体" w:cs="宋体" w:eastAsia="宋体" w:hint="default"/>
          <w:spacing w:val="-15"/>
          <w:sz w:val="18"/>
          <w:szCs w:val="18"/>
        </w:rPr>
        <w:t>单位：元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4395"/>
        <w:gridCol w:w="1559"/>
        <w:gridCol w:w="283"/>
        <w:gridCol w:w="284"/>
        <w:gridCol w:w="283"/>
        <w:gridCol w:w="1560"/>
        <w:gridCol w:w="1417"/>
        <w:gridCol w:w="709"/>
        <w:gridCol w:w="425"/>
        <w:gridCol w:w="1276"/>
        <w:gridCol w:w="1417"/>
        <w:gridCol w:w="284"/>
        <w:gridCol w:w="1559"/>
      </w:tblGrid>
      <w:tr>
        <w:trPr>
          <w:trHeight w:val="402" w:hRule="exact"/>
        </w:trPr>
        <w:tc>
          <w:tcPr>
            <w:tcW w:w="4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年年度</w:t>
            </w:r>
          </w:p>
        </w:tc>
      </w:tr>
      <w:tr>
        <w:trPr>
          <w:trHeight w:val="714" w:hRule="exact"/>
        </w:trPr>
        <w:tc>
          <w:tcPr>
            <w:tcW w:w="4395" w:type="dxa"/>
            <w:vMerge/>
            <w:tcBorders>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14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17" w:right="11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102" w:right="-9"/>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26" w:hRule="exact"/>
        </w:trPr>
        <w:tc>
          <w:tcPr>
            <w:tcW w:w="439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9"/>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760,681,176.00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2,084,654,271.77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245,922,733.22</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47,257,827.66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146,381,804.97</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2,793,052,347.18</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8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8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760,681,176.00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2,084,654,271.77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245,922,733.22</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47,257,827.66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146,381,804.97</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2,793,052,347.18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1016" w:top="1060" w:bottom="1200" w:left="460" w:right="70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395"/>
        <w:gridCol w:w="1559"/>
        <w:gridCol w:w="283"/>
        <w:gridCol w:w="284"/>
        <w:gridCol w:w="283"/>
        <w:gridCol w:w="1560"/>
        <w:gridCol w:w="1417"/>
        <w:gridCol w:w="709"/>
        <w:gridCol w:w="425"/>
        <w:gridCol w:w="1276"/>
        <w:gridCol w:w="1417"/>
        <w:gridCol w:w="284"/>
        <w:gridCol w:w="1559"/>
      </w:tblGrid>
      <w:tr>
        <w:trPr>
          <w:trHeight w:val="409" w:hRule="exact"/>
        </w:trPr>
        <w:tc>
          <w:tcPr>
            <w:tcW w:w="43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-6,189,716.00</w:t>
            </w:r>
          </w:p>
        </w:tc>
        <w:tc>
          <w:tcPr>
            <w:tcW w:w="283" w:type="dxa"/>
            <w:tcBorders>
              <w:top w:val="single" w:sz="10" w:space="0" w:color="000000"/>
              <w:left w:val="single" w:sz="4" w:space="0" w:color="000000"/>
              <w:bottom w:val="single" w:sz="4" w:space="0" w:color="000000"/>
              <w:right w:val="single" w:sz="4" w:space="0" w:color="000000"/>
            </w:tcBorders>
          </w:tcPr>
          <w:p>
            <w:pPr/>
          </w:p>
        </w:tc>
        <w:tc>
          <w:tcPr>
            <w:tcW w:w="284" w:type="dxa"/>
            <w:tcBorders>
              <w:top w:val="single" w:sz="10" w:space="0" w:color="000000"/>
              <w:left w:val="single" w:sz="4" w:space="0" w:color="000000"/>
              <w:bottom w:val="single" w:sz="4" w:space="0" w:color="000000"/>
              <w:right w:val="single" w:sz="4" w:space="0" w:color="000000"/>
            </w:tcBorders>
          </w:tcPr>
          <w:p>
            <w:pPr/>
          </w:p>
        </w:tc>
        <w:tc>
          <w:tcPr>
            <w:tcW w:w="283"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-10,305,234.74</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-101,535,702.58</w:t>
            </w:r>
          </w:p>
        </w:tc>
        <w:tc>
          <w:tcPr>
            <w:tcW w:w="709" w:type="dxa"/>
            <w:tcBorders>
              <w:top w:val="single" w:sz="10" w:space="0" w:color="000000"/>
              <w:left w:val="single" w:sz="4" w:space="0" w:color="000000"/>
              <w:bottom w:val="single" w:sz="4" w:space="0" w:color="000000"/>
              <w:right w:val="single" w:sz="4" w:space="0" w:color="000000"/>
            </w:tcBorders>
          </w:tcPr>
          <w:p>
            <w:pPr/>
          </w:p>
        </w:tc>
        <w:tc>
          <w:tcPr>
            <w:tcW w:w="425" w:type="dxa"/>
            <w:tcBorders>
              <w:top w:val="single" w:sz="10" w:space="0" w:color="000000"/>
              <w:left w:val="single" w:sz="4" w:space="0" w:color="000000"/>
              <w:bottom w:val="single" w:sz="4" w:space="0" w:color="000000"/>
              <w:right w:val="single" w:sz="4" w:space="0" w:color="000000"/>
            </w:tcBorders>
          </w:tcPr>
          <w:p>
            <w:pP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16,744,444.73</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112,770,692.69</w:t>
            </w:r>
          </w:p>
        </w:tc>
        <w:tc>
          <w:tcPr>
            <w:tcW w:w="284" w:type="dxa"/>
            <w:tcBorders>
              <w:top w:val="single" w:sz="10" w:space="0" w:color="000000"/>
              <w:left w:val="single" w:sz="4" w:space="0" w:color="000000"/>
              <w:bottom w:val="single" w:sz="4" w:space="0" w:color="000000"/>
              <w:right w:val="single" w:sz="4" w:space="0" w:color="000000"/>
            </w:tcBorders>
          </w:tcPr>
          <w:p>
            <w:pP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214,555,889.26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167,444,447.31</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167,444,447.31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-6,189,716.00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-10,305,234.74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-101,535,702.58</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85,040,751.84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-1,702,314.00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-7,144,099.32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-101,535,702.58</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92,689,289.26</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-4,487,402.00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-3,161,135.42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-7,648,537.42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16,744,444.73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-54,673,754.62</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-37,929,309.89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16,744,444.73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-16,744,444.73</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-37,929,309.89</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-37,929,309.89</w:t>
            </w: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．设定受益计划变动额结转留存收益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．其他综合收益结转留存收益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754,491,460.00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2,074,349,037.03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144,387,030.64</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64,002,272.39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259,152,497.66</w:t>
            </w:r>
          </w:p>
        </w:tc>
        <w:tc>
          <w:tcPr>
            <w:tcW w:w="28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3,007,608,236.44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1016" w:top="1060" w:bottom="1200" w:left="460" w:right="70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before="26"/>
        <w:ind w:right="996"/>
        <w:jc w:val="left"/>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123" w:firstLine="420"/>
        <w:jc w:val="both"/>
      </w:pPr>
      <w:r>
        <w:rPr>
          <w:w w:val="95"/>
        </w:rPr>
        <w:t>北京华宇软件股份有限公司（以下简称“本公司”或“公司”）（原名“北京清华紫光软件股份有限</w:t>
      </w:r>
      <w:r>
        <w:rPr>
          <w:w w:val="99"/>
        </w:rPr>
        <w:t> </w:t>
      </w:r>
      <w:r>
        <w:rPr/>
        <w:t>公司”）系经北京市人民政府经济体制改革办公室于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11</w:t>
      </w:r>
      <w:r>
        <w:rPr/>
        <w:t>日以京政体改股函</w:t>
      </w:r>
      <w:r>
        <w:rPr>
          <w:rFonts w:ascii="Arial" w:hAnsi="Arial" w:cs="Arial" w:eastAsia="Arial" w:hint="default"/>
        </w:rPr>
        <w:t>[2001]38</w:t>
      </w:r>
      <w:r>
        <w:rPr/>
        <w:t>号文批准，</w:t>
      </w:r>
      <w:r>
        <w:rPr>
          <w:spacing w:val="-85"/>
        </w:rPr>
        <w:t> </w:t>
      </w:r>
      <w:r>
        <w:rPr>
          <w:spacing w:val="-85"/>
        </w:rPr>
      </w:r>
      <w:r>
        <w:rPr>
          <w:w w:val="95"/>
        </w:rPr>
        <w:t>由清华紫光股份有限公司（以下简称紫光股份）作为主发起人，以原清华紫光软件中心净资产及部分现金</w:t>
      </w:r>
      <w:r>
        <w:rPr>
          <w:spacing w:val="43"/>
          <w:w w:val="95"/>
        </w:rPr>
        <w:t> </w:t>
      </w:r>
      <w:r>
        <w:rPr>
          <w:spacing w:val="43"/>
          <w:w w:val="95"/>
        </w:rPr>
      </w:r>
      <w:r>
        <w:rPr/>
        <w:t>作为出资，联合其他企业和自然人投入现金共同发起设立，成立于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18</w:t>
      </w:r>
      <w:r>
        <w:rPr/>
        <w:t>日的股份有限公司。公司</w:t>
      </w:r>
      <w:r>
        <w:rPr>
          <w:w w:val="99"/>
        </w:rPr>
        <w:t> </w:t>
      </w:r>
      <w:r>
        <w:rPr/>
        <w:t>成立时注册资本</w:t>
      </w:r>
      <w:r>
        <w:rPr>
          <w:rFonts w:ascii="Arial" w:hAnsi="Arial" w:cs="Arial" w:eastAsia="Arial" w:hint="default"/>
        </w:rPr>
        <w:t>4,000</w:t>
      </w:r>
      <w:r>
        <w:rPr/>
        <w:t>万元。</w:t>
      </w:r>
    </w:p>
    <w:p>
      <w:pPr>
        <w:pStyle w:val="BodyText"/>
        <w:spacing w:line="259" w:lineRule="auto" w:before="116"/>
        <w:ind w:right="1128" w:firstLine="420"/>
        <w:jc w:val="both"/>
      </w:pPr>
      <w:r>
        <w:rPr>
          <w:rFonts w:ascii="Arial" w:hAnsi="Arial" w:cs="Arial" w:eastAsia="Arial" w:hint="default"/>
        </w:rPr>
        <w:t>2003</w:t>
      </w:r>
      <w:r>
        <w:rPr/>
        <w:t>年</w:t>
      </w:r>
      <w:r>
        <w:rPr>
          <w:rFonts w:ascii="Arial" w:hAnsi="Arial" w:cs="Arial" w:eastAsia="Arial" w:hint="default"/>
        </w:rPr>
        <w:t>12</w:t>
      </w:r>
      <w:r>
        <w:rPr/>
        <w:t>月</w:t>
      </w:r>
      <w:r>
        <w:rPr>
          <w:rFonts w:ascii="Arial" w:hAnsi="Arial" w:cs="Arial" w:eastAsia="Arial" w:hint="default"/>
        </w:rPr>
        <w:t>1</w:t>
      </w:r>
      <w:r>
        <w:rPr/>
        <w:t>日，根据清华大学校企改制的要求和公司股权变化，经北京市工商行政管理局批准，公</w:t>
      </w:r>
      <w:r>
        <w:rPr>
          <w:w w:val="99"/>
        </w:rPr>
        <w:t> </w:t>
      </w:r>
      <w:r>
        <w:rPr/>
        <w:t>司更名为“北京紫光华宇软件股份有限公司”。</w:t>
      </w:r>
    </w:p>
    <w:p>
      <w:pPr>
        <w:pStyle w:val="BodyText"/>
        <w:spacing w:line="259" w:lineRule="auto" w:before="140"/>
        <w:ind w:right="1012" w:firstLine="420"/>
        <w:jc w:val="left"/>
      </w:pPr>
      <w:r>
        <w:rPr>
          <w:spacing w:val="2"/>
        </w:rPr>
        <w:t>公司根据</w:t>
      </w:r>
      <w:r>
        <w:rPr>
          <w:rFonts w:ascii="Arial" w:hAnsi="Arial" w:cs="Arial" w:eastAsia="Arial" w:hint="default"/>
          <w:spacing w:val="2"/>
        </w:rPr>
        <w:t>2009</w:t>
      </w:r>
      <w:r>
        <w:rPr>
          <w:spacing w:val="2"/>
        </w:rPr>
        <w:t>年第二次临时股东大会决议及修改后的公司章程并经中国证券监督管理委员会于</w:t>
      </w:r>
      <w:r>
        <w:rPr>
          <w:rFonts w:ascii="Arial" w:hAnsi="Arial" w:cs="Arial" w:eastAsia="Arial" w:hint="default"/>
          <w:spacing w:val="2"/>
        </w:rPr>
        <w:t>2011</w:t>
      </w:r>
      <w:r>
        <w:rPr>
          <w:rFonts w:ascii="Arial" w:hAnsi="Arial" w:cs="Arial" w:eastAsia="Arial" w:hint="default"/>
          <w:w w:val="99"/>
        </w:rPr>
        <w:t> </w:t>
      </w:r>
      <w:r>
        <w:rPr/>
        <w:t>年</w:t>
      </w:r>
      <w:r>
        <w:rPr>
          <w:rFonts w:ascii="Arial" w:hAnsi="Arial" w:cs="Arial" w:eastAsia="Arial" w:hint="default"/>
        </w:rPr>
        <w:t>9</w:t>
      </w:r>
      <w:r>
        <w:rPr/>
        <w:t>月</w:t>
      </w:r>
      <w:r>
        <w:rPr>
          <w:rFonts w:ascii="Arial" w:hAnsi="Arial" w:cs="Arial" w:eastAsia="Arial" w:hint="default"/>
        </w:rPr>
        <w:t>16</w:t>
      </w:r>
      <w:r>
        <w:rPr/>
        <w:t>日签发的证监许可</w:t>
      </w:r>
      <w:r>
        <w:rPr>
          <w:rFonts w:ascii="Arial" w:hAnsi="Arial" w:cs="Arial" w:eastAsia="Arial" w:hint="default"/>
        </w:rPr>
        <w:t>[2011]1492</w:t>
      </w:r>
      <w:r>
        <w:rPr/>
        <w:t>号《关于核准北京紫光华宇软件股份有限公司首次公开发行股票并</w:t>
      </w:r>
      <w:r>
        <w:rPr>
          <w:spacing w:val="-67"/>
        </w:rPr>
        <w:t> </w:t>
      </w:r>
      <w:r>
        <w:rPr>
          <w:spacing w:val="-67"/>
        </w:rPr>
      </w:r>
      <w:r>
        <w:rPr/>
        <w:t>在创业板上市的批复》，于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10</w:t>
      </w:r>
      <w:r>
        <w:rPr/>
        <w:t>日以每股人民币</w:t>
      </w:r>
      <w:r>
        <w:rPr>
          <w:rFonts w:ascii="Arial" w:hAnsi="Arial" w:cs="Arial" w:eastAsia="Arial" w:hint="default"/>
        </w:rPr>
        <w:t>30.80</w:t>
      </w:r>
      <w:r>
        <w:rPr/>
        <w:t>元向社会公开发行人民币普通股（</w:t>
      </w:r>
      <w:r>
        <w:rPr>
          <w:rFonts w:ascii="Arial" w:hAnsi="Arial" w:cs="Arial" w:eastAsia="Arial" w:hint="default"/>
        </w:rPr>
        <w:t>A</w:t>
      </w:r>
      <w:r>
        <w:rPr/>
        <w:t>股）</w:t>
      </w:r>
      <w:r>
        <w:rPr>
          <w:spacing w:val="-57"/>
        </w:rPr>
        <w:t> </w:t>
      </w:r>
      <w:r>
        <w:rPr>
          <w:spacing w:val="-57"/>
        </w:rPr>
      </w:r>
      <w:r>
        <w:rPr>
          <w:rFonts w:ascii="Arial" w:hAnsi="Arial" w:cs="Arial" w:eastAsia="Arial" w:hint="default"/>
          <w:spacing w:val="-4"/>
        </w:rPr>
        <w:t>18,500,000</w:t>
      </w:r>
      <w:r>
        <w:rPr>
          <w:spacing w:val="-4"/>
        </w:rPr>
        <w:t>股，并由北京兴华会计师事务所有限责任公司出具了（</w:t>
      </w:r>
      <w:r>
        <w:rPr>
          <w:rFonts w:ascii="Arial" w:hAnsi="Arial" w:cs="Arial" w:eastAsia="Arial" w:hint="default"/>
          <w:spacing w:val="-4"/>
        </w:rPr>
        <w:t>2011</w:t>
      </w:r>
      <w:r>
        <w:rPr>
          <w:spacing w:val="-4"/>
        </w:rPr>
        <w:t>）京会兴</w:t>
      </w:r>
      <w:r>
        <w:rPr>
          <w:rFonts w:ascii="Arial" w:hAnsi="Arial" w:cs="Arial" w:eastAsia="Arial" w:hint="default"/>
          <w:spacing w:val="-4"/>
        </w:rPr>
        <w:t>(</w:t>
      </w:r>
      <w:r>
        <w:rPr>
          <w:spacing w:val="-4"/>
        </w:rPr>
        <w:t>验</w:t>
      </w:r>
      <w:r>
        <w:rPr>
          <w:rFonts w:ascii="Arial" w:hAnsi="Arial" w:cs="Arial" w:eastAsia="Arial" w:hint="default"/>
          <w:spacing w:val="-4"/>
        </w:rPr>
        <w:t>)</w:t>
      </w:r>
      <w:r>
        <w:rPr>
          <w:spacing w:val="-4"/>
        </w:rPr>
        <w:t>字第</w:t>
      </w:r>
      <w:r>
        <w:rPr>
          <w:rFonts w:ascii="Arial" w:hAnsi="Arial" w:cs="Arial" w:eastAsia="Arial" w:hint="default"/>
          <w:spacing w:val="-4"/>
        </w:rPr>
        <w:t>7-017</w:t>
      </w:r>
      <w:r>
        <w:rPr>
          <w:spacing w:val="-4"/>
        </w:rPr>
        <w:t>号验资报告，</w:t>
      </w:r>
      <w:r>
        <w:rPr>
          <w:spacing w:val="-102"/>
        </w:rPr>
        <w:t> </w:t>
      </w:r>
      <w:r>
        <w:rPr>
          <w:spacing w:val="-102"/>
        </w:rPr>
      </w:r>
      <w:r>
        <w:rPr/>
        <w:t>增资事项的工商登记变更已办理完毕，注册资本变更为</w:t>
      </w:r>
      <w:r>
        <w:rPr>
          <w:rFonts w:ascii="Arial" w:hAnsi="Arial" w:cs="Arial" w:eastAsia="Arial" w:hint="default"/>
        </w:rPr>
        <w:t>7,400</w:t>
      </w:r>
      <w:r>
        <w:rPr/>
        <w:t>万元。</w:t>
      </w:r>
    </w:p>
    <w:p>
      <w:pPr>
        <w:pStyle w:val="BodyText"/>
        <w:spacing w:line="259" w:lineRule="auto" w:before="123"/>
        <w:ind w:right="1028" w:firstLine="420"/>
        <w:jc w:val="both"/>
      </w:pP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29</w:t>
      </w:r>
      <w:r>
        <w:rPr/>
        <w:t>日，根据第四届董事会第二十三次会议和</w:t>
      </w:r>
      <w:r>
        <w:rPr>
          <w:rFonts w:ascii="Arial" w:hAnsi="Arial" w:cs="Arial" w:eastAsia="Arial" w:hint="default"/>
        </w:rPr>
        <w:t>2013</w:t>
      </w:r>
      <w:r>
        <w:rPr/>
        <w:t>年第二次股东大会审议通过的《关于变更</w:t>
      </w:r>
      <w:r>
        <w:rPr>
          <w:w w:val="99"/>
        </w:rPr>
        <w:t> </w:t>
      </w:r>
      <w:r>
        <w:rPr>
          <w:spacing w:val="-7"/>
          <w:w w:val="99"/>
        </w:rPr>
        <w:t>公司名称的议案》，将公司名称“北京紫光华宇软件股份有限公司”变更为“北京华宇软件股份有限公司”。</w:t>
      </w:r>
      <w:r>
        <w:rPr>
          <w:spacing w:val="-7"/>
        </w:rPr>
      </w:r>
    </w:p>
    <w:p>
      <w:pPr>
        <w:pStyle w:val="BodyText"/>
        <w:spacing w:line="261" w:lineRule="auto" w:before="140"/>
        <w:ind w:right="1118" w:firstLine="420"/>
        <w:jc w:val="both"/>
      </w:pPr>
      <w:r>
        <w:rPr>
          <w:w w:val="95"/>
        </w:rPr>
        <w:t>根据公司</w:t>
      </w:r>
      <w:r>
        <w:rPr>
          <w:rFonts w:ascii="Arial" w:hAnsi="Arial" w:cs="Arial" w:eastAsia="Arial" w:hint="default"/>
          <w:w w:val="95"/>
        </w:rPr>
        <w:t>2014</w:t>
      </w:r>
      <w:r>
        <w:rPr>
          <w:w w:val="95"/>
        </w:rPr>
        <w:t>年</w:t>
      </w:r>
      <w:r>
        <w:rPr>
          <w:rFonts w:ascii="Arial" w:hAnsi="Arial" w:cs="Arial" w:eastAsia="Arial" w:hint="default"/>
          <w:w w:val="95"/>
        </w:rPr>
        <w:t>9</w:t>
      </w:r>
      <w:r>
        <w:rPr>
          <w:w w:val="95"/>
        </w:rPr>
        <w:t>月</w:t>
      </w:r>
      <w:r>
        <w:rPr>
          <w:rFonts w:ascii="Arial" w:hAnsi="Arial" w:cs="Arial" w:eastAsia="Arial" w:hint="default"/>
          <w:w w:val="95"/>
        </w:rPr>
        <w:t>15</w:t>
      </w:r>
      <w:r>
        <w:rPr>
          <w:w w:val="95"/>
        </w:rPr>
        <w:t>召开的第五届董事会第十四次会议、</w:t>
      </w:r>
      <w:r>
        <w:rPr>
          <w:rFonts w:ascii="Arial" w:hAnsi="Arial" w:cs="Arial" w:eastAsia="Arial" w:hint="default"/>
          <w:w w:val="95"/>
        </w:rPr>
        <w:t>2014</w:t>
      </w:r>
      <w:r>
        <w:rPr>
          <w:w w:val="95"/>
        </w:rPr>
        <w:t>年</w:t>
      </w:r>
      <w:r>
        <w:rPr>
          <w:rFonts w:ascii="Arial" w:hAnsi="Arial" w:cs="Arial" w:eastAsia="Arial" w:hint="default"/>
          <w:w w:val="95"/>
        </w:rPr>
        <w:t>10</w:t>
      </w:r>
      <w:r>
        <w:rPr>
          <w:w w:val="95"/>
        </w:rPr>
        <w:t>月</w:t>
      </w:r>
      <w:r>
        <w:rPr>
          <w:rFonts w:ascii="Arial" w:hAnsi="Arial" w:cs="Arial" w:eastAsia="Arial" w:hint="default"/>
          <w:w w:val="95"/>
        </w:rPr>
        <w:t>8</w:t>
      </w:r>
      <w:r>
        <w:rPr>
          <w:w w:val="95"/>
        </w:rPr>
        <w:t>日召开的</w:t>
      </w:r>
      <w:r>
        <w:rPr>
          <w:rFonts w:ascii="Arial" w:hAnsi="Arial" w:cs="Arial" w:eastAsia="Arial" w:hint="default"/>
          <w:w w:val="95"/>
        </w:rPr>
        <w:t>2014</w:t>
      </w:r>
      <w:r>
        <w:rPr>
          <w:w w:val="95"/>
        </w:rPr>
        <w:t>年度第三次临</w:t>
      </w:r>
      <w:r>
        <w:rPr>
          <w:spacing w:val="-87"/>
          <w:w w:val="95"/>
        </w:rPr>
        <w:t> </w:t>
      </w:r>
      <w:r>
        <w:rPr>
          <w:spacing w:val="-87"/>
          <w:w w:val="95"/>
        </w:rPr>
      </w:r>
      <w:r>
        <w:rPr>
          <w:w w:val="95"/>
        </w:rPr>
        <w:t>时股东大会的决议的规定，及与马勤等签署的《发行股份及支付现金购买资产协议》的规定，并经中国证</w:t>
      </w:r>
      <w:r>
        <w:rPr>
          <w:spacing w:val="41"/>
          <w:w w:val="95"/>
        </w:rPr>
        <w:t> </w:t>
      </w:r>
      <w:r>
        <w:rPr>
          <w:spacing w:val="41"/>
          <w:w w:val="95"/>
        </w:rPr>
      </w:r>
      <w:r>
        <w:rPr>
          <w:w w:val="95"/>
        </w:rPr>
        <w:t>券监督管理委员会证监许可</w:t>
      </w:r>
      <w:r>
        <w:rPr>
          <w:rFonts w:ascii="Arial" w:hAnsi="Arial" w:cs="Arial" w:eastAsia="Arial" w:hint="default"/>
          <w:w w:val="95"/>
        </w:rPr>
        <w:t>[2014]1413</w:t>
      </w:r>
      <w:r>
        <w:rPr>
          <w:w w:val="95"/>
        </w:rPr>
        <w:t>号文《关于核准北京华宇软件股份有限公司向马勤等发行股份购买</w:t>
      </w:r>
      <w:r>
        <w:rPr>
          <w:spacing w:val="51"/>
          <w:w w:val="95"/>
        </w:rPr>
        <w:t> </w:t>
      </w:r>
      <w:r>
        <w:rPr>
          <w:spacing w:val="51"/>
          <w:w w:val="95"/>
        </w:rPr>
      </w:r>
      <w:r>
        <w:rPr>
          <w:w w:val="95"/>
        </w:rPr>
        <w:t>资产的批复》的核准，公司以每股</w:t>
      </w:r>
      <w:r>
        <w:rPr>
          <w:rFonts w:ascii="Arial" w:hAnsi="Arial" w:cs="Arial" w:eastAsia="Arial" w:hint="default"/>
          <w:w w:val="95"/>
        </w:rPr>
        <w:t>37.27</w:t>
      </w:r>
      <w:r>
        <w:rPr>
          <w:w w:val="95"/>
        </w:rPr>
        <w:t>元向马勤等</w:t>
      </w:r>
      <w:r>
        <w:rPr>
          <w:rFonts w:ascii="Arial" w:hAnsi="Arial" w:cs="Arial" w:eastAsia="Arial" w:hint="default"/>
          <w:w w:val="95"/>
        </w:rPr>
        <w:t>11</w:t>
      </w:r>
      <w:r>
        <w:rPr>
          <w:w w:val="95"/>
        </w:rPr>
        <w:t>位自然人发行股份</w:t>
      </w:r>
      <w:r>
        <w:rPr>
          <w:rFonts w:ascii="Arial" w:hAnsi="Arial" w:cs="Arial" w:eastAsia="Arial" w:hint="default"/>
          <w:w w:val="95"/>
        </w:rPr>
        <w:t>1,814,831</w:t>
      </w:r>
      <w:r>
        <w:rPr>
          <w:w w:val="95"/>
        </w:rPr>
        <w:t>股并支付现金的方式购</w:t>
      </w:r>
      <w:r>
        <w:rPr>
          <w:spacing w:val="40"/>
          <w:w w:val="95"/>
        </w:rPr>
        <w:t> </w:t>
      </w:r>
      <w:r>
        <w:rPr>
          <w:spacing w:val="40"/>
          <w:w w:val="95"/>
        </w:rPr>
      </w:r>
      <w:r>
        <w:rPr/>
        <w:t>买其持有的上海浦东中软科技发展有限公司</w:t>
      </w:r>
      <w:r>
        <w:rPr>
          <w:rFonts w:ascii="Arial" w:hAnsi="Arial" w:cs="Arial" w:eastAsia="Arial" w:hint="default"/>
        </w:rPr>
        <w:t>90.185%</w:t>
      </w:r>
      <w:r>
        <w:rPr/>
        <w:t>股权，此事项已经大华会计师事务所</w:t>
      </w:r>
      <w:r>
        <w:rPr>
          <w:rFonts w:ascii="Arial" w:hAnsi="Arial" w:cs="Arial" w:eastAsia="Arial" w:hint="default"/>
        </w:rPr>
        <w:t>(</w:t>
      </w:r>
      <w:r>
        <w:rPr/>
        <w:t>特殊普通合伙</w:t>
      </w:r>
      <w:r>
        <w:rPr>
          <w:rFonts w:ascii="Arial" w:hAnsi="Arial" w:cs="Arial" w:eastAsia="Arial" w:hint="default"/>
        </w:rPr>
        <w:t>)</w:t>
      </w:r>
      <w:r>
        <w:rPr>
          <w:rFonts w:ascii="Arial" w:hAnsi="Arial" w:cs="Arial" w:eastAsia="Arial" w:hint="default"/>
          <w:spacing w:val="-6"/>
        </w:rPr>
        <w:t> </w:t>
      </w:r>
      <w:r>
        <w:rPr/>
        <w:t>审验，并出具大华验字</w:t>
      </w:r>
      <w:r>
        <w:rPr>
          <w:rFonts w:ascii="Arial" w:hAnsi="Arial" w:cs="Arial" w:eastAsia="Arial" w:hint="default"/>
        </w:rPr>
        <w:t>[2015]000068</w:t>
      </w:r>
      <w:r>
        <w:rPr/>
        <w:t>号验资报告。</w:t>
      </w:r>
    </w:p>
    <w:p>
      <w:pPr>
        <w:pStyle w:val="BodyText"/>
        <w:spacing w:line="261" w:lineRule="auto" w:before="121"/>
        <w:ind w:right="1120" w:firstLine="420"/>
        <w:jc w:val="both"/>
      </w:pPr>
      <w:r>
        <w:rPr>
          <w:spacing w:val="-1"/>
          <w:w w:val="95"/>
        </w:rPr>
        <w:t>根据公司第五届董事会第二十五次会议决议、</w:t>
      </w:r>
      <w:r>
        <w:rPr>
          <w:rFonts w:ascii="Arial" w:hAnsi="Arial" w:cs="Arial" w:eastAsia="Arial" w:hint="default"/>
          <w:spacing w:val="-1"/>
          <w:w w:val="95"/>
        </w:rPr>
        <w:t>2015</w:t>
      </w:r>
      <w:r>
        <w:rPr>
          <w:spacing w:val="-1"/>
          <w:w w:val="95"/>
        </w:rPr>
        <w:t>年第一次临时股东大会决议，并经中国证券监督管</w:t>
      </w:r>
      <w:r>
        <w:rPr>
          <w:spacing w:val="-96"/>
          <w:w w:val="95"/>
        </w:rPr>
        <w:t> </w:t>
      </w:r>
      <w:r>
        <w:rPr>
          <w:spacing w:val="-96"/>
          <w:w w:val="95"/>
        </w:rPr>
      </w:r>
      <w:r>
        <w:rPr>
          <w:spacing w:val="-5"/>
          <w:w w:val="99"/>
        </w:rPr>
        <w:t>理委员会《关于核准北京华宇软件股份有限公司向陈京念等发行股份购买资产并募集配套资金的批复》（证</w:t>
      </w:r>
      <w:r>
        <w:rPr>
          <w:spacing w:val="-73"/>
          <w:w w:val="99"/>
        </w:rPr>
        <w:t> </w:t>
      </w:r>
      <w:r>
        <w:rPr>
          <w:spacing w:val="-73"/>
          <w:w w:val="99"/>
        </w:rPr>
      </w:r>
      <w:r>
        <w:rPr>
          <w:spacing w:val="2"/>
          <w:w w:val="95"/>
        </w:rPr>
        <w:t>监许可</w:t>
      </w:r>
      <w:r>
        <w:rPr>
          <w:rFonts w:ascii="Arial" w:hAnsi="Arial" w:cs="Arial" w:eastAsia="Arial" w:hint="default"/>
          <w:spacing w:val="2"/>
          <w:w w:val="95"/>
        </w:rPr>
        <w:t>[2015]2231</w:t>
      </w:r>
      <w:r>
        <w:rPr>
          <w:spacing w:val="2"/>
          <w:w w:val="95"/>
        </w:rPr>
        <w:t>号）文件核准，公司向陈京念及沧州地铁物资有限公司定向增发</w:t>
      </w:r>
      <w:r>
        <w:rPr>
          <w:rFonts w:ascii="Arial" w:hAnsi="Arial" w:cs="Arial" w:eastAsia="Arial" w:hint="default"/>
          <w:spacing w:val="2"/>
          <w:w w:val="95"/>
        </w:rPr>
        <w:t>4,895,647</w:t>
      </w:r>
      <w:r>
        <w:rPr>
          <w:spacing w:val="2"/>
          <w:w w:val="95"/>
        </w:rPr>
        <w:t>股股份，并</w:t>
      </w:r>
      <w:r>
        <w:rPr>
          <w:spacing w:val="44"/>
          <w:w w:val="95"/>
        </w:rPr>
        <w:t> </w:t>
      </w:r>
      <w:r>
        <w:rPr>
          <w:spacing w:val="44"/>
          <w:w w:val="95"/>
        </w:rPr>
      </w:r>
      <w:r>
        <w:rPr>
          <w:spacing w:val="2"/>
        </w:rPr>
        <w:t>非公开发行不超过</w:t>
      </w:r>
      <w:r>
        <w:rPr>
          <w:rFonts w:ascii="Arial" w:hAnsi="Arial" w:cs="Arial" w:eastAsia="Arial" w:hint="default"/>
          <w:spacing w:val="2"/>
        </w:rPr>
        <w:t>3,200,000</w:t>
      </w:r>
      <w:r>
        <w:rPr>
          <w:spacing w:val="2"/>
        </w:rPr>
        <w:t>股新股募集本次发行股份购买资产的配套资金购买陈京念及沧州地铁物资有</w:t>
      </w:r>
      <w:r>
        <w:rPr>
          <w:w w:val="99"/>
        </w:rPr>
        <w:t> </w:t>
      </w:r>
      <w:r>
        <w:rPr>
          <w:spacing w:val="2"/>
        </w:rPr>
        <w:t>限公司持有的华宇金信软件（北京）有限公司</w:t>
      </w:r>
      <w:r>
        <w:rPr>
          <w:rFonts w:ascii="Arial" w:hAnsi="Arial" w:cs="Arial" w:eastAsia="Arial" w:hint="default"/>
          <w:spacing w:val="2"/>
        </w:rPr>
        <w:t>49%</w:t>
      </w:r>
      <w:r>
        <w:rPr>
          <w:spacing w:val="2"/>
        </w:rPr>
        <w:t>股权。</w:t>
      </w:r>
      <w:r>
        <w:rPr>
          <w:rFonts w:ascii="Arial" w:hAnsi="Arial" w:cs="Arial" w:eastAsia="Arial" w:hint="default"/>
          <w:spacing w:val="2"/>
        </w:rPr>
        <w:t>2015</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28</w:t>
      </w:r>
      <w:r>
        <w:rPr>
          <w:spacing w:val="2"/>
        </w:rPr>
        <w:t>日，已取得作为本次发行股份对</w:t>
      </w:r>
      <w:r>
        <w:rPr>
          <w:w w:val="99"/>
        </w:rPr>
        <w:t> </w:t>
      </w:r>
      <w:r>
        <w:rPr>
          <w:spacing w:val="2"/>
        </w:rPr>
        <w:t>价的华宇金信软件（北京）有限公司</w:t>
      </w:r>
      <w:r>
        <w:rPr>
          <w:rFonts w:ascii="Arial" w:hAnsi="Arial" w:cs="Arial" w:eastAsia="Arial" w:hint="default"/>
          <w:spacing w:val="2"/>
        </w:rPr>
        <w:t>49%</w:t>
      </w:r>
      <w:r>
        <w:rPr>
          <w:spacing w:val="2"/>
        </w:rPr>
        <w:t>股权，新增股份</w:t>
      </w:r>
      <w:r>
        <w:rPr>
          <w:rFonts w:ascii="Arial" w:hAnsi="Arial" w:cs="Arial" w:eastAsia="Arial" w:hint="default"/>
          <w:spacing w:val="2"/>
        </w:rPr>
        <w:t>4,895,647</w:t>
      </w:r>
      <w:r>
        <w:rPr>
          <w:spacing w:val="2"/>
        </w:rPr>
        <w:t>股，此事项已经中审华寅五洲会计师</w:t>
      </w:r>
      <w:r>
        <w:rPr>
          <w:w w:val="99"/>
        </w:rPr>
        <w:t> </w:t>
      </w:r>
      <w:r>
        <w:rPr/>
        <w:t>事务所</w:t>
      </w:r>
      <w:r>
        <w:rPr>
          <w:rFonts w:ascii="Arial" w:hAnsi="Arial" w:cs="Arial" w:eastAsia="Arial" w:hint="default"/>
        </w:rPr>
        <w:t>(</w:t>
      </w:r>
      <w:r>
        <w:rPr/>
        <w:t>特殊普通合伙</w:t>
      </w:r>
      <w:r>
        <w:rPr>
          <w:rFonts w:ascii="Arial" w:hAnsi="Arial" w:cs="Arial" w:eastAsia="Arial" w:hint="default"/>
        </w:rPr>
        <w:t>)</w:t>
      </w:r>
      <w:r>
        <w:rPr/>
        <w:t>出具</w:t>
      </w:r>
      <w:r>
        <w:rPr>
          <w:rFonts w:ascii="Arial" w:hAnsi="Arial" w:cs="Arial" w:eastAsia="Arial" w:hint="default"/>
        </w:rPr>
        <w:t>CHW</w:t>
      </w:r>
      <w:r>
        <w:rPr/>
        <w:t>验字【</w:t>
      </w:r>
      <w:r>
        <w:rPr>
          <w:rFonts w:ascii="Arial" w:hAnsi="Arial" w:cs="Arial" w:eastAsia="Arial" w:hint="default"/>
        </w:rPr>
        <w:t>2015</w:t>
      </w:r>
      <w:r>
        <w:rPr/>
        <w:t>】</w:t>
      </w:r>
      <w:r>
        <w:rPr>
          <w:rFonts w:ascii="Arial" w:hAnsi="Arial" w:cs="Arial" w:eastAsia="Arial" w:hint="default"/>
        </w:rPr>
        <w:t>0073</w:t>
      </w:r>
      <w:r>
        <w:rPr/>
        <w:t>号验资报告审验。</w:t>
      </w:r>
    </w:p>
    <w:p>
      <w:pPr>
        <w:pStyle w:val="BodyText"/>
        <w:spacing w:line="259" w:lineRule="auto" w:before="121"/>
        <w:ind w:right="1122" w:firstLine="420"/>
        <w:jc w:val="both"/>
      </w:pP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4</w:t>
      </w:r>
      <w:r>
        <w:rPr/>
        <w:t>日，公司已收到郭颖、郭楠、王琰、朱相宇、钱贵昱五位自然人缴纳的作为本次发行股</w:t>
      </w:r>
      <w:r>
        <w:rPr>
          <w:w w:val="99"/>
        </w:rPr>
        <w:t> </w:t>
      </w:r>
      <w:r>
        <w:rPr>
          <w:w w:val="95"/>
        </w:rPr>
        <w:t>份购买资产的募集配套资金</w:t>
      </w:r>
      <w:r>
        <w:rPr>
          <w:rFonts w:ascii="Arial" w:hAnsi="Arial" w:cs="Arial" w:eastAsia="Arial" w:hint="default"/>
          <w:w w:val="95"/>
        </w:rPr>
        <w:t>8,182.80</w:t>
      </w:r>
      <w:r>
        <w:rPr>
          <w:w w:val="95"/>
        </w:rPr>
        <w:t>万元（扣除承销商国信证券股份有限公司承销费用</w:t>
      </w:r>
      <w:r>
        <w:rPr>
          <w:rFonts w:ascii="Arial" w:hAnsi="Arial" w:cs="Arial" w:eastAsia="Arial" w:hint="default"/>
          <w:w w:val="95"/>
        </w:rPr>
        <w:t>300.00</w:t>
      </w:r>
      <w:r>
        <w:rPr>
          <w:w w:val="95"/>
        </w:rPr>
        <w:t>万元），认</w:t>
      </w:r>
      <w:r>
        <w:rPr>
          <w:spacing w:val="63"/>
          <w:w w:val="95"/>
        </w:rPr>
        <w:t> </w:t>
      </w:r>
      <w:r>
        <w:rPr>
          <w:spacing w:val="63"/>
          <w:w w:val="95"/>
        </w:rPr>
      </w:r>
      <w:r>
        <w:rPr>
          <w:spacing w:val="-1"/>
        </w:rPr>
        <w:t>购公司股份</w:t>
      </w:r>
      <w:r>
        <w:rPr>
          <w:rFonts w:ascii="Arial" w:hAnsi="Arial" w:cs="Arial" w:eastAsia="Arial" w:hint="default"/>
          <w:spacing w:val="-1"/>
        </w:rPr>
        <w:t>312</w:t>
      </w:r>
      <w:r>
        <w:rPr>
          <w:spacing w:val="-1"/>
        </w:rPr>
        <w:t>万股，此事项已经中审华寅五洲会计师事务所</w:t>
      </w:r>
      <w:r>
        <w:rPr>
          <w:rFonts w:ascii="Arial" w:hAnsi="Arial" w:cs="Arial" w:eastAsia="Arial" w:hint="default"/>
          <w:spacing w:val="-1"/>
        </w:rPr>
        <w:t>(</w:t>
      </w:r>
      <w:r>
        <w:rPr>
          <w:spacing w:val="-1"/>
        </w:rPr>
        <w:t>特殊普通合伙</w:t>
      </w:r>
      <w:r>
        <w:rPr>
          <w:rFonts w:ascii="Arial" w:hAnsi="Arial" w:cs="Arial" w:eastAsia="Arial" w:hint="default"/>
          <w:spacing w:val="-1"/>
        </w:rPr>
        <w:t>)</w:t>
      </w:r>
      <w:r>
        <w:rPr>
          <w:spacing w:val="-1"/>
        </w:rPr>
        <w:t>出具</w:t>
      </w:r>
      <w:r>
        <w:rPr>
          <w:rFonts w:ascii="Arial" w:hAnsi="Arial" w:cs="Arial" w:eastAsia="Arial" w:hint="default"/>
          <w:spacing w:val="-1"/>
        </w:rPr>
        <w:t>CHW</w:t>
      </w:r>
      <w:r>
        <w:rPr>
          <w:spacing w:val="-1"/>
        </w:rPr>
        <w:t>验字【</w:t>
      </w:r>
      <w:r>
        <w:rPr>
          <w:rFonts w:ascii="Arial" w:hAnsi="Arial" w:cs="Arial" w:eastAsia="Arial" w:hint="default"/>
          <w:spacing w:val="-1"/>
        </w:rPr>
        <w:t>2015</w:t>
      </w:r>
      <w:r>
        <w:rPr>
          <w:spacing w:val="-1"/>
        </w:rPr>
        <w:t>】</w:t>
      </w:r>
      <w:r>
        <w:rPr>
          <w:rFonts w:ascii="Arial" w:hAnsi="Arial" w:cs="Arial" w:eastAsia="Arial" w:hint="default"/>
          <w:spacing w:val="-1"/>
        </w:rPr>
        <w:t>0074</w:t>
      </w:r>
      <w:r>
        <w:rPr>
          <w:rFonts w:ascii="Arial" w:hAnsi="Arial" w:cs="Arial" w:eastAsia="Arial" w:hint="default"/>
          <w:w w:val="99"/>
        </w:rPr>
        <w:t> </w:t>
      </w:r>
      <w:r>
        <w:rPr/>
        <w:t>号验资报告审验。</w:t>
      </w:r>
    </w:p>
    <w:p>
      <w:pPr>
        <w:pStyle w:val="BodyText"/>
        <w:spacing w:line="261" w:lineRule="auto" w:before="140"/>
        <w:ind w:right="1019" w:firstLine="420"/>
        <w:jc w:val="both"/>
      </w:pPr>
      <w:r>
        <w:rPr/>
        <w:t>根据公司</w:t>
      </w:r>
      <w:r>
        <w:rPr>
          <w:rFonts w:ascii="Arial" w:hAnsi="Arial" w:cs="Arial" w:eastAsia="Arial" w:hint="default"/>
        </w:rPr>
        <w:t>2017</w:t>
      </w:r>
      <w:r>
        <w:rPr/>
        <w:t>年第一次临时股东大会决议、第六届董事会第十八次会议决议，并经中国证券监督管理</w:t>
      </w:r>
      <w:r>
        <w:rPr>
          <w:w w:val="99"/>
        </w:rPr>
        <w:t> </w:t>
      </w:r>
      <w:r>
        <w:rPr/>
        <w:t>委员会《关于核准北京华宇软件股份有限公司向任刚等发行股份购买资产并募集配套资金的批复》（证监</w:t>
      </w:r>
      <w:r>
        <w:rPr>
          <w:w w:val="99"/>
        </w:rPr>
        <w:t> </w:t>
      </w:r>
      <w:r>
        <w:rPr/>
        <w:t>许可</w:t>
      </w:r>
      <w:r>
        <w:rPr>
          <w:rFonts w:ascii="Arial" w:hAnsi="Arial" w:cs="Arial" w:eastAsia="Arial" w:hint="default"/>
        </w:rPr>
        <w:t>[2017]1395</w:t>
      </w:r>
      <w:r>
        <w:rPr/>
        <w:t>号）文件核准，公司向任刚等定向增发</w:t>
      </w:r>
      <w:r>
        <w:rPr>
          <w:rFonts w:ascii="Arial" w:hAnsi="Arial" w:cs="Arial" w:eastAsia="Arial" w:hint="default"/>
        </w:rPr>
        <w:t>60,661,865</w:t>
      </w:r>
      <w:r>
        <w:rPr/>
        <w:t>股股份，并非公开发行股份募集配套资</w:t>
      </w:r>
      <w:r>
        <w:rPr>
          <w:w w:val="99"/>
        </w:rPr>
        <w:t> </w:t>
      </w:r>
      <w:r>
        <w:rPr>
          <w:spacing w:val="2"/>
        </w:rPr>
        <w:t>金不超过</w:t>
      </w:r>
      <w:r>
        <w:rPr>
          <w:rFonts w:ascii="Arial" w:hAnsi="Arial" w:cs="Arial" w:eastAsia="Arial" w:hint="default"/>
          <w:spacing w:val="2"/>
        </w:rPr>
        <w:t>49,000</w:t>
      </w:r>
      <w:r>
        <w:rPr>
          <w:spacing w:val="2"/>
        </w:rPr>
        <w:t>万元，购买任刚等持有的联奕科技有限公司</w:t>
      </w:r>
      <w:r>
        <w:rPr>
          <w:rFonts w:ascii="Arial" w:hAnsi="Arial" w:cs="Arial" w:eastAsia="Arial" w:hint="default"/>
          <w:spacing w:val="2"/>
        </w:rPr>
        <w:t>100%</w:t>
      </w:r>
      <w:r>
        <w:rPr>
          <w:spacing w:val="2"/>
        </w:rPr>
        <w:t>股权。公司</w:t>
      </w:r>
      <w:r>
        <w:rPr>
          <w:rFonts w:ascii="Arial" w:hAnsi="Arial" w:cs="Arial" w:eastAsia="Arial" w:hint="default"/>
          <w:spacing w:val="2"/>
        </w:rPr>
        <w:t>2017</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21</w:t>
      </w:r>
      <w:r>
        <w:rPr>
          <w:spacing w:val="2"/>
        </w:rPr>
        <w:t>日，已取得作</w:t>
      </w:r>
      <w:r>
        <w:rPr>
          <w:w w:val="99"/>
        </w:rPr>
        <w:t> </w:t>
      </w:r>
      <w:r>
        <w:rPr>
          <w:spacing w:val="2"/>
        </w:rPr>
        <w:t>为本次发行股份对价的联奕科技有限公司</w:t>
      </w:r>
      <w:r>
        <w:rPr>
          <w:rFonts w:ascii="Arial" w:hAnsi="Arial" w:cs="Arial" w:eastAsia="Arial" w:hint="default"/>
          <w:spacing w:val="2"/>
        </w:rPr>
        <w:t>100%</w:t>
      </w:r>
      <w:r>
        <w:rPr>
          <w:spacing w:val="2"/>
        </w:rPr>
        <w:t>股权，新增股份</w:t>
      </w:r>
      <w:r>
        <w:rPr>
          <w:rFonts w:ascii="Arial" w:hAnsi="Arial" w:cs="Arial" w:eastAsia="Arial" w:hint="default"/>
          <w:spacing w:val="2"/>
        </w:rPr>
        <w:t>60,661,865</w:t>
      </w:r>
      <w:r>
        <w:rPr>
          <w:spacing w:val="2"/>
        </w:rPr>
        <w:t>股，此事项已经中审华会计师</w:t>
      </w:r>
      <w:r>
        <w:rPr>
          <w:w w:val="99"/>
        </w:rPr>
        <w:t> </w:t>
      </w:r>
      <w:r>
        <w:rPr/>
        <w:t>事务所</w:t>
      </w:r>
      <w:r>
        <w:rPr>
          <w:rFonts w:ascii="Arial" w:hAnsi="Arial" w:cs="Arial" w:eastAsia="Arial" w:hint="default"/>
        </w:rPr>
        <w:t>(</w:t>
      </w:r>
      <w:r>
        <w:rPr/>
        <w:t>特殊普通合伙</w:t>
      </w:r>
      <w:r>
        <w:rPr>
          <w:rFonts w:ascii="Arial" w:hAnsi="Arial" w:cs="Arial" w:eastAsia="Arial" w:hint="default"/>
        </w:rPr>
        <w:t>)</w:t>
      </w:r>
      <w:r>
        <w:rPr/>
        <w:t>出具</w:t>
      </w:r>
      <w:r>
        <w:rPr>
          <w:rFonts w:ascii="Arial" w:hAnsi="Arial" w:cs="Arial" w:eastAsia="Arial" w:hint="default"/>
        </w:rPr>
        <w:t>CAC</w:t>
      </w:r>
      <w:r>
        <w:rPr/>
        <w:t>验字【</w:t>
      </w:r>
      <w:r>
        <w:rPr>
          <w:rFonts w:ascii="Arial" w:hAnsi="Arial" w:cs="Arial" w:eastAsia="Arial" w:hint="default"/>
        </w:rPr>
        <w:t>2017</w:t>
      </w:r>
      <w:r>
        <w:rPr/>
        <w:t>】</w:t>
      </w:r>
      <w:r>
        <w:rPr>
          <w:rFonts w:ascii="Arial" w:hAnsi="Arial" w:cs="Arial" w:eastAsia="Arial" w:hint="default"/>
        </w:rPr>
        <w:t>0036</w:t>
      </w:r>
      <w:r>
        <w:rPr/>
        <w:t>号验资报告审验。截至</w:t>
      </w:r>
      <w:r>
        <w:rPr>
          <w:rFonts w:ascii="Arial" w:hAnsi="Arial" w:cs="Arial" w:eastAsia="Arial" w:hint="default"/>
        </w:rPr>
        <w:t>2017</w:t>
      </w:r>
      <w:r>
        <w:rPr/>
        <w:t>年</w:t>
      </w:r>
      <w:r>
        <w:rPr>
          <w:rFonts w:ascii="Arial" w:hAnsi="Arial" w:cs="Arial" w:eastAsia="Arial" w:hint="default"/>
        </w:rPr>
        <w:t>9</w:t>
      </w:r>
      <w:r>
        <w:rPr/>
        <w:t>月</w:t>
      </w:r>
      <w:r>
        <w:rPr>
          <w:rFonts w:ascii="Arial" w:hAnsi="Arial" w:cs="Arial" w:eastAsia="Arial" w:hint="default"/>
        </w:rPr>
        <w:t>18</w:t>
      </w:r>
      <w:r>
        <w:rPr/>
        <w:t>日止，公司已收到</w:t>
      </w:r>
      <w:r>
        <w:rPr>
          <w:w w:val="99"/>
        </w:rPr>
        <w:t> </w:t>
      </w:r>
      <w:r>
        <w:rPr/>
        <w:t>上海国鑫投资发展有限公司、北京中关村并购母基金投资中心（有限合伙）、全国社保基金五零四组合、</w:t>
      </w:r>
      <w:r>
        <w:rPr>
          <w:w w:val="99"/>
        </w:rPr>
        <w:t> </w:t>
      </w:r>
      <w:r>
        <w:rPr/>
        <w:t>嘉实基金超新星</w:t>
      </w:r>
      <w:r>
        <w:rPr>
          <w:rFonts w:ascii="Arial" w:hAnsi="Arial" w:cs="Arial" w:eastAsia="Arial" w:hint="default"/>
        </w:rPr>
        <w:t>1</w:t>
      </w:r>
      <w:r>
        <w:rPr/>
        <w:t>号定增资产管理计划、嘉实基金</w:t>
      </w:r>
      <w:r>
        <w:rPr>
          <w:rFonts w:ascii="Arial" w:hAnsi="Arial" w:cs="Arial" w:eastAsia="Arial" w:hint="default"/>
        </w:rPr>
        <w:t>-</w:t>
      </w:r>
      <w:r>
        <w:rPr/>
        <w:t>浦发银行</w:t>
      </w:r>
      <w:r>
        <w:rPr>
          <w:rFonts w:ascii="Arial" w:hAnsi="Arial" w:cs="Arial" w:eastAsia="Arial" w:hint="default"/>
        </w:rPr>
        <w:t>-</w:t>
      </w:r>
      <w:r>
        <w:rPr/>
        <w:t>睿思</w:t>
      </w:r>
      <w:r>
        <w:rPr>
          <w:rFonts w:ascii="Arial" w:hAnsi="Arial" w:cs="Arial" w:eastAsia="Arial" w:hint="default"/>
        </w:rPr>
        <w:t>5</w:t>
      </w:r>
      <w:r>
        <w:rPr/>
        <w:t>号资产管理计划、邵学缴纳的作为本次</w:t>
      </w:r>
      <w:r>
        <w:rPr>
          <w:spacing w:val="-95"/>
        </w:rPr>
        <w:t> </w:t>
      </w:r>
      <w:r>
        <w:rPr>
          <w:spacing w:val="-95"/>
        </w:rPr>
      </w:r>
      <w:r>
        <w:rPr>
          <w:w w:val="95"/>
        </w:rPr>
        <w:t>发行股份购买资产的募集配套资金</w:t>
      </w:r>
      <w:r>
        <w:rPr>
          <w:rFonts w:ascii="Arial" w:hAnsi="Arial" w:cs="Arial" w:eastAsia="Arial" w:hint="default"/>
          <w:w w:val="95"/>
        </w:rPr>
        <w:t>48,000</w:t>
      </w:r>
      <w:r>
        <w:rPr>
          <w:w w:val="95"/>
        </w:rPr>
        <w:t>万元（扣除承销商国信证券股份有限公司承销费用</w:t>
      </w:r>
      <w:r>
        <w:rPr>
          <w:rFonts w:ascii="Arial" w:hAnsi="Arial" w:cs="Arial" w:eastAsia="Arial" w:hint="default"/>
          <w:w w:val="95"/>
        </w:rPr>
        <w:t>1,000</w:t>
      </w:r>
      <w:r>
        <w:rPr>
          <w:w w:val="95"/>
        </w:rPr>
        <w:t>万元），</w:t>
      </w:r>
      <w:r>
        <w:rPr/>
      </w:r>
    </w:p>
    <w:p>
      <w:pPr>
        <w:spacing w:after="0" w:line="261" w:lineRule="auto"/>
        <w:jc w:val="both"/>
        <w:sectPr>
          <w:headerReference w:type="default" r:id="rId34"/>
          <w:footerReference w:type="default" r:id="rId35"/>
          <w:pgSz w:w="11910" w:h="16840"/>
          <w:pgMar w:header="878" w:footer="1016" w:top="1100" w:bottom="1200" w:left="1020" w:right="0"/>
          <w:pgNumType w:start="114"/>
        </w:sectPr>
      </w:pPr>
    </w:p>
    <w:p>
      <w:pPr>
        <w:spacing w:line="240" w:lineRule="auto" w:before="12"/>
        <w:rPr>
          <w:rFonts w:ascii="宋体" w:hAnsi="宋体" w:cs="宋体" w:eastAsia="宋体" w:hint="default"/>
          <w:sz w:val="20"/>
          <w:szCs w:val="20"/>
        </w:rPr>
      </w:pPr>
    </w:p>
    <w:p>
      <w:pPr>
        <w:pStyle w:val="BodyText"/>
        <w:spacing w:line="259" w:lineRule="auto" w:before="34"/>
        <w:ind w:right="1102"/>
        <w:jc w:val="left"/>
      </w:pPr>
      <w:r>
        <w:rPr>
          <w:spacing w:val="-1"/>
        </w:rPr>
        <w:t>认购公司股份</w:t>
      </w:r>
      <w:r>
        <w:rPr>
          <w:rFonts w:ascii="Arial" w:hAnsi="Arial" w:cs="Arial" w:eastAsia="Arial" w:hint="default"/>
          <w:spacing w:val="-1"/>
        </w:rPr>
        <w:t>31,091,370</w:t>
      </w:r>
      <w:r>
        <w:rPr>
          <w:spacing w:val="-1"/>
        </w:rPr>
        <w:t>股，此事项已经中审华会计师事务所</w:t>
      </w:r>
      <w:r>
        <w:rPr>
          <w:rFonts w:ascii="Arial" w:hAnsi="Arial" w:cs="Arial" w:eastAsia="Arial" w:hint="default"/>
          <w:spacing w:val="-1"/>
        </w:rPr>
        <w:t>(</w:t>
      </w:r>
      <w:r>
        <w:rPr>
          <w:spacing w:val="-1"/>
        </w:rPr>
        <w:t>特殊普通合伙</w:t>
      </w:r>
      <w:r>
        <w:rPr>
          <w:rFonts w:ascii="Arial" w:hAnsi="Arial" w:cs="Arial" w:eastAsia="Arial" w:hint="default"/>
          <w:spacing w:val="-1"/>
        </w:rPr>
        <w:t>)</w:t>
      </w:r>
      <w:r>
        <w:rPr>
          <w:spacing w:val="-1"/>
        </w:rPr>
        <w:t>出具</w:t>
      </w:r>
      <w:r>
        <w:rPr>
          <w:rFonts w:ascii="Arial" w:hAnsi="Arial" w:cs="Arial" w:eastAsia="Arial" w:hint="default"/>
          <w:spacing w:val="-1"/>
        </w:rPr>
        <w:t>CAC</w:t>
      </w:r>
      <w:r>
        <w:rPr>
          <w:spacing w:val="-1"/>
        </w:rPr>
        <w:t>验字【</w:t>
      </w:r>
      <w:r>
        <w:rPr>
          <w:rFonts w:ascii="Arial" w:hAnsi="Arial" w:cs="Arial" w:eastAsia="Arial" w:hint="default"/>
          <w:spacing w:val="-1"/>
        </w:rPr>
        <w:t>2017</w:t>
      </w:r>
      <w:r>
        <w:rPr>
          <w:spacing w:val="-1"/>
        </w:rPr>
        <w:t>】</w:t>
      </w:r>
      <w:r>
        <w:rPr>
          <w:rFonts w:ascii="Arial" w:hAnsi="Arial" w:cs="Arial" w:eastAsia="Arial" w:hint="default"/>
          <w:spacing w:val="-1"/>
        </w:rPr>
        <w:t>0051</w:t>
      </w:r>
      <w:r>
        <w:rPr>
          <w:rFonts w:ascii="Arial" w:hAnsi="Arial" w:cs="Arial" w:eastAsia="Arial" w:hint="default"/>
          <w:w w:val="99"/>
        </w:rPr>
        <w:t> </w:t>
      </w:r>
      <w:r>
        <w:rPr/>
        <w:t>号验资报告审验。</w:t>
      </w:r>
    </w:p>
    <w:p>
      <w:pPr>
        <w:pStyle w:val="BodyText"/>
        <w:spacing w:line="259" w:lineRule="auto" w:before="140"/>
        <w:ind w:right="1113" w:firstLine="420"/>
        <w:jc w:val="both"/>
      </w:pPr>
      <w:r>
        <w:rPr>
          <w:spacing w:val="-1"/>
          <w:w w:val="95"/>
        </w:rPr>
        <w:t>根据公司</w:t>
      </w:r>
      <w:r>
        <w:rPr>
          <w:rFonts w:ascii="Arial" w:hAnsi="Arial" w:cs="Arial" w:eastAsia="Arial" w:hint="default"/>
          <w:spacing w:val="-1"/>
          <w:w w:val="95"/>
        </w:rPr>
        <w:t>2018</w:t>
      </w:r>
      <w:r>
        <w:rPr>
          <w:spacing w:val="-1"/>
          <w:w w:val="95"/>
        </w:rPr>
        <w:t>年第一次股东大会决议、第六届董事会第三十次会议决议，并经中国证券监督管理委员</w:t>
      </w:r>
      <w:r>
        <w:rPr>
          <w:spacing w:val="-97"/>
          <w:w w:val="95"/>
        </w:rPr>
        <w:t> </w:t>
      </w:r>
      <w:r>
        <w:rPr>
          <w:spacing w:val="-97"/>
          <w:w w:val="95"/>
        </w:rPr>
      </w:r>
      <w:r>
        <w:rPr>
          <w:w w:val="95"/>
        </w:rPr>
        <w:t>会关于核准北京华宇软件股份有限公司非公开发行股票的批复》（证监许可</w:t>
      </w:r>
      <w:r>
        <w:rPr>
          <w:rFonts w:ascii="Arial" w:hAnsi="Arial" w:cs="Arial" w:eastAsia="Arial" w:hint="default"/>
          <w:w w:val="95"/>
        </w:rPr>
        <w:t>[2018]2187</w:t>
      </w:r>
      <w:r>
        <w:rPr>
          <w:w w:val="95"/>
        </w:rPr>
        <w:t>号）文件核准，公</w:t>
      </w:r>
      <w:r>
        <w:rPr>
          <w:spacing w:val="48"/>
          <w:w w:val="95"/>
        </w:rPr>
        <w:t> </w:t>
      </w:r>
      <w:r>
        <w:rPr>
          <w:spacing w:val="48"/>
          <w:w w:val="95"/>
        </w:rPr>
      </w:r>
      <w:r>
        <w:rPr/>
        <w:t>司非公开发行人民币普通股不超过</w:t>
      </w:r>
      <w:r>
        <w:rPr>
          <w:rFonts w:ascii="Arial" w:hAnsi="Arial" w:cs="Arial" w:eastAsia="Arial" w:hint="default"/>
        </w:rPr>
        <w:t>6,500</w:t>
      </w:r>
      <w:r>
        <w:rPr/>
        <w:t>万股。截至</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9</w:t>
      </w:r>
      <w:r>
        <w:rPr/>
        <w:t>日止，公司向社会公众投资者询价发行人</w:t>
      </w:r>
      <w:r>
        <w:rPr>
          <w:w w:val="99"/>
        </w:rPr>
        <w:t> </w:t>
      </w:r>
      <w:r>
        <w:rPr>
          <w:spacing w:val="2"/>
          <w:w w:val="95"/>
        </w:rPr>
        <w:t>民币普通股</w:t>
      </w:r>
      <w:r>
        <w:rPr>
          <w:rFonts w:ascii="Arial" w:hAnsi="Arial" w:cs="Arial" w:eastAsia="Arial" w:hint="default"/>
          <w:spacing w:val="2"/>
          <w:w w:val="95"/>
        </w:rPr>
        <w:t>55,938,493</w:t>
      </w:r>
      <w:r>
        <w:rPr>
          <w:spacing w:val="2"/>
          <w:w w:val="95"/>
        </w:rPr>
        <w:t>股，每股面值人民币</w:t>
      </w:r>
      <w:r>
        <w:rPr>
          <w:rFonts w:ascii="Arial" w:hAnsi="Arial" w:cs="Arial" w:eastAsia="Arial" w:hint="default"/>
          <w:spacing w:val="2"/>
          <w:w w:val="95"/>
        </w:rPr>
        <w:t>1.00</w:t>
      </w:r>
      <w:r>
        <w:rPr>
          <w:spacing w:val="2"/>
          <w:w w:val="95"/>
        </w:rPr>
        <w:t>元，每股发行认购价格为人民币</w:t>
      </w:r>
      <w:r>
        <w:rPr>
          <w:rFonts w:ascii="Arial" w:hAnsi="Arial" w:cs="Arial" w:eastAsia="Arial" w:hint="default"/>
          <w:spacing w:val="2"/>
          <w:w w:val="95"/>
        </w:rPr>
        <w:t>18.86</w:t>
      </w:r>
      <w:r>
        <w:rPr>
          <w:spacing w:val="2"/>
          <w:w w:val="95"/>
        </w:rPr>
        <w:t>元，共计募集人民</w:t>
      </w:r>
      <w:r>
        <w:rPr>
          <w:spacing w:val="44"/>
          <w:w w:val="95"/>
        </w:rPr>
        <w:t> </w:t>
      </w:r>
      <w:r>
        <w:rPr>
          <w:spacing w:val="44"/>
          <w:w w:val="95"/>
        </w:rPr>
      </w:r>
      <w:r>
        <w:rPr/>
        <w:t>币</w:t>
      </w:r>
      <w:r>
        <w:rPr>
          <w:rFonts w:ascii="Arial" w:hAnsi="Arial" w:cs="Arial" w:eastAsia="Arial" w:hint="default"/>
        </w:rPr>
        <w:t>1,054,999,977.98</w:t>
      </w:r>
      <w:r>
        <w:rPr/>
        <w:t>元，此事项已经大华会计师事务所</w:t>
      </w:r>
      <w:r>
        <w:rPr>
          <w:rFonts w:ascii="Arial" w:hAnsi="Arial" w:cs="Arial" w:eastAsia="Arial" w:hint="default"/>
        </w:rPr>
        <w:t>(</w:t>
      </w:r>
      <w:r>
        <w:rPr/>
        <w:t>特殊普通合伙</w:t>
      </w:r>
      <w:r>
        <w:rPr>
          <w:rFonts w:ascii="Arial" w:hAnsi="Arial" w:cs="Arial" w:eastAsia="Arial" w:hint="default"/>
        </w:rPr>
        <w:t>)</w:t>
      </w:r>
      <w:r>
        <w:rPr/>
        <w:t>出具大华验字</w:t>
      </w:r>
      <w:r>
        <w:rPr>
          <w:rFonts w:ascii="Arial" w:hAnsi="Arial" w:cs="Arial" w:eastAsia="Arial" w:hint="default"/>
        </w:rPr>
        <w:t>[2019]000124</w:t>
      </w:r>
      <w:r>
        <w:rPr/>
        <w:t>号验资</w:t>
      </w:r>
      <w:r>
        <w:rPr>
          <w:spacing w:val="-41"/>
        </w:rPr>
        <w:t> </w:t>
      </w:r>
      <w:r>
        <w:rPr>
          <w:spacing w:val="-41"/>
        </w:rPr>
      </w:r>
      <w:r>
        <w:rPr/>
        <w:t>报告审验。</w:t>
      </w:r>
    </w:p>
    <w:p>
      <w:pPr>
        <w:pStyle w:val="BodyText"/>
        <w:spacing w:line="259" w:lineRule="auto" w:before="140"/>
        <w:ind w:right="1178"/>
        <w:jc w:val="both"/>
      </w:pPr>
      <w:r>
        <w:rPr/>
        <w:t>经过历年的派送红股、配售新股、转增股本及增发新股，截止</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日，本公司累计发行股本总</w:t>
      </w:r>
      <w:r>
        <w:rPr>
          <w:w w:val="99"/>
        </w:rPr>
        <w:t> </w:t>
      </w:r>
      <w:r>
        <w:rPr>
          <w:w w:val="95"/>
        </w:rPr>
        <w:t>数</w:t>
      </w:r>
      <w:r>
        <w:rPr>
          <w:rFonts w:ascii="Arial" w:hAnsi="Arial" w:cs="Arial" w:eastAsia="Arial" w:hint="default"/>
          <w:w w:val="95"/>
        </w:rPr>
        <w:t>80,939.0723</w:t>
      </w:r>
      <w:r>
        <w:rPr>
          <w:w w:val="95"/>
        </w:rPr>
        <w:t>万股，注册资本为</w:t>
      </w:r>
      <w:r>
        <w:rPr>
          <w:rFonts w:ascii="Arial" w:hAnsi="Arial" w:cs="Arial" w:eastAsia="Arial" w:hint="default"/>
          <w:w w:val="95"/>
        </w:rPr>
        <w:t>80,939.0723</w:t>
      </w:r>
      <w:r>
        <w:rPr>
          <w:w w:val="95"/>
        </w:rPr>
        <w:t>万元，注册地址及总部地址：北京市海淀区中关村东路</w:t>
      </w:r>
      <w:r>
        <w:rPr>
          <w:rFonts w:ascii="Arial" w:hAnsi="Arial" w:cs="Arial" w:eastAsia="Arial" w:hint="default"/>
          <w:w w:val="95"/>
        </w:rPr>
        <w:t>1</w:t>
      </w:r>
      <w:r>
        <w:rPr>
          <w:w w:val="95"/>
        </w:rPr>
        <w:t>号</w:t>
      </w:r>
      <w:r>
        <w:rPr>
          <w:spacing w:val="56"/>
          <w:w w:val="95"/>
        </w:rPr>
        <w:t> </w:t>
      </w:r>
      <w:r>
        <w:rPr/>
        <w:t>院清华科技园科技大厦</w:t>
      </w:r>
      <w:r>
        <w:rPr>
          <w:rFonts w:ascii="Arial" w:hAnsi="Arial" w:cs="Arial" w:eastAsia="Arial" w:hint="default"/>
        </w:rPr>
        <w:t>C</w:t>
      </w:r>
      <w:r>
        <w:rPr/>
        <w:t>座</w:t>
      </w:r>
      <w:r>
        <w:rPr>
          <w:rFonts w:ascii="Arial" w:hAnsi="Arial" w:cs="Arial" w:eastAsia="Arial" w:hint="default"/>
        </w:rPr>
        <w:t>25</w:t>
      </w:r>
      <w:r>
        <w:rPr>
          <w:rFonts w:ascii="Arial" w:hAnsi="Arial" w:cs="Arial" w:eastAsia="Arial" w:hint="default"/>
          <w:spacing w:val="35"/>
        </w:rPr>
        <w:t> </w:t>
      </w:r>
      <w:r>
        <w:rPr/>
        <w:t>层。法定代表人：邵学。</w:t>
      </w:r>
    </w:p>
    <w:p>
      <w:pPr>
        <w:pStyle w:val="BodyText"/>
        <w:spacing w:line="273" w:lineRule="auto" w:before="123"/>
        <w:ind w:right="1130" w:firstLine="420"/>
        <w:jc w:val="both"/>
      </w:pPr>
      <w:r>
        <w:rPr>
          <w:w w:val="95"/>
        </w:rPr>
        <w:t>本公司主要从事要电子政务系统的产品开发与服务，主要产品有法院综合信息管理系统、检察院综合</w:t>
      </w:r>
      <w:r>
        <w:rPr>
          <w:w w:val="99"/>
        </w:rPr>
        <w:t> </w:t>
      </w:r>
      <w:r>
        <w:rPr>
          <w:w w:val="95"/>
        </w:rPr>
        <w:t>信息管理系统、数字法庭、通用税务数据采集软件、紫光华宇拼音输入法、消息协作互送平台、传输交换</w:t>
      </w:r>
      <w:r>
        <w:rPr>
          <w:spacing w:val="43"/>
          <w:w w:val="95"/>
        </w:rPr>
        <w:t> </w:t>
      </w:r>
      <w:r>
        <w:rPr>
          <w:spacing w:val="43"/>
          <w:w w:val="95"/>
        </w:rPr>
      </w:r>
      <w:r>
        <w:rPr>
          <w:w w:val="95"/>
        </w:rPr>
        <w:t>平台、综合数据分析系统等产品，以及法院行业应用、信息网络平台建设、安全体系建设、检察院行业应</w:t>
      </w:r>
      <w:r>
        <w:rPr>
          <w:spacing w:val="44"/>
          <w:w w:val="95"/>
        </w:rPr>
        <w:t> </w:t>
      </w:r>
      <w:r>
        <w:rPr>
          <w:spacing w:val="44"/>
          <w:w w:val="95"/>
        </w:rPr>
      </w:r>
      <w:r>
        <w:rPr/>
        <w:t>用、税务行业应用、音视频综合应用、容灾备份等。</w:t>
      </w:r>
    </w:p>
    <w:p>
      <w:pPr>
        <w:pStyle w:val="BodyText"/>
        <w:spacing w:line="357" w:lineRule="auto" w:before="127"/>
        <w:ind w:left="532" w:right="996"/>
        <w:jc w:val="left"/>
      </w:pPr>
      <w:r>
        <w:rPr/>
        <w:t>本财务报表业经公司董事会于</w:t>
      </w: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18</w:t>
      </w:r>
      <w:r>
        <w:rPr/>
        <w:t>日批准报出。</w:t>
      </w:r>
      <w:r>
        <w:rPr>
          <w:w w:val="99"/>
        </w:rPr>
        <w:t> </w:t>
      </w:r>
      <w:r>
        <w:rPr>
          <w:w w:val="95"/>
        </w:rPr>
        <w:t>本年度的合并财务报表范围共</w:t>
      </w:r>
      <w:r>
        <w:rPr>
          <w:rFonts w:ascii="Arial" w:hAnsi="Arial" w:cs="Arial" w:eastAsia="Arial" w:hint="default"/>
          <w:w w:val="95"/>
        </w:rPr>
        <w:t>21</w:t>
      </w:r>
      <w:r>
        <w:rPr>
          <w:w w:val="95"/>
        </w:rPr>
        <w:t>家公司（含本部）。详见附注八、合并范围的变更。</w:t>
      </w:r>
      <w:r>
        <w:rPr/>
      </w:r>
    </w:p>
    <w:p>
      <w:pPr>
        <w:pStyle w:val="Heading2"/>
        <w:spacing w:line="240" w:lineRule="auto" w:before="184"/>
        <w:ind w:right="0"/>
        <w:jc w:val="both"/>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both"/>
        <w:rPr>
          <w:b w:val="0"/>
          <w:bCs w:val="0"/>
        </w:rPr>
      </w:pPr>
      <w:bookmarkStart w:name="1、编制基础" w:id="162"/>
      <w:bookmarkEnd w:id="162"/>
      <w:r>
        <w:rPr>
          <w:b w:val="0"/>
          <w:bCs w:val="0"/>
        </w:rPr>
      </w:r>
      <w:r>
        <w:rPr>
          <w:rFonts w:ascii="Arial" w:hAnsi="Arial" w:cs="Arial" w:eastAsia="Arial" w:hint="default"/>
        </w:rPr>
        <w:t>1</w:t>
      </w:r>
      <w:r>
        <w:rPr/>
        <w:t>、编制基础</w:t>
      </w:r>
      <w:r>
        <w:rPr>
          <w:b w:val="0"/>
          <w:bCs w:val="0"/>
        </w:rPr>
      </w:r>
    </w:p>
    <w:p>
      <w:pPr>
        <w:pStyle w:val="BodyText"/>
        <w:spacing w:line="266" w:lineRule="auto" w:before="142"/>
        <w:ind w:right="1130" w:firstLine="420"/>
        <w:jc w:val="both"/>
      </w:pPr>
      <w:r>
        <w:rPr>
          <w:w w:val="95"/>
        </w:rPr>
        <w:t>本公司根据实际发生的交易和事项，按照财政部颁布的《企业会计准则</w:t>
      </w:r>
      <w:r>
        <w:rPr>
          <w:rFonts w:ascii="Arial" w:hAnsi="Arial" w:cs="Arial" w:eastAsia="Arial" w:hint="default"/>
          <w:w w:val="95"/>
        </w:rPr>
        <w:t>——</w:t>
      </w:r>
      <w:r>
        <w:rPr>
          <w:w w:val="95"/>
        </w:rPr>
        <w:t>基本准则》和具体企业会</w:t>
      </w:r>
      <w:r>
        <w:rPr>
          <w:spacing w:val="-97"/>
          <w:w w:val="95"/>
        </w:rPr>
        <w:t> </w:t>
      </w:r>
      <w:r>
        <w:rPr>
          <w:spacing w:val="-97"/>
          <w:w w:val="95"/>
        </w:rPr>
      </w:r>
      <w:r>
        <w:rPr>
          <w:w w:val="95"/>
        </w:rPr>
        <w:t>计准则、企业会计准则应用指南、企业会计准则解释及其他相关规定（以下合称“企业会计准则”）进行</w:t>
      </w:r>
      <w:r>
        <w:rPr>
          <w:spacing w:val="42"/>
          <w:w w:val="95"/>
        </w:rPr>
        <w:t> </w:t>
      </w:r>
      <w:r>
        <w:rPr>
          <w:spacing w:val="42"/>
          <w:w w:val="95"/>
        </w:rPr>
      </w:r>
      <w:r>
        <w:rPr>
          <w:w w:val="95"/>
        </w:rPr>
        <w:t>确认和计量，在此基础上，结合中国证券监督管理委员会《公开发行证券的公司信息披露编报规则第</w:t>
      </w:r>
      <w:r>
        <w:rPr>
          <w:rFonts w:ascii="Arial" w:hAnsi="Arial" w:cs="Arial" w:eastAsia="Arial" w:hint="default"/>
          <w:w w:val="95"/>
        </w:rPr>
        <w:t>15</w:t>
      </w:r>
      <w:r>
        <w:rPr>
          <w:w w:val="95"/>
        </w:rPr>
        <w:t>号</w:t>
      </w:r>
      <w:r>
        <w:rPr/>
      </w:r>
    </w:p>
    <w:p>
      <w:pPr>
        <w:pStyle w:val="BodyText"/>
        <w:spacing w:line="286" w:lineRule="exact"/>
        <w:ind w:right="0"/>
        <w:jc w:val="both"/>
      </w:pPr>
      <w:r>
        <w:rPr>
          <w:rFonts w:ascii="Arial" w:hAnsi="Arial" w:cs="Arial" w:eastAsia="Arial" w:hint="default"/>
        </w:rPr>
        <w:t>——</w:t>
      </w:r>
      <w:r>
        <w:rPr/>
        <w:t>财务报告的一般规定》（</w:t>
      </w:r>
      <w:r>
        <w:rPr>
          <w:rFonts w:ascii="Arial" w:hAnsi="Arial" w:cs="Arial" w:eastAsia="Arial" w:hint="default"/>
        </w:rPr>
        <w:t>2014</w:t>
      </w:r>
      <w:r>
        <w:rPr/>
        <w:t>年修订）的规定，编制财务报表。</w:t>
      </w:r>
    </w:p>
    <w:p>
      <w:pPr>
        <w:pStyle w:val="Heading4"/>
        <w:spacing w:line="240" w:lineRule="auto" w:before="142"/>
        <w:ind w:right="0"/>
        <w:jc w:val="both"/>
        <w:rPr>
          <w:b w:val="0"/>
          <w:bCs w:val="0"/>
        </w:rPr>
      </w:pPr>
      <w:bookmarkStart w:name="2、持续经营" w:id="163"/>
      <w:bookmarkEnd w:id="163"/>
      <w:r>
        <w:rPr>
          <w:b w:val="0"/>
          <w:bCs w:val="0"/>
        </w:rPr>
      </w:r>
      <w:r>
        <w:rPr>
          <w:rFonts w:ascii="Arial" w:hAnsi="Arial" w:cs="Arial" w:eastAsia="Arial" w:hint="default"/>
        </w:rPr>
        <w:t>2</w:t>
      </w:r>
      <w:r>
        <w:rPr/>
        <w:t>、持续经营</w:t>
      </w:r>
      <w:r>
        <w:rPr>
          <w:b w:val="0"/>
          <w:bCs w:val="0"/>
        </w:rPr>
      </w:r>
    </w:p>
    <w:p>
      <w:pPr>
        <w:pStyle w:val="BodyText"/>
        <w:spacing w:line="259" w:lineRule="auto" w:before="142"/>
        <w:ind w:right="1132" w:firstLine="420"/>
        <w:jc w:val="both"/>
      </w:pPr>
      <w:r>
        <w:rPr>
          <w:spacing w:val="-1"/>
          <w:w w:val="95"/>
        </w:rPr>
        <w:t>本公司对报告期末起</w:t>
      </w:r>
      <w:r>
        <w:rPr>
          <w:rFonts w:ascii="Arial" w:hAnsi="Arial" w:cs="Arial" w:eastAsia="Arial" w:hint="default"/>
          <w:spacing w:val="-1"/>
          <w:w w:val="95"/>
        </w:rPr>
        <w:t>12</w:t>
      </w:r>
      <w:r>
        <w:rPr>
          <w:spacing w:val="-1"/>
          <w:w w:val="95"/>
        </w:rPr>
        <w:t>个月的持续经营能力进行了评价，未发现对持续经营能力产生重大怀疑的事项</w:t>
      </w:r>
      <w:r>
        <w:rPr>
          <w:spacing w:val="-78"/>
          <w:w w:val="95"/>
        </w:rPr>
        <w:t> </w:t>
      </w:r>
      <w:r>
        <w:rPr>
          <w:spacing w:val="-78"/>
          <w:w w:val="95"/>
        </w:rPr>
      </w:r>
      <w:r>
        <w:rPr/>
        <w:t>或情况。因此，本财务报表系在持续经营假设的基础上编制。</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BodyText"/>
        <w:spacing w:line="259" w:lineRule="auto"/>
        <w:ind w:right="1125" w:firstLine="420"/>
        <w:jc w:val="both"/>
      </w:pPr>
      <w:r>
        <w:rPr>
          <w:rFonts w:ascii="Arial" w:hAnsi="Arial" w:cs="Arial" w:eastAsia="Arial" w:hint="default"/>
          <w:spacing w:val="2"/>
          <w:w w:val="95"/>
        </w:rPr>
        <w:t>1</w:t>
      </w:r>
      <w:r>
        <w:rPr>
          <w:spacing w:val="2"/>
          <w:w w:val="95"/>
        </w:rPr>
        <w:t>、本公司根据生产经营特点确定具体会计政策和会计估计，主要体现在应收款项预期信用损失计提</w:t>
      </w:r>
      <w:r>
        <w:rPr>
          <w:spacing w:val="-92"/>
          <w:w w:val="95"/>
        </w:rPr>
        <w:t> </w:t>
      </w:r>
      <w:r>
        <w:rPr>
          <w:spacing w:val="-92"/>
          <w:w w:val="95"/>
        </w:rPr>
      </w:r>
      <w:r>
        <w:rPr>
          <w:w w:val="95"/>
        </w:rPr>
        <w:t>的方法（附注五</w:t>
      </w:r>
      <w:r>
        <w:rPr>
          <w:rFonts w:ascii="Arial" w:hAnsi="Arial" w:cs="Arial" w:eastAsia="Arial" w:hint="default"/>
          <w:w w:val="95"/>
        </w:rPr>
        <w:t>/9</w:t>
      </w:r>
      <w:r>
        <w:rPr>
          <w:w w:val="95"/>
        </w:rPr>
        <w:t>、</w:t>
      </w:r>
      <w:r>
        <w:rPr>
          <w:rFonts w:ascii="Arial" w:hAnsi="Arial" w:cs="Arial" w:eastAsia="Arial" w:hint="default"/>
          <w:w w:val="95"/>
        </w:rPr>
        <w:t>10</w:t>
      </w:r>
      <w:r>
        <w:rPr>
          <w:w w:val="95"/>
        </w:rPr>
        <w:t>、</w:t>
      </w:r>
      <w:r>
        <w:rPr>
          <w:rFonts w:ascii="Arial" w:hAnsi="Arial" w:cs="Arial" w:eastAsia="Arial" w:hint="default"/>
          <w:w w:val="95"/>
        </w:rPr>
        <w:t>11</w:t>
      </w:r>
      <w:r>
        <w:rPr>
          <w:w w:val="95"/>
        </w:rPr>
        <w:t>、</w:t>
      </w:r>
      <w:r>
        <w:rPr>
          <w:rFonts w:ascii="Arial" w:hAnsi="Arial" w:cs="Arial" w:eastAsia="Arial" w:hint="default"/>
          <w:w w:val="95"/>
        </w:rPr>
        <w:t>12</w:t>
      </w:r>
      <w:r>
        <w:rPr>
          <w:w w:val="95"/>
        </w:rPr>
        <w:t>）、无形资产摊销（附注五</w:t>
      </w:r>
      <w:r>
        <w:rPr>
          <w:rFonts w:ascii="Arial" w:hAnsi="Arial" w:cs="Arial" w:eastAsia="Arial" w:hint="default"/>
          <w:w w:val="95"/>
        </w:rPr>
        <w:t>/18</w:t>
      </w:r>
      <w:r>
        <w:rPr>
          <w:w w:val="95"/>
        </w:rPr>
        <w:t>）、研究开发支出（附注五</w:t>
      </w:r>
      <w:r>
        <w:rPr>
          <w:rFonts w:ascii="Arial" w:hAnsi="Arial" w:cs="Arial" w:eastAsia="Arial" w:hint="default"/>
          <w:w w:val="95"/>
        </w:rPr>
        <w:t>/18</w:t>
      </w:r>
      <w:r>
        <w:rPr>
          <w:w w:val="95"/>
        </w:rPr>
        <w:t>）、收入的</w:t>
      </w:r>
      <w:r>
        <w:rPr>
          <w:spacing w:val="56"/>
          <w:w w:val="95"/>
        </w:rPr>
        <w:t> </w:t>
      </w:r>
      <w:r>
        <w:rPr>
          <w:spacing w:val="56"/>
          <w:w w:val="95"/>
        </w:rPr>
      </w:r>
      <w:r>
        <w:rPr/>
        <w:t>确认时点（附注五</w:t>
      </w:r>
      <w:r>
        <w:rPr>
          <w:rFonts w:ascii="Arial" w:hAnsi="Arial" w:cs="Arial" w:eastAsia="Arial" w:hint="default"/>
        </w:rPr>
        <w:t>/24</w:t>
      </w:r>
      <w:r>
        <w:rPr/>
        <w:t>）。</w:t>
      </w:r>
    </w:p>
    <w:p>
      <w:pPr>
        <w:pStyle w:val="BodyText"/>
        <w:spacing w:line="266" w:lineRule="auto" w:before="123"/>
        <w:ind w:right="1133" w:firstLine="420"/>
        <w:jc w:val="both"/>
      </w:pPr>
      <w:r>
        <w:rPr>
          <w:rFonts w:ascii="Arial" w:hAnsi="Arial" w:cs="Arial" w:eastAsia="Arial" w:hint="default"/>
          <w:spacing w:val="2"/>
          <w:w w:val="95"/>
        </w:rPr>
        <w:t>2</w:t>
      </w:r>
      <w:r>
        <w:rPr>
          <w:spacing w:val="2"/>
          <w:w w:val="95"/>
        </w:rPr>
        <w:t>、本公司根据历史经验和其他因素，包括对未来事项的合理预期，对所采用的重要会计估计和关键</w:t>
      </w:r>
      <w:r>
        <w:rPr>
          <w:spacing w:val="-92"/>
          <w:w w:val="95"/>
        </w:rPr>
        <w:t> </w:t>
      </w:r>
      <w:r>
        <w:rPr>
          <w:spacing w:val="-92"/>
          <w:w w:val="95"/>
        </w:rPr>
      </w:r>
      <w:r>
        <w:rPr>
          <w:w w:val="95"/>
        </w:rPr>
        <w:t>假设进行持续的评价。下列重要会计估计及关键假设如果发生重大变动，则可能会导致以后会计年度的资</w:t>
      </w:r>
      <w:r>
        <w:rPr>
          <w:spacing w:val="37"/>
          <w:w w:val="95"/>
        </w:rPr>
        <w:t> </w:t>
      </w:r>
      <w:r>
        <w:rPr>
          <w:spacing w:val="37"/>
          <w:w w:val="95"/>
        </w:rPr>
      </w:r>
      <w:r>
        <w:rPr/>
        <w:t>产和负债账面价值的重大影响：</w:t>
      </w:r>
    </w:p>
    <w:p>
      <w:pPr>
        <w:pStyle w:val="BodyText"/>
        <w:spacing w:line="266" w:lineRule="auto" w:before="134"/>
        <w:ind w:right="1130" w:firstLine="420"/>
        <w:jc w:val="both"/>
      </w:pPr>
      <w:r>
        <w:rPr>
          <w:spacing w:val="2"/>
          <w:w w:val="95"/>
        </w:rPr>
        <w:t>（</w:t>
      </w:r>
      <w:r>
        <w:rPr>
          <w:rFonts w:ascii="Arial" w:hAnsi="Arial" w:cs="Arial" w:eastAsia="Arial" w:hint="default"/>
          <w:spacing w:val="2"/>
          <w:w w:val="95"/>
        </w:rPr>
        <w:t>1</w:t>
      </w:r>
      <w:r>
        <w:rPr>
          <w:spacing w:val="2"/>
          <w:w w:val="95"/>
        </w:rPr>
        <w:t>）商誉减值准备的会计估计。本公司至少每年评估商誉是否发生减值。这要求对分配了商誉的资</w:t>
      </w:r>
      <w:r>
        <w:rPr>
          <w:spacing w:val="-92"/>
          <w:w w:val="95"/>
        </w:rPr>
        <w:t> </w:t>
      </w:r>
      <w:r>
        <w:rPr>
          <w:spacing w:val="-92"/>
          <w:w w:val="95"/>
        </w:rPr>
      </w:r>
      <w:r>
        <w:rPr>
          <w:w w:val="95"/>
        </w:rPr>
        <w:t>产组的使用价值进行估计。估计使用价值时，本公司需要估计未来来自资产组的现金流量，同时选择恰当</w:t>
      </w:r>
      <w:r>
        <w:rPr>
          <w:spacing w:val="43"/>
          <w:w w:val="95"/>
        </w:rPr>
        <w:t> </w:t>
      </w:r>
      <w:r>
        <w:rPr>
          <w:spacing w:val="43"/>
          <w:w w:val="95"/>
        </w:rPr>
      </w:r>
      <w:r>
        <w:rPr/>
        <w:t>的折现率计算未来现金流量的现值。</w:t>
      </w:r>
    </w:p>
    <w:p>
      <w:pPr>
        <w:spacing w:after="0" w:line="266"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59" w:lineRule="auto" w:before="34"/>
        <w:ind w:right="996" w:firstLine="420"/>
        <w:jc w:val="left"/>
      </w:pPr>
      <w:r>
        <w:rPr>
          <w:spacing w:val="2"/>
          <w:w w:val="95"/>
        </w:rPr>
        <w:t>（</w:t>
      </w:r>
      <w:r>
        <w:rPr>
          <w:rFonts w:ascii="Arial" w:hAnsi="Arial" w:cs="Arial" w:eastAsia="Arial" w:hint="default"/>
          <w:spacing w:val="2"/>
          <w:w w:val="95"/>
        </w:rPr>
        <w:t>2</w:t>
      </w:r>
      <w:r>
        <w:rPr>
          <w:spacing w:val="2"/>
          <w:w w:val="95"/>
        </w:rPr>
        <w:t>）开发支出。确定资本化的金额时，管理层必须做出有关资产的预期未来现金的产生、应采用的</w:t>
      </w:r>
      <w:r>
        <w:rPr>
          <w:spacing w:val="-92"/>
          <w:w w:val="95"/>
        </w:rPr>
        <w:t> </w:t>
      </w:r>
      <w:r>
        <w:rPr>
          <w:spacing w:val="-92"/>
          <w:w w:val="95"/>
        </w:rPr>
      </w:r>
      <w:r>
        <w:rPr/>
        <w:t>折现率以及预计受益期间的假设。</w:t>
      </w:r>
    </w:p>
    <w:p>
      <w:pPr>
        <w:spacing w:line="590" w:lineRule="atLeast" w:before="20"/>
        <w:ind w:left="532" w:right="996" w:hanging="420"/>
        <w:jc w:val="left"/>
        <w:rPr>
          <w:rFonts w:ascii="宋体" w:hAnsi="宋体" w:cs="宋体" w:eastAsia="宋体" w:hint="default"/>
          <w:sz w:val="21"/>
          <w:szCs w:val="21"/>
        </w:rPr>
      </w:pPr>
      <w:bookmarkStart w:name="1、遵循企业会计准则的声明" w:id="165"/>
      <w:bookmarkEnd w:id="165"/>
      <w:r>
        <w:rPr/>
      </w:r>
      <w:r>
        <w:rPr>
          <w:rFonts w:ascii="Arial" w:hAnsi="Arial" w:cs="Arial" w:eastAsia="Arial"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40" w:lineRule="auto" w:before="37"/>
        <w:ind w:right="996"/>
        <w:jc w:val="left"/>
      </w:pPr>
      <w:r>
        <w:rPr/>
        <w:t>营成果、现金流量等有关信息。</w:t>
      </w:r>
    </w:p>
    <w:p>
      <w:pPr>
        <w:spacing w:line="240" w:lineRule="auto" w:before="12"/>
        <w:rPr>
          <w:rFonts w:ascii="宋体" w:hAnsi="宋体" w:cs="宋体" w:eastAsia="宋体" w:hint="default"/>
          <w:sz w:val="25"/>
          <w:szCs w:val="25"/>
        </w:rPr>
      </w:pPr>
    </w:p>
    <w:p>
      <w:pPr>
        <w:pStyle w:val="Heading4"/>
        <w:spacing w:line="240" w:lineRule="auto" w:before="0"/>
        <w:ind w:right="996"/>
        <w:jc w:val="left"/>
        <w:rPr>
          <w:b w:val="0"/>
          <w:bCs w:val="0"/>
        </w:rPr>
      </w:pPr>
      <w:bookmarkStart w:name="2、会计期间" w:id="166"/>
      <w:bookmarkEnd w:id="166"/>
      <w:r>
        <w:rPr>
          <w:b w:val="0"/>
          <w:bCs w:val="0"/>
        </w:rPr>
      </w:r>
      <w:r>
        <w:rPr>
          <w:rFonts w:ascii="Arial" w:hAnsi="Arial" w:cs="Arial" w:eastAsia="Arial"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2" w:right="996"/>
        <w:jc w:val="left"/>
      </w:pPr>
      <w:r>
        <w:rPr/>
        <w:t>自公历</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12</w:t>
      </w:r>
      <w:r>
        <w:rPr/>
        <w:t>月</w:t>
      </w:r>
      <w:r>
        <w:rPr>
          <w:rFonts w:ascii="Arial" w:hAnsi="Arial" w:cs="Arial" w:eastAsia="Arial" w:hint="default"/>
        </w:rPr>
        <w:t>31</w:t>
      </w:r>
      <w:r>
        <w:rPr/>
        <w:t>日止为一个会计年度。</w:t>
      </w:r>
    </w:p>
    <w:p>
      <w:pPr>
        <w:spacing w:line="240" w:lineRule="auto" w:before="8"/>
        <w:rPr>
          <w:rFonts w:ascii="宋体" w:hAnsi="宋体" w:cs="宋体" w:eastAsia="宋体" w:hint="default"/>
          <w:sz w:val="24"/>
          <w:szCs w:val="24"/>
        </w:rPr>
      </w:pPr>
    </w:p>
    <w:p>
      <w:pPr>
        <w:pStyle w:val="Heading4"/>
        <w:spacing w:line="240" w:lineRule="auto" w:before="0"/>
        <w:ind w:right="996"/>
        <w:jc w:val="left"/>
        <w:rPr>
          <w:b w:val="0"/>
          <w:bCs w:val="0"/>
        </w:rPr>
      </w:pPr>
      <w:bookmarkStart w:name="3、营业周期" w:id="167"/>
      <w:bookmarkEnd w:id="167"/>
      <w:r>
        <w:rPr>
          <w:b w:val="0"/>
          <w:bCs w:val="0"/>
        </w:rPr>
      </w:r>
      <w:r>
        <w:rPr>
          <w:rFonts w:ascii="Arial" w:hAnsi="Arial" w:cs="Arial" w:eastAsia="Arial"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2" w:right="996"/>
        <w:jc w:val="left"/>
      </w:pPr>
      <w:r>
        <w:rPr/>
        <w:t>本集团的营业周期为</w:t>
      </w:r>
      <w:r>
        <w:rPr>
          <w:rFonts w:ascii="Arial" w:hAnsi="Arial" w:cs="Arial" w:eastAsia="Arial" w:hint="default"/>
        </w:rPr>
        <w:t>12</w:t>
      </w:r>
      <w:r>
        <w:rPr/>
        <w:t>个月。</w:t>
      </w:r>
    </w:p>
    <w:p>
      <w:pPr>
        <w:spacing w:line="240" w:lineRule="auto" w:before="8"/>
        <w:rPr>
          <w:rFonts w:ascii="宋体" w:hAnsi="宋体" w:cs="宋体" w:eastAsia="宋体" w:hint="default"/>
          <w:sz w:val="24"/>
          <w:szCs w:val="24"/>
        </w:rPr>
      </w:pPr>
    </w:p>
    <w:p>
      <w:pPr>
        <w:pStyle w:val="Heading4"/>
        <w:spacing w:line="240" w:lineRule="auto" w:before="0"/>
        <w:ind w:right="996"/>
        <w:jc w:val="left"/>
        <w:rPr>
          <w:b w:val="0"/>
          <w:bCs w:val="0"/>
        </w:rPr>
      </w:pPr>
      <w:bookmarkStart w:name="4、记账本位币" w:id="168"/>
      <w:bookmarkEnd w:id="168"/>
      <w:r>
        <w:rPr>
          <w:b w:val="0"/>
          <w:bCs w:val="0"/>
        </w:rPr>
      </w:r>
      <w:r>
        <w:rPr>
          <w:rFonts w:ascii="Arial" w:hAnsi="Arial" w:cs="Arial" w:eastAsia="Arial" w:hint="default"/>
        </w:rPr>
        <w:t>4</w:t>
      </w:r>
      <w:r>
        <w:rPr/>
        <w:t>、记账本位币</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left="532" w:right="996"/>
        <w:jc w:val="left"/>
      </w:pPr>
      <w:r>
        <w:rPr/>
        <w:t>采用人民币为记账本位币。</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5、同一控制下和非同一控制下企业合并的会计处理方法" w:id="169"/>
      <w:bookmarkEnd w:id="169"/>
      <w:r>
        <w:rPr>
          <w:b w:val="0"/>
          <w:bCs w:val="0"/>
        </w:rPr>
      </w:r>
      <w:r>
        <w:rPr>
          <w:rFonts w:ascii="Arial" w:hAnsi="Arial" w:cs="Arial" w:eastAsia="Arial"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59" w:lineRule="auto" w:before="0"/>
        <w:ind w:right="996"/>
        <w:jc w:val="left"/>
        <w:rPr>
          <w:b w:val="0"/>
          <w:bCs w:val="0"/>
        </w:rPr>
      </w:pPr>
      <w:r>
        <w:rPr>
          <w:w w:val="95"/>
        </w:rPr>
        <w:t>（</w:t>
      </w:r>
      <w:r>
        <w:rPr>
          <w:rFonts w:ascii="Arial" w:hAnsi="Arial" w:cs="Arial" w:eastAsia="Arial" w:hint="default"/>
          <w:w w:val="95"/>
        </w:rPr>
        <w:t>1</w:t>
      </w:r>
      <w:r>
        <w:rPr>
          <w:w w:val="95"/>
        </w:rPr>
        <w:t>）分步实现企业合并过程中的各项交易的条款、条件以及经济影响符合以下一种或多种情况，将多次</w:t>
      </w:r>
      <w:r>
        <w:rPr>
          <w:spacing w:val="63"/>
          <w:w w:val="95"/>
        </w:rPr>
        <w:t> </w:t>
      </w:r>
      <w:r>
        <w:rPr>
          <w:spacing w:val="63"/>
          <w:w w:val="95"/>
        </w:rPr>
      </w:r>
      <w:r>
        <w:rPr/>
        <w:t>交易事项作为一揽子交易进行会计处理</w:t>
      </w:r>
      <w:r>
        <w:rPr>
          <w:b w:val="0"/>
          <w:bCs w:val="0"/>
        </w:rPr>
      </w:r>
    </w:p>
    <w:p>
      <w:pPr>
        <w:pStyle w:val="BodyText"/>
        <w:spacing w:line="240" w:lineRule="auto" w:before="140"/>
        <w:ind w:left="532" w:right="996"/>
        <w:jc w:val="left"/>
      </w:pPr>
      <w:r>
        <w:rPr/>
        <w:t>①这些交易是同时或者在考虑了彼此影响的情况下订立的；</w:t>
      </w:r>
    </w:p>
    <w:p>
      <w:pPr>
        <w:pStyle w:val="BodyText"/>
        <w:spacing w:line="240" w:lineRule="auto" w:before="157"/>
        <w:ind w:left="532" w:right="996"/>
        <w:jc w:val="left"/>
      </w:pPr>
      <w:r>
        <w:rPr/>
        <w:t>②这些交易整体才能达成一项完整的商业结果；</w:t>
      </w:r>
    </w:p>
    <w:p>
      <w:pPr>
        <w:pStyle w:val="BodyText"/>
        <w:spacing w:line="240" w:lineRule="auto" w:before="157"/>
        <w:ind w:left="532" w:right="996"/>
        <w:jc w:val="left"/>
      </w:pPr>
      <w:r>
        <w:rPr/>
        <w:t>③一项交易的发生取决于其他至少一项交易的发生；</w:t>
      </w:r>
    </w:p>
    <w:p>
      <w:pPr>
        <w:pStyle w:val="BodyText"/>
        <w:spacing w:line="240" w:lineRule="auto" w:before="157"/>
        <w:ind w:left="532" w:right="996"/>
        <w:jc w:val="left"/>
      </w:pPr>
      <w:r>
        <w:rPr/>
        <w:t>④一项交易单独看是不经济的，但是和其他交易一并考虑时是经济的。</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本公司在企业合并中取得的资产和负债，按照合并日在被合并方资产、负债（包括最终控制方收购被</w:t>
      </w:r>
      <w:r>
        <w:rPr>
          <w:rFonts w:ascii="宋体" w:hAnsi="宋体" w:cs="宋体" w:eastAsia="宋体" w:hint="default"/>
          <w:sz w:val="21"/>
          <w:szCs w:val="21"/>
        </w:rPr>
      </w:r>
    </w:p>
    <w:p>
      <w:pPr>
        <w:pStyle w:val="BodyText"/>
        <w:spacing w:line="209" w:lineRule="exact"/>
        <w:ind w:right="996"/>
        <w:jc w:val="left"/>
      </w:pPr>
      <w:r>
        <w:rPr/>
        <w:t>合并方而形成的商誉）在最终控制方合并财务报表中的账面价值计量。在合并中取得的净资产账面价值与</w:t>
      </w:r>
    </w:p>
    <w:p>
      <w:pPr>
        <w:pStyle w:val="BodyText"/>
        <w:spacing w:line="273" w:lineRule="auto" w:before="37"/>
        <w:ind w:right="996"/>
        <w:jc w:val="left"/>
      </w:pPr>
      <w:r>
        <w:rPr>
          <w:w w:val="95"/>
        </w:rPr>
        <w:t>支付的合并对价账面价值（或发行股份面值总额）的差额，调整资本公积中的股本溢价，资本公积中的股</w:t>
      </w:r>
      <w:r>
        <w:rPr>
          <w:spacing w:val="41"/>
          <w:w w:val="95"/>
        </w:rPr>
        <w:t> </w:t>
      </w:r>
      <w:r>
        <w:rPr>
          <w:spacing w:val="41"/>
          <w:w w:val="95"/>
        </w:rPr>
      </w:r>
      <w:r>
        <w:rPr/>
        <w:t>本溢价不足冲减的，调整留存收益。</w:t>
      </w:r>
    </w:p>
    <w:p>
      <w:pPr>
        <w:pStyle w:val="BodyText"/>
        <w:spacing w:line="273" w:lineRule="auto" w:before="127"/>
        <w:ind w:right="996" w:firstLine="420"/>
        <w:jc w:val="left"/>
      </w:pPr>
      <w:r>
        <w:rPr>
          <w:w w:val="95"/>
        </w:rPr>
        <w:t>如果存在或有对价并需要确认预计负债或资产，该预计负债或资产金额与后续或有对价结算金额的差</w:t>
      </w:r>
      <w:r>
        <w:rPr>
          <w:w w:val="99"/>
        </w:rPr>
        <w:t> </w:t>
      </w:r>
      <w:r>
        <w:rPr/>
        <w:t>额，调整资本公积（资本溢价或股本溢价），资本公积不足的，调整留存收益。</w:t>
      </w:r>
    </w:p>
    <w:p>
      <w:pPr>
        <w:pStyle w:val="BodyText"/>
        <w:spacing w:line="273" w:lineRule="auto" w:before="127"/>
        <w:ind w:right="1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45"/>
          <w:w w:val="95"/>
        </w:rPr>
        <w:t> </w:t>
      </w:r>
      <w:r>
        <w:rPr>
          <w:spacing w:val="45"/>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43"/>
          <w:w w:val="95"/>
        </w:rPr>
        <w:t> </w:t>
      </w:r>
      <w:r>
        <w:rPr>
          <w:spacing w:val="43"/>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w:t>
      </w:r>
      <w:r>
        <w:rPr/>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损益。</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购买日是指本公司实际取得对被购买方控制权的日期，即被购买方的净资产或生产经营决策的控制权</w:t>
      </w:r>
      <w:r>
        <w:rPr>
          <w:rFonts w:ascii="宋体" w:hAnsi="宋体" w:cs="宋体" w:eastAsia="宋体" w:hint="default"/>
          <w:sz w:val="21"/>
          <w:szCs w:val="21"/>
        </w:rPr>
      </w:r>
    </w:p>
    <w:p>
      <w:pPr>
        <w:pStyle w:val="BodyText"/>
        <w:spacing w:line="209" w:lineRule="exact"/>
        <w:ind w:right="996"/>
        <w:jc w:val="left"/>
      </w:pPr>
      <w:r>
        <w:rPr/>
        <w:t>转移给本公司的日期。同时满足下列条件时，本公司一般认为实现了控制权的转移：</w:t>
      </w:r>
    </w:p>
    <w:p>
      <w:pPr>
        <w:pStyle w:val="BodyText"/>
        <w:spacing w:line="240" w:lineRule="auto" w:before="157"/>
        <w:ind w:left="532" w:right="996"/>
        <w:jc w:val="left"/>
      </w:pPr>
      <w:r>
        <w:rPr/>
        <w:t>①企业合并合同或协议已获本公司内部权力机构通过。</w:t>
      </w:r>
    </w:p>
    <w:p>
      <w:pPr>
        <w:pStyle w:val="BodyText"/>
        <w:spacing w:line="240" w:lineRule="auto" w:before="157"/>
        <w:ind w:left="532" w:right="996"/>
        <w:jc w:val="left"/>
      </w:pPr>
      <w:r>
        <w:rPr/>
        <w:t>②企业合并事项需要经过国家有关主管部门审批的，已获得批准。</w:t>
      </w:r>
    </w:p>
    <w:p>
      <w:pPr>
        <w:pStyle w:val="BodyText"/>
        <w:spacing w:line="240" w:lineRule="auto" w:before="157"/>
        <w:ind w:left="532" w:right="996"/>
        <w:jc w:val="left"/>
      </w:pPr>
      <w:r>
        <w:rPr/>
        <w:t>③已办理了必要的财产权转移手续。</w:t>
      </w:r>
    </w:p>
    <w:p>
      <w:pPr>
        <w:pStyle w:val="BodyText"/>
        <w:spacing w:line="240" w:lineRule="auto" w:before="157"/>
        <w:ind w:left="532" w:right="996"/>
        <w:jc w:val="left"/>
      </w:pPr>
      <w:r>
        <w:rPr/>
        <w:t>④本公司已支付了合并价款的大部分，并且有能力、有计划支付剩余款项。</w:t>
      </w:r>
    </w:p>
    <w:p>
      <w:pPr>
        <w:pStyle w:val="BodyText"/>
        <w:spacing w:line="430" w:lineRule="atLeast" w:before="2"/>
        <w:ind w:left="532" w:right="996"/>
        <w:jc w:val="left"/>
      </w:pPr>
      <w:r>
        <w:rPr/>
        <w:t>⑤本公司实际上已经控制了被购买方的财务和经营政策，并享有相应的利益、承担相应的风险。</w:t>
      </w:r>
      <w:r>
        <w:rPr>
          <w:w w:val="99"/>
        </w:rPr>
        <w:t> </w:t>
      </w:r>
      <w:r>
        <w:rPr>
          <w:w w:val="95"/>
        </w:rPr>
        <w:t>本公司在购买日对作为企业合并对价付出的资产、发生或承担的负债按照公允价值计量，公允价值与</w:t>
      </w:r>
      <w:r>
        <w:rPr/>
      </w:r>
    </w:p>
    <w:p>
      <w:pPr>
        <w:pStyle w:val="BodyText"/>
        <w:spacing w:line="240" w:lineRule="auto" w:before="37"/>
        <w:ind w:right="996"/>
        <w:jc w:val="left"/>
      </w:pPr>
      <w:r>
        <w:rPr/>
        <w:t>其账面价值的差额，计入当期损益。</w:t>
      </w:r>
    </w:p>
    <w:p>
      <w:pPr>
        <w:pStyle w:val="BodyText"/>
        <w:spacing w:line="273" w:lineRule="auto" w:before="157"/>
        <w:ind w:right="1135" w:firstLine="420"/>
        <w:jc w:val="both"/>
      </w:pPr>
      <w:r>
        <w:rPr>
          <w:w w:val="95"/>
        </w:rPr>
        <w:t>本公司对合并成本大于合并中取得的被购买方可辨认净资产公允价值份额的差额，确认为商誉；合并</w:t>
      </w:r>
      <w:r>
        <w:rPr>
          <w:w w:val="99"/>
        </w:rPr>
        <w:t> </w:t>
      </w:r>
      <w:r>
        <w:rPr/>
        <w:t>成本小于合并中取得的被购买方可辨认净资产公允价值份额的差额，经复核后，计入当期损益。</w:t>
      </w:r>
    </w:p>
    <w:p>
      <w:pPr>
        <w:pStyle w:val="BodyText"/>
        <w:spacing w:line="273" w:lineRule="auto" w:before="127"/>
        <w:ind w:right="1130" w:firstLine="420"/>
        <w:jc w:val="both"/>
      </w:pPr>
      <w:r>
        <w:rPr>
          <w:w w:val="95"/>
        </w:rPr>
        <w:t>通过多次交换交易分步实现的非同一控制下企业合并，属于一揽子交易的，将各项交易作为一项取得</w:t>
      </w:r>
      <w:r>
        <w:rPr>
          <w:w w:val="99"/>
        </w:rPr>
        <w:t> </w:t>
      </w:r>
      <w:r>
        <w:rPr>
          <w:w w:val="95"/>
        </w:rPr>
        <w:t>控制权的交易进行会计处理；不属于一揽子交易的，合并日之前持有的股权投资采用权益法核算的，以购</w:t>
      </w:r>
      <w:r>
        <w:rPr>
          <w:spacing w:val="43"/>
          <w:w w:val="95"/>
        </w:rPr>
        <w:t> </w:t>
      </w:r>
      <w:r>
        <w:rPr>
          <w:spacing w:val="43"/>
          <w:w w:val="95"/>
        </w:rPr>
      </w:r>
      <w:r>
        <w:rPr>
          <w:spacing w:val="4"/>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spacing w:val="40"/>
          <w:w w:val="95"/>
        </w:rPr>
        <w:t> </w:t>
      </w:r>
      <w:r>
        <w:rPr>
          <w:spacing w:val="40"/>
          <w:w w:val="95"/>
        </w:rPr>
      </w:r>
      <w:r>
        <w:rPr>
          <w:w w:val="95"/>
        </w:rPr>
        <w:t>资单位直接处置相关资产或负债相同的基础进行会计处理。合并日之前持有的股权投资采用金融工具确认</w:t>
      </w:r>
      <w:r>
        <w:rPr>
          <w:spacing w:val="37"/>
          <w:w w:val="95"/>
        </w:rPr>
        <w:t> </w:t>
      </w:r>
      <w:r>
        <w:rPr>
          <w:spacing w:val="37"/>
          <w:w w:val="95"/>
        </w:rPr>
      </w: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w w:val="95"/>
          <w:sz w:val="21"/>
          <w:szCs w:val="21"/>
        </w:rPr>
        <w:t>为企业合并发生的审计、法律服务、评估咨询等中介费用以及其他直接相关费用，于发生时计入当期</w:t>
      </w:r>
      <w:r>
        <w:rPr>
          <w:rFonts w:ascii="宋体" w:hAnsi="宋体" w:cs="宋体" w:eastAsia="宋体" w:hint="default"/>
          <w:sz w:val="21"/>
          <w:szCs w:val="21"/>
        </w:rPr>
      </w:r>
    </w:p>
    <w:p>
      <w:pPr>
        <w:pStyle w:val="BodyText"/>
        <w:spacing w:line="209" w:lineRule="exact"/>
        <w:ind w:right="996"/>
        <w:jc w:val="left"/>
      </w:pPr>
      <w:r>
        <w:rPr/>
        <w:t>损益；为企业合并而发行权益性证券的交易费用，可直接归属于权益性交易的从权益中扣减。</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6、合并财务报表的编制方法" w:id="170"/>
      <w:bookmarkEnd w:id="170"/>
      <w:r>
        <w:rPr>
          <w:b w:val="0"/>
          <w:bCs w:val="0"/>
        </w:rPr>
      </w:r>
      <w:r>
        <w:rPr>
          <w:rFonts w:ascii="Arial" w:hAnsi="Arial" w:cs="Arial" w:eastAsia="Arial"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r>
        <w:rPr/>
        <w:t>（</w:t>
      </w:r>
      <w:r>
        <w:rPr>
          <w:rFonts w:ascii="Arial" w:hAnsi="Arial" w:cs="Arial" w:eastAsia="Arial" w:hint="default"/>
        </w:rPr>
        <w:t>1</w:t>
      </w:r>
      <w:r>
        <w:rPr/>
        <w:t>）合并范围</w:t>
      </w:r>
      <w:r>
        <w:rPr>
          <w:b w:val="0"/>
          <w:bCs w:val="0"/>
        </w:rPr>
      </w:r>
    </w:p>
    <w:p>
      <w:pPr>
        <w:pStyle w:val="BodyText"/>
        <w:spacing w:line="273" w:lineRule="auto" w:before="142"/>
        <w:ind w:right="1132" w:firstLine="420"/>
        <w:jc w:val="both"/>
      </w:pPr>
      <w:r>
        <w:rPr>
          <w:w w:val="95"/>
        </w:rPr>
        <w:t>本公司合并财务报表的合并范围以控制为基础确定，所有子公司（包括本公司所控制的单独主体）均</w:t>
      </w:r>
      <w:r>
        <w:rPr>
          <w:w w:val="99"/>
        </w:rPr>
        <w:t> </w:t>
      </w:r>
      <w:r>
        <w:rPr/>
        <w:t>纳入合并财务报表。</w:t>
      </w:r>
    </w:p>
    <w:p>
      <w:pPr>
        <w:pStyle w:val="Heading4"/>
        <w:spacing w:line="240" w:lineRule="auto" w:before="128"/>
        <w:ind w:right="996"/>
        <w:jc w:val="left"/>
        <w:rPr>
          <w:b w:val="0"/>
          <w:bCs w:val="0"/>
        </w:rPr>
      </w:pPr>
      <w:r>
        <w:rPr/>
        <w:t>（</w:t>
      </w:r>
      <w:r>
        <w:rPr>
          <w:rFonts w:ascii="Arial" w:hAnsi="Arial" w:cs="Arial" w:eastAsia="Arial" w:hint="default"/>
        </w:rPr>
        <w:t>2</w:t>
      </w:r>
      <w:r>
        <w:rPr/>
        <w:t>）合并程序</w:t>
      </w:r>
      <w:r>
        <w:rPr>
          <w:b w:val="0"/>
          <w:bCs w:val="0"/>
        </w:rPr>
      </w:r>
    </w:p>
    <w:p>
      <w:pPr>
        <w:pStyle w:val="BodyText"/>
        <w:spacing w:line="273" w:lineRule="auto" w:before="142"/>
        <w:ind w:right="1130" w:firstLine="420"/>
        <w:jc w:val="both"/>
      </w:pPr>
      <w:r>
        <w:rPr>
          <w:w w:val="95"/>
        </w:rPr>
        <w:t>本公司以自身和各子公司的财务报表为基础，根据其他有关资料，编制合并财务报表。本公司编制合</w:t>
      </w:r>
      <w:r>
        <w:rPr>
          <w:spacing w:val="-97"/>
          <w:w w:val="95"/>
        </w:rPr>
        <w:t> </w:t>
      </w:r>
      <w:r>
        <w:rPr>
          <w:spacing w:val="-97"/>
          <w:w w:val="95"/>
        </w:rPr>
      </w:r>
      <w:r>
        <w:rPr>
          <w:w w:val="95"/>
        </w:rPr>
        <w:t>并财务报表，将整个企业集团视为一个会计主体，依据相关企业会计准则的确认、计量和列报要求，按照</w:t>
      </w:r>
      <w:r>
        <w:rPr>
          <w:spacing w:val="44"/>
          <w:w w:val="95"/>
        </w:rPr>
        <w:t> </w:t>
      </w:r>
      <w:r>
        <w:rPr>
          <w:spacing w:val="44"/>
          <w:w w:val="95"/>
        </w:rPr>
      </w:r>
      <w:r>
        <w:rPr/>
        <w:t>统一的会计政策，反映本企业集团整体财务状况、经营成果和现金流量。</w:t>
      </w:r>
    </w:p>
    <w:p>
      <w:pPr>
        <w:pStyle w:val="BodyText"/>
        <w:spacing w:line="273" w:lineRule="auto" w:before="127"/>
        <w:ind w:right="1130"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44"/>
          <w:w w:val="95"/>
        </w:rPr>
        <w:t> </w:t>
      </w:r>
      <w:r>
        <w:rPr>
          <w:spacing w:val="44"/>
          <w:w w:val="95"/>
        </w:rPr>
      </w:r>
      <w:r>
        <w:rPr/>
        <w:t>必要的调整。</w:t>
      </w:r>
    </w:p>
    <w:p>
      <w:pPr>
        <w:pStyle w:val="BodyText"/>
        <w:spacing w:line="240" w:lineRule="auto" w:before="127"/>
        <w:ind w:left="532" w:right="996"/>
        <w:jc w:val="left"/>
      </w:pPr>
      <w:r>
        <w:rPr/>
        <w:t>合并财务报表时抵销本公司与各子公司、各子公司相互之间发生的内部交易对合并资产负债表、合并</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996"/>
        <w:jc w:val="left"/>
      </w:pPr>
      <w:r>
        <w:rPr>
          <w:w w:val="95"/>
        </w:rPr>
        <w:t>利润表、合并现金流量表、合并股东权益变动表的影响。如果站在企业集团合并财务报表角度与以本公司</w:t>
      </w:r>
      <w:r>
        <w:rPr>
          <w:spacing w:val="40"/>
          <w:w w:val="95"/>
        </w:rPr>
        <w:t> </w:t>
      </w:r>
      <w:r>
        <w:rPr>
          <w:spacing w:val="40"/>
          <w:w w:val="95"/>
        </w:rPr>
      </w:r>
      <w:r>
        <w:rPr/>
        <w:t>或子公司为会计主体对同一交易的认定不同时，从企业集团的角度对该交易予以调整。</w:t>
      </w:r>
    </w:p>
    <w:p>
      <w:pPr>
        <w:pStyle w:val="BodyText"/>
        <w:spacing w:line="273" w:lineRule="auto" w:before="127"/>
        <w:ind w:right="113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before="127"/>
        <w:ind w:right="1130" w:firstLine="420"/>
        <w:jc w:val="both"/>
      </w:pPr>
      <w:r>
        <w:rPr>
          <w:w w:val="95"/>
        </w:rPr>
        <w:t>对于同一控制下企业合并取得的子公司，以其资产、负债（包括最终控制方收购该子公司而形成的商</w:t>
      </w:r>
      <w:r>
        <w:rPr>
          <w:spacing w:val="-97"/>
          <w:w w:val="95"/>
        </w:rPr>
        <w:t> </w:t>
      </w:r>
      <w:r>
        <w:rPr>
          <w:spacing w:val="-97"/>
          <w:w w:val="95"/>
        </w:rPr>
      </w:r>
      <w:r>
        <w:rPr/>
        <w:t>誉）在最终控制方财务报表中的账面价值为基础对其财务报表进行调整。</w:t>
      </w:r>
    </w:p>
    <w:p>
      <w:pPr>
        <w:pStyle w:val="BodyText"/>
        <w:spacing w:line="273" w:lineRule="auto" w:before="127"/>
        <w:ind w:right="1132" w:firstLine="420"/>
        <w:jc w:val="both"/>
      </w:pPr>
      <w:r>
        <w:rPr>
          <w:w w:val="95"/>
        </w:rPr>
        <w:t>对于非同一控制下企业合并取得的子公司，以购买日可辨认净资产公允价值为基础对其财务报表进行</w:t>
      </w:r>
      <w:r>
        <w:rPr>
          <w:w w:val="99"/>
        </w:rPr>
        <w:t> </w:t>
      </w:r>
      <w:r>
        <w:rPr/>
        <w:t>调整。</w:t>
      </w:r>
    </w:p>
    <w:p>
      <w:pPr>
        <w:pStyle w:val="BodyText"/>
        <w:spacing w:line="357" w:lineRule="auto" w:before="127"/>
        <w:ind w:left="532" w:right="996"/>
        <w:jc w:val="left"/>
      </w:pPr>
      <w:r>
        <w:rPr>
          <w:rFonts w:ascii="Arial" w:hAnsi="Arial" w:cs="Arial" w:eastAsia="Arial" w:hint="default"/>
        </w:rPr>
        <w:t>1</w:t>
      </w:r>
      <w:r>
        <w:rPr/>
        <w:t>）增加子公司或业务</w:t>
      </w:r>
      <w:r>
        <w:rPr>
          <w:w w:val="99"/>
        </w:rPr>
        <w:t> </w:t>
      </w:r>
      <w:r>
        <w:rPr>
          <w:w w:val="95"/>
        </w:rPr>
        <w:t>在报告期内，若因同一控制下企业合并增加子公司或业务的，则调整合并资产负债表的期初数；将子</w:t>
      </w:r>
      <w:r>
        <w:rPr/>
      </w:r>
    </w:p>
    <w:p>
      <w:pPr>
        <w:pStyle w:val="BodyText"/>
        <w:spacing w:line="209" w:lineRule="exact"/>
        <w:ind w:right="996"/>
        <w:jc w:val="left"/>
      </w:pPr>
      <w:r>
        <w:rPr/>
        <w:t>公司或业务合并当期期初至报告期末的收入、费用、利润纳入合并利润表；将子公司或业务合并当期期初</w:t>
      </w:r>
    </w:p>
    <w:p>
      <w:pPr>
        <w:pStyle w:val="BodyText"/>
        <w:spacing w:line="273" w:lineRule="auto" w:before="37"/>
        <w:ind w:right="996"/>
        <w:jc w:val="left"/>
      </w:pPr>
      <w:r>
        <w:rPr>
          <w:w w:val="95"/>
        </w:rPr>
        <w:t>至报告期末的现金流量纳入合并现金流量表，同时对比较报表的相关项目进行调整，视同合并后的报告主</w:t>
      </w:r>
      <w:r>
        <w:rPr>
          <w:spacing w:val="40"/>
          <w:w w:val="95"/>
        </w:rPr>
        <w:t> </w:t>
      </w:r>
      <w:r>
        <w:rPr>
          <w:spacing w:val="40"/>
          <w:w w:val="95"/>
        </w:rPr>
      </w:r>
      <w:r>
        <w:rPr/>
        <w:t>体自最终控制方开始控制时点起一直存在。</w:t>
      </w:r>
    </w:p>
    <w:p>
      <w:pPr>
        <w:pStyle w:val="BodyText"/>
        <w:spacing w:line="273" w:lineRule="auto" w:before="127"/>
        <w:ind w:right="1132" w:firstLine="420"/>
        <w:jc w:val="both"/>
      </w:pPr>
      <w:r>
        <w:rPr>
          <w:w w:val="95"/>
        </w:rPr>
        <w:t>因追加投资等原因能够对同一控制下的被投资方实施控制的，视同参与合并的各方在最终控制方开始</w:t>
      </w:r>
      <w:r>
        <w:rPr>
          <w:w w:val="99"/>
        </w:rPr>
        <w:t> </w:t>
      </w: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before="127"/>
        <w:ind w:right="1130" w:firstLine="420"/>
        <w:jc w:val="both"/>
      </w:pPr>
      <w:r>
        <w:rPr>
          <w:w w:val="95"/>
        </w:rPr>
        <w:t>在报告期内，若因非同一控制下企业合并增加子公司或业务的，则不调整合并资产负债表期初数；将</w:t>
      </w:r>
      <w:r>
        <w:rPr>
          <w:spacing w:val="-97"/>
          <w:w w:val="95"/>
        </w:rPr>
        <w:t> </w:t>
      </w:r>
      <w:r>
        <w:rPr>
          <w:spacing w:val="-97"/>
          <w:w w:val="95"/>
        </w:rPr>
      </w:r>
      <w:r>
        <w:rPr>
          <w:w w:val="95"/>
        </w:rPr>
        <w:t>该子公司或业务自购买日至报告期末的收入、费用、利润纳入合并利润表；该子公司或业务自购买日至报</w:t>
      </w:r>
      <w:r>
        <w:rPr>
          <w:spacing w:val="40"/>
          <w:w w:val="95"/>
        </w:rPr>
        <w:t> </w:t>
      </w:r>
      <w:r>
        <w:rPr>
          <w:spacing w:val="40"/>
          <w:w w:val="95"/>
        </w:rPr>
      </w:r>
      <w:r>
        <w:rPr/>
        <w:t>告期末的现金流量纳入合并现金流量表。</w:t>
      </w:r>
    </w:p>
    <w:p>
      <w:pPr>
        <w:pStyle w:val="BodyText"/>
        <w:spacing w:line="273" w:lineRule="auto" w:before="127"/>
        <w:ind w:right="113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spacing w:val="40"/>
          <w:w w:val="95"/>
        </w:rPr>
        <w:t> </w:t>
      </w:r>
      <w:r>
        <w:rPr>
          <w:spacing w:val="40"/>
          <w:w w:val="95"/>
        </w:rPr>
      </w:r>
      <w:r>
        <w:rPr>
          <w:w w:val="95"/>
        </w:rPr>
        <w:t>利润分配之外的其他所有者权益变动的，与其相关的其他综合收益、其他所有者权益变动转为购买日所属</w:t>
      </w:r>
      <w:r>
        <w:rPr>
          <w:spacing w:val="37"/>
          <w:w w:val="95"/>
        </w:rPr>
        <w:t> </w:t>
      </w:r>
      <w:r>
        <w:rPr>
          <w:spacing w:val="37"/>
          <w:w w:val="95"/>
        </w:rPr>
      </w:r>
      <w:r>
        <w:rPr/>
        <w:t>当期投资收益，由于被投资方重新计量设定受益计划净负债或净资产变动而产生的其他综合收益除外。</w:t>
      </w:r>
    </w:p>
    <w:p>
      <w:pPr>
        <w:pStyle w:val="BodyText"/>
        <w:spacing w:line="240" w:lineRule="auto" w:before="127"/>
        <w:ind w:left="532" w:right="996"/>
        <w:jc w:val="left"/>
      </w:pPr>
      <w:r>
        <w:rPr>
          <w:rFonts w:ascii="Arial" w:hAnsi="Arial" w:cs="Arial" w:eastAsia="Arial" w:hint="default"/>
        </w:rPr>
        <w:t>2</w:t>
      </w:r>
      <w:r>
        <w:rPr/>
        <w:t>）处置子公司或业务</w:t>
      </w:r>
    </w:p>
    <w:p>
      <w:pPr>
        <w:pStyle w:val="BodyText"/>
        <w:spacing w:line="432" w:lineRule="exact" w:before="42"/>
        <w:ind w:left="532" w:right="996"/>
        <w:jc w:val="left"/>
      </w:pPr>
      <w:r>
        <w:rPr/>
        <w:t>①一般处理方法</w:t>
      </w:r>
      <w:r>
        <w:rPr>
          <w:w w:val="99"/>
        </w:rPr>
        <w:t> </w:t>
      </w:r>
      <w:r>
        <w:rPr>
          <w:w w:val="95"/>
        </w:rPr>
        <w:t>在报告期内，本公司处置子公司或业务，则该子公司或业务期初至处置日的收入、费用、利润纳入合</w:t>
      </w:r>
      <w:r>
        <w:rPr/>
      </w:r>
    </w:p>
    <w:p>
      <w:pPr>
        <w:pStyle w:val="BodyText"/>
        <w:spacing w:line="255" w:lineRule="exact"/>
        <w:ind w:right="996"/>
        <w:jc w:val="left"/>
      </w:pPr>
      <w:r>
        <w:rPr/>
        <w:t>并利润表；该子公司或业务期初至处置日的现金流量纳入合并现金流量表。</w:t>
      </w:r>
    </w:p>
    <w:p>
      <w:pPr>
        <w:pStyle w:val="BodyText"/>
        <w:spacing w:line="273" w:lineRule="auto" w:before="157"/>
        <w:ind w:right="1135" w:firstLine="420"/>
        <w:jc w:val="both"/>
      </w:pPr>
      <w:r>
        <w:rPr>
          <w:w w:val="95"/>
        </w:rPr>
        <w:t>因处置部分股权投资或其他原因丧失了对被投资方控制权时，对于处置后的剩余股权投资，本公司按</w:t>
      </w:r>
      <w:r>
        <w:rPr>
          <w:w w:val="99"/>
        </w:rPr>
        <w:t> </w:t>
      </w: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432" w:lineRule="exact" w:before="27"/>
        <w:ind w:left="532" w:right="996"/>
        <w:jc w:val="left"/>
      </w:pPr>
      <w:r>
        <w:rPr/>
        <w:t>②分步处置子公司</w:t>
      </w:r>
      <w:r>
        <w:rPr>
          <w:w w:val="99"/>
        </w:rPr>
        <w:t> </w:t>
      </w:r>
      <w:r>
        <w:rPr>
          <w:w w:val="95"/>
        </w:rPr>
        <w:t>通过多次交易分步处置对子公司股权投资直至丧失控制权的，处置对子公司股权投资的各项交易的条</w:t>
      </w:r>
      <w:r>
        <w:rPr/>
      </w:r>
    </w:p>
    <w:p>
      <w:pPr>
        <w:pStyle w:val="BodyText"/>
        <w:spacing w:line="255" w:lineRule="exact"/>
        <w:ind w:right="996"/>
        <w:jc w:val="left"/>
      </w:pPr>
      <w:r>
        <w:rPr/>
        <w:t>款、条件以及经济影响符合以下一种或多种情况，通常表明应将多次交易事项作为一揽子交易进行会计处</w:t>
      </w:r>
    </w:p>
    <w:p>
      <w:pPr>
        <w:spacing w:after="0" w:line="255" w:lineRule="exact"/>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理：</w:t>
      </w:r>
    </w:p>
    <w:p>
      <w:pPr>
        <w:spacing w:line="240" w:lineRule="auto" w:before="5"/>
        <w:rPr>
          <w:rFonts w:ascii="宋体" w:hAnsi="宋体" w:cs="宋体" w:eastAsia="宋体" w:hint="default"/>
          <w:sz w:val="9"/>
          <w:szCs w:val="9"/>
        </w:rPr>
      </w:pPr>
    </w:p>
    <w:p>
      <w:pPr>
        <w:pStyle w:val="BodyText"/>
        <w:spacing w:line="357" w:lineRule="auto" w:before="34"/>
        <w:ind w:left="532" w:right="996"/>
        <w:jc w:val="left"/>
      </w:pPr>
      <w:r>
        <w:rPr>
          <w:rFonts w:ascii="Arial" w:hAnsi="Arial" w:cs="Arial" w:eastAsia="Arial" w:hint="default"/>
        </w:rPr>
        <w:t>A</w:t>
      </w:r>
      <w:r>
        <w:rPr/>
        <w:t>、这些交易是同时或者在考虑了彼此影响的情况下订立的；</w:t>
      </w:r>
      <w:r>
        <w:rPr>
          <w:w w:val="99"/>
        </w:rPr>
        <w:t> </w:t>
      </w:r>
      <w:r>
        <w:rPr>
          <w:rFonts w:ascii="Arial" w:hAnsi="Arial" w:cs="Arial" w:eastAsia="Arial" w:hint="default"/>
        </w:rPr>
        <w:t>B</w:t>
      </w:r>
      <w:r>
        <w:rPr/>
        <w:t>、这些交易整体才能达成一项完整的商业结果；</w:t>
      </w:r>
      <w:r>
        <w:rPr>
          <w:w w:val="99"/>
        </w:rPr>
        <w:t> </w:t>
      </w:r>
      <w:r>
        <w:rPr>
          <w:rFonts w:ascii="Arial" w:hAnsi="Arial" w:cs="Arial" w:eastAsia="Arial" w:hint="default"/>
        </w:rPr>
        <w:t>C</w:t>
      </w:r>
      <w:r>
        <w:rPr/>
        <w:t>、一项交易的发生取决于其他至少一项交易的发生；</w:t>
      </w:r>
      <w:r>
        <w:rPr>
          <w:w w:val="99"/>
        </w:rPr>
        <w:t> </w:t>
      </w:r>
      <w:r>
        <w:rPr>
          <w:rFonts w:ascii="Arial" w:hAnsi="Arial" w:cs="Arial" w:eastAsia="Arial" w:hint="default"/>
        </w:rPr>
        <w:t>D</w:t>
      </w:r>
      <w:r>
        <w:rPr/>
        <w:t>、一项交易单独看是不经济的，但是和其他交易一并考虑时是经济的。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09" w:lineRule="exact"/>
        <w:ind w:right="996"/>
        <w:jc w:val="left"/>
      </w:pPr>
      <w:r>
        <w:rPr/>
        <w:t>置子公司并丧失控制权的交易进行会计处理；但是，在丧失控制权之前每一次处置价款与处置投资对应的</w:t>
      </w:r>
    </w:p>
    <w:p>
      <w:pPr>
        <w:pStyle w:val="BodyText"/>
        <w:spacing w:line="273" w:lineRule="auto" w:before="37"/>
        <w:ind w:right="996"/>
        <w:jc w:val="left"/>
      </w:pP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before="127"/>
        <w:ind w:right="113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spacing w:line="357" w:lineRule="auto" w:before="128"/>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）购买子公司少数股东股权</w:t>
      </w:r>
      <w:r>
        <w:rPr>
          <w:rFonts w:ascii="宋体" w:hAnsi="宋体" w:cs="宋体" w:eastAsia="宋体" w:hint="default"/>
          <w:b/>
          <w:bCs/>
          <w:w w:val="99"/>
          <w:sz w:val="21"/>
          <w:szCs w:val="21"/>
        </w:rPr>
        <w:t> </w:t>
      </w:r>
      <w:r>
        <w:rPr>
          <w:rFonts w:ascii="宋体" w:hAnsi="宋体" w:cs="宋体" w:eastAsia="宋体" w:hint="default"/>
          <w:w w:val="95"/>
          <w:sz w:val="21"/>
          <w:szCs w:val="21"/>
        </w:rPr>
        <w:t>本公司因购买少数股权新取得的长期股权投资与按照新增持股比例计算应享有子公司自购买日（或合</w:t>
      </w:r>
      <w:r>
        <w:rPr>
          <w:rFonts w:ascii="宋体" w:hAnsi="宋体" w:cs="宋体" w:eastAsia="宋体" w:hint="default"/>
          <w:sz w:val="21"/>
          <w:szCs w:val="21"/>
        </w:rPr>
      </w:r>
    </w:p>
    <w:p>
      <w:pPr>
        <w:pStyle w:val="BodyText"/>
        <w:spacing w:line="209" w:lineRule="exact"/>
        <w:ind w:right="996"/>
        <w:jc w:val="left"/>
      </w:pPr>
      <w:r>
        <w:rPr/>
        <w:t>并日）开始持续计算的净资产份额之间的差额，调整合并资产负债表中的资本公积中的股本溢价，资本公</w:t>
      </w:r>
    </w:p>
    <w:p>
      <w:pPr>
        <w:pStyle w:val="BodyText"/>
        <w:spacing w:line="240" w:lineRule="auto" w:before="37"/>
        <w:ind w:right="996"/>
        <w:jc w:val="left"/>
      </w:pPr>
      <w:r>
        <w:rPr/>
        <w:t>积中的股本溢价不足冲减的，调整留存收益。</w:t>
      </w:r>
    </w:p>
    <w:p>
      <w:pPr>
        <w:spacing w:line="357" w:lineRule="auto" w:before="157"/>
        <w:ind w:left="532" w:right="113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）丧失子公司控制权的处理</w:t>
      </w:r>
      <w:r>
        <w:rPr>
          <w:rFonts w:ascii="宋体" w:hAnsi="宋体" w:cs="宋体" w:eastAsia="宋体" w:hint="default"/>
          <w:b/>
          <w:bCs/>
          <w:w w:val="99"/>
          <w:sz w:val="21"/>
          <w:szCs w:val="21"/>
        </w:rPr>
        <w:t> </w:t>
      </w:r>
      <w:r>
        <w:rPr>
          <w:rFonts w:ascii="宋体" w:hAnsi="宋体" w:cs="宋体" w:eastAsia="宋体" w:hint="default"/>
          <w:spacing w:val="4"/>
          <w:sz w:val="21"/>
          <w:szCs w:val="21"/>
        </w:rPr>
        <w:t>在不丧失控制权的情况下因部分处置对子公司的长期股权投资而取得的处置价款与处置长期股权投</w:t>
      </w:r>
    </w:p>
    <w:p>
      <w:pPr>
        <w:pStyle w:val="BodyText"/>
        <w:spacing w:line="209" w:lineRule="exact"/>
        <w:ind w:right="996"/>
        <w:jc w:val="left"/>
      </w:pPr>
      <w:r>
        <w:rPr/>
        <w:t>资相对应享有子公司自购买日或合并日开始持续计算的净资产份额之间的差额，调整合并资产负债表中的</w:t>
      </w:r>
    </w:p>
    <w:p>
      <w:pPr>
        <w:pStyle w:val="BodyText"/>
        <w:spacing w:line="240" w:lineRule="auto" w:before="37"/>
        <w:ind w:right="996"/>
        <w:jc w:val="left"/>
      </w:pPr>
      <w:r>
        <w:rPr/>
        <w:t>资本公积中的股本溢价，资本公积中的股本溢价不足冲减的，调整留存收益。</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7、合营安排分类及共同经营会计处理方法" w:id="171"/>
      <w:bookmarkEnd w:id="171"/>
      <w:r>
        <w:rPr>
          <w:b w:val="0"/>
          <w:bCs w:val="0"/>
        </w:rPr>
      </w:r>
      <w:r>
        <w:rPr>
          <w:rFonts w:ascii="Arial" w:hAnsi="Arial" w:cs="Arial" w:eastAsia="Arial"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357" w:lineRule="auto"/>
        <w:ind w:left="532" w:right="996" w:hanging="420"/>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w w:val="95"/>
        </w:rPr>
        <w:t>本公司根据合营安排的结构、法律形式以及合营安排中约定的条款、其他相关事实和情况等因素，将</w:t>
      </w:r>
      <w:r>
        <w:rPr/>
      </w:r>
    </w:p>
    <w:p>
      <w:pPr>
        <w:pStyle w:val="BodyText"/>
        <w:spacing w:line="209" w:lineRule="exact"/>
        <w:ind w:right="996"/>
        <w:jc w:val="left"/>
      </w:pPr>
      <w:r>
        <w:rPr/>
        <w:t>合营安排分为共同经营和合营企业。</w:t>
      </w:r>
    </w:p>
    <w:p>
      <w:pPr>
        <w:pStyle w:val="BodyText"/>
        <w:spacing w:line="273" w:lineRule="auto" w:before="157"/>
        <w:ind w:right="996" w:firstLine="420"/>
        <w:jc w:val="left"/>
      </w:pPr>
      <w:r>
        <w:rPr>
          <w:w w:val="95"/>
        </w:rPr>
        <w:t>未通过单独主体达成的合营安排，划分为共同经营；通过单独主体达成的合营安排，通常划分为合营</w:t>
      </w:r>
      <w:r>
        <w:rPr>
          <w:w w:val="99"/>
        </w:rPr>
        <w:t> </w:t>
      </w:r>
      <w:r>
        <w:rPr/>
        <w:t>企业；但有确凿证据表明满足下列任一条件并且符合相关法律法规规定的合营安排划分为共同经营：</w:t>
      </w:r>
    </w:p>
    <w:p>
      <w:pPr>
        <w:pStyle w:val="BodyText"/>
        <w:spacing w:line="240" w:lineRule="auto" w:before="127"/>
        <w:ind w:left="532" w:right="996"/>
        <w:jc w:val="left"/>
      </w:pPr>
      <w:r>
        <w:rPr/>
        <w:t>①合营安排的法律形式表明，合营方对该安排中的相关资产和负债分别享有权利和承担义务。</w:t>
      </w:r>
    </w:p>
    <w:p>
      <w:pPr>
        <w:pStyle w:val="BodyText"/>
        <w:spacing w:line="240" w:lineRule="auto" w:before="157"/>
        <w:ind w:left="532" w:right="996"/>
        <w:jc w:val="left"/>
      </w:pPr>
      <w:r>
        <w:rPr/>
        <w:t>②合营安排的合同条款约定，合营方对该安排中的相关资产和负债分别享有权利和承担义务。</w:t>
      </w:r>
    </w:p>
    <w:p>
      <w:pPr>
        <w:pStyle w:val="BodyText"/>
        <w:spacing w:line="273" w:lineRule="auto" w:before="157"/>
        <w:ind w:right="996" w:firstLine="420"/>
        <w:jc w:val="left"/>
      </w:pPr>
      <w:r>
        <w:rPr>
          <w:w w:val="95"/>
        </w:rPr>
        <w:t>③其他相关事实和情况表明，合营方对该安排中的相关资产和负债分别享有权利和承担义务，如合营</w:t>
      </w:r>
      <w:r>
        <w:rPr>
          <w:w w:val="99"/>
        </w:rPr>
        <w:t> </w:t>
      </w:r>
      <w:r>
        <w:rPr/>
        <w:t>方享有与合营安排相关的几乎所有产出，并且该安排中负债的清偿持续依赖于合营方的支持。</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本公司确认共同经营中利益份额中与本公司相关的下列项目，并按照相关企业会计准则的规定进行会</w:t>
      </w:r>
      <w:r>
        <w:rPr>
          <w:rFonts w:ascii="宋体" w:hAnsi="宋体" w:cs="宋体" w:eastAsia="宋体" w:hint="default"/>
          <w:sz w:val="21"/>
          <w:szCs w:val="21"/>
        </w:rPr>
      </w:r>
    </w:p>
    <w:p>
      <w:pPr>
        <w:pStyle w:val="BodyText"/>
        <w:spacing w:line="209" w:lineRule="exact"/>
        <w:ind w:right="996"/>
        <w:jc w:val="left"/>
      </w:pPr>
      <w:r>
        <w:rPr/>
        <w:t>计处理：</w:t>
      </w:r>
    </w:p>
    <w:p>
      <w:pPr>
        <w:pStyle w:val="BodyText"/>
        <w:spacing w:line="240" w:lineRule="auto" w:before="157"/>
        <w:ind w:left="532" w:right="996"/>
        <w:jc w:val="left"/>
      </w:pPr>
      <w:r>
        <w:rPr/>
        <w:t>①确认单独所持有的资产，以及按其份额确认共同持有的资产；</w:t>
      </w:r>
    </w:p>
    <w:p>
      <w:pPr>
        <w:pStyle w:val="BodyText"/>
        <w:spacing w:line="240" w:lineRule="auto" w:before="157"/>
        <w:ind w:left="532" w:right="996"/>
        <w:jc w:val="left"/>
      </w:pPr>
      <w:r>
        <w:rPr/>
        <w:t>②确认单独所承担的负债，以及按其份额确认共同承担的负债；</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left="532" w:right="996"/>
        <w:jc w:val="left"/>
      </w:pPr>
      <w:r>
        <w:rPr/>
        <w:t>③确认出售其享有的共同经营产出份额所产生的收入；</w:t>
      </w:r>
    </w:p>
    <w:p>
      <w:pPr>
        <w:pStyle w:val="BodyText"/>
        <w:spacing w:line="240" w:lineRule="auto" w:before="157"/>
        <w:ind w:left="532" w:right="996"/>
        <w:jc w:val="left"/>
      </w:pPr>
      <w:r>
        <w:rPr/>
        <w:t>④按其份额确认共同经营因出售产出所产生的收入；</w:t>
      </w:r>
    </w:p>
    <w:p>
      <w:pPr>
        <w:pStyle w:val="BodyText"/>
        <w:spacing w:line="430" w:lineRule="atLeast" w:before="2"/>
        <w:ind w:left="532" w:right="996"/>
        <w:jc w:val="left"/>
      </w:pPr>
      <w:r>
        <w:rPr/>
        <w:t>⑤确认单独所发生的费用，以及按其份额确认共同经营发生的费用。</w:t>
      </w:r>
      <w:r>
        <w:rPr>
          <w:w w:val="99"/>
        </w:rPr>
        <w:t> </w:t>
      </w:r>
      <w:r>
        <w:rPr>
          <w:w w:val="95"/>
        </w:rPr>
        <w:t>本公司向共同经营投出或出售资产等（该资产构成业务的除外），在该资产等由共同经营出售给第三</w:t>
      </w:r>
      <w:r>
        <w:rPr/>
      </w:r>
    </w:p>
    <w:p>
      <w:pPr>
        <w:pStyle w:val="BodyText"/>
        <w:spacing w:line="273" w:lineRule="auto" w:before="37"/>
        <w:ind w:right="1119"/>
        <w:jc w:val="left"/>
      </w:pPr>
      <w:r>
        <w:rPr>
          <w:spacing w:val="-5"/>
        </w:rPr>
        <w:t>方之前，仅确认因该交易产生的损益中归属于共同经营其他参与方的部分。投出或出售的资产发生符合《企</w:t>
      </w:r>
      <w:r>
        <w:rPr>
          <w:w w:val="99"/>
        </w:rPr>
        <w:t> </w:t>
      </w:r>
      <w:r>
        <w:rPr/>
        <w:t>业会计准则第</w:t>
      </w:r>
      <w:r>
        <w:rPr>
          <w:rFonts w:ascii="Arial" w:hAnsi="Arial" w:cs="Arial" w:eastAsia="Arial" w:hint="default"/>
        </w:rPr>
        <w:t>8</w:t>
      </w:r>
      <w:r>
        <w:rPr/>
        <w:t>号</w:t>
      </w:r>
      <w:r>
        <w:rPr>
          <w:rFonts w:ascii="Arial" w:hAnsi="Arial" w:cs="Arial" w:eastAsia="Arial" w:hint="default"/>
        </w:rPr>
        <w:t>——</w:t>
      </w:r>
      <w:r>
        <w:rPr/>
        <w:t>资产减值》等规定的资产减值损失的，本公司全额确认该损失。</w:t>
      </w:r>
    </w:p>
    <w:p>
      <w:pPr>
        <w:pStyle w:val="BodyText"/>
        <w:spacing w:line="266" w:lineRule="auto" w:before="109"/>
        <w:ind w:right="1132" w:firstLine="420"/>
        <w:jc w:val="both"/>
      </w:pPr>
      <w:r>
        <w:rPr>
          <w:w w:val="95"/>
        </w:rPr>
        <w:t>本公司自共同经营购买资产等（该资产构成业务的除外），在将该资产等出售给第三方之前，仅确认</w:t>
      </w:r>
      <w:r>
        <w:rPr>
          <w:w w:val="99"/>
        </w:rPr>
        <w:t> </w:t>
      </w:r>
      <w:r>
        <w:rPr>
          <w:spacing w:val="-3"/>
        </w:rPr>
        <w:t>因该交易产生的损益中归属于共同经营其他参与方的部分。购入的资产发生符合《企业会计准则第</w:t>
      </w:r>
      <w:r>
        <w:rPr>
          <w:rFonts w:ascii="Arial" w:hAnsi="Arial" w:cs="Arial" w:eastAsia="Arial" w:hint="default"/>
          <w:spacing w:val="-3"/>
        </w:rPr>
        <w:t>8</w:t>
      </w:r>
      <w:r>
        <w:rPr>
          <w:spacing w:val="-3"/>
        </w:rPr>
        <w:t>号</w:t>
      </w:r>
      <w:r>
        <w:rPr>
          <w:rFonts w:ascii="Arial" w:hAnsi="Arial" w:cs="Arial" w:eastAsia="Arial" w:hint="default"/>
          <w:spacing w:val="-3"/>
        </w:rPr>
        <w:t>——</w:t>
      </w:r>
      <w:r>
        <w:rPr>
          <w:rFonts w:ascii="Arial" w:hAnsi="Arial" w:cs="Arial" w:eastAsia="Arial" w:hint="default"/>
          <w:w w:val="99"/>
        </w:rPr>
        <w:t> </w:t>
      </w:r>
      <w:r>
        <w:rPr/>
        <w:t>资产减值》等规定的资产减值损失的，本公司按承担的份额确认该部分损失。</w:t>
      </w:r>
    </w:p>
    <w:p>
      <w:pPr>
        <w:pStyle w:val="BodyText"/>
        <w:spacing w:line="273" w:lineRule="auto" w:before="134"/>
        <w:ind w:right="1135" w:firstLine="420"/>
        <w:jc w:val="both"/>
      </w:pPr>
      <w:r>
        <w:rPr>
          <w:w w:val="95"/>
        </w:rPr>
        <w:t>本公司对共同经营不享有共同控制，如果本公司享有该共同经营相关资产且承担该共同经营相关负债</w:t>
      </w:r>
      <w:r>
        <w:rPr>
          <w:w w:val="99"/>
        </w:rPr>
        <w:t> </w:t>
      </w:r>
      <w:r>
        <w:rPr/>
        <w:t>的，仍按上述原则进行会计处理，否则，应当按照相关企业会计准则的规定进行会计处理。</w:t>
      </w:r>
    </w:p>
    <w:p>
      <w:pPr>
        <w:spacing w:line="590" w:lineRule="atLeast" w:before="7"/>
        <w:ind w:left="532" w:right="996" w:hanging="420"/>
        <w:jc w:val="left"/>
        <w:rPr>
          <w:rFonts w:ascii="宋体" w:hAnsi="宋体" w:cs="宋体" w:eastAsia="宋体" w:hint="default"/>
          <w:sz w:val="21"/>
          <w:szCs w:val="21"/>
        </w:rPr>
      </w:pPr>
      <w:bookmarkStart w:name="8、现金及现金等价物的确定标准" w:id="172"/>
      <w:bookmarkEnd w:id="172"/>
      <w:r>
        <w:rPr/>
      </w:r>
      <w:r>
        <w:rPr>
          <w:rFonts w:ascii="Arial" w:hAnsi="Arial" w:cs="Arial" w:eastAsia="Arial"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73" w:lineRule="auto" w:before="37"/>
        <w:ind w:right="996"/>
        <w:jc w:val="left"/>
      </w:pPr>
      <w:r>
        <w:rPr>
          <w:w w:val="95"/>
        </w:rPr>
        <w:t>短（一般从购买日起三个月内到期）、流动性强、易于转换为已知金额的现金、价值变动风险很小四个条</w:t>
      </w:r>
      <w:r>
        <w:rPr>
          <w:spacing w:val="43"/>
          <w:w w:val="95"/>
        </w:rPr>
        <w:t> </w:t>
      </w:r>
      <w:r>
        <w:rPr>
          <w:spacing w:val="43"/>
          <w:w w:val="95"/>
        </w:rPr>
      </w:r>
      <w:r>
        <w:rPr/>
        <w:t>件的投资，确定为现金等价物。</w:t>
      </w:r>
    </w:p>
    <w:p>
      <w:pPr>
        <w:spacing w:line="240" w:lineRule="auto" w:before="9"/>
        <w:rPr>
          <w:rFonts w:ascii="宋体" w:hAnsi="宋体" w:cs="宋体" w:eastAsia="宋体" w:hint="default"/>
          <w:sz w:val="23"/>
          <w:szCs w:val="23"/>
        </w:rPr>
      </w:pPr>
    </w:p>
    <w:p>
      <w:pPr>
        <w:pStyle w:val="Heading4"/>
        <w:spacing w:line="240" w:lineRule="auto" w:before="0"/>
        <w:ind w:right="996"/>
        <w:jc w:val="left"/>
        <w:rPr>
          <w:b w:val="0"/>
          <w:bCs w:val="0"/>
        </w:rPr>
      </w:pPr>
      <w:bookmarkStart w:name="9、金融工具" w:id="173"/>
      <w:bookmarkEnd w:id="173"/>
      <w:r>
        <w:rPr>
          <w:b w:val="0"/>
          <w:bCs w:val="0"/>
        </w:rPr>
      </w:r>
      <w:r>
        <w:rPr>
          <w:rFonts w:ascii="Arial" w:hAnsi="Arial" w:cs="Arial" w:eastAsia="Arial" w:hint="default"/>
        </w:rPr>
        <w:t>9</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357" w:lineRule="auto"/>
        <w:ind w:left="532" w:right="4034"/>
        <w:jc w:val="left"/>
      </w:pPr>
      <w:r>
        <w:rPr/>
        <w:t>自</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日起适用</w:t>
      </w:r>
      <w:r>
        <w:rPr>
          <w:w w:val="99"/>
        </w:rPr>
        <w:t> </w:t>
      </w:r>
      <w:r>
        <w:rPr>
          <w:w w:val="95"/>
        </w:rPr>
        <w:t>在本公司成为金融工具合同的一方时确认一项金融资产或金融负债。</w:t>
      </w:r>
      <w:r>
        <w:rPr/>
      </w:r>
    </w:p>
    <w:p>
      <w:pPr>
        <w:pStyle w:val="BodyText"/>
        <w:spacing w:line="273" w:lineRule="auto" w:before="54"/>
        <w:ind w:right="1135" w:firstLine="420"/>
        <w:jc w:val="both"/>
      </w:pPr>
      <w:r>
        <w:rPr>
          <w:spacing w:val="4"/>
        </w:rPr>
        <w:t>实际利率法是指计算金融资产或金融负债的摊余成本以及将利息收入或利息费用分摊计入各会计期</w:t>
      </w:r>
      <w:r>
        <w:rPr>
          <w:w w:val="99"/>
        </w:rPr>
        <w:t> </w:t>
      </w:r>
      <w:r>
        <w:rPr/>
        <w:t>间的方法。</w:t>
      </w:r>
    </w:p>
    <w:p>
      <w:pPr>
        <w:pStyle w:val="BodyText"/>
        <w:spacing w:line="266" w:lineRule="auto" w:before="127"/>
        <w:ind w:right="1132" w:firstLine="420"/>
        <w:jc w:val="both"/>
      </w:pPr>
      <w:r>
        <w:rPr>
          <w:w w:val="95"/>
        </w:rPr>
        <w:t>实际利率，是指将金融资产或金融负债在预计存续期的估计未来现金流量，折现为该金融资产账面余</w:t>
      </w:r>
      <w:r>
        <w:rPr>
          <w:w w:val="99"/>
        </w:rPr>
        <w:t> </w:t>
      </w:r>
      <w:r>
        <w:rPr>
          <w:spacing w:val="-2"/>
        </w:rPr>
        <w:t>额或该金融负债摊余成本所使用的利率。在确定实际利率时，在考虑金融资产或金融负债所有合同条款</w:t>
      </w:r>
      <w:r>
        <w:rPr>
          <w:rFonts w:ascii="Arial" w:hAnsi="Arial" w:cs="Arial" w:eastAsia="Arial" w:hint="default"/>
          <w:spacing w:val="-2"/>
        </w:rPr>
        <w:t>(</w:t>
      </w:r>
      <w:r>
        <w:rPr>
          <w:spacing w:val="-2"/>
        </w:rPr>
        <w:t>如</w:t>
      </w:r>
      <w:r>
        <w:rPr>
          <w:w w:val="99"/>
        </w:rPr>
        <w:t> </w:t>
      </w:r>
      <w:r>
        <w:rPr/>
        <w:t>提前还款、展期、看涨期权或其他类似期权等</w:t>
      </w:r>
      <w:r>
        <w:rPr>
          <w:rFonts w:ascii="Arial" w:hAnsi="Arial" w:cs="Arial" w:eastAsia="Arial" w:hint="default"/>
        </w:rPr>
        <w:t>)</w:t>
      </w:r>
      <w:r>
        <w:rPr/>
        <w:t>的基础上估计预期现金流量，但不考虑预期信用损失。</w:t>
      </w:r>
    </w:p>
    <w:p>
      <w:pPr>
        <w:pStyle w:val="BodyText"/>
        <w:spacing w:line="273" w:lineRule="auto" w:before="116"/>
        <w:ind w:right="1135" w:firstLine="420"/>
        <w:jc w:val="both"/>
      </w:pPr>
      <w:r>
        <w:rPr>
          <w:w w:val="95"/>
        </w:rPr>
        <w:t>金融资产或金融负债的摊余成本是以该金融资产或金融负债的初始确认金额扣除已偿还的本金，加上</w:t>
      </w:r>
      <w:r>
        <w:rPr>
          <w:w w:val="99"/>
        </w:rPr>
        <w:t> </w:t>
      </w:r>
      <w:r>
        <w:rPr>
          <w:w w:val="95"/>
        </w:rPr>
        <w:t>或减去采用实际利率法将该初始确认金额与到期日金额之间的差额进行摊销形成的累计摊销额，再扣除累</w:t>
      </w:r>
      <w:r>
        <w:rPr>
          <w:spacing w:val="37"/>
          <w:w w:val="95"/>
        </w:rPr>
        <w:t> </w:t>
      </w:r>
      <w:r>
        <w:rPr>
          <w:spacing w:val="37"/>
          <w:w w:val="95"/>
        </w:rPr>
      </w:r>
      <w:r>
        <w:rPr/>
        <w:t>计计提的损失准备</w:t>
      </w:r>
      <w:r>
        <w:rPr>
          <w:rFonts w:ascii="Arial" w:hAnsi="Arial" w:cs="Arial" w:eastAsia="Arial" w:hint="default"/>
        </w:rPr>
        <w:t>(</w:t>
      </w:r>
      <w:r>
        <w:rPr/>
        <w:t>仅适用于金融资产</w:t>
      </w:r>
      <w:r>
        <w:rPr>
          <w:rFonts w:ascii="Arial" w:hAnsi="Arial" w:cs="Arial" w:eastAsia="Arial" w:hint="default"/>
        </w:rPr>
        <w:t>)</w:t>
      </w:r>
      <w:r>
        <w:rPr/>
        <w:t>。</w:t>
      </w:r>
    </w:p>
    <w:p>
      <w:pPr>
        <w:pStyle w:val="Heading4"/>
        <w:spacing w:line="240" w:lineRule="auto" w:before="109"/>
        <w:ind w:right="996"/>
        <w:jc w:val="left"/>
        <w:rPr>
          <w:b w:val="0"/>
          <w:bCs w:val="0"/>
        </w:rPr>
      </w:pPr>
      <w:r>
        <w:rPr/>
        <w:t>（</w:t>
      </w:r>
      <w:r>
        <w:rPr>
          <w:rFonts w:ascii="Arial" w:hAnsi="Arial" w:cs="Arial" w:eastAsia="Arial" w:hint="default"/>
        </w:rPr>
        <w:t>1</w:t>
      </w:r>
      <w:r>
        <w:rPr/>
        <w:t>）金融资产分类和计量</w:t>
      </w:r>
      <w:r>
        <w:rPr>
          <w:b w:val="0"/>
          <w:bCs w:val="0"/>
        </w:rPr>
      </w:r>
    </w:p>
    <w:p>
      <w:pPr>
        <w:spacing w:line="240" w:lineRule="auto" w:before="3"/>
        <w:rPr>
          <w:rFonts w:ascii="宋体" w:hAnsi="宋体" w:cs="宋体" w:eastAsia="宋体" w:hint="default"/>
          <w:b/>
          <w:bCs/>
          <w:sz w:val="8"/>
          <w:szCs w:val="8"/>
        </w:rPr>
      </w:pPr>
    </w:p>
    <w:p>
      <w:pPr>
        <w:pStyle w:val="BodyText"/>
        <w:spacing w:line="240" w:lineRule="auto" w:before="34"/>
        <w:ind w:left="532" w:right="996"/>
        <w:jc w:val="left"/>
      </w:pPr>
      <w:r>
        <w:rPr>
          <w:spacing w:val="4"/>
        </w:rPr>
        <w:t>本公司根据所管理金融资产的业务模式和金融资产的合同现金流量特征，将金融资产划分为以下三</w:t>
      </w:r>
    </w:p>
    <w:p>
      <w:pPr>
        <w:pStyle w:val="BodyText"/>
        <w:spacing w:line="240" w:lineRule="auto" w:before="37"/>
        <w:ind w:right="996"/>
        <w:jc w:val="left"/>
      </w:pPr>
      <w:r>
        <w:rPr/>
        <w:t>类：</w:t>
      </w:r>
    </w:p>
    <w:p>
      <w:pPr>
        <w:spacing w:line="240" w:lineRule="auto" w:before="5"/>
        <w:rPr>
          <w:rFonts w:ascii="宋体" w:hAnsi="宋体" w:cs="宋体" w:eastAsia="宋体" w:hint="default"/>
          <w:sz w:val="9"/>
          <w:szCs w:val="9"/>
        </w:rPr>
      </w:pPr>
    </w:p>
    <w:p>
      <w:pPr>
        <w:pStyle w:val="BodyText"/>
        <w:spacing w:line="240" w:lineRule="auto" w:before="34"/>
        <w:ind w:left="532" w:right="996"/>
        <w:jc w:val="left"/>
      </w:pPr>
      <w:r>
        <w:rPr>
          <w:rFonts w:ascii="Arial" w:hAnsi="Arial" w:cs="Arial" w:eastAsia="Arial" w:hint="default"/>
        </w:rPr>
        <w:t>1</w:t>
      </w:r>
      <w:r>
        <w:rPr/>
        <w:t>）以摊余成本计量的金融资产。</w:t>
      </w:r>
    </w:p>
    <w:p>
      <w:pPr>
        <w:pStyle w:val="BodyText"/>
        <w:spacing w:line="240" w:lineRule="auto" w:before="142"/>
        <w:ind w:left="532" w:right="996"/>
        <w:jc w:val="left"/>
      </w:pPr>
      <w:r>
        <w:rPr>
          <w:rFonts w:ascii="Arial" w:hAnsi="Arial" w:cs="Arial" w:eastAsia="Arial" w:hint="default"/>
        </w:rPr>
        <w:t>2</w:t>
      </w:r>
      <w:r>
        <w:rPr/>
        <w:t>）以公允价值计量且其变动计入其他综合收益的金融资产。</w:t>
      </w:r>
    </w:p>
    <w:p>
      <w:pPr>
        <w:pStyle w:val="BodyText"/>
        <w:spacing w:line="266" w:lineRule="auto" w:before="142"/>
        <w:ind w:right="1133" w:firstLine="420"/>
        <w:jc w:val="both"/>
      </w:pPr>
      <w:r>
        <w:rPr>
          <w:rFonts w:ascii="Arial" w:hAnsi="Arial" w:cs="Arial" w:eastAsia="Arial" w:hint="default"/>
          <w:spacing w:val="2"/>
          <w:w w:val="95"/>
        </w:rPr>
        <w:t>3</w:t>
      </w:r>
      <w:r>
        <w:rPr>
          <w:spacing w:val="2"/>
          <w:w w:val="95"/>
        </w:rPr>
        <w:t>）以公允价值计量且其变动计入当期损益的金融资产。金融资产在初始确认时以公允价值计量，但</w:t>
      </w:r>
      <w:r>
        <w:rPr>
          <w:spacing w:val="-92"/>
          <w:w w:val="95"/>
        </w:rPr>
        <w:t> </w:t>
      </w:r>
      <w:r>
        <w:rPr>
          <w:spacing w:val="-92"/>
          <w:w w:val="95"/>
        </w:rPr>
      </w:r>
      <w:r>
        <w:rPr>
          <w:spacing w:val="4"/>
        </w:rPr>
        <w:t>是因销售商品或提供服务等产生的应收账款或应收票据未包含重大融资成分或不考虑不超过一年的融资</w:t>
      </w:r>
      <w:r>
        <w:rPr>
          <w:w w:val="99"/>
        </w:rPr>
        <w:t> </w:t>
      </w:r>
      <w:r>
        <w:rPr/>
        <w:t>成分的，按照交易价格进行初始计量。</w:t>
      </w:r>
    </w:p>
    <w:p>
      <w:pPr>
        <w:pStyle w:val="BodyText"/>
        <w:spacing w:line="240" w:lineRule="auto" w:before="134"/>
        <w:ind w:left="532" w:right="996"/>
        <w:jc w:val="left"/>
      </w:pPr>
      <w:r>
        <w:rPr/>
        <w:t>对于以公允价值计量且其变动计入当期损益的金融资产，相关交易费用直接计入当期损益，其他类别</w:t>
      </w:r>
    </w:p>
    <w:p>
      <w:pPr>
        <w:spacing w:after="0" w:line="240" w:lineRule="auto"/>
        <w:jc w:val="left"/>
        <w:sectPr>
          <w:footerReference w:type="default" r:id="rId36"/>
          <w:pgSz w:w="11910" w:h="16840"/>
          <w:pgMar w:footer="1016" w:header="878" w:top="1100" w:bottom="1200" w:left="1020" w:right="0"/>
          <w:pgNumType w:start="12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的金融资产相关交易费用计入其初始确认金额。</w:t>
      </w:r>
    </w:p>
    <w:p>
      <w:pPr>
        <w:pStyle w:val="BodyText"/>
        <w:spacing w:line="273" w:lineRule="auto" w:before="157"/>
        <w:ind w:right="1135" w:firstLine="420"/>
        <w:jc w:val="both"/>
      </w:pPr>
      <w:r>
        <w:rPr>
          <w:w w:val="95"/>
        </w:rPr>
        <w:t>金融资产的后续计量取决于其分类，当且仅当本公司改变管理金融资产的业务模式时，才对所有受影</w:t>
      </w:r>
      <w:r>
        <w:rPr>
          <w:w w:val="99"/>
        </w:rPr>
        <w:t> </w:t>
      </w:r>
      <w:r>
        <w:rPr/>
        <w:t>响的相关金融资产进行重分类。</w:t>
      </w:r>
    </w:p>
    <w:p>
      <w:pPr>
        <w:pStyle w:val="BodyText"/>
        <w:spacing w:line="357" w:lineRule="auto" w:before="127"/>
        <w:ind w:left="532" w:right="1132"/>
        <w:jc w:val="left"/>
      </w:pPr>
      <w:r>
        <w:rPr>
          <w:rFonts w:ascii="Arial" w:hAnsi="Arial" w:cs="Arial" w:eastAsia="Arial" w:hint="default"/>
        </w:rPr>
        <w:t>1</w:t>
      </w:r>
      <w:r>
        <w:rPr/>
        <w:t>）分类为以摊余成本计量的金融资产</w:t>
      </w:r>
      <w:r>
        <w:rPr>
          <w:w w:val="99"/>
        </w:rPr>
        <w:t> </w:t>
      </w:r>
      <w:r>
        <w:rPr>
          <w:spacing w:val="4"/>
        </w:rPr>
        <w:t>金融资产的合同条款规定在特定日期产生的现金流量仅为对本金和以未偿付本金金额为基础的利息</w:t>
      </w:r>
    </w:p>
    <w:p>
      <w:pPr>
        <w:pStyle w:val="BodyText"/>
        <w:spacing w:line="209" w:lineRule="exact"/>
        <w:ind w:right="996"/>
        <w:jc w:val="left"/>
      </w:pPr>
      <w:r>
        <w:rPr/>
        <w:t>的支付，且管理该金融资产的业务模式是以收取合同现金流量为目标，则本公司将该金融资产分类为以摊</w:t>
      </w:r>
    </w:p>
    <w:p>
      <w:pPr>
        <w:pStyle w:val="BodyText"/>
        <w:spacing w:line="273" w:lineRule="auto" w:before="37"/>
        <w:ind w:right="996"/>
        <w:jc w:val="left"/>
      </w:pPr>
      <w:r>
        <w:rPr>
          <w:w w:val="95"/>
        </w:rPr>
        <w:t>余成本计量的金融资产。本公司分类为以摊余成本计量的金融资产包括货币资金、应收票据及应收账款、</w:t>
      </w:r>
      <w:r>
        <w:rPr>
          <w:spacing w:val="61"/>
          <w:w w:val="95"/>
        </w:rPr>
        <w:t> </w:t>
      </w:r>
      <w:r>
        <w:rPr>
          <w:spacing w:val="61"/>
          <w:w w:val="95"/>
        </w:rPr>
      </w:r>
      <w:r>
        <w:rPr/>
        <w:t>其他应收款等。</w:t>
      </w:r>
    </w:p>
    <w:p>
      <w:pPr>
        <w:pStyle w:val="BodyText"/>
        <w:spacing w:line="273" w:lineRule="auto" w:before="127"/>
        <w:ind w:right="1132" w:firstLine="420"/>
        <w:jc w:val="both"/>
      </w:pPr>
      <w:r>
        <w:rPr>
          <w:w w:val="95"/>
        </w:rPr>
        <w:t>本公司对此类金融资产采用实际利率法确认利息收入，按摊余成本进行后续计量，其发生减值时或终</w:t>
      </w:r>
      <w:r>
        <w:rPr>
          <w:w w:val="99"/>
        </w:rPr>
        <w:t> </w:t>
      </w:r>
      <w:r>
        <w:rPr>
          <w:w w:val="95"/>
        </w:rPr>
        <w:t>止确认、修改产生的利得或损失，计入当期损益。除下列情况外，本公司根据金融资产账面余额乘以实际</w:t>
      </w:r>
      <w:r>
        <w:rPr>
          <w:spacing w:val="41"/>
          <w:w w:val="95"/>
        </w:rPr>
        <w:t> </w:t>
      </w:r>
      <w:r>
        <w:rPr>
          <w:spacing w:val="41"/>
          <w:w w:val="95"/>
        </w:rPr>
      </w:r>
      <w:r>
        <w:rPr/>
        <w:t>利率计算确定利息收入：</w:t>
      </w:r>
    </w:p>
    <w:p>
      <w:pPr>
        <w:pStyle w:val="BodyText"/>
        <w:spacing w:line="273" w:lineRule="auto" w:before="127"/>
        <w:ind w:right="1135" w:firstLine="420"/>
        <w:jc w:val="both"/>
      </w:pPr>
      <w:r>
        <w:rPr>
          <w:w w:val="95"/>
        </w:rPr>
        <w:t>①对于购入或源生的已发生信用减值的金融资产，本公司自初始确认起，按照该金融资产的摊余成本</w:t>
      </w:r>
      <w:r>
        <w:rPr>
          <w:w w:val="99"/>
        </w:rPr>
        <w:t> </w:t>
      </w:r>
      <w:r>
        <w:rPr/>
        <w:t>和经信用调整的实际利率计算确定其利息收入。</w:t>
      </w:r>
    </w:p>
    <w:p>
      <w:pPr>
        <w:pStyle w:val="BodyText"/>
        <w:spacing w:line="273" w:lineRule="auto" w:before="127"/>
        <w:ind w:right="1135" w:firstLine="420"/>
        <w:jc w:val="both"/>
      </w:pPr>
      <w:r>
        <w:rPr>
          <w:w w:val="95"/>
        </w:rPr>
        <w:t>②对于购入或源生的未发生信用减值、但在后续期间成为已发生信用减值的金融资产，本公司在后续</w:t>
      </w:r>
      <w:r>
        <w:rPr>
          <w:w w:val="99"/>
        </w:rPr>
        <w:t> </w:t>
      </w:r>
      <w:r>
        <w:rPr>
          <w:w w:val="95"/>
        </w:rPr>
        <w:t>期间，按照该金融资产的摊余成本和实际利率计算确定其利息收入。若该金融工具在后续期间因其信用风</w:t>
      </w:r>
      <w:r>
        <w:rPr>
          <w:spacing w:val="37"/>
          <w:w w:val="95"/>
        </w:rPr>
        <w:t> </w:t>
      </w:r>
      <w:r>
        <w:rPr>
          <w:spacing w:val="37"/>
          <w:w w:val="95"/>
        </w:rPr>
      </w:r>
      <w:r>
        <w:rPr/>
        <w:t>险有所改善而不再存在信用减值，本公司转按实际利率乘以该金融资产账面余额来计算确定利息收入。</w:t>
      </w:r>
    </w:p>
    <w:p>
      <w:pPr>
        <w:pStyle w:val="BodyText"/>
        <w:spacing w:line="357" w:lineRule="auto" w:before="127"/>
        <w:ind w:left="532" w:right="1132"/>
        <w:jc w:val="left"/>
      </w:pPr>
      <w:r>
        <w:rPr>
          <w:rFonts w:ascii="Arial" w:hAnsi="Arial" w:cs="Arial" w:eastAsia="Arial" w:hint="default"/>
        </w:rPr>
        <w:t>2</w:t>
      </w:r>
      <w:r>
        <w:rPr/>
        <w:t>）分类为以公允价值计量且其变动计入其他综合收益的金融资产</w:t>
      </w:r>
      <w:r>
        <w:rPr>
          <w:w w:val="99"/>
        </w:rPr>
        <w:t> </w:t>
      </w:r>
      <w:r>
        <w:rPr>
          <w:spacing w:val="4"/>
        </w:rPr>
        <w:t>金融资产的合同条款规定在特定日期产生的现金流量仅为对本金和以未偿付本金金额为基础的利息</w:t>
      </w:r>
    </w:p>
    <w:p>
      <w:pPr>
        <w:pStyle w:val="BodyText"/>
        <w:spacing w:line="209" w:lineRule="exact"/>
        <w:ind w:right="996"/>
        <w:jc w:val="left"/>
      </w:pPr>
      <w:r>
        <w:rPr/>
        <w:t>的支付，且管理该金融资产的业务模式既以收取合同现金流量为目标又以出售该金融资产为目标，则本公</w:t>
      </w:r>
    </w:p>
    <w:p>
      <w:pPr>
        <w:pStyle w:val="BodyText"/>
        <w:spacing w:line="240" w:lineRule="auto" w:before="37"/>
        <w:ind w:right="996"/>
        <w:jc w:val="left"/>
      </w:pPr>
      <w:r>
        <w:rPr/>
        <w:t>司将该金融资产分类为以公允价值计量且其变动计入其他综合收益的金融资产。</w:t>
      </w:r>
    </w:p>
    <w:p>
      <w:pPr>
        <w:pStyle w:val="BodyText"/>
        <w:spacing w:line="273" w:lineRule="auto" w:before="157"/>
        <w:ind w:right="1132" w:firstLine="420"/>
        <w:jc w:val="both"/>
      </w:pPr>
      <w:r>
        <w:rPr>
          <w:w w:val="95"/>
        </w:rPr>
        <w:t>本公司对此类金融资产采用实际利率法确认利息收入。除利息收入、减值损失及汇兑差额确认为当期</w:t>
      </w:r>
      <w:r>
        <w:rPr>
          <w:w w:val="99"/>
        </w:rPr>
        <w:t> </w:t>
      </w:r>
      <w:r>
        <w:rPr>
          <w:w w:val="95"/>
        </w:rPr>
        <w:t>损益外，其余公允价值变动计入其他综合收益。当该金融资产终止确认时，之前计入其他综合收益的累计</w:t>
      </w:r>
      <w:r>
        <w:rPr>
          <w:spacing w:val="40"/>
          <w:w w:val="95"/>
        </w:rPr>
        <w:t> </w:t>
      </w:r>
      <w:r>
        <w:rPr>
          <w:spacing w:val="40"/>
          <w:w w:val="95"/>
        </w:rPr>
      </w:r>
      <w:r>
        <w:rPr/>
        <w:t>利得或损失从其他综合收益中转出，计入当期损益。</w:t>
      </w:r>
    </w:p>
    <w:p>
      <w:pPr>
        <w:pStyle w:val="BodyText"/>
        <w:spacing w:line="273" w:lineRule="auto" w:before="127"/>
        <w:ind w:right="1132" w:firstLine="420"/>
        <w:jc w:val="both"/>
      </w:pPr>
      <w:r>
        <w:rPr>
          <w:w w:val="95"/>
        </w:rPr>
        <w:t>以公允价值计量且变动计入其他综合收益的应收票据及应收账款列报为应收款项融资，其他此类金融</w:t>
      </w:r>
      <w:r>
        <w:rPr>
          <w:w w:val="99"/>
        </w:rPr>
        <w:t> </w:t>
      </w:r>
      <w:r>
        <w:rPr>
          <w:w w:val="95"/>
        </w:rPr>
        <w:t>资产列报为其他债权投资，其中：自资产负债表日起一年内到期的其他债权投资列报为一年内到期的非流</w:t>
      </w:r>
      <w:r>
        <w:rPr>
          <w:spacing w:val="40"/>
          <w:w w:val="95"/>
        </w:rPr>
        <w:t> </w:t>
      </w:r>
      <w:r>
        <w:rPr>
          <w:spacing w:val="40"/>
          <w:w w:val="95"/>
        </w:rPr>
      </w:r>
      <w:r>
        <w:rPr/>
        <w:t>动资产，原到期日在一年以内的其他债权投资列报为其他流动资产。</w:t>
      </w:r>
    </w:p>
    <w:p>
      <w:pPr>
        <w:pStyle w:val="BodyText"/>
        <w:spacing w:line="357" w:lineRule="auto" w:before="127"/>
        <w:ind w:left="532" w:right="996"/>
        <w:jc w:val="left"/>
      </w:pPr>
      <w:r>
        <w:rPr>
          <w:rFonts w:ascii="Arial" w:hAnsi="Arial" w:cs="Arial" w:eastAsia="Arial" w:hint="default"/>
        </w:rPr>
        <w:t>3</w:t>
      </w:r>
      <w:r>
        <w:rPr/>
        <w:t>）指定为以公允价值计量且其变动计入其他综合收益的金融资产</w:t>
      </w:r>
      <w:r>
        <w:rPr>
          <w:w w:val="99"/>
        </w:rPr>
        <w:t> </w:t>
      </w:r>
      <w:r>
        <w:rPr>
          <w:w w:val="95"/>
        </w:rPr>
        <w:t>在初始确认时，本公司可以单项金融资产为基础不可撤销地将非交易性权益工具投资指定为以公允价</w:t>
      </w:r>
      <w:r>
        <w:rPr/>
      </w:r>
    </w:p>
    <w:p>
      <w:pPr>
        <w:pStyle w:val="BodyText"/>
        <w:spacing w:line="209" w:lineRule="exact"/>
        <w:ind w:right="996"/>
        <w:jc w:val="left"/>
      </w:pPr>
      <w:r>
        <w:rPr/>
        <w:t>值计量且其变动计入其他综合收益的金融资产。</w:t>
      </w:r>
    </w:p>
    <w:p>
      <w:pPr>
        <w:pStyle w:val="BodyText"/>
        <w:spacing w:line="273" w:lineRule="auto" w:before="157"/>
        <w:ind w:right="1130" w:firstLine="420"/>
        <w:jc w:val="both"/>
      </w:pPr>
      <w:r>
        <w:rPr>
          <w:w w:val="95"/>
        </w:rPr>
        <w:t>此类金融资产的公允价值变动计入其他综合收益，不需计提减值准备。该金融资产终止确认时，之前</w:t>
      </w:r>
      <w:r>
        <w:rPr>
          <w:spacing w:val="-97"/>
          <w:w w:val="95"/>
        </w:rPr>
        <w:t> </w:t>
      </w:r>
      <w:r>
        <w:rPr>
          <w:spacing w:val="-97"/>
          <w:w w:val="95"/>
        </w:rPr>
      </w:r>
      <w:r>
        <w:rPr>
          <w:w w:val="95"/>
        </w:rPr>
        <w:t>计入其他综合收益的累计利得或损失从其他综合收益中转出，计入留存收益。本公司持有该权益工具投资</w:t>
      </w:r>
      <w:r>
        <w:rPr>
          <w:spacing w:val="37"/>
          <w:w w:val="95"/>
        </w:rPr>
        <w:t> </w:t>
      </w:r>
      <w:r>
        <w:rPr>
          <w:spacing w:val="37"/>
          <w:w w:val="95"/>
        </w:rPr>
      </w:r>
      <w:r>
        <w:rPr>
          <w:w w:val="95"/>
        </w:rPr>
        <w:t>期间，在本公司收取股利的权利已经确立，与股利相关的经济利益很可能流入本公司，且股利的金额能够</w:t>
      </w:r>
      <w:r>
        <w:rPr>
          <w:spacing w:val="43"/>
          <w:w w:val="95"/>
        </w:rPr>
        <w:t> </w:t>
      </w:r>
      <w:r>
        <w:rPr>
          <w:spacing w:val="43"/>
          <w:w w:val="95"/>
        </w:rPr>
      </w:r>
      <w:r>
        <w:rPr/>
        <w:t>可靠计量时，确认股利收入并计入当期损益。本公司对此类金融资产在其他权益工具投资项目下列报。</w:t>
      </w:r>
    </w:p>
    <w:p>
      <w:pPr>
        <w:pStyle w:val="BodyText"/>
        <w:spacing w:line="273" w:lineRule="auto" w:before="128"/>
        <w:ind w:right="1132" w:firstLine="420"/>
        <w:jc w:val="both"/>
      </w:pPr>
      <w:r>
        <w:rPr>
          <w:w w:val="95"/>
        </w:rPr>
        <w:t>权益工具投资满足下列条件之一的，属于以公允价值计量且其变动计入当期损益的金融资产：取得该</w:t>
      </w:r>
      <w:r>
        <w:rPr>
          <w:w w:val="99"/>
        </w:rPr>
        <w:t> </w:t>
      </w:r>
      <w:r>
        <w:rPr>
          <w:w w:val="95"/>
        </w:rPr>
        <w:t>金融资产的目的主要是为了近期出售；初始确认时属于集中管理的可辨认金融资产工具组合的一部分，且</w:t>
      </w:r>
      <w:r>
        <w:rPr>
          <w:spacing w:val="40"/>
          <w:w w:val="95"/>
        </w:rPr>
        <w:t> </w:t>
      </w:r>
      <w:r>
        <w:rPr>
          <w:spacing w:val="40"/>
          <w:w w:val="95"/>
        </w:rPr>
      </w:r>
      <w:r>
        <w:rPr>
          <w:w w:val="95"/>
        </w:rPr>
        <w:t>有客观证据表明近期实际存在短期获利模式；属于衍生工具（符合财务担保合同定义的以及被指定为有效</w:t>
      </w:r>
      <w:r>
        <w:rPr>
          <w:spacing w:val="40"/>
          <w:w w:val="95"/>
        </w:rPr>
        <w:t> </w:t>
      </w:r>
      <w:r>
        <w:rPr>
          <w:spacing w:val="40"/>
          <w:w w:val="95"/>
        </w:rPr>
      </w:r>
      <w:r>
        <w:rPr/>
        <w:t>套期工具的衍生工具除外）。</w:t>
      </w:r>
    </w:p>
    <w:p>
      <w:pPr>
        <w:pStyle w:val="BodyText"/>
        <w:spacing w:line="240" w:lineRule="auto" w:before="127"/>
        <w:ind w:left="638" w:right="996"/>
        <w:jc w:val="left"/>
      </w:pPr>
      <w:r>
        <w:rPr>
          <w:rFonts w:ascii="Arial" w:hAnsi="Arial" w:cs="Arial" w:eastAsia="Arial" w:hint="default"/>
        </w:rPr>
        <w:t>4</w:t>
      </w:r>
      <w:r>
        <w:rPr/>
        <w:t>）分类为以公允价值计量且其变动计入当期损益的金融资产</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2" w:firstLine="420"/>
        <w:jc w:val="both"/>
      </w:pPr>
      <w:r>
        <w:rPr>
          <w:w w:val="95"/>
        </w:rPr>
        <w:t>不符合分类为以摊余成本计量或以公允价值计量且其变动计入其他综合收益的金融资产条件、亦不指</w:t>
      </w:r>
      <w:r>
        <w:rPr>
          <w:w w:val="99"/>
        </w:rPr>
        <w:t> </w:t>
      </w:r>
      <w:r>
        <w:rPr>
          <w:spacing w:val="4"/>
        </w:rPr>
        <w:t>定为以公允价值计量且其变动计入其他综合收益的金融资产均分类为以公允价值计量且其变动计入当期</w:t>
      </w:r>
      <w:r>
        <w:rPr>
          <w:w w:val="99"/>
        </w:rPr>
        <w:t> </w:t>
      </w:r>
      <w:r>
        <w:rPr/>
        <w:t>损益的金融资产。</w:t>
      </w:r>
    </w:p>
    <w:p>
      <w:pPr>
        <w:pStyle w:val="BodyText"/>
        <w:spacing w:line="273" w:lineRule="auto" w:before="127"/>
        <w:ind w:right="1132" w:firstLine="420"/>
        <w:jc w:val="both"/>
      </w:pPr>
      <w:r>
        <w:rPr>
          <w:w w:val="95"/>
        </w:rPr>
        <w:t>本公司对此类金融资产采用公允价值进行后续计量，将公允价值变动形成的利得或损失以及与此类金</w:t>
      </w:r>
      <w:r>
        <w:rPr>
          <w:w w:val="99"/>
        </w:rPr>
        <w:t> </w:t>
      </w:r>
      <w:r>
        <w:rPr/>
        <w:t>融资产相关的股利和利息收入计入当期损益。</w:t>
      </w:r>
    </w:p>
    <w:p>
      <w:pPr>
        <w:pStyle w:val="BodyText"/>
        <w:spacing w:line="367" w:lineRule="auto" w:before="127"/>
        <w:ind w:left="532" w:right="996"/>
        <w:jc w:val="left"/>
      </w:pPr>
      <w:r>
        <w:rPr/>
        <w:t>本公司对此类金融资产根据其流动性在交易性金融资产、其他非流动金融资产项目列报。</w:t>
      </w:r>
      <w:r>
        <w:rPr>
          <w:w w:val="99"/>
        </w:rPr>
        <w:t> </w:t>
      </w:r>
      <w:r>
        <w:rPr>
          <w:rFonts w:ascii="Arial" w:hAnsi="Arial" w:cs="Arial" w:eastAsia="Arial" w:hint="default"/>
        </w:rPr>
        <w:t>5</w:t>
      </w:r>
      <w:r>
        <w:rPr/>
        <w:t>）指定为以公允价值计量且其变动计入当期损益的金融资产</w:t>
      </w:r>
      <w:r>
        <w:rPr>
          <w:w w:val="99"/>
        </w:rPr>
        <w:t> </w:t>
      </w:r>
      <w:r>
        <w:rPr>
          <w:w w:val="95"/>
        </w:rPr>
        <w:t>在初始确认时，本公司为了消除或显著减少会计错配，可以单项金融资产为基础不可撤销地将金融资</w:t>
      </w:r>
      <w:r>
        <w:rPr/>
      </w:r>
    </w:p>
    <w:p>
      <w:pPr>
        <w:pStyle w:val="BodyText"/>
        <w:spacing w:line="201" w:lineRule="exact"/>
        <w:ind w:right="996"/>
        <w:jc w:val="left"/>
      </w:pPr>
      <w:r>
        <w:rPr/>
        <w:t>产指定为以公允价值计量且其变动计入当期损益的金融资产。</w:t>
      </w:r>
    </w:p>
    <w:p>
      <w:pPr>
        <w:pStyle w:val="BodyText"/>
        <w:spacing w:line="273" w:lineRule="auto" w:before="157"/>
        <w:ind w:right="1135" w:firstLine="420"/>
        <w:jc w:val="both"/>
      </w:pPr>
      <w:r>
        <w:rPr>
          <w:w w:val="95"/>
        </w:rPr>
        <w:t>混合合同包含一项或多项嵌入衍生工具，且其主合同不属于以上金融资产的，本公司可以将其整体指</w:t>
      </w:r>
      <w:r>
        <w:rPr>
          <w:w w:val="99"/>
        </w:rPr>
        <w:t> </w:t>
      </w:r>
      <w:r>
        <w:rPr/>
        <w:t>定为以公允价值计量且其变动计入当期损益的金融工具。但下列情况除外：</w:t>
      </w:r>
    </w:p>
    <w:p>
      <w:pPr>
        <w:pStyle w:val="BodyText"/>
        <w:spacing w:line="240" w:lineRule="auto" w:before="127"/>
        <w:ind w:left="532" w:right="996"/>
        <w:jc w:val="left"/>
      </w:pPr>
      <w:r>
        <w:rPr/>
        <w:t>①嵌入衍生工具不会对混合合同的现金流量产生重大改变。</w:t>
      </w:r>
    </w:p>
    <w:p>
      <w:pPr>
        <w:pStyle w:val="BodyText"/>
        <w:spacing w:line="273" w:lineRule="auto" w:before="157"/>
        <w:ind w:right="1130" w:firstLine="420"/>
        <w:jc w:val="both"/>
      </w:pPr>
      <w:r>
        <w:rPr>
          <w:w w:val="95"/>
        </w:rPr>
        <w:t>②在初次确定类似的混合合同是否需要分拆时，几乎不需分析就能明确其包含的嵌入衍生工具不应分</w:t>
      </w:r>
      <w:r>
        <w:rPr>
          <w:w w:val="99"/>
        </w:rPr>
        <w:t> </w:t>
      </w:r>
      <w:r>
        <w:rPr>
          <w:w w:val="95"/>
        </w:rPr>
        <w:t>拆。如嵌入贷款的提前还款权，允许持有人以接近摊余成本的金额提前偿还贷款，该提前还款权不需要分   </w:t>
      </w:r>
      <w:r>
        <w:rPr>
          <w:spacing w:val="43"/>
          <w:w w:val="95"/>
        </w:rPr>
        <w:t> </w:t>
      </w:r>
      <w:r>
        <w:rPr>
          <w:spacing w:val="43"/>
          <w:w w:val="95"/>
        </w:rPr>
      </w:r>
      <w:r>
        <w:rPr/>
        <w:t>拆。</w:t>
      </w:r>
    </w:p>
    <w:p>
      <w:pPr>
        <w:pStyle w:val="BodyText"/>
        <w:spacing w:line="273" w:lineRule="auto" w:before="127"/>
        <w:ind w:right="1132" w:firstLine="420"/>
        <w:jc w:val="both"/>
      </w:pPr>
      <w:r>
        <w:rPr>
          <w:w w:val="95"/>
        </w:rPr>
        <w:t>本公司对此类金融资产采用公允价值进行后续计量，将公允价值变动形成的利得或损失以及与此类金</w:t>
      </w:r>
      <w:r>
        <w:rPr>
          <w:w w:val="99"/>
        </w:rPr>
        <w:t> </w:t>
      </w:r>
      <w:r>
        <w:rPr/>
        <w:t>融资产相关的股利和利息收入计入当期损益。</w:t>
      </w:r>
    </w:p>
    <w:p>
      <w:pPr>
        <w:pStyle w:val="BodyText"/>
        <w:spacing w:line="240" w:lineRule="auto" w:before="128"/>
        <w:ind w:left="532" w:right="996"/>
        <w:jc w:val="left"/>
      </w:pPr>
      <w:r>
        <w:rPr/>
        <w:t>本公司对此类金融资产根据其流动性在交易性金融资产、其他非流动金融资产项目列报。</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）金融负债分类和计量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本公司根据所发行金融工具的合同条款及其所反映的经济实质而非仅以法律形式，结合金融负债和权</w:t>
      </w:r>
      <w:r>
        <w:rPr>
          <w:rFonts w:ascii="宋体" w:hAnsi="宋体" w:cs="宋体" w:eastAsia="宋体" w:hint="default"/>
          <w:sz w:val="21"/>
          <w:szCs w:val="21"/>
        </w:rPr>
      </w:r>
    </w:p>
    <w:p>
      <w:pPr>
        <w:pStyle w:val="BodyText"/>
        <w:spacing w:line="209" w:lineRule="exact"/>
        <w:ind w:right="996"/>
        <w:jc w:val="left"/>
      </w:pPr>
      <w:r>
        <w:rPr/>
        <w:t>益工具的定义，在初始确认时将该金融工具或其组成部分分类为金融负债或权益工具。金融负债在初始确</w:t>
      </w:r>
    </w:p>
    <w:p>
      <w:pPr>
        <w:pStyle w:val="BodyText"/>
        <w:spacing w:line="273" w:lineRule="auto" w:before="37"/>
        <w:ind w:right="996"/>
        <w:jc w:val="left"/>
      </w:pPr>
      <w:r>
        <w:rPr>
          <w:w w:val="95"/>
        </w:rPr>
        <w:t>认时分类为：以公允价值计量且其变动计入当期损益的金融负债、其他金融负债、被指定为有效套期工具</w:t>
      </w:r>
      <w:r>
        <w:rPr>
          <w:spacing w:val="43"/>
          <w:w w:val="95"/>
        </w:rPr>
        <w:t> </w:t>
      </w:r>
      <w:r>
        <w:rPr>
          <w:spacing w:val="43"/>
          <w:w w:val="95"/>
        </w:rPr>
      </w:r>
      <w:r>
        <w:rPr/>
        <w:t>的衍生工具。</w:t>
      </w:r>
    </w:p>
    <w:p>
      <w:pPr>
        <w:pStyle w:val="BodyText"/>
        <w:spacing w:line="273" w:lineRule="auto" w:before="127"/>
        <w:ind w:right="1132" w:firstLine="420"/>
        <w:jc w:val="both"/>
      </w:pPr>
      <w:r>
        <w:rPr>
          <w:w w:val="95"/>
        </w:rPr>
        <w:t>金融负债在初始确认时以公允价值计量。对于以公允价值计量且其变动计入当期损益的金融负债，相</w:t>
      </w:r>
      <w:r>
        <w:rPr>
          <w:w w:val="99"/>
        </w:rPr>
        <w:t> </w:t>
      </w:r>
      <w:r>
        <w:rPr/>
        <w:t>关的交易费用直接计入当期损益；对于其他类别的金融负债，相关交易费用计入初始确认金额。</w:t>
      </w:r>
    </w:p>
    <w:p>
      <w:pPr>
        <w:pStyle w:val="BodyText"/>
        <w:spacing w:line="240" w:lineRule="auto" w:before="127"/>
        <w:ind w:left="532" w:right="996"/>
        <w:jc w:val="left"/>
      </w:pPr>
      <w:r>
        <w:rPr/>
        <w:t>金融负债的后续计量取决于其分类：</w:t>
      </w:r>
    </w:p>
    <w:p>
      <w:pPr>
        <w:pStyle w:val="BodyText"/>
        <w:spacing w:line="357" w:lineRule="auto" w:before="157"/>
        <w:ind w:left="532" w:right="996"/>
        <w:jc w:val="left"/>
      </w:pPr>
      <w:r>
        <w:rPr>
          <w:rFonts w:ascii="Arial" w:hAnsi="Arial" w:cs="Arial" w:eastAsia="Arial" w:hint="default"/>
        </w:rPr>
        <w:t>1</w:t>
      </w:r>
      <w:r>
        <w:rPr/>
        <w:t>）以公允价值计量且其变动计入当期损益的金融负债</w:t>
      </w:r>
      <w:r>
        <w:rPr>
          <w:w w:val="99"/>
        </w:rPr>
        <w:t> </w:t>
      </w:r>
      <w:r>
        <w:rPr>
          <w:w w:val="95"/>
        </w:rPr>
        <w:t>此类金融负债包括交易性金融负债（含属于金融负债的衍生工具）和初始确认时指定为以公允价值计</w:t>
      </w:r>
      <w:r>
        <w:rPr/>
      </w:r>
    </w:p>
    <w:p>
      <w:pPr>
        <w:pStyle w:val="BodyText"/>
        <w:spacing w:line="209" w:lineRule="exact"/>
        <w:ind w:right="996"/>
        <w:jc w:val="left"/>
      </w:pPr>
      <w:r>
        <w:rPr/>
        <w:t>量且其变动计入当期损益的金融负债。</w:t>
      </w:r>
    </w:p>
    <w:p>
      <w:pPr>
        <w:pStyle w:val="BodyText"/>
        <w:spacing w:line="273" w:lineRule="auto" w:before="157"/>
        <w:ind w:right="1112" w:firstLine="420"/>
        <w:jc w:val="both"/>
      </w:pPr>
      <w:r>
        <w:rPr>
          <w:w w:val="95"/>
        </w:rPr>
        <w:t>满足下列条件之一的，属于交易性金融负债：承担相关金融负债的目的主要是为了在近期内出售或回</w:t>
      </w:r>
      <w:r>
        <w:rPr>
          <w:w w:val="99"/>
        </w:rPr>
        <w:t> </w:t>
      </w:r>
      <w:r>
        <w:rPr>
          <w:w w:val="95"/>
        </w:rPr>
        <w:t>购；属于集中管理的可辨认金融工具组合的一部分，且有客观证据表明企业近期采用短期获利方式模式；</w:t>
      </w:r>
      <w:r>
        <w:rPr>
          <w:spacing w:val="61"/>
          <w:w w:val="95"/>
        </w:rPr>
        <w:t> </w:t>
      </w:r>
      <w:r>
        <w:rPr>
          <w:spacing w:val="61"/>
          <w:w w:val="95"/>
        </w:rPr>
      </w:r>
      <w:r>
        <w:rPr>
          <w:w w:val="95"/>
        </w:rPr>
        <w:t>属于衍生工具，但是，被指定且为有效套期工具的衍生工具、符合财务担保合同的衍生工具除外。交易性</w:t>
      </w:r>
      <w:r>
        <w:rPr>
          <w:spacing w:val="41"/>
          <w:w w:val="95"/>
        </w:rPr>
        <w:t> </w:t>
      </w:r>
      <w:r>
        <w:rPr>
          <w:spacing w:val="41"/>
          <w:w w:val="95"/>
        </w:rPr>
      </w:r>
      <w:r>
        <w:rPr>
          <w:w w:val="95"/>
        </w:rPr>
        <w:t>金融负债（含属于金融负债的衍生工具），按照公允价值进行后续计量，除与套期会计有关外，所有公允</w:t>
      </w:r>
      <w:r>
        <w:rPr>
          <w:spacing w:val="43"/>
          <w:w w:val="95"/>
        </w:rPr>
        <w:t> </w:t>
      </w:r>
      <w:r>
        <w:rPr>
          <w:spacing w:val="43"/>
          <w:w w:val="95"/>
        </w:rPr>
      </w:r>
      <w:r>
        <w:rPr/>
        <w:t>价值变动均计入当期损益。</w:t>
      </w:r>
    </w:p>
    <w:p>
      <w:pPr>
        <w:pStyle w:val="BodyText"/>
        <w:spacing w:line="273" w:lineRule="auto" w:before="127"/>
        <w:ind w:right="1135" w:firstLine="420"/>
        <w:jc w:val="both"/>
      </w:pPr>
      <w:r>
        <w:rPr>
          <w:w w:val="95"/>
        </w:rPr>
        <w:t>在初始确认时，为了提供更相关的会计信息，本公司将满足下列条件之一的金融负债不可撤销地指定</w:t>
      </w:r>
      <w:r>
        <w:rPr>
          <w:w w:val="99"/>
        </w:rPr>
        <w:t> </w:t>
      </w:r>
      <w:r>
        <w:rPr/>
        <w:t>为以公允价值计量且其变动计入当期损益的金融负债：</w:t>
      </w:r>
    </w:p>
    <w:p>
      <w:pPr>
        <w:pStyle w:val="BodyText"/>
        <w:spacing w:line="240" w:lineRule="auto" w:before="127"/>
        <w:ind w:left="532" w:right="996"/>
        <w:jc w:val="left"/>
      </w:pPr>
      <w:r>
        <w:rPr/>
        <w:t>①能够消除或显著减少会计错配。</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5" w:firstLine="420"/>
        <w:jc w:val="both"/>
      </w:pPr>
      <w:r>
        <w:rPr>
          <w:w w:val="95"/>
        </w:rPr>
        <w:t>②根据正式书面文件载明的企业风险管理或投资策略，以公允价值为基础对金融负债组合或金融资产</w:t>
      </w:r>
      <w:r>
        <w:rPr>
          <w:w w:val="99"/>
        </w:rPr>
        <w:t> </w:t>
      </w:r>
      <w:r>
        <w:rPr/>
        <w:t>和金融负债组合进行管理和业绩评价，并在企业内部以此为基础向关键管理人员报告。</w:t>
      </w:r>
    </w:p>
    <w:p>
      <w:pPr>
        <w:pStyle w:val="BodyText"/>
        <w:spacing w:line="273" w:lineRule="auto" w:before="127"/>
        <w:ind w:right="1132" w:firstLine="420"/>
        <w:jc w:val="both"/>
      </w:pPr>
      <w:r>
        <w:rPr>
          <w:w w:val="95"/>
        </w:rPr>
        <w:t>本公司对此类金融负债采用公允价值进行后续计量，除由本公司自身信用风险变动引起的公允价值变</w:t>
      </w:r>
      <w:r>
        <w:rPr>
          <w:w w:val="99"/>
        </w:rPr>
        <w:t> </w:t>
      </w:r>
      <w:r>
        <w:rPr>
          <w:w w:val="95"/>
        </w:rPr>
        <w:t>动计入其他综合收益之外，其他公允价值变动计入当期损益。除非由本公司自身信用风险变动引起的公允</w:t>
      </w:r>
      <w:r>
        <w:rPr>
          <w:spacing w:val="40"/>
          <w:w w:val="95"/>
        </w:rPr>
        <w:t> </w:t>
      </w:r>
      <w:r>
        <w:rPr>
          <w:spacing w:val="40"/>
          <w:w w:val="95"/>
        </w:rPr>
      </w:r>
      <w:r>
        <w:rPr>
          <w:w w:val="95"/>
        </w:rPr>
        <w:t>价值变动计入其他综合收益会造成或扩大损益中的会计错配，本公司将所有公允价值变动（包括自身信用</w:t>
      </w:r>
      <w:r>
        <w:rPr>
          <w:spacing w:val="36"/>
          <w:w w:val="95"/>
        </w:rPr>
        <w:t> </w:t>
      </w:r>
      <w:r>
        <w:rPr>
          <w:spacing w:val="36"/>
          <w:w w:val="95"/>
        </w:rPr>
      </w:r>
      <w:r>
        <w:rPr/>
        <w:t>风险变动的影响金额）计入当期损益。</w:t>
      </w:r>
    </w:p>
    <w:p>
      <w:pPr>
        <w:pStyle w:val="BodyText"/>
        <w:spacing w:line="357" w:lineRule="auto" w:before="127"/>
        <w:ind w:left="532" w:right="1019"/>
        <w:jc w:val="left"/>
      </w:pPr>
      <w:r>
        <w:rPr>
          <w:rFonts w:ascii="Arial" w:hAnsi="Arial" w:cs="Arial" w:eastAsia="Arial" w:hint="default"/>
        </w:rPr>
        <w:t>2</w:t>
      </w:r>
      <w:r>
        <w:rPr/>
        <w:t>）其他金融负债</w:t>
      </w:r>
      <w:r>
        <w:rPr>
          <w:w w:val="99"/>
        </w:rPr>
        <w:t> </w:t>
      </w:r>
      <w:r>
        <w:rPr>
          <w:spacing w:val="-3"/>
        </w:rPr>
        <w:t>除下列各项外，公司将金融负债分类为以摊余成本计量的金融负债，对此类金融负债采用实际利率法，</w:t>
      </w:r>
    </w:p>
    <w:p>
      <w:pPr>
        <w:pStyle w:val="BodyText"/>
        <w:spacing w:line="209" w:lineRule="exact"/>
        <w:ind w:right="996"/>
        <w:jc w:val="left"/>
      </w:pPr>
      <w:r>
        <w:rPr/>
        <w:t>按照摊余成本进行后续计量，终止确认或摊销产生的利得或损失计入当期损益：</w:t>
      </w:r>
    </w:p>
    <w:p>
      <w:pPr>
        <w:pStyle w:val="BodyText"/>
        <w:spacing w:line="240" w:lineRule="auto" w:before="157"/>
        <w:ind w:left="532" w:right="996"/>
        <w:jc w:val="left"/>
      </w:pPr>
      <w:r>
        <w:rPr/>
        <w:t>①以公允价值计量且其变动计入当期损益的金融负债。</w:t>
      </w:r>
    </w:p>
    <w:p>
      <w:pPr>
        <w:pStyle w:val="BodyText"/>
        <w:spacing w:line="240" w:lineRule="auto" w:before="157"/>
        <w:ind w:left="532" w:right="996"/>
        <w:jc w:val="left"/>
      </w:pPr>
      <w:r>
        <w:rPr/>
        <w:t>②金融资产转移不符合终止确认条件或继续涉入被转移金融资产所形成的金融负债。</w:t>
      </w:r>
    </w:p>
    <w:p>
      <w:pPr>
        <w:pStyle w:val="BodyText"/>
        <w:spacing w:line="259" w:lineRule="auto" w:before="157"/>
        <w:ind w:right="1132" w:firstLine="420"/>
        <w:jc w:val="both"/>
      </w:pPr>
      <w:r>
        <w:rPr>
          <w:spacing w:val="2"/>
          <w:w w:val="95"/>
        </w:rPr>
        <w:t>③不属于本条前两类情形的财务担保合同，以及不属于本条第</w:t>
      </w:r>
      <w:r>
        <w:rPr>
          <w:rFonts w:ascii="Arial" w:hAnsi="Arial" w:cs="Arial" w:eastAsia="Arial" w:hint="default"/>
          <w:spacing w:val="2"/>
          <w:w w:val="95"/>
        </w:rPr>
        <w:t>1</w:t>
      </w:r>
      <w:r>
        <w:rPr>
          <w:spacing w:val="2"/>
          <w:w w:val="95"/>
        </w:rPr>
        <w:t>）类情形的以低于市场利率贷款的贷</w:t>
      </w:r>
      <w:r>
        <w:rPr>
          <w:spacing w:val="-92"/>
          <w:w w:val="95"/>
        </w:rPr>
        <w:t> </w:t>
      </w:r>
      <w:r>
        <w:rPr>
          <w:spacing w:val="-92"/>
          <w:w w:val="95"/>
        </w:rPr>
      </w:r>
      <w:r>
        <w:rPr/>
        <w:t>款承诺。</w:t>
      </w:r>
    </w:p>
    <w:p>
      <w:pPr>
        <w:pStyle w:val="BodyText"/>
        <w:spacing w:line="273" w:lineRule="auto" w:before="140"/>
        <w:ind w:right="1132" w:firstLine="420"/>
        <w:jc w:val="both"/>
      </w:pPr>
      <w:r>
        <w:rPr>
          <w:w w:val="95"/>
        </w:rPr>
        <w:t>财务担保合同是指当特定债务人到期不能按照最初或修改后的债务工具条款偿付债务时，要求发行方</w:t>
      </w:r>
      <w:r>
        <w:rPr>
          <w:w w:val="99"/>
        </w:rPr>
        <w:t> </w:t>
      </w:r>
      <w:r>
        <w:rPr>
          <w:w w:val="95"/>
        </w:rPr>
        <w:t>向蒙受损失的合同持有人赔付特定金额的合同。不属于指定为以公允价值计量且其变动计入当期损益的金</w:t>
      </w:r>
      <w:r>
        <w:rPr>
          <w:spacing w:val="39"/>
          <w:w w:val="95"/>
        </w:rPr>
        <w:t> </w:t>
      </w:r>
      <w:r>
        <w:rPr>
          <w:spacing w:val="39"/>
          <w:w w:val="95"/>
        </w:rPr>
      </w:r>
      <w:r>
        <w:rPr>
          <w:w w:val="95"/>
        </w:rPr>
        <w:t>融负债的财务担保合同，在初始确认后按照损失准备金额以及初始确认金额扣除担保期内的累计摊销额后</w:t>
      </w:r>
      <w:r>
        <w:rPr>
          <w:spacing w:val="39"/>
          <w:w w:val="95"/>
        </w:rPr>
        <w:t> </w:t>
      </w:r>
      <w:r>
        <w:rPr>
          <w:spacing w:val="39"/>
          <w:w w:val="95"/>
        </w:rPr>
      </w:r>
      <w:r>
        <w:rPr/>
        <w:t>的余额孰高进行计量。</w:t>
      </w:r>
    </w:p>
    <w:p>
      <w:pPr>
        <w:pStyle w:val="Heading4"/>
        <w:spacing w:line="240" w:lineRule="auto" w:before="128"/>
        <w:ind w:right="996"/>
        <w:jc w:val="left"/>
        <w:rPr>
          <w:b w:val="0"/>
          <w:bCs w:val="0"/>
        </w:rPr>
      </w:pPr>
      <w:r>
        <w:rPr/>
        <w:t>（</w:t>
      </w:r>
      <w:r>
        <w:rPr>
          <w:rFonts w:ascii="Arial" w:hAnsi="Arial" w:cs="Arial" w:eastAsia="Arial" w:hint="default"/>
        </w:rPr>
        <w:t>3</w:t>
      </w:r>
      <w:r>
        <w:rPr/>
        <w:t>）金融资产和金融负债的终止确认</w:t>
      </w:r>
      <w:r>
        <w:rPr>
          <w:b w:val="0"/>
          <w:bCs w:val="0"/>
        </w:rPr>
      </w:r>
    </w:p>
    <w:p>
      <w:pPr>
        <w:pStyle w:val="BodyText"/>
        <w:spacing w:line="240" w:lineRule="auto" w:before="142"/>
        <w:ind w:left="532" w:right="996"/>
        <w:jc w:val="left"/>
      </w:pPr>
      <w:r>
        <w:rPr>
          <w:rFonts w:ascii="Arial" w:hAnsi="Arial" w:cs="Arial" w:eastAsia="Arial" w:hint="default"/>
        </w:rPr>
        <w:t>1</w:t>
      </w:r>
      <w:r>
        <w:rPr/>
        <w:t>）金融资产满足下列条件之一的，终止确认金融资产，即从其账户和资产负债表内予以转销：</w:t>
      </w:r>
    </w:p>
    <w:p>
      <w:pPr>
        <w:pStyle w:val="BodyText"/>
        <w:spacing w:line="240" w:lineRule="auto" w:before="142"/>
        <w:ind w:left="532" w:right="996"/>
        <w:jc w:val="left"/>
      </w:pPr>
      <w:r>
        <w:rPr/>
        <w:t>①收取该金融资产现金流量的合同权利终止。</w:t>
      </w:r>
    </w:p>
    <w:p>
      <w:pPr>
        <w:pStyle w:val="BodyText"/>
        <w:spacing w:line="240" w:lineRule="auto" w:before="157"/>
        <w:ind w:left="532" w:right="996"/>
        <w:jc w:val="left"/>
      </w:pPr>
      <w:r>
        <w:rPr/>
        <w:t>②该金融资产已转移，且该转移满足金融资产终止确认的规定。</w:t>
      </w:r>
    </w:p>
    <w:p>
      <w:pPr>
        <w:pStyle w:val="BodyText"/>
        <w:spacing w:line="367" w:lineRule="auto" w:before="157"/>
        <w:ind w:left="532" w:right="996"/>
        <w:jc w:val="left"/>
      </w:pPr>
      <w:r>
        <w:rPr>
          <w:rFonts w:ascii="Arial" w:hAnsi="Arial" w:cs="Arial" w:eastAsia="Arial" w:hint="default"/>
        </w:rPr>
        <w:t>2</w:t>
      </w:r>
      <w:r>
        <w:rPr/>
        <w:t>）金融负债终止确认条件</w:t>
      </w:r>
      <w:r>
        <w:rPr>
          <w:w w:val="99"/>
        </w:rPr>
        <w:t> </w:t>
      </w:r>
      <w:r>
        <w:rPr/>
        <w:t>金融负债（或其一部分）的现时义务已经解除的，则终止确认该金融负债（或该部分金融负债）。</w:t>
      </w:r>
      <w:r>
        <w:rPr>
          <w:w w:val="99"/>
        </w:rPr>
        <w:t> </w:t>
      </w:r>
      <w:r>
        <w:rPr>
          <w:w w:val="95"/>
        </w:rPr>
        <w:t>本公司与借出方之间签订协议，以承担新金融负债方式替换原金融负债，且新金融负债与原金融负债</w:t>
      </w:r>
      <w:r>
        <w:rPr/>
      </w:r>
    </w:p>
    <w:p>
      <w:pPr>
        <w:pStyle w:val="BodyText"/>
        <w:spacing w:line="201" w:lineRule="exact"/>
        <w:ind w:right="996"/>
        <w:jc w:val="left"/>
      </w:pPr>
      <w:r>
        <w:rPr/>
        <w:t>的合同条款实质上不同的，或对原金融负债（或其一部分）的合同条款做出实质性修改的，则终止确认原</w:t>
      </w:r>
    </w:p>
    <w:p>
      <w:pPr>
        <w:pStyle w:val="BodyText"/>
        <w:spacing w:line="273" w:lineRule="auto" w:before="37"/>
        <w:ind w:right="996"/>
        <w:jc w:val="left"/>
      </w:pPr>
      <w:r>
        <w:rPr>
          <w:w w:val="95"/>
        </w:rPr>
        <w:t>金融负债，同时确认一项新金融负债，账面价值与支付的对价（包括转出的非现金资产或承担的负债）之</w:t>
      </w:r>
      <w:r>
        <w:rPr>
          <w:spacing w:val="43"/>
          <w:w w:val="95"/>
        </w:rPr>
        <w:t> </w:t>
      </w:r>
      <w:r>
        <w:rPr>
          <w:spacing w:val="43"/>
          <w:w w:val="95"/>
        </w:rPr>
      </w:r>
      <w:r>
        <w:rPr/>
        <w:t>间的差额，计入当期损益。</w:t>
      </w:r>
    </w:p>
    <w:p>
      <w:pPr>
        <w:pStyle w:val="BodyText"/>
        <w:spacing w:line="273" w:lineRule="auto" w:before="127"/>
        <w:ind w:right="1130" w:firstLine="420"/>
        <w:jc w:val="both"/>
      </w:pPr>
      <w:r>
        <w:rPr>
          <w:w w:val="95"/>
        </w:rPr>
        <w:t>本公司回购金融负债一部分的，按照继续确认部分和终止确认部分在回购日各自的公允价值占整体公</w:t>
      </w:r>
      <w:r>
        <w:rPr>
          <w:w w:val="99"/>
        </w:rPr>
        <w:t> </w:t>
      </w:r>
      <w:r>
        <w:rPr>
          <w:spacing w:val="-5"/>
        </w:rPr>
        <w:t>允价值的比例，对该金融负债整体的账面价值进行分配。分配给终止确认部分的账面价值与支付的对价（包</w:t>
      </w:r>
      <w:r>
        <w:rPr>
          <w:w w:val="99"/>
        </w:rPr>
        <w:t> </w:t>
      </w:r>
      <w:r>
        <w:rPr/>
        <w:t>括转出的非现金资产或承担的负债）之间的差额，应当计入当期损益。</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本公司在发生金融资产转移时，评估其保留金融资产所有权上的风险和报酬的程度，并分别下列情形</w:t>
      </w:r>
      <w:r>
        <w:rPr>
          <w:rFonts w:ascii="宋体" w:hAnsi="宋体" w:cs="宋体" w:eastAsia="宋体" w:hint="default"/>
          <w:sz w:val="21"/>
          <w:szCs w:val="21"/>
        </w:rPr>
      </w:r>
    </w:p>
    <w:p>
      <w:pPr>
        <w:pStyle w:val="BodyText"/>
        <w:spacing w:line="209" w:lineRule="exact"/>
        <w:ind w:right="996"/>
        <w:jc w:val="left"/>
      </w:pPr>
      <w:r>
        <w:rPr/>
        <w:t>处理：</w:t>
      </w:r>
    </w:p>
    <w:p>
      <w:pPr>
        <w:pStyle w:val="BodyText"/>
        <w:spacing w:line="259" w:lineRule="auto" w:before="157"/>
        <w:ind w:right="1130" w:firstLine="420"/>
        <w:jc w:val="both"/>
      </w:pPr>
      <w:r>
        <w:rPr>
          <w:rFonts w:ascii="Arial" w:hAnsi="Arial" w:cs="Arial" w:eastAsia="Arial" w:hint="default"/>
        </w:rPr>
        <w:t>1</w:t>
      </w:r>
      <w:r>
        <w:rPr/>
        <w:t>）</w:t>
      </w:r>
      <w:r>
        <w:rPr>
          <w:spacing w:val="-43"/>
        </w:rPr>
        <w:t> </w:t>
      </w:r>
      <w:r>
        <w:rPr/>
        <w:t>转移了金融资产所有权上几乎所有风险和报酬的，则终止确认该金融资产，并将转移中产生或保</w:t>
      </w:r>
      <w:r>
        <w:rPr>
          <w:w w:val="99"/>
        </w:rPr>
        <w:t> </w:t>
      </w:r>
      <w:r>
        <w:rPr/>
        <w:t>留的权利和义务单独确认为资产或负债。</w:t>
      </w:r>
    </w:p>
    <w:p>
      <w:pPr>
        <w:pStyle w:val="BodyText"/>
        <w:spacing w:line="240" w:lineRule="auto" w:before="140"/>
        <w:ind w:left="532" w:right="996"/>
        <w:jc w:val="left"/>
      </w:pPr>
      <w:r>
        <w:rPr>
          <w:rFonts w:ascii="Arial" w:hAnsi="Arial" w:cs="Arial" w:eastAsia="Arial" w:hint="default"/>
        </w:rPr>
        <w:t>2</w:t>
      </w:r>
      <w:r>
        <w:rPr/>
        <w:t>）保留了金融资产所有权上几乎所有风险和报酬的，则继续确认该金融资产。</w:t>
      </w:r>
    </w:p>
    <w:p>
      <w:pPr>
        <w:pStyle w:val="BodyText"/>
        <w:spacing w:line="240" w:lineRule="auto" w:before="142"/>
        <w:ind w:left="532" w:right="996"/>
        <w:jc w:val="left"/>
      </w:pPr>
      <w:r>
        <w:rPr>
          <w:rFonts w:ascii="Arial" w:hAnsi="Arial" w:cs="Arial" w:eastAsia="Arial" w:hint="default"/>
        </w:rPr>
        <w:t>3</w:t>
      </w:r>
      <w:r>
        <w:rPr/>
        <w:t>）既没有转移也没有保留金融资产所有权上几乎所有风险和报酬的（即除本条（</w:t>
      </w:r>
      <w:r>
        <w:rPr>
          <w:rFonts w:ascii="Arial" w:hAnsi="Arial" w:cs="Arial" w:eastAsia="Arial" w:hint="default"/>
        </w:rPr>
        <w:t>1</w:t>
      </w:r>
      <w:r>
        <w:rPr/>
        <w:t>）、（</w:t>
      </w:r>
      <w:r>
        <w:rPr>
          <w:rFonts w:ascii="Arial" w:hAnsi="Arial" w:cs="Arial" w:eastAsia="Arial" w:hint="default"/>
        </w:rPr>
        <w:t>2</w:t>
      </w:r>
      <w:r>
        <w:rPr/>
        <w:t>）之外的</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其他情形），则根据其是否保留了对金融资产的控制，分别下列情形处理：</w:t>
      </w:r>
    </w:p>
    <w:p>
      <w:pPr>
        <w:pStyle w:val="BodyText"/>
        <w:spacing w:line="273" w:lineRule="auto" w:before="157"/>
        <w:ind w:right="1132" w:firstLine="420"/>
        <w:jc w:val="both"/>
      </w:pPr>
      <w:r>
        <w:rPr>
          <w:w w:val="95"/>
        </w:rPr>
        <w:t>①未保留对该金融资产控制的，则终止确认该金融资产，并将转移中产生或保留的权利和义务单独确</w:t>
      </w:r>
      <w:r>
        <w:rPr>
          <w:w w:val="99"/>
        </w:rPr>
        <w:t> </w:t>
      </w:r>
      <w:r>
        <w:rPr/>
        <w:t>认为资产或负债。</w:t>
      </w:r>
    </w:p>
    <w:p>
      <w:pPr>
        <w:pStyle w:val="BodyText"/>
        <w:spacing w:line="273" w:lineRule="auto" w:before="127"/>
        <w:ind w:right="1132" w:firstLine="420"/>
        <w:jc w:val="both"/>
      </w:pPr>
      <w:r>
        <w:rPr>
          <w:w w:val="95"/>
        </w:rPr>
        <w:t>②保留了对该金融资产控制的，则按照其继续涉入被转移金融资产的程度继续确认有关金融资产，并</w:t>
      </w:r>
      <w:r>
        <w:rPr>
          <w:w w:val="99"/>
        </w:rPr>
        <w:t> </w:t>
      </w:r>
      <w:r>
        <w:rPr>
          <w:w w:val="95"/>
        </w:rPr>
        <w:t>相应确认相关负债。继续涉入被转移金融资产的程度，是指本公司承担的被转移金融资产价值变动风险或</w:t>
      </w:r>
      <w:r>
        <w:rPr>
          <w:spacing w:val="37"/>
          <w:w w:val="95"/>
        </w:rPr>
        <w:t> </w:t>
      </w:r>
      <w:r>
        <w:rPr>
          <w:spacing w:val="37"/>
          <w:w w:val="95"/>
        </w:rPr>
      </w:r>
      <w:r>
        <w:rPr/>
        <w:t>报酬的程度。</w:t>
      </w:r>
    </w:p>
    <w:p>
      <w:pPr>
        <w:pStyle w:val="BodyText"/>
        <w:spacing w:line="273" w:lineRule="auto" w:before="127"/>
        <w:ind w:right="1132" w:firstLine="420"/>
        <w:jc w:val="both"/>
      </w:pPr>
      <w:r>
        <w:rPr>
          <w:w w:val="95"/>
        </w:rPr>
        <w:t>在判断金融资产转移是否满足上述金融资产终止确认条件时，采用实质重于形式的原则。公司将金融</w:t>
      </w:r>
      <w:r>
        <w:rPr>
          <w:w w:val="99"/>
        </w:rPr>
        <w:t> </w:t>
      </w:r>
      <w:r>
        <w:rPr/>
        <w:t>资产转移区分为金融资产整体转移和部分转移。</w:t>
      </w:r>
    </w:p>
    <w:p>
      <w:pPr>
        <w:pStyle w:val="BodyText"/>
        <w:spacing w:line="240" w:lineRule="auto" w:before="127"/>
        <w:ind w:left="470" w:right="996"/>
        <w:jc w:val="left"/>
      </w:pPr>
      <w:r>
        <w:rPr>
          <w:rFonts w:ascii="Arial" w:hAnsi="Arial" w:cs="Arial" w:eastAsia="Arial" w:hint="default"/>
        </w:rPr>
        <w:t>1</w:t>
      </w:r>
      <w:r>
        <w:rPr/>
        <w:t>）金融资产整体转移满足终止确认条件的，将下列两项金额的差额计入当期损益：</w:t>
      </w:r>
    </w:p>
    <w:p>
      <w:pPr>
        <w:pStyle w:val="BodyText"/>
        <w:spacing w:line="240" w:lineRule="auto" w:before="142"/>
        <w:ind w:left="532" w:right="996"/>
        <w:jc w:val="left"/>
      </w:pPr>
      <w:r>
        <w:rPr/>
        <w:t>①被转移金融资产在终止确认日的账面价值。</w:t>
      </w:r>
    </w:p>
    <w:p>
      <w:pPr>
        <w:pStyle w:val="BodyText"/>
        <w:spacing w:line="273" w:lineRule="auto" w:before="157"/>
        <w:ind w:right="1135" w:firstLine="420"/>
        <w:jc w:val="both"/>
      </w:pPr>
      <w:r>
        <w:rPr/>
        <w:t>②</w:t>
      </w:r>
      <w:r>
        <w:rPr>
          <w:spacing w:val="-14"/>
        </w:rPr>
        <w:t> </w:t>
      </w:r>
      <w:r>
        <w:rPr>
          <w:spacing w:val="2"/>
        </w:rPr>
        <w:t>因转移金融资产而收到的对价，与原直接计入其他综合收益的公允价值变动累计额中对应终止确</w:t>
      </w:r>
      <w:r>
        <w:rPr>
          <w:w w:val="99"/>
        </w:rPr>
        <w:t> </w:t>
      </w:r>
      <w:r>
        <w:rPr/>
        <w:t>认部分的金额（涉及转移的金融资产为以公允价值计量且其变动计入其他综合收益的金融资产）之和。</w:t>
      </w:r>
    </w:p>
    <w:p>
      <w:pPr>
        <w:pStyle w:val="BodyText"/>
        <w:spacing w:line="266" w:lineRule="auto" w:before="128"/>
        <w:ind w:left="470" w:right="996"/>
        <w:jc w:val="left"/>
      </w:pPr>
      <w:r>
        <w:rPr>
          <w:rFonts w:ascii="Arial" w:hAnsi="Arial" w:cs="Arial" w:eastAsia="Arial" w:hint="default"/>
          <w:w w:val="95"/>
        </w:rPr>
        <w:t>2</w:t>
      </w:r>
      <w:r>
        <w:rPr>
          <w:w w:val="95"/>
        </w:rPr>
        <w:t>）金融资产部分转移且该被转移部分整体满足终止确认条件的，将转移前金融资产整体的账面价值，</w:t>
      </w:r>
      <w:r>
        <w:rPr>
          <w:spacing w:val="46"/>
          <w:w w:val="95"/>
        </w:rPr>
        <w:t> </w:t>
      </w:r>
      <w:r>
        <w:rPr>
          <w:spacing w:val="46"/>
          <w:w w:val="95"/>
        </w:rPr>
      </w:r>
      <w:r>
        <w:rPr/>
        <w:t>在终止确认部分和继续确认部分（在此种情形下，所保留的服务资产应当视同继续确认金融资产的一</w:t>
      </w:r>
      <w:r>
        <w:rPr>
          <w:spacing w:val="-76"/>
        </w:rPr>
        <w:t> </w:t>
      </w:r>
      <w:r>
        <w:rPr>
          <w:spacing w:val="-76"/>
        </w:rPr>
      </w:r>
      <w:r>
        <w:rPr/>
        <w:t>部分）之间，按照转移日各自的相对公允价值进行分摊，并将下列两项金额的差额计入当期损益：</w:t>
      </w:r>
    </w:p>
    <w:p>
      <w:pPr>
        <w:pStyle w:val="BodyText"/>
        <w:spacing w:line="240" w:lineRule="auto" w:before="134"/>
        <w:ind w:left="532" w:right="996"/>
        <w:jc w:val="left"/>
      </w:pPr>
      <w:r>
        <w:rPr/>
        <w:t>①终止确认部分在终止确认日的账面价值。</w:t>
      </w:r>
    </w:p>
    <w:p>
      <w:pPr>
        <w:pStyle w:val="BodyText"/>
        <w:spacing w:line="273" w:lineRule="auto" w:before="157"/>
        <w:ind w:right="1132" w:firstLine="420"/>
        <w:jc w:val="both"/>
      </w:pPr>
      <w:r>
        <w:rPr>
          <w:w w:val="95"/>
        </w:rPr>
        <w:t>②终止确认部分收到的对价，与原计入其他综合收益的公允价值变动累计额中对应终止确认部分的金</w:t>
      </w:r>
      <w:r>
        <w:rPr>
          <w:w w:val="99"/>
        </w:rPr>
        <w:t> </w:t>
      </w:r>
      <w:r>
        <w:rPr/>
        <w:t>额（涉及转移的金融资产为以公允价值计量且其变动计入其他综合收益的金融资产）之和。</w:t>
      </w:r>
    </w:p>
    <w:p>
      <w:pPr>
        <w:pStyle w:val="BodyText"/>
        <w:spacing w:line="240" w:lineRule="auto" w:before="127"/>
        <w:ind w:left="532" w:right="996"/>
        <w:jc w:val="left"/>
      </w:pPr>
      <w:r>
        <w:rPr/>
        <w:t>金融资产转移不满足终止确认条件的，继续确认该金融资产，所收到的对价确认为一项金融负债。</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存在活跃市场的金融资产或金融负债，以活跃市场的报价确定其公允价值，除非该项金融资产存在针</w:t>
      </w:r>
      <w:r>
        <w:rPr>
          <w:rFonts w:ascii="宋体" w:hAnsi="宋体" w:cs="宋体" w:eastAsia="宋体" w:hint="default"/>
          <w:sz w:val="21"/>
          <w:szCs w:val="21"/>
        </w:rPr>
      </w:r>
    </w:p>
    <w:p>
      <w:pPr>
        <w:pStyle w:val="BodyText"/>
        <w:spacing w:line="209" w:lineRule="exact"/>
        <w:ind w:right="996"/>
        <w:jc w:val="left"/>
      </w:pPr>
      <w:r>
        <w:rPr/>
        <w:t>对资产本身的限售期。对于针对资产本身的限售的金融资产，按照活跃市场的报价扣除市场参与者因承担</w:t>
      </w:r>
    </w:p>
    <w:p>
      <w:pPr>
        <w:pStyle w:val="BodyText"/>
        <w:spacing w:line="273" w:lineRule="auto" w:before="37"/>
        <w:ind w:right="1025"/>
        <w:jc w:val="left"/>
      </w:pPr>
      <w:r>
        <w:rPr/>
        <w:t>指定期间内无法在公开市场上出售该金融资产的风险而要求获得的补偿金额后确定。活跃市场的报价包括</w:t>
      </w:r>
      <w:r>
        <w:rPr>
          <w:w w:val="99"/>
        </w:rPr>
        <w:t> </w:t>
      </w:r>
      <w:r>
        <w:rPr>
          <w:spacing w:val="-3"/>
        </w:rPr>
        <w:t>易于且可定期从交易所、交易商、经纪人、行业集团、定价机构或监管机构等获得相关资产或负债的报价，</w:t>
      </w:r>
      <w:r>
        <w:rPr>
          <w:w w:val="99"/>
        </w:rPr>
        <w:t> </w:t>
      </w:r>
      <w:r>
        <w:rPr/>
        <w:t>且能代表在公平交易基础上实际并经常发生的市场交易。</w:t>
      </w:r>
    </w:p>
    <w:p>
      <w:pPr>
        <w:pStyle w:val="BodyText"/>
        <w:spacing w:line="432" w:lineRule="exact" w:before="27"/>
        <w:ind w:left="532" w:right="996"/>
        <w:jc w:val="left"/>
      </w:pP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55" w:lineRule="exact"/>
        <w:ind w:right="996"/>
        <w:jc w:val="left"/>
      </w:pPr>
      <w:r>
        <w:rPr/>
        <w:t>前情况下适用并且有足够可利用数据和其他信息支持的估值技术，选择与市场参与者在相关资产或负债的</w:t>
      </w:r>
    </w:p>
    <w:p>
      <w:pPr>
        <w:pStyle w:val="BodyText"/>
        <w:spacing w:line="273" w:lineRule="auto" w:before="37"/>
        <w:ind w:right="996"/>
        <w:jc w:val="left"/>
      </w:pP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pStyle w:val="BodyText"/>
        <w:spacing w:line="357" w:lineRule="auto" w:before="127"/>
        <w:ind w:left="532" w:right="996" w:hanging="420"/>
        <w:jc w:val="left"/>
      </w:pPr>
      <w:r>
        <w:rPr>
          <w:rFonts w:ascii="宋体" w:hAnsi="宋体" w:cs="宋体" w:eastAsia="宋体" w:hint="default"/>
          <w:b/>
          <w:bCs/>
        </w:rPr>
        <w:t>（</w:t>
      </w:r>
      <w:r>
        <w:rPr>
          <w:rFonts w:ascii="Arial" w:hAnsi="Arial" w:cs="Arial" w:eastAsia="Arial" w:hint="default"/>
          <w:b/>
          <w:bCs/>
        </w:rPr>
        <w:t>6</w:t>
      </w:r>
      <w:r>
        <w:rPr>
          <w:rFonts w:ascii="宋体" w:hAnsi="宋体" w:cs="宋体" w:eastAsia="宋体" w:hint="default"/>
          <w:b/>
          <w:bCs/>
        </w:rPr>
        <w:t>）金融工具减值</w:t>
      </w:r>
      <w:r>
        <w:rPr>
          <w:rFonts w:ascii="宋体" w:hAnsi="宋体" w:cs="宋体" w:eastAsia="宋体" w:hint="default"/>
          <w:b/>
          <w:bCs/>
          <w:w w:val="99"/>
        </w:rPr>
        <w:t> </w:t>
      </w:r>
      <w:r>
        <w:rPr>
          <w:w w:val="95"/>
        </w:rPr>
        <w:t>本公司以预期信用损失为基础，对分类为以摊余成本计量的金融资产、分类为以公允价值计量且其变</w:t>
      </w:r>
      <w:r>
        <w:rPr/>
      </w:r>
    </w:p>
    <w:p>
      <w:pPr>
        <w:pStyle w:val="BodyText"/>
        <w:spacing w:line="209" w:lineRule="exact"/>
        <w:ind w:right="996"/>
        <w:jc w:val="left"/>
      </w:pPr>
      <w:r>
        <w:rPr/>
        <w:t>动计入其他综合收益的金融资产以及财务担保合同，进行减值会计处理并确认损失准备。</w:t>
      </w:r>
    </w:p>
    <w:p>
      <w:pPr>
        <w:pStyle w:val="BodyText"/>
        <w:spacing w:line="273" w:lineRule="auto" w:before="157"/>
        <w:ind w:right="1112" w:firstLine="420"/>
        <w:jc w:val="both"/>
      </w:pPr>
      <w:r>
        <w:rPr>
          <w:w w:val="95"/>
        </w:rPr>
        <w:t>预期信用损失，是指以发生违约的风险为权重的金融工具信用损失的加权平均值。信用损失，是指本</w:t>
      </w:r>
      <w:r>
        <w:rPr>
          <w:w w:val="99"/>
        </w:rPr>
        <w:t> </w:t>
      </w:r>
      <w:r>
        <w:rPr>
          <w:w w:val="95"/>
        </w:rPr>
        <w:t>公司按照原实际利率折现的、根据合同应收的所有合同现金流量与预期收取的所有现金流量之间的差额，</w:t>
      </w:r>
      <w:r>
        <w:rPr>
          <w:spacing w:val="61"/>
          <w:w w:val="95"/>
        </w:rPr>
        <w:t> </w:t>
      </w:r>
      <w:r>
        <w:rPr>
          <w:spacing w:val="61"/>
          <w:w w:val="95"/>
        </w:rPr>
      </w:r>
      <w:r>
        <w:rPr>
          <w:w w:val="95"/>
        </w:rPr>
        <w:t>即全部现金短缺的现值。其中，对于本公司购买或源生的已发生信用减值的金融资产，应按照该金融资产</w:t>
      </w:r>
      <w:r>
        <w:rPr>
          <w:spacing w:val="43"/>
          <w:w w:val="95"/>
        </w:rPr>
        <w:t> </w:t>
      </w:r>
      <w:r>
        <w:rPr>
          <w:spacing w:val="43"/>
          <w:w w:val="95"/>
        </w:rPr>
      </w:r>
      <w:r>
        <w:rPr/>
        <w:t>经信用调整的实际利率折现。</w:t>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2" w:firstLine="420"/>
        <w:jc w:val="both"/>
      </w:pPr>
      <w:r>
        <w:rPr>
          <w:w w:val="95"/>
        </w:rPr>
        <w:t>对由收入准则规范的交易形成的应收款项，本公司运用简化计量方法，按照相当于整个存续期内预期</w:t>
      </w:r>
      <w:r>
        <w:rPr>
          <w:w w:val="99"/>
        </w:rPr>
        <w:t> </w:t>
      </w:r>
      <w:r>
        <w:rPr/>
        <w:t>信用损失的金额计量损失准备。</w:t>
      </w:r>
    </w:p>
    <w:p>
      <w:pPr>
        <w:pStyle w:val="BodyText"/>
        <w:spacing w:line="273" w:lineRule="auto" w:before="127"/>
        <w:ind w:right="1132" w:firstLine="420"/>
        <w:jc w:val="both"/>
      </w:pPr>
      <w:r>
        <w:rPr>
          <w:w w:val="95"/>
        </w:rPr>
        <w:t>对于购买或源生的已发生信用减值的金融资产，在资产负债表日仅将自初始确认后整个存续期内预期</w:t>
      </w:r>
      <w:r>
        <w:rPr>
          <w:w w:val="99"/>
        </w:rPr>
        <w:t> </w:t>
      </w:r>
      <w:r>
        <w:rPr>
          <w:w w:val="95"/>
        </w:rPr>
        <w:t>信用损失的累计变动确认为损失准备。在每个资产负债表日，将整个存续期内预期信用损失的变动金额作</w:t>
      </w:r>
      <w:r>
        <w:rPr>
          <w:spacing w:val="40"/>
          <w:w w:val="95"/>
        </w:rPr>
        <w:t> </w:t>
      </w:r>
      <w:r>
        <w:rPr>
          <w:spacing w:val="40"/>
          <w:w w:val="95"/>
        </w:rPr>
      </w:r>
      <w:r>
        <w:rPr>
          <w:w w:val="95"/>
        </w:rPr>
        <w:t>为减值损失或利得计入当期损益。即使该资产负债表日确定的整个存续期内预期信用损失小于初始确认时</w:t>
      </w:r>
      <w:r>
        <w:rPr>
          <w:spacing w:val="39"/>
          <w:w w:val="95"/>
        </w:rPr>
        <w:t> </w:t>
      </w:r>
      <w:r>
        <w:rPr>
          <w:spacing w:val="39"/>
          <w:w w:val="95"/>
        </w:rPr>
      </w:r>
      <w:r>
        <w:rPr/>
        <w:t>估计现金流量所反映的预期信用损失的金额，也将预期信用损失的有利变动确认为减值利得。</w:t>
      </w:r>
    </w:p>
    <w:p>
      <w:pPr>
        <w:pStyle w:val="BodyText"/>
        <w:spacing w:line="273" w:lineRule="auto" w:before="127"/>
        <w:ind w:right="1132" w:firstLine="420"/>
        <w:jc w:val="both"/>
      </w:pPr>
      <w:r>
        <w:rPr>
          <w:w w:val="95"/>
        </w:rPr>
        <w:t>除上述采用简化计量方法和购买或源生的已发生信用减值以外的其他金融资产，本公司在每个资产负</w:t>
      </w:r>
      <w:r>
        <w:rPr>
          <w:w w:val="99"/>
        </w:rPr>
        <w:t> </w:t>
      </w:r>
      <w:r>
        <w:rPr>
          <w:spacing w:val="4"/>
        </w:rPr>
        <w:t>债表日评估相关金融工具的信用风险自初始确认后是否已显著增加，并按照下列情形分别计量其损失准</w:t>
      </w:r>
      <w:r>
        <w:rPr>
          <w:w w:val="99"/>
        </w:rPr>
        <w:t> </w:t>
      </w:r>
      <w:r>
        <w:rPr/>
        <w:t>备、确认预期信用损失及其变动：</w:t>
      </w:r>
    </w:p>
    <w:p>
      <w:pPr>
        <w:pStyle w:val="BodyText"/>
        <w:spacing w:line="259" w:lineRule="auto" w:before="127"/>
        <w:ind w:right="1133" w:firstLine="420"/>
        <w:jc w:val="both"/>
      </w:pPr>
      <w:r>
        <w:rPr>
          <w:rFonts w:ascii="Arial" w:hAnsi="Arial" w:cs="Arial" w:eastAsia="Arial" w:hint="default"/>
          <w:spacing w:val="2"/>
          <w:w w:val="95"/>
        </w:rPr>
        <w:t>1</w:t>
      </w:r>
      <w:r>
        <w:rPr>
          <w:spacing w:val="2"/>
          <w:w w:val="95"/>
        </w:rPr>
        <w:t>）如果该金融工具的信用风险自初始确认后并未显著增加，处于第一阶段，则按照相当于该金融工</w:t>
      </w:r>
      <w:r>
        <w:rPr>
          <w:spacing w:val="-92"/>
          <w:w w:val="95"/>
        </w:rPr>
        <w:t> </w:t>
      </w:r>
      <w:r>
        <w:rPr>
          <w:spacing w:val="-92"/>
          <w:w w:val="95"/>
        </w:rPr>
      </w:r>
      <w:r>
        <w:rPr/>
        <w:t>具未来</w:t>
      </w:r>
      <w:r>
        <w:rPr>
          <w:rFonts w:ascii="Arial" w:hAnsi="Arial" w:cs="Arial" w:eastAsia="Arial" w:hint="default"/>
        </w:rPr>
        <w:t>12</w:t>
      </w:r>
      <w:r>
        <w:rPr/>
        <w:t>个月内预期信用损失的金额计量其损失准备，并按照账面余额和实际利率计算利息收入。</w:t>
      </w:r>
    </w:p>
    <w:p>
      <w:pPr>
        <w:pStyle w:val="BodyText"/>
        <w:spacing w:line="266" w:lineRule="auto" w:before="123"/>
        <w:ind w:right="1132" w:firstLine="420"/>
        <w:jc w:val="both"/>
      </w:pPr>
      <w:r>
        <w:rPr>
          <w:rFonts w:ascii="Arial" w:hAnsi="Arial" w:cs="Arial" w:eastAsia="Arial" w:hint="default"/>
          <w:spacing w:val="2"/>
          <w:w w:val="95"/>
        </w:rPr>
        <w:t>2</w:t>
      </w:r>
      <w:r>
        <w:rPr>
          <w:spacing w:val="2"/>
          <w:w w:val="95"/>
        </w:rPr>
        <w:t>）如果该金融工具的信用风险自初始确认后已显著增加但尚未发生信用减值的，处于第二阶段，则</w:t>
      </w:r>
      <w:r>
        <w:rPr>
          <w:spacing w:val="-92"/>
          <w:w w:val="95"/>
        </w:rPr>
        <w:t> </w:t>
      </w:r>
      <w:r>
        <w:rPr>
          <w:spacing w:val="-92"/>
          <w:w w:val="95"/>
        </w:rPr>
      </w:r>
      <w:r>
        <w:rPr>
          <w:w w:val="95"/>
        </w:rPr>
        <w:t>按照相当于该金融工具整个存续期内预期信用损失的金额计量其损失准备，并按照账面余额和实际利率计</w:t>
      </w:r>
      <w:r>
        <w:rPr>
          <w:spacing w:val="39"/>
          <w:w w:val="95"/>
        </w:rPr>
        <w:t> </w:t>
      </w:r>
      <w:r>
        <w:rPr>
          <w:spacing w:val="39"/>
          <w:w w:val="95"/>
        </w:rPr>
      </w:r>
      <w:r>
        <w:rPr/>
        <w:t>算利息收入。</w:t>
      </w:r>
    </w:p>
    <w:p>
      <w:pPr>
        <w:pStyle w:val="BodyText"/>
        <w:spacing w:line="259" w:lineRule="auto" w:before="134"/>
        <w:ind w:right="1133" w:firstLine="420"/>
        <w:jc w:val="both"/>
      </w:pPr>
      <w:r>
        <w:rPr>
          <w:rFonts w:ascii="Arial" w:hAnsi="Arial" w:cs="Arial" w:eastAsia="Arial" w:hint="default"/>
          <w:spacing w:val="2"/>
          <w:w w:val="95"/>
        </w:rPr>
        <w:t>3</w:t>
      </w:r>
      <w:r>
        <w:rPr>
          <w:spacing w:val="2"/>
          <w:w w:val="95"/>
        </w:rPr>
        <w:t>）如果该金融工具自初始确认后已经发生信用减值的，处于第三阶段，本公司按照相当于该金融工</w:t>
      </w:r>
      <w:r>
        <w:rPr>
          <w:spacing w:val="-92"/>
          <w:w w:val="95"/>
        </w:rPr>
        <w:t> </w:t>
      </w:r>
      <w:r>
        <w:rPr>
          <w:spacing w:val="-92"/>
          <w:w w:val="95"/>
        </w:rPr>
      </w:r>
      <w:r>
        <w:rPr/>
        <w:t>具整个存续期内预期信用损失的金额计量其损失准备，并按照摊余成本和实际利率计算利息收入。</w:t>
      </w:r>
    </w:p>
    <w:p>
      <w:pPr>
        <w:pStyle w:val="BodyText"/>
        <w:spacing w:line="273" w:lineRule="auto" w:before="140"/>
        <w:ind w:right="1132" w:firstLine="420"/>
        <w:jc w:val="both"/>
      </w:pPr>
      <w:r>
        <w:rPr>
          <w:w w:val="95"/>
        </w:rPr>
        <w:t>金融工具信用损失准备的增加或转回金额，作为减值损失或利得计入当期损益。除分类为以公允价值</w:t>
      </w:r>
      <w:r>
        <w:rPr>
          <w:w w:val="99"/>
        </w:rPr>
        <w:t> </w:t>
      </w:r>
      <w:r>
        <w:rPr>
          <w:w w:val="95"/>
        </w:rPr>
        <w:t>计量且其变动计入其他综合收益的金融资产外，信用损失准备抵减金融资产的账面余额。对于分类为以公</w:t>
      </w:r>
      <w:r>
        <w:rPr>
          <w:spacing w:val="40"/>
          <w:w w:val="95"/>
        </w:rPr>
        <w:t> </w:t>
      </w:r>
      <w:r>
        <w:rPr>
          <w:spacing w:val="40"/>
          <w:w w:val="95"/>
        </w:rPr>
      </w:r>
      <w:r>
        <w:rPr>
          <w:w w:val="95"/>
        </w:rPr>
        <w:t>允价值计量且其变动计入其他综合收益的金融资产，本公司在其他综合收益中确认其信用损失准备，不减</w:t>
      </w:r>
      <w:r>
        <w:rPr>
          <w:spacing w:val="37"/>
          <w:w w:val="95"/>
        </w:rPr>
        <w:t> </w:t>
      </w:r>
      <w:r>
        <w:rPr>
          <w:spacing w:val="37"/>
          <w:w w:val="95"/>
        </w:rPr>
      </w:r>
      <w:r>
        <w:rPr/>
        <w:t>少该金融资产在资产负债表中列示的账面价值。</w:t>
      </w:r>
    </w:p>
    <w:p>
      <w:pPr>
        <w:pStyle w:val="BodyText"/>
        <w:spacing w:line="268" w:lineRule="auto" w:before="127"/>
        <w:ind w:right="1112" w:firstLine="420"/>
        <w:jc w:val="both"/>
      </w:pPr>
      <w:r>
        <w:rPr>
          <w:w w:val="95"/>
        </w:rPr>
        <w:t>本公司在前一会计期间已经按照相当于金融工具整个存续期内预期信用损失的金额计量了损失准备，</w:t>
      </w:r>
      <w:r>
        <w:rPr>
          <w:spacing w:val="-79"/>
          <w:w w:val="95"/>
        </w:rPr>
        <w:t> </w:t>
      </w:r>
      <w:r>
        <w:rPr>
          <w:spacing w:val="-79"/>
          <w:w w:val="95"/>
        </w:rPr>
      </w:r>
      <w:r>
        <w:rPr>
          <w:w w:val="95"/>
        </w:rPr>
        <w:t>但在当期资产负债表日，该金融工具已不再属于自初始确认后信用风险显著增加的情形的，本公司在当期</w:t>
      </w:r>
      <w:r>
        <w:rPr>
          <w:spacing w:val="37"/>
          <w:w w:val="95"/>
        </w:rPr>
        <w:t> </w:t>
      </w:r>
      <w:r>
        <w:rPr>
          <w:spacing w:val="37"/>
          <w:w w:val="95"/>
        </w:rPr>
      </w:r>
      <w:r>
        <w:rPr>
          <w:w w:val="95"/>
        </w:rPr>
        <w:t>资产负债表日按照相当于未来</w:t>
      </w:r>
      <w:r>
        <w:rPr>
          <w:rFonts w:ascii="Arial" w:hAnsi="Arial" w:cs="Arial" w:eastAsia="Arial" w:hint="default"/>
          <w:w w:val="95"/>
        </w:rPr>
        <w:t>12</w:t>
      </w:r>
      <w:r>
        <w:rPr>
          <w:w w:val="95"/>
        </w:rPr>
        <w:t>个月内预期信用损失的金额计量该金融工具的损失准备，由此形成的损失</w:t>
      </w:r>
      <w:r>
        <w:rPr>
          <w:spacing w:val="18"/>
          <w:w w:val="95"/>
        </w:rPr>
        <w:t> </w:t>
      </w:r>
      <w:r>
        <w:rPr>
          <w:spacing w:val="18"/>
          <w:w w:val="95"/>
        </w:rPr>
      </w:r>
      <w:r>
        <w:rPr/>
        <w:t>准备的转回金额作为减值利得计入当期损益。</w:t>
      </w:r>
    </w:p>
    <w:p>
      <w:pPr>
        <w:pStyle w:val="BodyText"/>
        <w:spacing w:line="357" w:lineRule="auto" w:before="132"/>
        <w:ind w:left="532" w:right="996"/>
        <w:jc w:val="left"/>
      </w:pPr>
      <w:r>
        <w:rPr>
          <w:rFonts w:ascii="Arial" w:hAnsi="Arial" w:cs="Arial" w:eastAsia="Arial" w:hint="default"/>
        </w:rPr>
        <w:t>1</w:t>
      </w:r>
      <w:r>
        <w:rPr/>
        <w:t>）信用风险显著增加</w:t>
      </w:r>
      <w:r>
        <w:rPr>
          <w:w w:val="99"/>
        </w:rPr>
        <w:t> </w:t>
      </w:r>
      <w:r>
        <w:rPr>
          <w:w w:val="95"/>
        </w:rPr>
        <w:t>本公司利用可获得的合理且有依据的前瞻性信息，通过比较金融工具在资产负债表日发生违约的风险</w:t>
      </w:r>
      <w:r>
        <w:rPr/>
      </w:r>
    </w:p>
    <w:p>
      <w:pPr>
        <w:pStyle w:val="BodyText"/>
        <w:spacing w:line="209" w:lineRule="exact"/>
        <w:ind w:right="996"/>
        <w:jc w:val="left"/>
      </w:pPr>
      <w:r>
        <w:rPr/>
        <w:t>与在初始确认日发生违约的风险，以确定金融工具的信用风险自初始确认后是否已显著增加。对于财务担</w:t>
      </w:r>
    </w:p>
    <w:p>
      <w:pPr>
        <w:pStyle w:val="BodyText"/>
        <w:spacing w:line="376" w:lineRule="auto" w:before="37"/>
        <w:ind w:left="532" w:right="1025" w:hanging="420"/>
        <w:jc w:val="left"/>
      </w:pPr>
      <w:r>
        <w:rPr>
          <w:spacing w:val="-3"/>
        </w:rPr>
        <w:t>保合同，本公司在应用金融工具减值规定时，将本公司成为做出不可撤销承诺的一方之日作为初始确认日。</w:t>
      </w:r>
      <w:r>
        <w:rPr>
          <w:w w:val="99"/>
        </w:rPr>
        <w:t> </w:t>
      </w:r>
      <w:r>
        <w:rPr/>
        <w:t>本公司在评估信用风险是否显著增加时会考虑如下因素：</w:t>
      </w:r>
    </w:p>
    <w:p>
      <w:pPr>
        <w:pStyle w:val="BodyText"/>
        <w:spacing w:line="240" w:lineRule="auto" w:before="37"/>
        <w:ind w:left="532" w:right="996"/>
        <w:jc w:val="left"/>
      </w:pPr>
      <w:r>
        <w:rPr/>
        <w:t>①债务人经营成果实际或预期是否发生显著变化；</w:t>
      </w:r>
    </w:p>
    <w:p>
      <w:pPr>
        <w:pStyle w:val="BodyText"/>
        <w:spacing w:line="240" w:lineRule="auto" w:before="157"/>
        <w:ind w:left="532" w:right="996"/>
        <w:jc w:val="left"/>
      </w:pPr>
      <w:r>
        <w:rPr/>
        <w:t>②债务人所处的监管、经济或技术环境是否发生显著不利变化；</w:t>
      </w:r>
    </w:p>
    <w:p>
      <w:pPr>
        <w:pStyle w:val="BodyText"/>
        <w:spacing w:line="273" w:lineRule="auto" w:before="157"/>
        <w:ind w:right="1135" w:firstLine="420"/>
        <w:jc w:val="both"/>
      </w:pPr>
      <w:r>
        <w:rPr/>
        <w:t>③</w:t>
      </w:r>
      <w:r>
        <w:rPr>
          <w:spacing w:val="-14"/>
        </w:rPr>
        <w:t> </w:t>
      </w:r>
      <w:r>
        <w:rPr>
          <w:spacing w:val="2"/>
        </w:rPr>
        <w:t>作为债务抵押的担保物价值或第三方提供的担保或信用增级质量是否发生显著变化，这些变化预</w:t>
      </w:r>
      <w:r>
        <w:rPr>
          <w:w w:val="99"/>
        </w:rPr>
        <w:t> </w:t>
      </w:r>
      <w:r>
        <w:rPr/>
        <w:t>期将降低债务人按合同规定期限还款的经济动机或者影响违约概率；</w:t>
      </w:r>
    </w:p>
    <w:p>
      <w:pPr>
        <w:pStyle w:val="BodyText"/>
        <w:spacing w:line="240" w:lineRule="auto" w:before="128"/>
        <w:ind w:left="532" w:right="996"/>
        <w:jc w:val="left"/>
      </w:pPr>
      <w:r>
        <w:rPr/>
        <w:t>④债务人预期表现和还款行为是否发生显著变化；</w:t>
      </w:r>
    </w:p>
    <w:p>
      <w:pPr>
        <w:pStyle w:val="BodyText"/>
        <w:spacing w:line="430" w:lineRule="atLeast" w:before="2"/>
        <w:ind w:left="532" w:right="996"/>
        <w:jc w:val="left"/>
      </w:pPr>
      <w:r>
        <w:rPr/>
        <w:t>⑤本公司对金融工具信用管理方法是否发生变化等。</w:t>
      </w:r>
      <w:r>
        <w:rPr>
          <w:w w:val="99"/>
        </w:rPr>
        <w:t> </w:t>
      </w:r>
      <w:r>
        <w:rPr>
          <w:w w:val="95"/>
        </w:rPr>
        <w:t>于资产负债表日，若本公司判断金融工具只具有较低的信用风险，则本公司假定该金融工具的信用风</w:t>
      </w:r>
      <w:r>
        <w:rPr/>
      </w:r>
    </w:p>
    <w:p>
      <w:pPr>
        <w:pStyle w:val="BodyText"/>
        <w:spacing w:line="273" w:lineRule="auto" w:before="37"/>
        <w:ind w:right="996"/>
        <w:jc w:val="left"/>
      </w:pPr>
      <w:r>
        <w:rPr>
          <w:w w:val="95"/>
        </w:rPr>
        <w:t>险自初始确认后并未显著增加。如果金融工具的违约风险较低，借款人在短期内履行其合同现金流量义务</w:t>
      </w:r>
      <w:r>
        <w:rPr>
          <w:spacing w:val="37"/>
          <w:w w:val="95"/>
        </w:rPr>
        <w:t> </w:t>
      </w:r>
      <w:r>
        <w:rPr>
          <w:spacing w:val="37"/>
          <w:w w:val="95"/>
        </w:rPr>
      </w:r>
      <w:r>
        <w:rPr>
          <w:w w:val="95"/>
        </w:rPr>
        <w:t>的能力很强，并且即使较长时期内经济形势和经营环境存在不利变化，但未必一定降低借款人履行其合同</w:t>
      </w:r>
      <w:r>
        <w:rPr/>
      </w:r>
    </w:p>
    <w:p>
      <w:pPr>
        <w:spacing w:after="0" w:line="273"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现金流量义务的能力，则该金融工具被视为具有较低的信用风险。</w:t>
      </w:r>
    </w:p>
    <w:p>
      <w:pPr>
        <w:pStyle w:val="BodyText"/>
        <w:spacing w:line="357" w:lineRule="auto" w:before="157"/>
        <w:ind w:left="532" w:right="996"/>
        <w:jc w:val="left"/>
      </w:pPr>
      <w:r>
        <w:rPr>
          <w:rFonts w:ascii="Arial" w:hAnsi="Arial" w:cs="Arial" w:eastAsia="Arial" w:hint="default"/>
        </w:rPr>
        <w:t>2</w:t>
      </w:r>
      <w:r>
        <w:rPr/>
        <w:t>）已发生信用减值的金融资产</w:t>
      </w:r>
      <w:r>
        <w:rPr>
          <w:w w:val="99"/>
        </w:rPr>
        <w:t> </w:t>
      </w:r>
      <w:r>
        <w:rPr>
          <w:w w:val="95"/>
        </w:rPr>
        <w:t>当对金融资产预期未来现金流量具有不利影响的一项或多项事件发生时，该金融资产成为已发生信用</w:t>
      </w:r>
      <w:r>
        <w:rPr/>
      </w:r>
    </w:p>
    <w:p>
      <w:pPr>
        <w:pStyle w:val="BodyText"/>
        <w:spacing w:line="209" w:lineRule="exact"/>
        <w:ind w:right="996"/>
        <w:jc w:val="left"/>
      </w:pPr>
      <w:r>
        <w:rPr/>
        <w:t>减值的金融资产。金融资产已发生信用减值的证据包括下列可观察信息：</w:t>
      </w:r>
    </w:p>
    <w:p>
      <w:pPr>
        <w:pStyle w:val="BodyText"/>
        <w:spacing w:line="240" w:lineRule="auto" w:before="157"/>
        <w:ind w:left="532" w:right="996"/>
        <w:jc w:val="left"/>
      </w:pPr>
      <w:r>
        <w:rPr/>
        <w:t>①发行方或债务人发生重大财务困难；</w:t>
      </w:r>
    </w:p>
    <w:p>
      <w:pPr>
        <w:pStyle w:val="BodyText"/>
        <w:spacing w:line="240" w:lineRule="auto" w:before="157"/>
        <w:ind w:left="532" w:right="996"/>
        <w:jc w:val="left"/>
      </w:pPr>
      <w:r>
        <w:rPr/>
        <w:t>②债务人违反合同，如偿付利息或本金违约或逾期等；</w:t>
      </w:r>
    </w:p>
    <w:p>
      <w:pPr>
        <w:pStyle w:val="BodyText"/>
        <w:spacing w:line="273" w:lineRule="auto" w:before="157"/>
        <w:ind w:right="996" w:firstLine="420"/>
        <w:jc w:val="left"/>
      </w:pPr>
      <w:r>
        <w:rPr>
          <w:w w:val="95"/>
        </w:rPr>
        <w:t>③债权人出于与债务人财务困难有关的经济或合同考虑，给予债务人在任何其他情况下都不会做出的</w:t>
      </w:r>
      <w:r>
        <w:rPr>
          <w:w w:val="99"/>
        </w:rPr>
        <w:t> </w:t>
      </w:r>
      <w:r>
        <w:rPr/>
        <w:t>让步；</w:t>
      </w:r>
    </w:p>
    <w:p>
      <w:pPr>
        <w:pStyle w:val="BodyText"/>
        <w:spacing w:line="240" w:lineRule="auto" w:before="127"/>
        <w:ind w:left="532" w:right="996"/>
        <w:jc w:val="left"/>
      </w:pPr>
      <w:r>
        <w:rPr/>
        <w:t>④债务人很可能破产或进行其他财务重组；</w:t>
      </w:r>
    </w:p>
    <w:p>
      <w:pPr>
        <w:pStyle w:val="BodyText"/>
        <w:spacing w:line="240" w:lineRule="auto" w:before="157"/>
        <w:ind w:left="532" w:right="996"/>
        <w:jc w:val="left"/>
      </w:pPr>
      <w:r>
        <w:rPr/>
        <w:t>⑤发行方或债务人财务困难导致该金融资产的活跃市场消失；</w:t>
      </w:r>
    </w:p>
    <w:p>
      <w:pPr>
        <w:pStyle w:val="BodyText"/>
        <w:spacing w:line="432" w:lineRule="exact" w:before="57"/>
        <w:ind w:left="532" w:right="996"/>
        <w:jc w:val="left"/>
      </w:pPr>
      <w:r>
        <w:rPr/>
        <w:t>⑥以大幅折扣购买或源生一项金融资产，该折扣反映了发生信用损失的事实。</w:t>
      </w:r>
      <w:r>
        <w:rPr>
          <w:w w:val="99"/>
        </w:rPr>
        <w:t> </w:t>
      </w:r>
      <w:r>
        <w:rPr/>
        <w:t>金融资产发生信用减值，有可能是多个事件的共同作用所致，未必是可单独识别的事件所致。</w:t>
      </w:r>
      <w:r>
        <w:rPr>
          <w:w w:val="99"/>
        </w:rPr>
        <w:t> </w:t>
      </w:r>
      <w:r>
        <w:rPr>
          <w:rFonts w:ascii="Arial" w:hAnsi="Arial" w:cs="Arial" w:eastAsia="Arial" w:hint="default"/>
        </w:rPr>
        <w:t>3</w:t>
      </w:r>
      <w:r>
        <w:rPr/>
        <w:t>）预期信用损失的确定</w:t>
      </w:r>
      <w:r>
        <w:rPr>
          <w:w w:val="99"/>
        </w:rPr>
        <w:t> </w:t>
      </w:r>
      <w:r>
        <w:rPr>
          <w:w w:val="95"/>
        </w:rPr>
        <w:t>本公司基于单项和组合评估金融工具的预期信用损失，在评估预期信用损失时，考虑有关过去事项、</w:t>
      </w:r>
      <w:r>
        <w:rPr/>
      </w:r>
    </w:p>
    <w:p>
      <w:pPr>
        <w:pStyle w:val="BodyText"/>
        <w:spacing w:line="255" w:lineRule="exact"/>
        <w:ind w:right="996"/>
        <w:jc w:val="left"/>
      </w:pPr>
      <w:r>
        <w:rPr/>
        <w:t>当前状况以及未来经济状况预测的合理且有依据的信息。</w:t>
      </w:r>
    </w:p>
    <w:p>
      <w:pPr>
        <w:pStyle w:val="BodyText"/>
        <w:spacing w:line="273" w:lineRule="auto" w:before="157"/>
        <w:ind w:right="1019" w:firstLine="420"/>
        <w:jc w:val="left"/>
      </w:pPr>
      <w:r>
        <w:rPr>
          <w:spacing w:val="-3"/>
        </w:rPr>
        <w:t>本公司以共同信用风险特征为依据，将金融工具分为不同组合。本公司采用的共同信用风险特征包括：</w:t>
      </w:r>
      <w:r>
        <w:rPr>
          <w:w w:val="99"/>
        </w:rPr>
        <w:t> </w:t>
      </w:r>
      <w:r>
        <w:rPr/>
        <w:t>金融工具类型、信用风险评级、账龄组合、债务人类型等。相关金融工具的单项评估标准和组合信用风险</w:t>
      </w:r>
      <w:r>
        <w:rPr>
          <w:w w:val="99"/>
        </w:rPr>
        <w:t> </w:t>
      </w:r>
      <w:r>
        <w:rPr/>
        <w:t>特征详见相关金融工具的会计政策。</w:t>
      </w:r>
    </w:p>
    <w:p>
      <w:pPr>
        <w:pStyle w:val="BodyText"/>
        <w:spacing w:line="240" w:lineRule="auto" w:before="127"/>
        <w:ind w:left="532" w:right="996"/>
        <w:jc w:val="left"/>
      </w:pPr>
      <w:r>
        <w:rPr/>
        <w:t>本公司按照下列方法确定相关金融工具的预期信用损失：</w:t>
      </w:r>
    </w:p>
    <w:p>
      <w:pPr>
        <w:pStyle w:val="BodyText"/>
        <w:spacing w:line="240" w:lineRule="auto" w:before="157"/>
        <w:ind w:left="532" w:right="996"/>
        <w:jc w:val="left"/>
      </w:pPr>
      <w:r>
        <w:rPr/>
        <w:t>①对于金融资产，信用损失为本公司应收取的合同现金流量与预期收取的现金流量之间差额的现值。</w:t>
      </w:r>
    </w:p>
    <w:p>
      <w:pPr>
        <w:pStyle w:val="BodyText"/>
        <w:spacing w:line="273" w:lineRule="auto" w:before="157"/>
        <w:ind w:right="996" w:firstLine="420"/>
        <w:jc w:val="left"/>
      </w:pPr>
      <w:r>
        <w:rPr>
          <w:spacing w:val="5"/>
          <w:w w:val="95"/>
        </w:rPr>
        <w:t>②对于财务担保合同，信用损失为本公司就该合同持有人发生的信用损失向其做出赔付的预计付款</w:t>
      </w:r>
      <w:r>
        <w:rPr>
          <w:w w:val="99"/>
        </w:rPr>
        <w:t> </w:t>
      </w:r>
      <w:r>
        <w:rPr/>
        <w:t>额，减去本公司预期向该合同持有人、债务人或任何其他方收取的金额之间差额的现值。</w:t>
      </w:r>
    </w:p>
    <w:p>
      <w:pPr>
        <w:pStyle w:val="BodyText"/>
        <w:spacing w:line="273" w:lineRule="auto" w:before="127"/>
        <w:ind w:right="996" w:firstLine="420"/>
        <w:jc w:val="left"/>
      </w:pPr>
      <w:r>
        <w:rPr>
          <w:w w:val="95"/>
        </w:rPr>
        <w:t>③对于资产负债表日已发生信用减值但并非购买或源生已发生信用减值的金融资产，信用损失为该金</w:t>
      </w:r>
      <w:r>
        <w:rPr>
          <w:w w:val="99"/>
        </w:rPr>
        <w:t> </w:t>
      </w:r>
      <w:r>
        <w:rPr/>
        <w:t>融资产账面余额与按原实际利率折现的估计未来现金流量的现值之间的差额。</w:t>
      </w:r>
    </w:p>
    <w:p>
      <w:pPr>
        <w:pStyle w:val="BodyText"/>
        <w:spacing w:line="273" w:lineRule="auto" w:before="127"/>
        <w:ind w:right="1132" w:firstLine="420"/>
        <w:jc w:val="both"/>
      </w:pPr>
      <w:r>
        <w:rPr>
          <w:w w:val="95"/>
        </w:rPr>
        <w:t>④本公司计量金融工具预期信用损失的方法反映的因素包括：通过评价一系列可能的结果而确定的无</w:t>
      </w:r>
      <w:r>
        <w:rPr>
          <w:w w:val="99"/>
        </w:rPr>
        <w:t> </w:t>
      </w:r>
      <w:r>
        <w:rPr>
          <w:w w:val="95"/>
        </w:rPr>
        <w:t>偏概率加权平均金额；货币时间价值；在资产负债表日无须付出不必要的额外成本或努力即可获得的有关</w:t>
      </w:r>
      <w:r>
        <w:rPr>
          <w:spacing w:val="40"/>
          <w:w w:val="95"/>
        </w:rPr>
        <w:t> </w:t>
      </w:r>
      <w:r>
        <w:rPr>
          <w:spacing w:val="40"/>
          <w:w w:val="95"/>
        </w:rPr>
      </w:r>
      <w:r>
        <w:rPr/>
        <w:t>过去事项、当前状况以及未来经济状况预测的合理且有依据的信息。</w:t>
      </w:r>
    </w:p>
    <w:p>
      <w:pPr>
        <w:pStyle w:val="BodyText"/>
        <w:spacing w:line="357" w:lineRule="auto" w:before="127"/>
        <w:ind w:left="532" w:right="996"/>
        <w:jc w:val="left"/>
      </w:pPr>
      <w:r>
        <w:rPr>
          <w:rFonts w:ascii="Arial" w:hAnsi="Arial" w:cs="Arial" w:eastAsia="Arial" w:hint="default"/>
        </w:rPr>
        <w:t>4</w:t>
      </w:r>
      <w:r>
        <w:rPr/>
        <w:t>）减记金融资产</w:t>
      </w:r>
      <w:r>
        <w:rPr>
          <w:w w:val="99"/>
        </w:rPr>
        <w:t> </w:t>
      </w:r>
      <w:r>
        <w:rPr>
          <w:w w:val="95"/>
        </w:rPr>
        <w:t>当本公司不再合理预期金融资产合同现金流量能够全部或部分收回的，直接减记该金融资产的账面余</w:t>
      </w:r>
      <w:r>
        <w:rPr/>
      </w:r>
    </w:p>
    <w:p>
      <w:pPr>
        <w:pStyle w:val="BodyText"/>
        <w:spacing w:line="209" w:lineRule="exact"/>
        <w:ind w:right="996"/>
        <w:jc w:val="left"/>
      </w:pPr>
      <w:r>
        <w:rPr/>
        <w:t>额。这种减记构成相关金融资产的终止确认。</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09" w:lineRule="exact"/>
        <w:ind w:right="996"/>
        <w:jc w:val="left"/>
      </w:pPr>
      <w:r>
        <w:rPr/>
        <w:t>抵销后的净额在资产负债表内列示：</w:t>
      </w:r>
    </w:p>
    <w:p>
      <w:pPr>
        <w:pStyle w:val="BodyText"/>
        <w:spacing w:line="240" w:lineRule="auto" w:before="157"/>
        <w:ind w:left="532" w:right="996"/>
        <w:jc w:val="left"/>
      </w:pPr>
      <w:r>
        <w:rPr/>
        <w:t>①本公司具有抵销已确认金额的法定权利，且该种法定权利是当前可执行的；</w:t>
      </w:r>
    </w:p>
    <w:p>
      <w:pPr>
        <w:pStyle w:val="BodyText"/>
        <w:spacing w:line="240" w:lineRule="auto" w:before="157"/>
        <w:ind w:left="532" w:right="996"/>
        <w:jc w:val="left"/>
      </w:pPr>
      <w:r>
        <w:rPr/>
        <w:t>②本公司计划以净额结算，或同时变现该金融资产和清偿该金融负债。</w:t>
      </w:r>
    </w:p>
    <w:p>
      <w:pPr>
        <w:spacing w:after="0" w:line="240" w:lineRule="auto"/>
        <w:jc w:val="left"/>
        <w:sectPr>
          <w:pgSz w:w="11910" w:h="16840"/>
          <w:pgMar w:header="878" w:footer="1016" w:top="1100" w:bottom="1200" w:left="1020" w:right="0"/>
        </w:sectPr>
      </w:pPr>
    </w:p>
    <w:p>
      <w:pPr>
        <w:spacing w:line="240" w:lineRule="auto" w:before="3"/>
        <w:rPr>
          <w:rFonts w:ascii="宋体" w:hAnsi="宋体" w:cs="宋体" w:eastAsia="宋体" w:hint="default"/>
          <w:sz w:val="19"/>
          <w:szCs w:val="19"/>
        </w:rPr>
      </w:pPr>
    </w:p>
    <w:p>
      <w:pPr>
        <w:spacing w:line="470" w:lineRule="auto" w:before="34"/>
        <w:ind w:left="532" w:right="5924" w:hanging="420"/>
        <w:jc w:val="left"/>
        <w:rPr>
          <w:rFonts w:ascii="宋体" w:hAnsi="宋体" w:cs="宋体" w:eastAsia="宋体" w:hint="default"/>
          <w:sz w:val="21"/>
          <w:szCs w:val="21"/>
        </w:rPr>
      </w:pPr>
      <w:r>
        <w:rPr>
          <w:rFonts w:ascii="宋体" w:hAnsi="宋体" w:cs="宋体" w:eastAsia="宋体" w:hint="default"/>
          <w:b/>
          <w:bCs/>
          <w:sz w:val="21"/>
          <w:szCs w:val="21"/>
        </w:rPr>
        <w:t>以下金融工具会计政策适用于</w:t>
      </w:r>
      <w:r>
        <w:rPr>
          <w:rFonts w:ascii="宋体" w:hAnsi="宋体" w:cs="宋体" w:eastAsia="宋体" w:hint="default"/>
          <w:b/>
          <w:bCs/>
          <w:spacing w:val="-52"/>
          <w:sz w:val="21"/>
          <w:szCs w:val="21"/>
        </w:rPr>
        <w:t> </w:t>
      </w:r>
      <w:r>
        <w:rPr>
          <w:rFonts w:ascii="宋体" w:hAnsi="宋体" w:cs="宋体" w:eastAsia="宋体" w:hint="default"/>
          <w:b/>
          <w:bCs/>
          <w:sz w:val="21"/>
          <w:szCs w:val="21"/>
        </w:rPr>
        <w:t>2018</w:t>
      </w:r>
      <w:r>
        <w:rPr>
          <w:rFonts w:ascii="宋体" w:hAnsi="宋体" w:cs="宋体" w:eastAsia="宋体" w:hint="default"/>
          <w:b/>
          <w:bCs/>
          <w:spacing w:val="-56"/>
          <w:sz w:val="21"/>
          <w:szCs w:val="21"/>
        </w:rPr>
        <w:t> </w:t>
      </w:r>
      <w:r>
        <w:rPr>
          <w:rFonts w:ascii="宋体" w:hAnsi="宋体" w:cs="宋体" w:eastAsia="宋体" w:hint="default"/>
          <w:b/>
          <w:bCs/>
          <w:sz w:val="21"/>
          <w:szCs w:val="21"/>
        </w:rPr>
        <w:t>年度及以前</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r>
        <w:rPr>
          <w:rFonts w:ascii="宋体" w:hAnsi="宋体" w:cs="宋体" w:eastAsia="宋体" w:hint="default"/>
          <w:w w:val="99"/>
          <w:sz w:val="21"/>
          <w:szCs w:val="21"/>
        </w:rPr>
        <w:t> </w:t>
      </w:r>
      <w:r>
        <w:rPr>
          <w:rFonts w:ascii="宋体" w:hAnsi="宋体" w:cs="宋体" w:eastAsia="宋体" w:hint="default"/>
          <w:sz w:val="21"/>
          <w:szCs w:val="21"/>
        </w:rPr>
        <w:t>金融工具的分类</w:t>
      </w:r>
    </w:p>
    <w:p>
      <w:pPr>
        <w:pStyle w:val="BodyText"/>
        <w:spacing w:line="230" w:lineRule="exact"/>
        <w:ind w:right="0" w:firstLine="420"/>
        <w:jc w:val="both"/>
      </w:pPr>
      <w:r>
        <w:rPr/>
        <w:t>本公司根据所发行金融工具的合同条款及其所反映的经济实质而非仅以法律形式，结合取得持有金融</w:t>
      </w:r>
    </w:p>
    <w:p>
      <w:pPr>
        <w:pStyle w:val="BodyText"/>
        <w:spacing w:line="273" w:lineRule="auto" w:before="37"/>
        <w:ind w:right="1130"/>
        <w:jc w:val="both"/>
      </w:pPr>
      <w:r>
        <w:rPr>
          <w:w w:val="95"/>
        </w:rPr>
        <w:t>资产和承担金融负债的目的，在初始确认时将金融资产和金融负债分为不同类别：以公允价值计量且其变</w:t>
      </w:r>
      <w:r>
        <w:rPr>
          <w:spacing w:val="37"/>
          <w:w w:val="95"/>
        </w:rPr>
        <w:t> </w:t>
      </w:r>
      <w:r>
        <w:rPr>
          <w:spacing w:val="37"/>
          <w:w w:val="95"/>
        </w:rPr>
      </w:r>
      <w:r>
        <w:rPr>
          <w:w w:val="95"/>
        </w:rPr>
        <w:t>动计入当期损益的金融资产（或金融负债）；持有至到期投资；应收款项；可供出售金融资产；其他金融</w:t>
      </w:r>
      <w:r>
        <w:rPr>
          <w:spacing w:val="43"/>
          <w:w w:val="95"/>
        </w:rPr>
        <w:t> </w:t>
      </w:r>
      <w:r>
        <w:rPr>
          <w:spacing w:val="43"/>
          <w:w w:val="95"/>
        </w:rPr>
      </w:r>
      <w:r>
        <w:rPr/>
        <w:t>负债等。</w:t>
      </w:r>
    </w:p>
    <w:p>
      <w:pPr>
        <w:pStyle w:val="BodyText"/>
        <w:spacing w:line="357" w:lineRule="auto" w:before="127"/>
        <w:ind w:left="532" w:right="1119" w:hanging="420"/>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）金融工具的确认依据和计量方法</w:t>
      </w:r>
      <w:r>
        <w:rPr>
          <w:rFonts w:ascii="宋体" w:hAnsi="宋体" w:cs="宋体" w:eastAsia="宋体" w:hint="default"/>
          <w:b/>
          <w:bCs/>
          <w:w w:val="99"/>
        </w:rPr>
        <w:t> </w:t>
      </w:r>
      <w:r>
        <w:rPr>
          <w:rFonts w:ascii="Arial" w:hAnsi="Arial" w:cs="Arial" w:eastAsia="Arial" w:hint="default"/>
        </w:rPr>
        <w:t>1</w:t>
      </w:r>
      <w:r>
        <w:rPr/>
        <w:t>）以公允价值计量且其变动计入当期损益的金融资产（金融负债）</w:t>
      </w:r>
      <w:r>
        <w:rPr>
          <w:w w:val="99"/>
        </w:rPr>
        <w:t> </w:t>
      </w:r>
      <w:r>
        <w:rPr>
          <w:w w:val="95"/>
        </w:rPr>
        <w:t>以公允价值计量且其变动计入当期损益的金融资产或金融负债，包括交易性金融资产或金融负债和直</w:t>
      </w:r>
      <w:r>
        <w:rPr/>
      </w:r>
    </w:p>
    <w:p>
      <w:pPr>
        <w:pStyle w:val="BodyText"/>
        <w:spacing w:line="209" w:lineRule="exact"/>
        <w:ind w:right="996"/>
        <w:jc w:val="left"/>
      </w:pPr>
      <w:r>
        <w:rPr/>
        <w:t>接指定为以公允价值计量且其变动计入当期损益的金融资产或金融负债。</w:t>
      </w:r>
    </w:p>
    <w:p>
      <w:pPr>
        <w:pStyle w:val="BodyText"/>
        <w:spacing w:line="240" w:lineRule="auto" w:before="157"/>
        <w:ind w:left="532" w:right="996"/>
        <w:jc w:val="left"/>
      </w:pPr>
      <w:r>
        <w:rPr/>
        <w:t>交易性金融资产或金融负债是指满足下列条件之一的金融资产或金融负债：</w:t>
      </w:r>
    </w:p>
    <w:p>
      <w:pPr>
        <w:pStyle w:val="BodyText"/>
        <w:spacing w:line="240" w:lineRule="auto" w:before="157"/>
        <w:ind w:left="532" w:right="996"/>
        <w:jc w:val="left"/>
      </w:pPr>
      <w:r>
        <w:rPr/>
        <w:t>①取得该金融资产或金融负债的目的是为了在短期内出售、回购或赎回；</w:t>
      </w:r>
    </w:p>
    <w:p>
      <w:pPr>
        <w:pStyle w:val="BodyText"/>
        <w:spacing w:line="273" w:lineRule="auto" w:before="157"/>
        <w:ind w:right="1135" w:firstLine="420"/>
        <w:jc w:val="both"/>
      </w:pPr>
      <w:r>
        <w:rPr>
          <w:w w:val="95"/>
        </w:rPr>
        <w:t>②属于进行集中管理的可辨认金融工具组合的一部分，且有客观证据表明本公司近期采用短期获利方</w:t>
      </w:r>
      <w:r>
        <w:rPr>
          <w:w w:val="99"/>
        </w:rPr>
        <w:t> </w:t>
      </w:r>
      <w:r>
        <w:rPr/>
        <w:t>式对该组合进行管理；</w:t>
      </w:r>
    </w:p>
    <w:p>
      <w:pPr>
        <w:pStyle w:val="BodyText"/>
        <w:spacing w:line="273" w:lineRule="auto" w:before="127"/>
        <w:ind w:right="1130" w:firstLine="420"/>
        <w:jc w:val="both"/>
      </w:pPr>
      <w:r>
        <w:rPr>
          <w:w w:val="95"/>
        </w:rPr>
        <w:t>③属于衍生金融工具，但是被指定为有效套期工具的衍生工具、属于财务担保合同的衍生工具、与在</w:t>
      </w:r>
      <w:r>
        <w:rPr>
          <w:spacing w:val="-97"/>
          <w:w w:val="95"/>
        </w:rPr>
        <w:t> </w:t>
      </w:r>
      <w:r>
        <w:rPr>
          <w:spacing w:val="-97"/>
          <w:w w:val="95"/>
        </w:rPr>
      </w:r>
      <w:r>
        <w:rPr>
          <w:spacing w:val="4"/>
        </w:rPr>
        <w:t>活跃市场中没有报价且其公允价值不能可靠计量的权益工具投资挂钩并须通过交付该权益工具结算的衍</w:t>
      </w:r>
      <w:r>
        <w:rPr>
          <w:w w:val="99"/>
        </w:rPr>
        <w:t> </w:t>
      </w:r>
      <w:r>
        <w:rPr/>
        <w:t>生工具除外。</w:t>
      </w:r>
    </w:p>
    <w:p>
      <w:pPr>
        <w:pStyle w:val="BodyText"/>
        <w:spacing w:line="273" w:lineRule="auto" w:before="127"/>
        <w:ind w:right="1132" w:firstLine="420"/>
        <w:jc w:val="both"/>
      </w:pPr>
      <w:r>
        <w:rPr>
          <w:w w:val="95"/>
        </w:rPr>
        <w:t>只有符合以下条件之一，金融资产或金融负债才可在初始计量时指定为以公允价值计量且其变动计入</w:t>
      </w:r>
      <w:r>
        <w:rPr>
          <w:w w:val="99"/>
        </w:rPr>
        <w:t> </w:t>
      </w:r>
      <w:r>
        <w:rPr/>
        <w:t>损益的金融资产或金融负债：</w:t>
      </w:r>
    </w:p>
    <w:p>
      <w:pPr>
        <w:pStyle w:val="BodyText"/>
        <w:spacing w:line="273" w:lineRule="auto" w:before="127"/>
        <w:ind w:right="1132" w:firstLine="420"/>
        <w:jc w:val="both"/>
      </w:pPr>
      <w:r>
        <w:rPr>
          <w:spacing w:val="5"/>
          <w:w w:val="95"/>
        </w:rPr>
        <w:t>①该项指定可以消除或明显减少由于金融资产或金融负债的计量基础不同所导致的相关利得或损失</w:t>
      </w:r>
      <w:r>
        <w:rPr>
          <w:w w:val="99"/>
        </w:rPr>
        <w:t> </w:t>
      </w:r>
      <w:r>
        <w:rPr/>
        <w:t>在确认或计量方面不一致的情况；</w:t>
      </w:r>
    </w:p>
    <w:p>
      <w:pPr>
        <w:pStyle w:val="BodyText"/>
        <w:spacing w:line="273" w:lineRule="auto" w:before="127"/>
        <w:ind w:right="1132" w:firstLine="420"/>
        <w:jc w:val="both"/>
      </w:pPr>
      <w:r>
        <w:rPr>
          <w:w w:val="95"/>
        </w:rPr>
        <w:t>②风险管理或投资策略的正式书面文件已载明，该金融资产组合、该金融负债组合、或该金融资产和</w:t>
      </w:r>
      <w:r>
        <w:rPr>
          <w:w w:val="99"/>
        </w:rPr>
        <w:t> </w:t>
      </w:r>
      <w:r>
        <w:rPr/>
        <w:t>金融负债组合，以公允价值为基础进行管理、评价并向关键管理人员报告；</w:t>
      </w:r>
    </w:p>
    <w:p>
      <w:pPr>
        <w:pStyle w:val="BodyText"/>
        <w:spacing w:line="273" w:lineRule="auto" w:before="127"/>
        <w:ind w:right="1132" w:firstLine="420"/>
        <w:jc w:val="both"/>
      </w:pPr>
      <w:r>
        <w:rPr>
          <w:spacing w:val="5"/>
          <w:w w:val="95"/>
        </w:rPr>
        <w:t>③包含一项或多项嵌入衍生工具的混合工具，除非嵌入衍生工具对混合工具的现金流量没有重大改</w:t>
      </w:r>
      <w:r>
        <w:rPr>
          <w:w w:val="99"/>
        </w:rPr>
        <w:t> </w:t>
      </w:r>
      <w:r>
        <w:rPr/>
        <w:t>变，或所嵌入的衍生工具明显不应当从相关混合工具中分拆；</w:t>
      </w:r>
    </w:p>
    <w:p>
      <w:pPr>
        <w:pStyle w:val="BodyText"/>
        <w:spacing w:line="240" w:lineRule="auto" w:before="127"/>
        <w:ind w:left="532" w:right="996"/>
        <w:jc w:val="left"/>
      </w:pPr>
      <w:r>
        <w:rPr>
          <w:spacing w:val="5"/>
        </w:rPr>
        <w:t>④包含需要分拆但无法在取得时或后续的资产负债表日对其进行单独计量的嵌入衍生工具的混合工</w:t>
      </w:r>
    </w:p>
    <w:p>
      <w:pPr>
        <w:pStyle w:val="BodyText"/>
        <w:spacing w:line="240" w:lineRule="auto" w:before="37"/>
        <w:ind w:right="996"/>
        <w:jc w:val="left"/>
      </w:pPr>
      <w:r>
        <w:rPr/>
        <w:t>具。</w:t>
      </w:r>
    </w:p>
    <w:p>
      <w:pPr>
        <w:spacing w:line="240" w:lineRule="auto" w:before="5"/>
        <w:rPr>
          <w:rFonts w:ascii="宋体" w:hAnsi="宋体" w:cs="宋体" w:eastAsia="宋体" w:hint="default"/>
          <w:sz w:val="9"/>
          <w:szCs w:val="9"/>
        </w:rPr>
      </w:pPr>
    </w:p>
    <w:p>
      <w:pPr>
        <w:pStyle w:val="BodyText"/>
        <w:spacing w:line="273" w:lineRule="auto" w:before="34"/>
        <w:ind w:right="1112" w:firstLine="420"/>
        <w:jc w:val="both"/>
      </w:pPr>
      <w:r>
        <w:rPr>
          <w:w w:val="95"/>
        </w:rPr>
        <w:t>本公司对以公允价值计量且其变动计入当期损益的金融资产或金融负债，在取得时以公允价值（扣除</w:t>
      </w:r>
      <w:r>
        <w:rPr>
          <w:w w:val="99"/>
        </w:rPr>
        <w:t> </w:t>
      </w:r>
      <w:r>
        <w:rPr>
          <w:w w:val="95"/>
        </w:rPr>
        <w:t>已宣告但尚未发放的现金股利或已到付息期但尚未领取的债券利息）作为初始确认金额，相关的交易费用</w:t>
      </w:r>
      <w:r>
        <w:rPr>
          <w:spacing w:val="40"/>
          <w:w w:val="95"/>
        </w:rPr>
        <w:t> </w:t>
      </w:r>
      <w:r>
        <w:rPr>
          <w:spacing w:val="40"/>
          <w:w w:val="95"/>
        </w:rPr>
      </w:r>
      <w:r>
        <w:rPr>
          <w:w w:val="95"/>
        </w:rPr>
        <w:t>计入当期损益。持有期间将取得的利息或现金股利确认为投资收益，期末将公允价值变动计入当期损益。</w:t>
      </w:r>
      <w:r>
        <w:rPr>
          <w:spacing w:val="61"/>
          <w:w w:val="95"/>
        </w:rPr>
        <w:t> </w:t>
      </w:r>
      <w:r>
        <w:rPr>
          <w:spacing w:val="61"/>
          <w:w w:val="95"/>
        </w:rPr>
      </w:r>
      <w:r>
        <w:rPr/>
        <w:t>处置时，其公允价值与初始入账金额之间的差额确认为投资收益，同时调整公允价值变动损益。</w:t>
      </w:r>
    </w:p>
    <w:p>
      <w:pPr>
        <w:pStyle w:val="BodyText"/>
        <w:spacing w:line="357" w:lineRule="auto" w:before="128"/>
        <w:ind w:left="532" w:right="2114"/>
        <w:jc w:val="left"/>
      </w:pPr>
      <w:r>
        <w:rPr>
          <w:rFonts w:ascii="Arial" w:hAnsi="Arial" w:cs="Arial" w:eastAsia="Arial" w:hint="default"/>
        </w:rPr>
        <w:t>2</w:t>
      </w:r>
      <w:r>
        <w:rPr/>
        <w:t>）应收款项</w:t>
      </w:r>
      <w:r>
        <w:rPr>
          <w:w w:val="99"/>
        </w:rPr>
        <w:t> </w:t>
      </w:r>
      <w:r>
        <w:rPr>
          <w:w w:val="95"/>
        </w:rPr>
        <w:t>应收款项是指在活跃市场中没有报价、回收金额固定或可确定的非衍生金融资产。</w:t>
      </w:r>
      <w:r>
        <w:rPr/>
      </w:r>
    </w:p>
    <w:p>
      <w:pPr>
        <w:pStyle w:val="BodyText"/>
        <w:spacing w:line="273" w:lineRule="auto" w:before="54"/>
        <w:ind w:right="1130" w:firstLine="420"/>
        <w:jc w:val="both"/>
      </w:pPr>
      <w:r>
        <w:rPr>
          <w:w w:val="95"/>
        </w:rPr>
        <w:t>本公司对外销售商品或提供劳务形成的应收债权，以及公司持有的其他企业的债权（不包括在活跃市</w:t>
      </w:r>
      <w:r>
        <w:rPr>
          <w:w w:val="99"/>
        </w:rPr>
        <w:t> </w:t>
      </w:r>
      <w:r>
        <w:rPr>
          <w:w w:val="95"/>
        </w:rPr>
        <w:t>场上有报价的债务工具），包括应收账款、其他应收款等，以向购货方应收的合同或协议价款作为初始确</w:t>
      </w:r>
      <w:r>
        <w:rPr/>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376" w:lineRule="auto" w:before="34"/>
        <w:ind w:left="532" w:right="2114" w:hanging="420"/>
        <w:jc w:val="left"/>
      </w:pPr>
      <w:r>
        <w:rPr/>
        <w:t>认金额；具有融资性质的，按其现值进行初始确认。</w:t>
      </w:r>
      <w:r>
        <w:rPr>
          <w:w w:val="99"/>
        </w:rPr>
        <w:t> </w:t>
      </w:r>
      <w:r>
        <w:rPr>
          <w:w w:val="95"/>
        </w:rPr>
        <w:t>收回或处置时，将取得的价款与该应收款项账面价值之间的差额计入当期损益。</w:t>
      </w:r>
      <w:r>
        <w:rPr>
          <w:w w:val="99"/>
        </w:rPr>
        <w:t> </w:t>
      </w:r>
      <w:r>
        <w:rPr>
          <w:rFonts w:ascii="Arial" w:hAnsi="Arial" w:cs="Arial" w:eastAsia="Arial" w:hint="default"/>
        </w:rPr>
        <w:t>3</w:t>
      </w:r>
      <w:r>
        <w:rPr/>
        <w:t>）持有至到期投资</w:t>
      </w:r>
    </w:p>
    <w:p>
      <w:pPr>
        <w:pStyle w:val="BodyText"/>
        <w:spacing w:line="273" w:lineRule="auto" w:before="8"/>
        <w:ind w:right="1135" w:firstLine="420"/>
        <w:jc w:val="both"/>
      </w:pPr>
      <w:r>
        <w:rPr>
          <w:w w:val="95"/>
        </w:rPr>
        <w:t>持有至到期投资是指到期日固定、回收金额固定或可确定，且本公司有明确意图和能力持有至到期的</w:t>
      </w:r>
      <w:r>
        <w:rPr>
          <w:w w:val="99"/>
        </w:rPr>
        <w:t> </w:t>
      </w:r>
      <w:r>
        <w:rPr/>
        <w:t>非衍生性金融资产。</w:t>
      </w:r>
    </w:p>
    <w:p>
      <w:pPr>
        <w:pStyle w:val="BodyText"/>
        <w:spacing w:line="273" w:lineRule="auto" w:before="127"/>
        <w:ind w:right="1130" w:firstLine="420"/>
        <w:jc w:val="both"/>
      </w:pPr>
      <w:r>
        <w:rPr>
          <w:w w:val="95"/>
        </w:rPr>
        <w:t>本公司对持有至到期投资，在取得时按公允价值（扣除已到付息期但尚未领取的债券利息）和相关交</w:t>
      </w:r>
      <w:r>
        <w:rPr>
          <w:spacing w:val="-97"/>
          <w:w w:val="95"/>
        </w:rPr>
        <w:t> </w:t>
      </w:r>
      <w:r>
        <w:rPr>
          <w:spacing w:val="-97"/>
          <w:w w:val="95"/>
        </w:rPr>
      </w:r>
      <w:r>
        <w:rPr>
          <w:w w:val="95"/>
        </w:rPr>
        <w:t>易费用之和作为初始确认金额。持有期间按照摊余成本和实际利率计算确认利息收入，计入投资收益。实</w:t>
      </w:r>
      <w:r>
        <w:rPr>
          <w:spacing w:val="43"/>
          <w:w w:val="95"/>
        </w:rPr>
        <w:t> </w:t>
      </w:r>
      <w:r>
        <w:rPr>
          <w:spacing w:val="43"/>
          <w:w w:val="95"/>
        </w:rPr>
      </w:r>
      <w:r>
        <w:rPr>
          <w:w w:val="95"/>
        </w:rPr>
        <w:t>际利率在取得时确定，在该预期存续期间或适用的更短期间内保持不变。处置时，将所取得价款与该投资</w:t>
      </w:r>
      <w:r>
        <w:rPr>
          <w:spacing w:val="43"/>
          <w:w w:val="95"/>
        </w:rPr>
        <w:t> </w:t>
      </w:r>
      <w:r>
        <w:rPr>
          <w:spacing w:val="43"/>
          <w:w w:val="95"/>
        </w:rPr>
      </w:r>
      <w:r>
        <w:rPr/>
        <w:t>账面价值之间的差额计入投资收益。</w:t>
      </w:r>
    </w:p>
    <w:p>
      <w:pPr>
        <w:pStyle w:val="BodyText"/>
        <w:spacing w:line="273" w:lineRule="auto" w:before="127"/>
        <w:ind w:right="1132" w:firstLine="420"/>
        <w:jc w:val="both"/>
      </w:pPr>
      <w:r>
        <w:rPr>
          <w:w w:val="95"/>
        </w:rPr>
        <w:t>如果持有至到期投资处置或重分类为其他类金融资产的金额，相对于本公司全部持有至到期投资在出</w:t>
      </w:r>
      <w:r>
        <w:rPr>
          <w:w w:val="99"/>
        </w:rPr>
        <w:t> </w:t>
      </w:r>
      <w:r>
        <w:rPr>
          <w:w w:val="95"/>
        </w:rPr>
        <w:t>售或重分类前的总额较大，在处置或重分类后应立即将其剩余的持有至到期投资重分类为可供出售金融资</w:t>
      </w:r>
      <w:r>
        <w:rPr>
          <w:spacing w:val="37"/>
          <w:w w:val="95"/>
        </w:rPr>
        <w:t> </w:t>
      </w:r>
      <w:r>
        <w:rPr>
          <w:spacing w:val="37"/>
          <w:w w:val="95"/>
        </w:rPr>
      </w:r>
      <w:r>
        <w:rPr>
          <w:w w:val="95"/>
        </w:rPr>
        <w:t>产；重分类日，该投资的账面价值与其公允价值之间的差额计入其他综合收益，在该可供出售金融资产发</w:t>
      </w:r>
      <w:r>
        <w:rPr>
          <w:spacing w:val="40"/>
          <w:w w:val="95"/>
        </w:rPr>
        <w:t> </w:t>
      </w:r>
      <w:r>
        <w:rPr>
          <w:spacing w:val="40"/>
          <w:w w:val="95"/>
        </w:rPr>
      </w:r>
      <w:r>
        <w:rPr/>
        <w:t>生减值或终止确认时转出，计入当期损益。但是，遇到下列情况可以除外：</w:t>
      </w:r>
    </w:p>
    <w:p>
      <w:pPr>
        <w:pStyle w:val="BodyText"/>
        <w:spacing w:line="259" w:lineRule="auto" w:before="127"/>
        <w:ind w:right="1130" w:firstLine="420"/>
        <w:jc w:val="both"/>
      </w:pPr>
      <w:r>
        <w:rPr/>
        <w:t>①出售日或重分类日距离该项投资到期日或赎回日较近</w:t>
      </w:r>
      <w:r>
        <w:rPr>
          <w:rFonts w:ascii="Arial" w:hAnsi="Arial" w:cs="Arial" w:eastAsia="Arial" w:hint="default"/>
        </w:rPr>
        <w:t>(</w:t>
      </w:r>
      <w:r>
        <w:rPr/>
        <w:t>如到期前三个月内</w:t>
      </w:r>
      <w:r>
        <w:rPr>
          <w:rFonts w:ascii="Arial" w:hAnsi="Arial" w:cs="Arial" w:eastAsia="Arial" w:hint="default"/>
        </w:rPr>
        <w:t>)</w:t>
      </w:r>
      <w:r>
        <w:rPr/>
        <w:t>，且市场利率变化对该项</w:t>
      </w:r>
      <w:r>
        <w:rPr>
          <w:w w:val="99"/>
        </w:rPr>
        <w:t> </w:t>
      </w:r>
      <w:r>
        <w:rPr/>
        <w:t>投资的公允价值没有显著影响。</w:t>
      </w:r>
    </w:p>
    <w:p>
      <w:pPr>
        <w:pStyle w:val="BodyText"/>
        <w:spacing w:line="240" w:lineRule="auto" w:before="140"/>
        <w:ind w:left="532" w:right="996"/>
        <w:jc w:val="left"/>
      </w:pPr>
      <w:r>
        <w:rPr/>
        <w:t>②根据合同约定的偿付方式，企业已收回几乎所有初始本金。</w:t>
      </w:r>
    </w:p>
    <w:p>
      <w:pPr>
        <w:pStyle w:val="BodyText"/>
        <w:spacing w:line="367" w:lineRule="auto" w:before="157"/>
        <w:ind w:left="532" w:right="996"/>
        <w:jc w:val="left"/>
      </w:pPr>
      <w:r>
        <w:rPr/>
        <w:t>③出售或重分类是由于企业无法控制、预期不会重复发生且难以合理预计的独立事件所引起。</w:t>
      </w:r>
      <w:r>
        <w:rPr>
          <w:w w:val="99"/>
        </w:rPr>
        <w:t> </w:t>
      </w:r>
      <w:r>
        <w:rPr>
          <w:rFonts w:ascii="Arial" w:hAnsi="Arial" w:cs="Arial" w:eastAsia="Arial" w:hint="default"/>
        </w:rPr>
        <w:t>4</w:t>
      </w:r>
      <w:r>
        <w:rPr/>
        <w:t>）可供出售金融资产</w:t>
      </w:r>
      <w:r>
        <w:rPr>
          <w:w w:val="99"/>
        </w:rPr>
        <w:t> </w:t>
      </w:r>
      <w:r>
        <w:rPr>
          <w:w w:val="95"/>
        </w:rPr>
        <w:t>可供出售金融资产，是指初始确认时即指定为可供出售的非衍生金融资产，以及除其他金融资产类别</w:t>
      </w:r>
      <w:r>
        <w:rPr/>
      </w:r>
    </w:p>
    <w:p>
      <w:pPr>
        <w:pStyle w:val="BodyText"/>
        <w:spacing w:line="201" w:lineRule="exact"/>
        <w:ind w:right="996"/>
        <w:jc w:val="left"/>
      </w:pPr>
      <w:r>
        <w:rPr/>
        <w:t>以外的金融资产。</w:t>
      </w:r>
    </w:p>
    <w:p>
      <w:pPr>
        <w:pStyle w:val="BodyText"/>
        <w:spacing w:line="273" w:lineRule="auto" w:before="157"/>
        <w:ind w:right="1130" w:firstLine="420"/>
        <w:jc w:val="both"/>
      </w:pPr>
      <w:r>
        <w:rPr>
          <w:w w:val="95"/>
        </w:rPr>
        <w:t>本公司对可供出售金融资产，在取得时按公允价值（扣除已宣告但尚未发放的现金股利或已到付息期</w:t>
      </w:r>
      <w:r>
        <w:rPr>
          <w:w w:val="99"/>
        </w:rPr>
        <w:t> </w:t>
      </w:r>
      <w:r>
        <w:rPr>
          <w:w w:val="95"/>
        </w:rPr>
        <w:t>但尚未领取的债券利息）和相关交易费用之和作为初始确认金额。持有期间将取得的利息或现金股利确认</w:t>
      </w:r>
      <w:r>
        <w:rPr>
          <w:spacing w:val="40"/>
          <w:w w:val="95"/>
        </w:rPr>
        <w:t> </w:t>
      </w:r>
      <w:r>
        <w:rPr>
          <w:spacing w:val="40"/>
          <w:w w:val="95"/>
        </w:rPr>
      </w:r>
      <w:r>
        <w:rPr>
          <w:w w:val="95"/>
        </w:rPr>
        <w:t>为投资收益。可供出售金融资产的公允价值变动形成的利得或损失，除减值损失和外币货币性金融资产形</w:t>
      </w:r>
      <w:r>
        <w:rPr>
          <w:spacing w:val="38"/>
          <w:w w:val="95"/>
        </w:rPr>
        <w:t> </w:t>
      </w:r>
      <w:r>
        <w:rPr>
          <w:spacing w:val="38"/>
          <w:w w:val="95"/>
        </w:rPr>
      </w:r>
      <w:r>
        <w:rPr>
          <w:w w:val="95"/>
        </w:rPr>
        <w:t>成的汇兑差额外，直接计入其他综合收益。处置可供出售金融资产时，将取得的价款与该金融资产账面价</w:t>
      </w:r>
      <w:r>
        <w:rPr>
          <w:spacing w:val="40"/>
          <w:w w:val="95"/>
        </w:rPr>
        <w:t> </w:t>
      </w:r>
      <w:r>
        <w:rPr>
          <w:spacing w:val="40"/>
          <w:w w:val="95"/>
        </w:rPr>
      </w:r>
      <w:r>
        <w:rPr>
          <w:w w:val="95"/>
        </w:rPr>
        <w:t>值之间的差额，计入投资损益；同时，将原直接计入其他综合收益的公允价值变动累计额对应处置部分的</w:t>
      </w:r>
      <w:r>
        <w:rPr>
          <w:spacing w:val="43"/>
          <w:w w:val="95"/>
        </w:rPr>
        <w:t> </w:t>
      </w:r>
      <w:r>
        <w:rPr>
          <w:spacing w:val="43"/>
          <w:w w:val="95"/>
        </w:rPr>
      </w:r>
      <w:r>
        <w:rPr/>
        <w:t>金额转出，计入投资损益。</w:t>
      </w:r>
    </w:p>
    <w:p>
      <w:pPr>
        <w:pStyle w:val="BodyText"/>
        <w:spacing w:line="273" w:lineRule="auto" w:before="127"/>
        <w:ind w:right="1135" w:firstLine="420"/>
        <w:jc w:val="both"/>
      </w:pPr>
      <w:r>
        <w:rPr>
          <w:w w:val="95"/>
        </w:rPr>
        <w:t>本公司对在活跃市场中没有报价且其公允价值不能可靠计量的权益工具投资，以及与该权益工具挂钩</w:t>
      </w:r>
      <w:r>
        <w:rPr>
          <w:w w:val="99"/>
        </w:rPr>
        <w:t> </w:t>
      </w:r>
      <w:r>
        <w:rPr/>
        <w:t>并须通过交付该权益工具结算的衍生金融资产，按照成本计量。</w:t>
      </w:r>
    </w:p>
    <w:p>
      <w:pPr>
        <w:pStyle w:val="BodyText"/>
        <w:spacing w:line="357" w:lineRule="auto" w:before="128"/>
        <w:ind w:left="532" w:right="2114"/>
        <w:jc w:val="left"/>
      </w:pPr>
      <w:r>
        <w:rPr>
          <w:rFonts w:ascii="Arial" w:hAnsi="Arial" w:cs="Arial" w:eastAsia="Arial" w:hint="default"/>
        </w:rPr>
        <w:t>5</w:t>
      </w:r>
      <w:r>
        <w:rPr/>
        <w:t>）其他金融负债</w:t>
      </w:r>
      <w:r>
        <w:rPr>
          <w:w w:val="99"/>
        </w:rPr>
        <w:t> </w:t>
      </w:r>
      <w:r>
        <w:rPr>
          <w:w w:val="95"/>
        </w:rPr>
        <w:t>按其公允价值和相关交易费用之和作为初始确认金额。采用摊余成本进行后续计量。</w:t>
      </w:r>
      <w:r>
        <w:rPr/>
      </w:r>
    </w:p>
    <w:p>
      <w:pPr>
        <w:spacing w:line="357" w:lineRule="auto" w:before="54"/>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公司发生金融资产转移时，如已将金融资产所有权上几乎所有的风险和报酬转移给转入方，则终止确</w:t>
      </w:r>
      <w:r>
        <w:rPr>
          <w:rFonts w:ascii="宋体" w:hAnsi="宋体" w:cs="宋体" w:eastAsia="宋体" w:hint="default"/>
          <w:sz w:val="21"/>
          <w:szCs w:val="21"/>
        </w:rPr>
      </w:r>
    </w:p>
    <w:p>
      <w:pPr>
        <w:pStyle w:val="BodyText"/>
        <w:spacing w:line="209" w:lineRule="exact"/>
        <w:ind w:right="996"/>
        <w:jc w:val="left"/>
      </w:pPr>
      <w:r>
        <w:rPr/>
        <w:t>认该金融资产；如保留了金融资产所有权上几乎所有的风险和报酬的，则不终止确认该金融资产。</w:t>
      </w:r>
    </w:p>
    <w:p>
      <w:pPr>
        <w:pStyle w:val="BodyText"/>
        <w:spacing w:line="273" w:lineRule="auto" w:before="157"/>
        <w:ind w:right="1132" w:firstLine="420"/>
        <w:jc w:val="both"/>
      </w:pPr>
      <w:r>
        <w:rPr>
          <w:w w:val="95"/>
        </w:rPr>
        <w:t>在判断金融资产转移是否满足上述金融资产终止确认条件时，采用实质重于形式的原则。公司将金融</w:t>
      </w:r>
      <w:r>
        <w:rPr>
          <w:w w:val="99"/>
        </w:rPr>
        <w:t> </w:t>
      </w:r>
      <w:r>
        <w:rPr>
          <w:w w:val="95"/>
        </w:rPr>
        <w:t>资产转移区分为金融资产整体转移和部分转移。金融资产整体转移满足终止确认条件的，将下列两项金额</w:t>
      </w:r>
      <w:r>
        <w:rPr>
          <w:spacing w:val="40"/>
          <w:w w:val="95"/>
        </w:rPr>
        <w:t> </w:t>
      </w:r>
      <w:r>
        <w:rPr>
          <w:spacing w:val="40"/>
          <w:w w:val="95"/>
        </w:rPr>
      </w:r>
      <w:r>
        <w:rPr/>
        <w:t>的差额计入当期损益：</w:t>
      </w:r>
    </w:p>
    <w:p>
      <w:pPr>
        <w:pStyle w:val="BodyText"/>
        <w:spacing w:line="240" w:lineRule="auto" w:before="127"/>
        <w:ind w:left="532" w:right="996"/>
        <w:jc w:val="left"/>
      </w:pPr>
      <w:r>
        <w:rPr>
          <w:rFonts w:ascii="Arial" w:hAnsi="Arial" w:cs="Arial" w:eastAsia="Arial" w:hint="default"/>
        </w:rPr>
        <w:t>1</w:t>
      </w:r>
      <w:r>
        <w:rPr/>
        <w:t>）所转移金融资产的账面价值；</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59" w:lineRule="auto" w:before="34"/>
        <w:ind w:right="996" w:firstLine="420"/>
        <w:jc w:val="left"/>
      </w:pPr>
      <w:r>
        <w:rPr>
          <w:rFonts w:ascii="Arial" w:hAnsi="Arial" w:cs="Arial" w:eastAsia="Arial" w:hint="default"/>
          <w:spacing w:val="2"/>
          <w:w w:val="95"/>
        </w:rPr>
        <w:t>2</w:t>
      </w:r>
      <w:r>
        <w:rPr>
          <w:spacing w:val="2"/>
          <w:w w:val="95"/>
        </w:rPr>
        <w:t>）因转移而收到的对价，与原直接计入所有者权益的公允价值变动累计额（涉及转移的金融资产为</w:t>
      </w:r>
      <w:r>
        <w:rPr>
          <w:spacing w:val="-92"/>
          <w:w w:val="95"/>
        </w:rPr>
        <w:t> </w:t>
      </w:r>
      <w:r>
        <w:rPr>
          <w:spacing w:val="-92"/>
          <w:w w:val="95"/>
        </w:rPr>
      </w:r>
      <w:r>
        <w:rPr/>
        <w:t>可供出售金融资产的情形）之和。</w:t>
      </w:r>
    </w:p>
    <w:p>
      <w:pPr>
        <w:pStyle w:val="BodyText"/>
        <w:spacing w:line="273" w:lineRule="auto" w:before="140"/>
        <w:ind w:right="996" w:firstLine="420"/>
        <w:jc w:val="left"/>
      </w:pPr>
      <w:r>
        <w:rPr>
          <w:w w:val="95"/>
        </w:rPr>
        <w:t>金融资产部分转移满足终止确认条件的，将所转移金融资产整体的账面价值，在终止确认部分和未终</w:t>
      </w:r>
      <w:r>
        <w:rPr>
          <w:w w:val="99"/>
        </w:rPr>
        <w:t> </w:t>
      </w:r>
      <w:r>
        <w:rPr/>
        <w:t>止确认部分之间，按照各自的相对公允价值进行分摊，并将下列两项金额的差额计入当期损益：</w:t>
      </w:r>
    </w:p>
    <w:p>
      <w:pPr>
        <w:pStyle w:val="BodyText"/>
        <w:spacing w:line="240" w:lineRule="auto" w:before="127"/>
        <w:ind w:left="532" w:right="996"/>
        <w:jc w:val="left"/>
      </w:pPr>
      <w:r>
        <w:rPr>
          <w:rFonts w:ascii="Arial" w:hAnsi="Arial" w:cs="Arial" w:eastAsia="Arial" w:hint="default"/>
        </w:rPr>
        <w:t>1</w:t>
      </w:r>
      <w:r>
        <w:rPr/>
        <w:t>）终止确认部分的账面价值；</w:t>
      </w:r>
    </w:p>
    <w:p>
      <w:pPr>
        <w:pStyle w:val="BodyText"/>
        <w:spacing w:line="259" w:lineRule="auto" w:before="142"/>
        <w:ind w:right="996" w:firstLine="420"/>
        <w:jc w:val="left"/>
      </w:pPr>
      <w:r>
        <w:rPr>
          <w:rFonts w:ascii="Arial" w:hAnsi="Arial" w:cs="Arial" w:eastAsia="Arial" w:hint="default"/>
          <w:spacing w:val="2"/>
          <w:w w:val="95"/>
        </w:rPr>
        <w:t>2</w:t>
      </w:r>
      <w:r>
        <w:rPr>
          <w:spacing w:val="2"/>
          <w:w w:val="95"/>
        </w:rPr>
        <w:t>）终止确认部分的对价，与原直接计入所有者权益的公允价值变动累计额中对应终止确认部分的金</w:t>
      </w:r>
      <w:r>
        <w:rPr>
          <w:spacing w:val="-92"/>
          <w:w w:val="95"/>
        </w:rPr>
        <w:t> </w:t>
      </w:r>
      <w:r>
        <w:rPr>
          <w:spacing w:val="-92"/>
          <w:w w:val="95"/>
        </w:rPr>
      </w:r>
      <w:r>
        <w:rPr/>
        <w:t>额（涉及转移的金融资产为可供出售金融资产的情形）之和。</w:t>
      </w:r>
    </w:p>
    <w:p>
      <w:pPr>
        <w:pStyle w:val="BodyText"/>
        <w:spacing w:line="240" w:lineRule="auto" w:before="140"/>
        <w:ind w:left="532" w:right="996"/>
        <w:jc w:val="left"/>
      </w:pPr>
      <w:r>
        <w:rPr/>
        <w:t>金融资产转移不满足终止确认条件的，继续确认该金融资产，所收到的对价确认为一项金融负债。</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BodyText"/>
        <w:spacing w:line="209" w:lineRule="exact"/>
        <w:ind w:right="996"/>
        <w:jc w:val="left"/>
      </w:pPr>
      <w:r>
        <w:rPr/>
        <w:t>签定协议，以承担新金融负债方式替换现存金融负债，且新金融负债与现存金融负债的合同条款实质上不</w:t>
      </w:r>
    </w:p>
    <w:p>
      <w:pPr>
        <w:pStyle w:val="BodyText"/>
        <w:spacing w:line="240" w:lineRule="auto" w:before="37"/>
        <w:ind w:right="996"/>
        <w:jc w:val="left"/>
      </w:pPr>
      <w:r>
        <w:rPr/>
        <w:t>同的，则终止确认现存金融负债，并同时确认新金融负债。</w:t>
      </w:r>
    </w:p>
    <w:p>
      <w:pPr>
        <w:pStyle w:val="BodyText"/>
        <w:spacing w:line="273" w:lineRule="auto" w:before="157"/>
        <w:ind w:right="996" w:firstLine="420"/>
        <w:jc w:val="left"/>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pStyle w:val="BodyText"/>
        <w:spacing w:line="273" w:lineRule="auto" w:before="127"/>
        <w:ind w:right="996" w:firstLine="420"/>
        <w:jc w:val="left"/>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before="127"/>
        <w:ind w:right="113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存在活跃市场的金融资产或金融负债，以活跃市场的报价确定其公允价值；活跃市场的报价包括易于</w:t>
      </w:r>
      <w:r>
        <w:rPr>
          <w:rFonts w:ascii="宋体" w:hAnsi="宋体" w:cs="宋体" w:eastAsia="宋体" w:hint="default"/>
          <w:sz w:val="21"/>
          <w:szCs w:val="21"/>
        </w:rPr>
      </w:r>
    </w:p>
    <w:p>
      <w:pPr>
        <w:pStyle w:val="BodyText"/>
        <w:spacing w:line="209" w:lineRule="exact"/>
        <w:ind w:right="996"/>
        <w:jc w:val="left"/>
      </w:pPr>
      <w:r>
        <w:rPr/>
        <w:t>且可定期从交易所、交易商、经纪人、行业集团、定价机构或监管机构等获得相关资产或负债的报价，且</w:t>
      </w:r>
    </w:p>
    <w:p>
      <w:pPr>
        <w:pStyle w:val="BodyText"/>
        <w:spacing w:line="240" w:lineRule="auto" w:before="37"/>
        <w:ind w:right="996"/>
        <w:jc w:val="left"/>
      </w:pPr>
      <w:r>
        <w:rPr/>
        <w:t>能代表在公平交易基础上实际并经常发生的市场交易。</w:t>
      </w:r>
    </w:p>
    <w:p>
      <w:pPr>
        <w:pStyle w:val="BodyText"/>
        <w:spacing w:line="430" w:lineRule="atLeast" w:before="2"/>
        <w:ind w:left="532" w:right="996"/>
        <w:jc w:val="left"/>
      </w:pP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73" w:lineRule="auto" w:before="37"/>
        <w:ind w:right="1132"/>
        <w:jc w:val="both"/>
      </w:pPr>
      <w:r>
        <w:rPr>
          <w:w w:val="95"/>
        </w:rPr>
        <w:t>前情况下适用并且有足够可利用数据和其他信息支持的估值技术，选择与市场参与者在相关资产或负债的</w:t>
      </w:r>
      <w:r>
        <w:rPr>
          <w:spacing w:val="39"/>
          <w:w w:val="95"/>
        </w:rPr>
        <w:t> </w:t>
      </w:r>
      <w:r>
        <w:rPr>
          <w:spacing w:val="39"/>
          <w:w w:val="95"/>
        </w:rPr>
      </w: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spacing w:line="357" w:lineRule="auto" w:before="128"/>
        <w:ind w:left="532" w:right="113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4"/>
          <w:sz w:val="21"/>
          <w:szCs w:val="21"/>
        </w:rPr>
        <w:t>资产负债表日对以公允价值计量且其变动计入当期损益的金融资产以外的金融资产的账面价值进行</w:t>
      </w:r>
    </w:p>
    <w:p>
      <w:pPr>
        <w:pStyle w:val="BodyText"/>
        <w:spacing w:line="209" w:lineRule="exact"/>
        <w:ind w:right="996"/>
        <w:jc w:val="left"/>
      </w:pPr>
      <w:r>
        <w:rPr/>
        <w:t>检查，如有客观证据表明该金融资产发生减值的，计提减值准备。</w:t>
      </w:r>
    </w:p>
    <w:p>
      <w:pPr>
        <w:pStyle w:val="BodyText"/>
        <w:spacing w:line="240" w:lineRule="auto" w:before="157"/>
        <w:ind w:left="532" w:right="996"/>
        <w:jc w:val="left"/>
      </w:pPr>
      <w:r>
        <w:rPr/>
        <w:t>金融资产发生减值的客观证据，包括但不限于：</w:t>
      </w:r>
    </w:p>
    <w:p>
      <w:pPr>
        <w:pStyle w:val="BodyText"/>
        <w:spacing w:line="240" w:lineRule="auto" w:before="157"/>
        <w:ind w:left="532" w:right="996"/>
        <w:jc w:val="left"/>
      </w:pPr>
      <w:r>
        <w:rPr>
          <w:rFonts w:ascii="Arial" w:hAnsi="Arial" w:cs="Arial" w:eastAsia="Arial" w:hint="default"/>
        </w:rPr>
        <w:t>1</w:t>
      </w:r>
      <w:r>
        <w:rPr/>
        <w:t>）发行方或债务人发生严重财务困难；</w:t>
      </w:r>
    </w:p>
    <w:p>
      <w:pPr>
        <w:pStyle w:val="BodyText"/>
        <w:spacing w:line="240" w:lineRule="auto" w:before="142"/>
        <w:ind w:left="532" w:right="996"/>
        <w:jc w:val="left"/>
      </w:pPr>
      <w:r>
        <w:rPr>
          <w:rFonts w:ascii="Arial" w:hAnsi="Arial" w:cs="Arial" w:eastAsia="Arial" w:hint="default"/>
        </w:rPr>
        <w:t>2</w:t>
      </w:r>
      <w:r>
        <w:rPr/>
        <w:t>）债务人违反了合同条款，如偿付利息或本金发生违约或逾期等；</w:t>
      </w:r>
    </w:p>
    <w:p>
      <w:pPr>
        <w:pStyle w:val="BodyText"/>
        <w:spacing w:line="240" w:lineRule="auto" w:before="142"/>
        <w:ind w:left="532" w:right="996"/>
        <w:jc w:val="left"/>
      </w:pPr>
      <w:r>
        <w:rPr>
          <w:rFonts w:ascii="Arial" w:hAnsi="Arial" w:cs="Arial" w:eastAsia="Arial" w:hint="default"/>
        </w:rPr>
        <w:t>3</w:t>
      </w:r>
      <w:r>
        <w:rPr/>
        <w:t>）债权人出于经济或法律等方面因素的考虑，对发生财务困难的债务人作出让步；</w:t>
      </w:r>
    </w:p>
    <w:p>
      <w:pPr>
        <w:pStyle w:val="BodyText"/>
        <w:spacing w:line="240" w:lineRule="auto" w:before="142"/>
        <w:ind w:left="532" w:right="996"/>
        <w:jc w:val="left"/>
      </w:pPr>
      <w:r>
        <w:rPr>
          <w:rFonts w:ascii="Arial" w:hAnsi="Arial" w:cs="Arial" w:eastAsia="Arial" w:hint="default"/>
        </w:rPr>
        <w:t>4</w:t>
      </w:r>
      <w:r>
        <w:rPr/>
        <w:t>）债务人很可能倒闭或进行其他财务重组；</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left="532" w:right="996"/>
        <w:jc w:val="left"/>
      </w:pPr>
      <w:r>
        <w:rPr>
          <w:rFonts w:ascii="Arial" w:hAnsi="Arial" w:cs="Arial" w:eastAsia="Arial" w:hint="default"/>
        </w:rPr>
        <w:t>5</w:t>
      </w:r>
      <w:r>
        <w:rPr/>
        <w:t>）因发行方发生重大财务困难，该金融资产无法在活跃市场继续交易；</w:t>
      </w:r>
    </w:p>
    <w:p>
      <w:pPr>
        <w:pStyle w:val="BodyText"/>
        <w:spacing w:line="268" w:lineRule="auto" w:before="142"/>
        <w:ind w:right="1130" w:firstLine="420"/>
        <w:jc w:val="both"/>
      </w:pPr>
      <w:r>
        <w:rPr>
          <w:rFonts w:ascii="Arial" w:hAnsi="Arial" w:cs="Arial" w:eastAsia="Arial" w:hint="default"/>
          <w:spacing w:val="2"/>
          <w:w w:val="95"/>
        </w:rPr>
        <w:t>6</w:t>
      </w:r>
      <w:r>
        <w:rPr>
          <w:spacing w:val="2"/>
          <w:w w:val="95"/>
        </w:rPr>
        <w:t>）无法辨认一组金融资产中的某项资产的现金流量是否已经减少，但根据公开的数据对其进行总体</w:t>
      </w:r>
      <w:r>
        <w:rPr>
          <w:spacing w:val="-92"/>
          <w:w w:val="95"/>
        </w:rPr>
        <w:t> </w:t>
      </w:r>
      <w:r>
        <w:rPr>
          <w:spacing w:val="-92"/>
          <w:w w:val="95"/>
        </w:rPr>
      </w:r>
      <w:r>
        <w:rPr>
          <w:w w:val="95"/>
        </w:rPr>
        <w:t>评价后发现，该组金融资产自初始确认以来的预计未来现金流量确已减少且可计量，如该组金融资产的债</w:t>
      </w:r>
      <w:r>
        <w:rPr>
          <w:spacing w:val="40"/>
          <w:w w:val="95"/>
        </w:rPr>
        <w:t> </w:t>
      </w:r>
      <w:r>
        <w:rPr>
          <w:spacing w:val="40"/>
          <w:w w:val="95"/>
        </w:rPr>
      </w:r>
      <w:r>
        <w:rPr>
          <w:w w:val="95"/>
        </w:rPr>
        <w:t>务人支付能力逐步恶化，或债务人所在国家或地区失业率提高、担保物在其所在地区的价格明显下降、所</w:t>
      </w:r>
      <w:r>
        <w:rPr>
          <w:spacing w:val="43"/>
          <w:w w:val="95"/>
        </w:rPr>
        <w:t> </w:t>
      </w:r>
      <w:r>
        <w:rPr>
          <w:spacing w:val="43"/>
          <w:w w:val="95"/>
        </w:rPr>
      </w:r>
      <w:r>
        <w:rPr/>
        <w:t>处行业不景气等；</w:t>
      </w:r>
    </w:p>
    <w:p>
      <w:pPr>
        <w:pStyle w:val="BodyText"/>
        <w:spacing w:line="259" w:lineRule="auto" w:before="132"/>
        <w:ind w:right="1133" w:firstLine="420"/>
        <w:jc w:val="both"/>
      </w:pPr>
      <w:r>
        <w:rPr>
          <w:rFonts w:ascii="Arial" w:hAnsi="Arial" w:cs="Arial" w:eastAsia="Arial" w:hint="default"/>
          <w:spacing w:val="2"/>
          <w:w w:val="95"/>
        </w:rPr>
        <w:t>7</w:t>
      </w:r>
      <w:r>
        <w:rPr>
          <w:spacing w:val="2"/>
          <w:w w:val="95"/>
        </w:rPr>
        <w:t>）权益工具发行方经营所处的技术、市场、经济或法律环境等发生重大不利变化，使权益工具投资</w:t>
      </w:r>
      <w:r>
        <w:rPr>
          <w:spacing w:val="-92"/>
          <w:w w:val="95"/>
        </w:rPr>
        <w:t> </w:t>
      </w:r>
      <w:r>
        <w:rPr>
          <w:spacing w:val="-92"/>
          <w:w w:val="95"/>
        </w:rPr>
      </w:r>
      <w:r>
        <w:rPr/>
        <w:t>人可能无法收回投资成本；</w:t>
      </w:r>
    </w:p>
    <w:p>
      <w:pPr>
        <w:pStyle w:val="BodyText"/>
        <w:spacing w:line="367" w:lineRule="auto" w:before="140"/>
        <w:ind w:left="532" w:right="4994"/>
        <w:jc w:val="left"/>
      </w:pPr>
      <w:r>
        <w:rPr>
          <w:rFonts w:ascii="Arial" w:hAnsi="Arial" w:cs="Arial" w:eastAsia="Arial" w:hint="default"/>
          <w:w w:val="95"/>
        </w:rPr>
        <w:t>8</w:t>
      </w:r>
      <w:r>
        <w:rPr>
          <w:w w:val="95"/>
        </w:rPr>
        <w:t>）权益工具投资的公允价值发生严重或非暂时性下跌；</w:t>
      </w:r>
      <w:r>
        <w:rPr>
          <w:spacing w:val="44"/>
          <w:w w:val="95"/>
        </w:rPr>
        <w:t> </w:t>
      </w:r>
      <w:r>
        <w:rPr>
          <w:spacing w:val="44"/>
          <w:w w:val="95"/>
        </w:rPr>
      </w:r>
      <w:r>
        <w:rPr/>
        <w:t>金融资产的具体减值方法如下：</w:t>
      </w:r>
      <w:r>
        <w:rPr>
          <w:w w:val="99"/>
        </w:rPr>
        <w:t> </w:t>
      </w:r>
      <w:r>
        <w:rPr>
          <w:rFonts w:ascii="Arial" w:hAnsi="Arial" w:cs="Arial" w:eastAsia="Arial" w:hint="default"/>
        </w:rPr>
        <w:t>1</w:t>
      </w:r>
      <w:r>
        <w:rPr/>
        <w:t>）可供出售金融资产减值准备</w:t>
      </w:r>
    </w:p>
    <w:p>
      <w:pPr>
        <w:pStyle w:val="BodyText"/>
        <w:spacing w:line="264" w:lineRule="auto" w:before="18"/>
        <w:ind w:right="996" w:firstLine="420"/>
        <w:jc w:val="left"/>
      </w:pPr>
      <w:r>
        <w:rPr/>
        <w:t>本公司于资产负债表日对各项可供出售权益工具投资单独进行检查，若该权益工具投资于资产负债表</w:t>
      </w:r>
      <w:r>
        <w:rPr>
          <w:w w:val="99"/>
        </w:rPr>
        <w:t> </w:t>
      </w:r>
      <w:r>
        <w:rPr/>
        <w:t>日的公允价值低于其成本超过</w:t>
      </w:r>
      <w:r>
        <w:rPr>
          <w:rFonts w:ascii="Arial" w:hAnsi="Arial" w:cs="Arial" w:eastAsia="Arial" w:hint="default"/>
        </w:rPr>
        <w:t>50%</w:t>
      </w:r>
      <w:r>
        <w:rPr/>
        <w:t>（含</w:t>
      </w:r>
      <w:r>
        <w:rPr>
          <w:rFonts w:ascii="Arial" w:hAnsi="Arial" w:cs="Arial" w:eastAsia="Arial" w:hint="default"/>
        </w:rPr>
        <w:t>50%</w:t>
      </w:r>
      <w:r>
        <w:rPr/>
        <w:t>）或低于其成本持续时间超过一年（含一年）的，则表明其发</w:t>
      </w:r>
      <w:r>
        <w:rPr>
          <w:w w:val="99"/>
        </w:rPr>
        <w:t> </w:t>
      </w:r>
      <w:r>
        <w:rPr>
          <w:spacing w:val="-2"/>
          <w:w w:val="95"/>
        </w:rPr>
        <w:t>生减值；若该权益工具投资于资产负债表日的公允价值低于其成本超过</w:t>
      </w:r>
      <w:r>
        <w:rPr>
          <w:rFonts w:ascii="Arial" w:hAnsi="Arial" w:cs="Arial" w:eastAsia="Arial" w:hint="default"/>
          <w:spacing w:val="-2"/>
          <w:w w:val="95"/>
        </w:rPr>
        <w:t>20%</w:t>
      </w:r>
      <w:r>
        <w:rPr>
          <w:spacing w:val="-2"/>
          <w:w w:val="95"/>
        </w:rPr>
        <w:t>（含</w:t>
      </w:r>
      <w:r>
        <w:rPr>
          <w:rFonts w:ascii="Arial" w:hAnsi="Arial" w:cs="Arial" w:eastAsia="Arial" w:hint="default"/>
          <w:spacing w:val="-2"/>
          <w:w w:val="95"/>
        </w:rPr>
        <w:t>20%</w:t>
      </w:r>
      <w:r>
        <w:rPr>
          <w:spacing w:val="-2"/>
          <w:w w:val="95"/>
        </w:rPr>
        <w:t>）但尚未达到</w:t>
      </w:r>
      <w:r>
        <w:rPr>
          <w:rFonts w:ascii="Arial" w:hAnsi="Arial" w:cs="Arial" w:eastAsia="Arial" w:hint="default"/>
          <w:spacing w:val="-2"/>
          <w:w w:val="95"/>
        </w:rPr>
        <w:t>50%</w:t>
      </w:r>
      <w:r>
        <w:rPr>
          <w:spacing w:val="-2"/>
          <w:w w:val="95"/>
        </w:rPr>
        <w:t>的，</w:t>
      </w:r>
      <w:r>
        <w:rPr>
          <w:spacing w:val="56"/>
          <w:w w:val="95"/>
        </w:rPr>
        <w:t> </w:t>
      </w:r>
      <w:r>
        <w:rPr>
          <w:spacing w:val="56"/>
          <w:w w:val="95"/>
        </w:rPr>
      </w:r>
      <w:r>
        <w:rPr/>
        <w:t>本公司会综合考虑其他相关因素诸如价格波动率等，判断该权益工具投资是否发生减值。</w:t>
      </w:r>
    </w:p>
    <w:p>
      <w:pPr>
        <w:pStyle w:val="BodyText"/>
        <w:spacing w:line="273" w:lineRule="auto" w:before="136"/>
        <w:ind w:right="1132" w:firstLine="420"/>
        <w:jc w:val="both"/>
      </w:pPr>
      <w:r>
        <w:rPr>
          <w:w w:val="95"/>
        </w:rPr>
        <w:t>上段所述成本按照可供出售权益工具投资的初始取得成本扣除已收回本金和已摊销金额、原已计入损</w:t>
      </w:r>
      <w:r>
        <w:rPr>
          <w:w w:val="99"/>
        </w:rPr>
        <w:t> </w:t>
      </w:r>
      <w:r>
        <w:rPr>
          <w:w w:val="95"/>
        </w:rPr>
        <w:t>益的减值损失确定；不存在活跃市场的可供出售权益工具投资的公允价值，按照类似金融资产当时市场收</w:t>
      </w:r>
      <w:r>
        <w:rPr>
          <w:spacing w:val="40"/>
          <w:w w:val="95"/>
        </w:rPr>
        <w:t> </w:t>
      </w:r>
      <w:r>
        <w:rPr>
          <w:spacing w:val="40"/>
          <w:w w:val="95"/>
        </w:rPr>
      </w:r>
      <w:r>
        <w:rPr>
          <w:w w:val="95"/>
        </w:rPr>
        <w:t>益率对未来现金流量折现确定的现值确定；在活跃市场有报价的可供出售权益工具投资的公允价值根据证</w:t>
      </w:r>
      <w:r>
        <w:rPr>
          <w:spacing w:val="39"/>
          <w:w w:val="95"/>
        </w:rPr>
        <w:t> </w:t>
      </w:r>
      <w:r>
        <w:rPr>
          <w:spacing w:val="39"/>
          <w:w w:val="95"/>
        </w:rPr>
      </w:r>
      <w:r>
        <w:rPr>
          <w:w w:val="95"/>
        </w:rPr>
        <w:t>券交易所期末收盘价确定，除非该项可供出售权益工具投资存在限售期。对于存在限售期的可供出售权益</w:t>
      </w:r>
      <w:r>
        <w:rPr>
          <w:spacing w:val="37"/>
          <w:w w:val="95"/>
        </w:rPr>
        <w:t> </w:t>
      </w:r>
      <w:r>
        <w:rPr>
          <w:spacing w:val="37"/>
          <w:w w:val="95"/>
        </w:rPr>
      </w:r>
      <w:r>
        <w:rPr>
          <w:w w:val="95"/>
        </w:rPr>
        <w:t>工具投资，按照证券交易所期末收盘价扣除市场参与者因承担指定期间内无法在公开市场上出售该权益工</w:t>
      </w:r>
      <w:r>
        <w:rPr>
          <w:spacing w:val="39"/>
          <w:w w:val="95"/>
        </w:rPr>
        <w:t> </w:t>
      </w:r>
      <w:r>
        <w:rPr>
          <w:spacing w:val="39"/>
          <w:w w:val="95"/>
        </w:rPr>
      </w:r>
      <w:r>
        <w:rPr/>
        <w:t>具的风险而要求获得的补偿金额后确定。</w:t>
      </w:r>
    </w:p>
    <w:p>
      <w:pPr>
        <w:pStyle w:val="BodyText"/>
        <w:spacing w:line="273" w:lineRule="auto" w:before="127"/>
        <w:ind w:right="1130" w:firstLine="420"/>
        <w:jc w:val="both"/>
      </w:pPr>
      <w:r>
        <w:rPr>
          <w:w w:val="95"/>
        </w:rPr>
        <w:t>可供出售金融资产发生减值时，即使该金融资产没有终止确认，本公司将原直接计入其他综合收益的</w:t>
      </w:r>
      <w:r>
        <w:rPr>
          <w:w w:val="99"/>
        </w:rPr>
        <w:t> </w:t>
      </w:r>
      <w:r>
        <w:rPr>
          <w:w w:val="95"/>
        </w:rPr>
        <w:t>因公允价值下降形成的累计损失从其他综合收益转出，计入当期损益。该转出的累计损失，等于可供出售</w:t>
      </w:r>
      <w:r>
        <w:rPr>
          <w:spacing w:val="43"/>
          <w:w w:val="95"/>
        </w:rPr>
        <w:t> </w:t>
      </w:r>
      <w:r>
        <w:rPr>
          <w:spacing w:val="43"/>
          <w:w w:val="95"/>
        </w:rPr>
      </w:r>
      <w:r>
        <w:rPr>
          <w:w w:val="95"/>
        </w:rPr>
        <w:t>金融资产的初始取得成本扣除已收回本金和已摊余金额、当前公允价值和原已计入损益的减值损失后的余   </w:t>
      </w:r>
      <w:r>
        <w:rPr>
          <w:spacing w:val="39"/>
          <w:w w:val="95"/>
        </w:rPr>
        <w:t> </w:t>
      </w:r>
      <w:r>
        <w:rPr>
          <w:spacing w:val="39"/>
          <w:w w:val="95"/>
        </w:rPr>
      </w:r>
      <w:r>
        <w:rPr/>
        <w:t>额。</w:t>
      </w:r>
    </w:p>
    <w:p>
      <w:pPr>
        <w:pStyle w:val="BodyText"/>
        <w:spacing w:line="273" w:lineRule="auto" w:before="127"/>
        <w:ind w:right="1132" w:firstLine="420"/>
        <w:jc w:val="both"/>
      </w:pPr>
      <w:r>
        <w:rPr>
          <w:w w:val="95"/>
        </w:rPr>
        <w:t>对于已确认减值损失的可供出售债务工具，在随后的会计期间公允价值已上升且客观上与确认原减值</w:t>
      </w:r>
      <w:r>
        <w:rPr>
          <w:w w:val="99"/>
        </w:rPr>
        <w:t> </w:t>
      </w:r>
      <w:r>
        <w:rPr>
          <w:w w:val="95"/>
        </w:rPr>
        <w:t>损失后发生的事项有关的，原确认的减值损失予以转回计入当期损益；对于可供出售权益工具投资发生的</w:t>
      </w:r>
      <w:r>
        <w:rPr>
          <w:spacing w:val="40"/>
          <w:w w:val="95"/>
        </w:rPr>
        <w:t> </w:t>
      </w:r>
      <w:r>
        <w:rPr>
          <w:spacing w:val="40"/>
          <w:w w:val="95"/>
        </w:rPr>
      </w:r>
      <w:r>
        <w:rPr>
          <w:w w:val="95"/>
        </w:rPr>
        <w:t>减值损失，在该权益工具价值回升时通过权益转回；但在活跃市场中没有报价且其公允价值不能可靠计量</w:t>
      </w:r>
      <w:r>
        <w:rPr>
          <w:spacing w:val="40"/>
          <w:w w:val="95"/>
        </w:rPr>
        <w:t> </w:t>
      </w:r>
      <w:r>
        <w:rPr>
          <w:spacing w:val="40"/>
          <w:w w:val="95"/>
        </w:rPr>
      </w:r>
      <w:r>
        <w:rPr>
          <w:w w:val="95"/>
        </w:rPr>
        <w:t>的权益工具投资，或与该权益工具挂钩并须通过交付该权益工具结算的衍生金融资产发生的减值损失，不</w:t>
      </w:r>
      <w:r>
        <w:rPr>
          <w:spacing w:val="40"/>
          <w:w w:val="95"/>
        </w:rPr>
        <w:t> </w:t>
      </w:r>
      <w:r>
        <w:rPr>
          <w:spacing w:val="40"/>
          <w:w w:val="95"/>
        </w:rPr>
      </w:r>
      <w:r>
        <w:rPr/>
        <w:t>得转回。</w:t>
      </w:r>
    </w:p>
    <w:p>
      <w:pPr>
        <w:pStyle w:val="BodyText"/>
        <w:spacing w:line="357" w:lineRule="auto" w:before="127"/>
        <w:ind w:left="532" w:right="996"/>
        <w:jc w:val="left"/>
      </w:pPr>
      <w:r>
        <w:rPr>
          <w:rFonts w:ascii="Arial" w:hAnsi="Arial" w:cs="Arial" w:eastAsia="Arial" w:hint="default"/>
        </w:rPr>
        <w:t>2</w:t>
      </w:r>
      <w:r>
        <w:rPr/>
        <w:t>）持有至到期投资减值准备</w:t>
      </w:r>
      <w:r>
        <w:rPr>
          <w:w w:val="99"/>
        </w:rPr>
        <w:t> </w:t>
      </w:r>
      <w:r>
        <w:rPr>
          <w:w w:val="95"/>
        </w:rPr>
        <w:t>对于持有至到期投资，有客观证据表明其发生了减值的，根据其账面价值与预计未来现金流量现值之</w:t>
      </w:r>
      <w:r>
        <w:rPr/>
      </w:r>
    </w:p>
    <w:p>
      <w:pPr>
        <w:pStyle w:val="BodyText"/>
        <w:spacing w:line="209" w:lineRule="exact"/>
        <w:ind w:right="996"/>
        <w:jc w:val="left"/>
      </w:pPr>
      <w:r>
        <w:rPr/>
        <w:t>间差额计算确认减值损失；计提后如有证据表明其价值已恢复，原确认的减值损失可予以转回，记入当期</w:t>
      </w:r>
    </w:p>
    <w:p>
      <w:pPr>
        <w:pStyle w:val="BodyText"/>
        <w:spacing w:line="240" w:lineRule="auto" w:before="37"/>
        <w:ind w:right="996"/>
        <w:jc w:val="left"/>
      </w:pPr>
      <w:r>
        <w:rPr/>
        <w:t>损益，但该转回的账面价值不超过假定不计提减值准备情况下该金融资产在转回日的摊余成本。</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6</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09" w:lineRule="exact"/>
        <w:ind w:right="996"/>
        <w:jc w:val="left"/>
      </w:pPr>
      <w:r>
        <w:rPr/>
        <w:t>抵销后的净额在资产负债表内列示：</w:t>
      </w:r>
    </w:p>
    <w:p>
      <w:pPr>
        <w:pStyle w:val="BodyText"/>
        <w:spacing w:line="240" w:lineRule="auto" w:before="157"/>
        <w:ind w:left="532" w:right="996"/>
        <w:jc w:val="left"/>
      </w:pPr>
      <w:r>
        <w:rPr>
          <w:rFonts w:ascii="Arial" w:hAnsi="Arial" w:cs="Arial" w:eastAsia="Arial" w:hint="default"/>
        </w:rPr>
        <w:t>1</w:t>
      </w:r>
      <w:r>
        <w:rPr/>
        <w:t>）本公司具有抵销已确认金额的法定权利，且该种法定权利是当前可执行的；</w:t>
      </w:r>
    </w:p>
    <w:p>
      <w:pPr>
        <w:pStyle w:val="BodyText"/>
        <w:spacing w:line="240" w:lineRule="auto" w:before="142"/>
        <w:ind w:left="532" w:right="996"/>
        <w:jc w:val="left"/>
      </w:pPr>
      <w:r>
        <w:rPr>
          <w:rFonts w:ascii="Arial" w:hAnsi="Arial" w:cs="Arial" w:eastAsia="Arial" w:hint="default"/>
        </w:rPr>
        <w:t>2</w:t>
      </w:r>
      <w:r>
        <w:rPr/>
        <w:t>）本公司计划以净额结算，或同时变现该金融资产和清偿该金融负债。</w:t>
      </w:r>
    </w:p>
    <w:p>
      <w:pPr>
        <w:spacing w:after="0" w:line="240" w:lineRule="auto"/>
        <w:jc w:val="left"/>
        <w:sectPr>
          <w:footerReference w:type="default" r:id="rId37"/>
          <w:pgSz w:w="11910" w:h="16840"/>
          <w:pgMar w:footer="1016" w:header="878" w:top="1100" w:bottom="1200" w:left="1020" w:right="0"/>
          <w:pgNumType w:start="13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10、应收票据" w:id="174"/>
      <w:bookmarkEnd w:id="174"/>
      <w:r>
        <w:rPr>
          <w:b w:val="0"/>
          <w:bCs w:val="0"/>
        </w:rPr>
      </w:r>
      <w:r>
        <w:rPr>
          <w:rFonts w:ascii="Arial" w:hAnsi="Arial" w:cs="Arial" w:eastAsia="Arial" w:hint="default"/>
        </w:rPr>
        <w:t>10</w:t>
      </w:r>
      <w:r>
        <w:rPr/>
        <w:t>、应收票据</w:t>
      </w:r>
      <w:r>
        <w:rPr>
          <w:b w:val="0"/>
          <w:bCs w:val="0"/>
        </w:rPr>
      </w:r>
    </w:p>
    <w:p>
      <w:pPr>
        <w:spacing w:line="240" w:lineRule="auto" w:before="8"/>
        <w:rPr>
          <w:rFonts w:ascii="宋体" w:hAnsi="宋体" w:cs="宋体" w:eastAsia="宋体" w:hint="default"/>
          <w:b/>
          <w:bCs/>
          <w:sz w:val="24"/>
          <w:szCs w:val="24"/>
        </w:rPr>
      </w:pPr>
    </w:p>
    <w:p>
      <w:pPr>
        <w:pStyle w:val="BodyText"/>
        <w:spacing w:line="357" w:lineRule="auto"/>
        <w:ind w:left="532" w:right="996"/>
        <w:jc w:val="left"/>
      </w:pPr>
      <w:r>
        <w:rPr>
          <w:spacing w:val="-3"/>
          <w:w w:val="99"/>
        </w:rPr>
        <w:t>本公司对应收票据的预期信用损失的确定方法及会计处理方法详见本附注五／</w:t>
      </w:r>
      <w:r>
        <w:rPr>
          <w:rFonts w:ascii="Arial" w:hAnsi="Arial" w:cs="Arial" w:eastAsia="Arial" w:hint="default"/>
          <w:spacing w:val="-3"/>
          <w:w w:val="99"/>
        </w:rPr>
        <w:t>9</w:t>
      </w:r>
      <w:r>
        <w:rPr>
          <w:spacing w:val="-3"/>
          <w:w w:val="99"/>
        </w:rPr>
        <w:t>、（</w:t>
      </w:r>
      <w:r>
        <w:rPr>
          <w:rFonts w:ascii="Arial" w:hAnsi="Arial" w:cs="Arial" w:eastAsia="Arial" w:hint="default"/>
          <w:spacing w:val="-3"/>
          <w:w w:val="99"/>
        </w:rPr>
        <w:t>6</w:t>
      </w:r>
      <w:r>
        <w:rPr>
          <w:spacing w:val="-3"/>
          <w:w w:val="99"/>
        </w:rPr>
        <w:t>）金融工具减值。</w:t>
      </w:r>
      <w:r>
        <w:rPr>
          <w:spacing w:val="-94"/>
          <w:w w:val="99"/>
        </w:rPr>
        <w:t> </w:t>
      </w:r>
      <w:r>
        <w:rPr>
          <w:spacing w:val="-94"/>
          <w:w w:val="99"/>
        </w:rPr>
      </w:r>
      <w:r>
        <w:rPr/>
        <w:t>当在单项工具层面无法以合理成本评估预期信用损失的充分证据时，本公司参考历史信用损失经验，</w:t>
      </w:r>
    </w:p>
    <w:p>
      <w:pPr>
        <w:pStyle w:val="BodyText"/>
        <w:spacing w:line="209" w:lineRule="exact"/>
        <w:ind w:right="996"/>
        <w:jc w:val="left"/>
      </w:pPr>
      <w:r>
        <w:rPr/>
        <w:t>结合当前状况以及对未来经济状况的判断，依据信用风险特征将应收票据划分为若干组合，在组合基础上</w:t>
      </w:r>
    </w:p>
    <w:p>
      <w:pPr>
        <w:pStyle w:val="BodyText"/>
        <w:spacing w:line="240" w:lineRule="auto" w:before="37"/>
        <w:ind w:right="996"/>
        <w:jc w:val="left"/>
      </w:pPr>
      <w:r>
        <w:rPr/>
        <w:t>计算预期信用损失。确定组合的依据如下：</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587" w:hRule="exact"/>
        </w:trPr>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97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2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450" w:hRule="exact"/>
        </w:trPr>
        <w:tc>
          <w:tcPr>
            <w:tcW w:w="3232" w:type="dxa"/>
            <w:tcBorders>
              <w:top w:val="single" w:sz="6" w:space="0" w:color="000000"/>
              <w:left w:val="single" w:sz="6" w:space="0" w:color="000000"/>
              <w:bottom w:val="nil" w:sz="6" w:space="0" w:color="auto"/>
              <w:right w:val="single" w:sz="6" w:space="0" w:color="000000"/>
            </w:tcBorders>
          </w:tcPr>
          <w:p>
            <w:pPr/>
          </w:p>
        </w:tc>
        <w:tc>
          <w:tcPr>
            <w:tcW w:w="3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1"/>
              <w:ind w:left="1" w:right="0"/>
              <w:jc w:val="left"/>
              <w:rPr>
                <w:rFonts w:ascii="宋体" w:hAnsi="宋体" w:cs="宋体" w:eastAsia="宋体" w:hint="default"/>
                <w:sz w:val="18"/>
                <w:szCs w:val="18"/>
              </w:rPr>
            </w:pPr>
            <w:r>
              <w:rPr>
                <w:rFonts w:ascii="宋体" w:hAnsi="宋体" w:cs="宋体" w:eastAsia="宋体" w:hint="default"/>
                <w:spacing w:val="-2"/>
                <w:sz w:val="18"/>
                <w:szCs w:val="18"/>
              </w:rPr>
              <w:t>出票人具有较高的信用评级，历史上未发</w:t>
            </w:r>
          </w:p>
        </w:tc>
        <w:tc>
          <w:tcPr>
            <w:tcW w:w="32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w:t>
            </w:r>
          </w:p>
        </w:tc>
      </w:tr>
      <w:tr>
        <w:trPr>
          <w:trHeight w:val="624" w:hRule="exact"/>
        </w:trPr>
        <w:tc>
          <w:tcPr>
            <w:tcW w:w="323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无风险银行承兑票据组合</w:t>
            </w:r>
          </w:p>
        </w:tc>
        <w:tc>
          <w:tcPr>
            <w:tcW w:w="3232"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 w:right="1"/>
              <w:jc w:val="left"/>
              <w:rPr>
                <w:rFonts w:ascii="宋体" w:hAnsi="宋体" w:cs="宋体" w:eastAsia="宋体" w:hint="default"/>
                <w:sz w:val="18"/>
                <w:szCs w:val="18"/>
              </w:rPr>
            </w:pPr>
            <w:r>
              <w:rPr>
                <w:rFonts w:ascii="宋体" w:hAnsi="宋体" w:cs="宋体" w:eastAsia="宋体" w:hint="default"/>
                <w:spacing w:val="-2"/>
                <w:sz w:val="18"/>
                <w:szCs w:val="18"/>
              </w:rPr>
              <w:t>生票据违约，信用损失风险极低，在短期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内履行其支付合同现金流量义务的能力</w:t>
            </w:r>
          </w:p>
        </w:tc>
        <w:tc>
          <w:tcPr>
            <w:tcW w:w="323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及对未来经济情况的预期计量坏账准备</w:t>
            </w:r>
          </w:p>
        </w:tc>
      </w:tr>
      <w:tr>
        <w:trPr>
          <w:trHeight w:val="449" w:hRule="exact"/>
        </w:trPr>
        <w:tc>
          <w:tcPr>
            <w:tcW w:w="3232" w:type="dxa"/>
            <w:tcBorders>
              <w:top w:val="nil" w:sz="6" w:space="0" w:color="auto"/>
              <w:left w:val="single" w:sz="6" w:space="0" w:color="000000"/>
              <w:bottom w:val="single" w:sz="6" w:space="0" w:color="000000"/>
              <w:right w:val="single" w:sz="6" w:space="0" w:color="000000"/>
            </w:tcBorders>
          </w:tcPr>
          <w:p>
            <w:pPr/>
          </w:p>
        </w:tc>
        <w:tc>
          <w:tcPr>
            <w:tcW w:w="32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很强</w:t>
            </w:r>
          </w:p>
        </w:tc>
        <w:tc>
          <w:tcPr>
            <w:tcW w:w="3230" w:type="dxa"/>
            <w:tcBorders>
              <w:top w:val="nil" w:sz="6" w:space="0" w:color="auto"/>
              <w:left w:val="single" w:sz="6" w:space="0" w:color="000000"/>
              <w:bottom w:val="single" w:sz="6" w:space="0" w:color="000000"/>
              <w:right w:val="single" w:sz="6" w:space="0" w:color="000000"/>
            </w:tcBorders>
          </w:tcPr>
          <w:p>
            <w:pPr/>
          </w:p>
        </w:tc>
      </w:tr>
      <w:tr>
        <w:trPr>
          <w:trHeight w:val="455" w:hRule="exact"/>
        </w:trPr>
        <w:tc>
          <w:tcPr>
            <w:tcW w:w="3232" w:type="dxa"/>
            <w:tcBorders>
              <w:top w:val="single" w:sz="6" w:space="0" w:color="000000"/>
              <w:left w:val="single" w:sz="6" w:space="0" w:color="000000"/>
              <w:bottom w:val="nil" w:sz="6" w:space="0" w:color="auto"/>
              <w:right w:val="single" w:sz="6" w:space="0" w:color="000000"/>
            </w:tcBorders>
          </w:tcPr>
          <w:p>
            <w:pPr/>
          </w:p>
        </w:tc>
        <w:tc>
          <w:tcPr>
            <w:tcW w:w="3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1" w:right="0"/>
              <w:jc w:val="left"/>
              <w:rPr>
                <w:rFonts w:ascii="宋体" w:hAnsi="宋体" w:cs="宋体" w:eastAsia="宋体" w:hint="default"/>
                <w:sz w:val="18"/>
                <w:szCs w:val="18"/>
              </w:rPr>
            </w:pPr>
            <w:r>
              <w:rPr>
                <w:rFonts w:ascii="宋体" w:hAnsi="宋体" w:cs="宋体" w:eastAsia="宋体" w:hint="default"/>
                <w:spacing w:val="3"/>
                <w:sz w:val="18"/>
                <w:szCs w:val="18"/>
              </w:rPr>
              <w:t>根据承兑人的信用风险划分，与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w:t>
            </w:r>
          </w:p>
        </w:tc>
        <w:tc>
          <w:tcPr>
            <w:tcW w:w="323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w:t>
            </w:r>
          </w:p>
        </w:tc>
      </w:tr>
      <w:tr>
        <w:trPr>
          <w:trHeight w:val="620" w:hRule="exact"/>
        </w:trPr>
        <w:tc>
          <w:tcPr>
            <w:tcW w:w="323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3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组合划分相同</w:t>
            </w:r>
          </w:p>
        </w:tc>
        <w:tc>
          <w:tcPr>
            <w:tcW w:w="3230"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2" w:right="3"/>
              <w:jc w:val="left"/>
              <w:rPr>
                <w:rFonts w:ascii="宋体" w:hAnsi="宋体" w:cs="宋体" w:eastAsia="宋体" w:hint="default"/>
                <w:sz w:val="18"/>
                <w:szCs w:val="18"/>
              </w:rPr>
            </w:pPr>
            <w:r>
              <w:rPr>
                <w:rFonts w:ascii="宋体" w:hAnsi="宋体" w:cs="宋体" w:eastAsia="宋体" w:hint="default"/>
                <w:spacing w:val="-2"/>
                <w:sz w:val="18"/>
                <w:szCs w:val="18"/>
              </w:rPr>
              <w:t>及对未来经济状况的预测，通过违约风险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敞口和整个存续期预期信用损失率，计算</w:t>
            </w:r>
          </w:p>
        </w:tc>
      </w:tr>
      <w:tr>
        <w:trPr>
          <w:trHeight w:val="448" w:hRule="exact"/>
        </w:trPr>
        <w:tc>
          <w:tcPr>
            <w:tcW w:w="3232" w:type="dxa"/>
            <w:tcBorders>
              <w:top w:val="nil" w:sz="6" w:space="0" w:color="auto"/>
              <w:left w:val="single" w:sz="6" w:space="0" w:color="000000"/>
              <w:bottom w:val="single" w:sz="6" w:space="0" w:color="000000"/>
              <w:right w:val="single" w:sz="6" w:space="0" w:color="000000"/>
            </w:tcBorders>
          </w:tcPr>
          <w:p>
            <w:pPr/>
          </w:p>
        </w:tc>
        <w:tc>
          <w:tcPr>
            <w:tcW w:w="3232" w:type="dxa"/>
            <w:tcBorders>
              <w:top w:val="nil" w:sz="6" w:space="0" w:color="auto"/>
              <w:left w:val="single" w:sz="6" w:space="0" w:color="000000"/>
              <w:bottom w:val="single" w:sz="6" w:space="0" w:color="000000"/>
              <w:right w:val="single" w:sz="6" w:space="0" w:color="000000"/>
            </w:tcBorders>
          </w:tcPr>
          <w:p>
            <w:pPr/>
          </w:p>
        </w:tc>
        <w:tc>
          <w:tcPr>
            <w:tcW w:w="323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预期信用损失</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11、应收账款" w:id="175"/>
      <w:bookmarkEnd w:id="175"/>
      <w:r>
        <w:rPr>
          <w:b w:val="0"/>
          <w:bCs w:val="0"/>
        </w:rPr>
      </w:r>
      <w:r>
        <w:rPr>
          <w:rFonts w:ascii="Arial" w:hAnsi="Arial" w:cs="Arial" w:eastAsia="Arial" w:hint="default"/>
        </w:rPr>
        <w:t>11</w:t>
      </w:r>
      <w:r>
        <w:rPr/>
        <w:t>、应收账款</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2" w:right="996"/>
        <w:jc w:val="left"/>
      </w:pPr>
      <w:r>
        <w:rPr>
          <w:spacing w:val="-1"/>
          <w:w w:val="99"/>
        </w:rPr>
        <w:t>本</w:t>
      </w:r>
      <w:r>
        <w:rPr>
          <w:spacing w:val="2"/>
          <w:w w:val="99"/>
        </w:rPr>
        <w:t>公</w:t>
      </w:r>
      <w:r>
        <w:rPr>
          <w:spacing w:val="-1"/>
          <w:w w:val="99"/>
        </w:rPr>
        <w:t>司</w:t>
      </w:r>
      <w:r>
        <w:rPr>
          <w:spacing w:val="2"/>
          <w:w w:val="99"/>
        </w:rPr>
        <w:t>对</w:t>
      </w:r>
      <w:r>
        <w:rPr>
          <w:spacing w:val="-1"/>
          <w:w w:val="99"/>
        </w:rPr>
        <w:t>应</w:t>
      </w:r>
      <w:r>
        <w:rPr>
          <w:spacing w:val="2"/>
          <w:w w:val="99"/>
        </w:rPr>
        <w:t>收</w:t>
      </w:r>
      <w:r>
        <w:rPr>
          <w:spacing w:val="-1"/>
          <w:w w:val="99"/>
        </w:rPr>
        <w:t>账</w:t>
      </w:r>
      <w:r>
        <w:rPr>
          <w:spacing w:val="2"/>
          <w:w w:val="99"/>
        </w:rPr>
        <w:t>款</w:t>
      </w:r>
      <w:r>
        <w:rPr>
          <w:spacing w:val="-1"/>
          <w:w w:val="99"/>
        </w:rPr>
        <w:t>的</w:t>
      </w:r>
      <w:r>
        <w:rPr>
          <w:spacing w:val="2"/>
          <w:w w:val="99"/>
        </w:rPr>
        <w:t>预</w:t>
      </w:r>
      <w:r>
        <w:rPr>
          <w:spacing w:val="-1"/>
          <w:w w:val="99"/>
        </w:rPr>
        <w:t>期</w:t>
      </w:r>
      <w:r>
        <w:rPr>
          <w:spacing w:val="2"/>
          <w:w w:val="99"/>
        </w:rPr>
        <w:t>信</w:t>
      </w:r>
      <w:r>
        <w:rPr>
          <w:spacing w:val="-1"/>
          <w:w w:val="99"/>
        </w:rPr>
        <w:t>用</w:t>
      </w:r>
      <w:r>
        <w:rPr>
          <w:spacing w:val="2"/>
          <w:w w:val="99"/>
        </w:rPr>
        <w:t>损</w:t>
      </w:r>
      <w:r>
        <w:rPr>
          <w:spacing w:val="-1"/>
          <w:w w:val="99"/>
        </w:rPr>
        <w:t>失</w:t>
      </w:r>
      <w:r>
        <w:rPr>
          <w:spacing w:val="2"/>
          <w:w w:val="99"/>
        </w:rPr>
        <w:t>的</w:t>
      </w:r>
      <w:r>
        <w:rPr>
          <w:spacing w:val="-1"/>
          <w:w w:val="99"/>
        </w:rPr>
        <w:t>确</w:t>
      </w:r>
      <w:r>
        <w:rPr>
          <w:spacing w:val="2"/>
          <w:w w:val="99"/>
        </w:rPr>
        <w:t>定</w:t>
      </w:r>
      <w:r>
        <w:rPr>
          <w:spacing w:val="-1"/>
          <w:w w:val="99"/>
        </w:rPr>
        <w:t>方</w:t>
      </w:r>
      <w:r>
        <w:rPr>
          <w:spacing w:val="2"/>
          <w:w w:val="99"/>
        </w:rPr>
        <w:t>法</w:t>
      </w:r>
      <w:r>
        <w:rPr>
          <w:spacing w:val="-1"/>
          <w:w w:val="99"/>
        </w:rPr>
        <w:t>及</w:t>
      </w:r>
      <w:r>
        <w:rPr>
          <w:spacing w:val="2"/>
          <w:w w:val="99"/>
        </w:rPr>
        <w:t>会</w:t>
      </w:r>
      <w:r>
        <w:rPr>
          <w:spacing w:val="-1"/>
          <w:w w:val="99"/>
        </w:rPr>
        <w:t>计</w:t>
      </w:r>
      <w:r>
        <w:rPr>
          <w:spacing w:val="2"/>
          <w:w w:val="99"/>
        </w:rPr>
        <w:t>处</w:t>
      </w:r>
      <w:r>
        <w:rPr>
          <w:spacing w:val="-1"/>
          <w:w w:val="99"/>
        </w:rPr>
        <w:t>理</w:t>
      </w:r>
      <w:r>
        <w:rPr>
          <w:spacing w:val="2"/>
          <w:w w:val="99"/>
        </w:rPr>
        <w:t>方</w:t>
      </w:r>
      <w:r>
        <w:rPr>
          <w:spacing w:val="-1"/>
          <w:w w:val="99"/>
        </w:rPr>
        <w:t>法</w:t>
      </w:r>
      <w:r>
        <w:rPr>
          <w:spacing w:val="2"/>
          <w:w w:val="99"/>
        </w:rPr>
        <w:t>详</w:t>
      </w:r>
      <w:r>
        <w:rPr>
          <w:spacing w:val="-1"/>
          <w:w w:val="99"/>
        </w:rPr>
        <w:t>见</w:t>
      </w:r>
      <w:r>
        <w:rPr>
          <w:spacing w:val="2"/>
          <w:w w:val="99"/>
        </w:rPr>
        <w:t>本</w:t>
      </w:r>
      <w:r>
        <w:rPr>
          <w:spacing w:val="-1"/>
          <w:w w:val="99"/>
        </w:rPr>
        <w:t>附</w:t>
      </w:r>
      <w:r>
        <w:rPr>
          <w:spacing w:val="2"/>
          <w:w w:val="99"/>
        </w:rPr>
        <w:t>注</w:t>
      </w:r>
      <w:r>
        <w:rPr>
          <w:spacing w:val="-1"/>
          <w:w w:val="99"/>
        </w:rPr>
        <w:t>五</w:t>
      </w:r>
      <w:r>
        <w:rPr>
          <w:spacing w:val="2"/>
          <w:w w:val="99"/>
        </w:rPr>
        <w:t>／</w:t>
      </w:r>
      <w:r>
        <w:rPr>
          <w:rFonts w:ascii="Arial" w:hAnsi="Arial" w:cs="Arial" w:eastAsia="Arial" w:hint="default"/>
          <w:spacing w:val="1"/>
          <w:w w:val="99"/>
        </w:rPr>
        <w:t>9</w:t>
      </w:r>
      <w:r>
        <w:rPr>
          <w:spacing w:val="-99"/>
          <w:w w:val="99"/>
        </w:rPr>
        <w:t>、</w:t>
      </w:r>
      <w:r>
        <w:rPr>
          <w:spacing w:val="-1"/>
          <w:w w:val="99"/>
        </w:rPr>
        <w:t>（</w:t>
      </w:r>
      <w:r>
        <w:rPr>
          <w:rFonts w:ascii="Arial" w:hAnsi="Arial" w:cs="Arial" w:eastAsia="Arial" w:hint="default"/>
          <w:spacing w:val="1"/>
          <w:w w:val="99"/>
        </w:rPr>
        <w:t>6</w:t>
      </w:r>
      <w:r>
        <w:rPr>
          <w:spacing w:val="-49"/>
          <w:w w:val="99"/>
        </w:rPr>
        <w:t>）</w:t>
      </w:r>
      <w:r>
        <w:rPr>
          <w:spacing w:val="-1"/>
          <w:w w:val="99"/>
        </w:rPr>
        <w:t>金</w:t>
      </w:r>
      <w:r>
        <w:rPr>
          <w:spacing w:val="2"/>
          <w:w w:val="99"/>
        </w:rPr>
        <w:t>融</w:t>
      </w:r>
      <w:r>
        <w:rPr>
          <w:spacing w:val="-1"/>
          <w:w w:val="99"/>
        </w:rPr>
        <w:t>工</w:t>
      </w:r>
      <w:r>
        <w:rPr>
          <w:spacing w:val="2"/>
          <w:w w:val="99"/>
        </w:rPr>
        <w:t>具</w:t>
      </w:r>
      <w:r>
        <w:rPr>
          <w:spacing w:val="-1"/>
          <w:w w:val="99"/>
        </w:rPr>
        <w:t>减</w:t>
      </w:r>
      <w:r>
        <w:rPr>
          <w:spacing w:val="2"/>
          <w:w w:val="99"/>
        </w:rPr>
        <w:t>值</w:t>
      </w:r>
      <w:r>
        <w:rPr>
          <w:w w:val="99"/>
        </w:rPr>
        <w:t>。</w:t>
      </w:r>
      <w:r>
        <w:rPr/>
      </w:r>
    </w:p>
    <w:p>
      <w:pPr>
        <w:spacing w:line="240" w:lineRule="auto" w:before="3"/>
        <w:rPr>
          <w:rFonts w:ascii="宋体" w:hAnsi="宋体" w:cs="宋体" w:eastAsia="宋体" w:hint="default"/>
          <w:sz w:val="8"/>
          <w:szCs w:val="8"/>
        </w:rPr>
      </w:pPr>
    </w:p>
    <w:p>
      <w:pPr>
        <w:pStyle w:val="BodyText"/>
        <w:spacing w:line="240" w:lineRule="auto" w:before="34"/>
        <w:ind w:left="532" w:right="996"/>
        <w:jc w:val="left"/>
      </w:pPr>
      <w:r>
        <w:rPr>
          <w:spacing w:val="4"/>
        </w:rPr>
        <w:t>本公司对在单项工具层面能以合理成本评估预期信用损失的充分证据的应收账款单独确定其信用损</w:t>
      </w:r>
    </w:p>
    <w:p>
      <w:pPr>
        <w:pStyle w:val="BodyText"/>
        <w:spacing w:line="240" w:lineRule="auto" w:before="37"/>
        <w:ind w:right="996"/>
        <w:jc w:val="left"/>
      </w:pPr>
      <w:r>
        <w:rPr/>
        <w:t>失。</w:t>
      </w:r>
    </w:p>
    <w:p>
      <w:pPr>
        <w:spacing w:line="240" w:lineRule="auto" w:before="5"/>
        <w:rPr>
          <w:rFonts w:ascii="宋体" w:hAnsi="宋体" w:cs="宋体" w:eastAsia="宋体" w:hint="default"/>
          <w:sz w:val="9"/>
          <w:szCs w:val="9"/>
        </w:rPr>
      </w:pPr>
    </w:p>
    <w:p>
      <w:pPr>
        <w:pStyle w:val="BodyText"/>
        <w:spacing w:line="273" w:lineRule="auto" w:before="34"/>
        <w:ind w:right="1112" w:firstLine="420"/>
        <w:jc w:val="both"/>
      </w:pPr>
      <w:r>
        <w:rPr>
          <w:w w:val="95"/>
        </w:rPr>
        <w:t>当在单项工具层面无法以合理成本评估预期信用损失的充分证据时，本公司参考历史信用损失经验，</w:t>
      </w:r>
      <w:r>
        <w:rPr>
          <w:spacing w:val="-79"/>
          <w:w w:val="95"/>
        </w:rPr>
        <w:t> </w:t>
      </w:r>
      <w:r>
        <w:rPr>
          <w:spacing w:val="-79"/>
          <w:w w:val="95"/>
        </w:rPr>
      </w:r>
      <w:r>
        <w:rPr>
          <w:w w:val="95"/>
        </w:rPr>
        <w:t>结合当前状况以及对未来经济状况的判断，依据信用风险特征将应收账款划分为若干组合，在组合基础上</w:t>
      </w:r>
      <w:r>
        <w:rPr>
          <w:spacing w:val="37"/>
          <w:w w:val="95"/>
        </w:rPr>
        <w:t> </w:t>
      </w:r>
      <w:r>
        <w:rPr>
          <w:spacing w:val="37"/>
          <w:w w:val="95"/>
        </w:rPr>
      </w:r>
      <w:r>
        <w:rPr/>
        <w:t>计算预期信用损失。确定组合的依据如下：</w:t>
      </w:r>
    </w:p>
    <w:p>
      <w:pPr>
        <w:spacing w:line="240" w:lineRule="auto" w:before="11"/>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587" w:hRule="exact"/>
        </w:trPr>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97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2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组合一：政府客户组合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9"/>
              <w:ind w:left="1" w:right="153"/>
              <w:jc w:val="left"/>
              <w:rPr>
                <w:rFonts w:ascii="宋体" w:hAnsi="宋体" w:cs="宋体" w:eastAsia="宋体" w:hint="default"/>
                <w:sz w:val="18"/>
                <w:szCs w:val="18"/>
              </w:rPr>
            </w:pPr>
            <w:r>
              <w:rPr>
                <w:rFonts w:ascii="宋体" w:hAnsi="宋体" w:cs="宋体" w:eastAsia="宋体" w:hint="default"/>
                <w:sz w:val="18"/>
                <w:szCs w:val="18"/>
              </w:rPr>
              <w:t>本公司将应收政府部门具有类似的信用 风险特征的款项划分为与政府客户组合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9"/>
              <w:ind w:left="2" w:right="15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 照表计提</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组合二：其他客户组合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1" w:right="1"/>
              <w:jc w:val="left"/>
              <w:rPr>
                <w:rFonts w:ascii="宋体" w:hAnsi="宋体" w:cs="宋体" w:eastAsia="宋体" w:hint="default"/>
                <w:sz w:val="18"/>
                <w:szCs w:val="18"/>
              </w:rPr>
            </w:pPr>
            <w:r>
              <w:rPr>
                <w:rFonts w:ascii="宋体" w:hAnsi="宋体" w:cs="宋体" w:eastAsia="宋体" w:hint="default"/>
                <w:spacing w:val="-2"/>
                <w:sz w:val="18"/>
                <w:szCs w:val="18"/>
              </w:rPr>
              <w:t>本公司将除政府客户组合、合并范围内公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司以外的客户划分为其他客户组合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2" w:right="15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 照表计提</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组合三：合并范围内关联方组合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1" w:right="153"/>
              <w:jc w:val="left"/>
              <w:rPr>
                <w:rFonts w:ascii="宋体" w:hAnsi="宋体" w:cs="宋体" w:eastAsia="宋体" w:hint="default"/>
                <w:sz w:val="18"/>
                <w:szCs w:val="18"/>
              </w:rPr>
            </w:pPr>
            <w:r>
              <w:rPr>
                <w:rFonts w:ascii="宋体" w:hAnsi="宋体" w:cs="宋体" w:eastAsia="宋体" w:hint="default"/>
                <w:sz w:val="18"/>
                <w:szCs w:val="18"/>
              </w:rPr>
              <w:t>本公司将合并范围内公司划分为合并范 围内关联方组合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3"/>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及对未来经济情况的预期计量坏账准备</w:t>
            </w:r>
          </w:p>
        </w:tc>
      </w:tr>
    </w:tbl>
    <w:p>
      <w:pPr>
        <w:spacing w:line="240" w:lineRule="auto" w:before="5"/>
        <w:rPr>
          <w:rFonts w:ascii="宋体" w:hAnsi="宋体" w:cs="宋体" w:eastAsia="宋体" w:hint="default"/>
          <w:sz w:val="5"/>
          <w:szCs w:val="5"/>
        </w:rPr>
      </w:pPr>
    </w:p>
    <w:p>
      <w:pPr>
        <w:pStyle w:val="BodyText"/>
        <w:spacing w:line="240" w:lineRule="auto" w:before="34"/>
        <w:ind w:left="532" w:right="996"/>
        <w:jc w:val="left"/>
      </w:pPr>
      <w:r>
        <w:rPr/>
        <w:t>按账龄与整个存续期预期信用损失率对照表计提的相关标准如下：</w:t>
      </w:r>
    </w:p>
    <w:p>
      <w:pPr>
        <w:spacing w:line="240" w:lineRule="auto" w:before="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587" w:hRule="exact"/>
        </w:trPr>
        <w:tc>
          <w:tcPr>
            <w:tcW w:w="32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46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9"/>
              <w:ind w:left="2053" w:right="0"/>
              <w:jc w:val="left"/>
              <w:rPr>
                <w:rFonts w:ascii="宋体" w:hAnsi="宋体" w:cs="宋体" w:eastAsia="宋体" w:hint="default"/>
                <w:sz w:val="18"/>
                <w:szCs w:val="18"/>
              </w:rPr>
            </w:pPr>
            <w:r>
              <w:rPr>
                <w:rFonts w:ascii="宋体" w:hAnsi="宋体" w:cs="宋体" w:eastAsia="宋体" w:hint="default"/>
                <w:sz w:val="18"/>
                <w:szCs w:val="18"/>
              </w:rPr>
              <w:t>应收账款逾期信用损失准备率</w:t>
            </w:r>
          </w:p>
        </w:tc>
      </w:tr>
      <w:tr>
        <w:trPr>
          <w:trHeight w:val="585" w:hRule="exact"/>
        </w:trPr>
        <w:tc>
          <w:tcPr>
            <w:tcW w:w="3232" w:type="dxa"/>
            <w:vMerge/>
            <w:tcBorders>
              <w:left w:val="single" w:sz="6" w:space="0" w:color="000000"/>
              <w:bottom w:val="single" w:sz="6" w:space="0" w:color="000000"/>
              <w:right w:val="single" w:sz="6" w:space="0" w:color="000000"/>
            </w:tcBorders>
            <w:shd w:val="clear" w:color="auto" w:fill="D2D2D2"/>
          </w:tcPr>
          <w:p>
            <w:pP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07" w:right="0"/>
              <w:jc w:val="left"/>
              <w:rPr>
                <w:rFonts w:ascii="宋体" w:hAnsi="宋体" w:cs="宋体" w:eastAsia="宋体" w:hint="default"/>
                <w:sz w:val="18"/>
                <w:szCs w:val="18"/>
              </w:rPr>
            </w:pPr>
            <w:r>
              <w:rPr>
                <w:rFonts w:ascii="宋体" w:hAnsi="宋体" w:cs="宋体" w:eastAsia="宋体" w:hint="default"/>
                <w:sz w:val="18"/>
                <w:szCs w:val="18"/>
              </w:rPr>
              <w:t>组合一：政府客户组合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08" w:right="0"/>
              <w:jc w:val="left"/>
              <w:rPr>
                <w:rFonts w:ascii="宋体" w:hAnsi="宋体" w:cs="宋体" w:eastAsia="宋体" w:hint="default"/>
                <w:sz w:val="18"/>
                <w:szCs w:val="18"/>
              </w:rPr>
            </w:pPr>
            <w:r>
              <w:rPr>
                <w:rFonts w:ascii="宋体" w:hAnsi="宋体" w:cs="宋体" w:eastAsia="宋体" w:hint="default"/>
                <w:sz w:val="18"/>
                <w:szCs w:val="18"/>
              </w:rPr>
              <w:t>组合二：其他客户组合</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年以内（含</w:t>
            </w:r>
            <w:r>
              <w:rPr>
                <w:rFonts w:ascii="Arial" w:hAnsi="Arial" w:cs="Arial" w:eastAsia="Arial" w:hint="default"/>
                <w:sz w:val="18"/>
                <w:szCs w:val="18"/>
              </w:rPr>
              <w:t>1</w:t>
            </w:r>
            <w:r>
              <w:rPr>
                <w:rFonts w:ascii="宋体" w:hAnsi="宋体" w:cs="宋体" w:eastAsia="宋体" w:hint="default"/>
                <w:sz w:val="18"/>
                <w:szCs w:val="18"/>
              </w:rPr>
              <w:t>年）</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0.2%</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1%</w:t>
            </w:r>
            <w:r>
              <w:rPr>
                <w:rFonts w:ascii="Arial"/>
                <w:sz w:val="18"/>
              </w:rPr>
            </w:r>
          </w:p>
        </w:tc>
      </w:tr>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至</w:t>
            </w:r>
            <w:r>
              <w:rPr>
                <w:rFonts w:ascii="Arial" w:hAnsi="Arial" w:cs="Arial" w:eastAsia="Arial" w:hint="default"/>
                <w:sz w:val="18"/>
                <w:szCs w:val="18"/>
              </w:rPr>
              <w:t>2</w:t>
            </w:r>
            <w:r>
              <w:rPr>
                <w:rFonts w:ascii="宋体" w:hAnsi="宋体" w:cs="宋体" w:eastAsia="宋体" w:hint="default"/>
                <w:sz w:val="18"/>
                <w:szCs w:val="18"/>
              </w:rPr>
              <w:t>年（含</w:t>
            </w:r>
            <w:r>
              <w:rPr>
                <w:rFonts w:ascii="Arial" w:hAnsi="Arial" w:cs="Arial" w:eastAsia="Arial" w:hint="default"/>
                <w:sz w:val="18"/>
                <w:szCs w:val="18"/>
              </w:rPr>
              <w:t>2</w:t>
            </w:r>
            <w:r>
              <w:rPr>
                <w:rFonts w:ascii="宋体" w:hAnsi="宋体" w:cs="宋体" w:eastAsia="宋体" w:hint="default"/>
                <w:sz w:val="18"/>
                <w:szCs w:val="18"/>
              </w:rPr>
              <w:t>年）</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5%</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5%</w:t>
            </w:r>
            <w:r>
              <w:rPr>
                <w:rFonts w:ascii="Arial"/>
                <w:sz w:val="18"/>
              </w:rPr>
            </w:r>
          </w:p>
        </w:tc>
      </w:tr>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至</w:t>
            </w:r>
            <w:r>
              <w:rPr>
                <w:rFonts w:ascii="Arial" w:hAnsi="Arial" w:cs="Arial" w:eastAsia="Arial" w:hint="default"/>
                <w:sz w:val="18"/>
                <w:szCs w:val="18"/>
              </w:rPr>
              <w:t>3</w:t>
            </w:r>
            <w:r>
              <w:rPr>
                <w:rFonts w:ascii="宋体" w:hAnsi="宋体" w:cs="宋体" w:eastAsia="宋体" w:hint="default"/>
                <w:sz w:val="18"/>
                <w:szCs w:val="18"/>
              </w:rPr>
              <w:t>年（含</w:t>
            </w:r>
            <w:r>
              <w:rPr>
                <w:rFonts w:ascii="Arial" w:hAnsi="Arial" w:cs="Arial" w:eastAsia="Arial" w:hint="default"/>
                <w:sz w:val="18"/>
                <w:szCs w:val="18"/>
              </w:rPr>
              <w:t>3</w:t>
            </w:r>
            <w:r>
              <w:rPr>
                <w:rFonts w:ascii="宋体" w:hAnsi="宋体" w:cs="宋体" w:eastAsia="宋体" w:hint="default"/>
                <w:sz w:val="18"/>
                <w:szCs w:val="18"/>
              </w:rPr>
              <w:t>年）</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10%</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10%</w:t>
            </w:r>
            <w:r>
              <w:rPr>
                <w:rFonts w:ascii="Arial"/>
                <w:sz w:val="18"/>
              </w:rPr>
            </w:r>
          </w:p>
        </w:tc>
      </w:tr>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至</w:t>
            </w:r>
            <w:r>
              <w:rPr>
                <w:rFonts w:ascii="Arial" w:hAnsi="Arial" w:cs="Arial" w:eastAsia="Arial" w:hint="default"/>
                <w:sz w:val="18"/>
                <w:szCs w:val="18"/>
              </w:rPr>
              <w:t>4</w:t>
            </w:r>
            <w:r>
              <w:rPr>
                <w:rFonts w:ascii="宋体" w:hAnsi="宋体" w:cs="宋体" w:eastAsia="宋体" w:hint="default"/>
                <w:sz w:val="18"/>
                <w:szCs w:val="18"/>
              </w:rPr>
              <w:t>年（含</w:t>
            </w:r>
            <w:r>
              <w:rPr>
                <w:rFonts w:ascii="Arial" w:hAnsi="Arial" w:cs="Arial" w:eastAsia="Arial" w:hint="default"/>
                <w:sz w:val="18"/>
                <w:szCs w:val="18"/>
              </w:rPr>
              <w:t>4</w:t>
            </w:r>
            <w:r>
              <w:rPr>
                <w:rFonts w:ascii="宋体" w:hAnsi="宋体" w:cs="宋体" w:eastAsia="宋体" w:hint="default"/>
                <w:sz w:val="18"/>
                <w:szCs w:val="18"/>
              </w:rPr>
              <w:t>年）</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30%</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30%</w:t>
            </w:r>
            <w:r>
              <w:rPr>
                <w:rFonts w:ascii="Arial"/>
                <w:sz w:val="18"/>
              </w:rPr>
            </w:r>
          </w:p>
        </w:tc>
      </w:tr>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至</w:t>
            </w:r>
            <w:r>
              <w:rPr>
                <w:rFonts w:ascii="Arial" w:hAnsi="Arial" w:cs="Arial" w:eastAsia="Arial" w:hint="default"/>
                <w:sz w:val="18"/>
                <w:szCs w:val="18"/>
              </w:rPr>
              <w:t>5</w:t>
            </w:r>
            <w:r>
              <w:rPr>
                <w:rFonts w:ascii="宋体" w:hAnsi="宋体" w:cs="宋体" w:eastAsia="宋体" w:hint="default"/>
                <w:sz w:val="18"/>
                <w:szCs w:val="18"/>
              </w:rPr>
              <w:t>年（含</w:t>
            </w:r>
            <w:r>
              <w:rPr>
                <w:rFonts w:ascii="Arial" w:hAnsi="Arial" w:cs="Arial" w:eastAsia="Arial" w:hint="default"/>
                <w:sz w:val="18"/>
                <w:szCs w:val="18"/>
              </w:rPr>
              <w:t>5</w:t>
            </w:r>
            <w:r>
              <w:rPr>
                <w:rFonts w:ascii="宋体" w:hAnsi="宋体" w:cs="宋体" w:eastAsia="宋体" w:hint="default"/>
                <w:sz w:val="18"/>
                <w:szCs w:val="18"/>
              </w:rPr>
              <w:t>年）</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50%</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50%</w:t>
            </w:r>
            <w:r>
              <w:rPr>
                <w:rFonts w:ascii="Arial"/>
                <w:sz w:val="18"/>
              </w:rPr>
            </w:r>
          </w:p>
        </w:tc>
      </w:tr>
      <w:tr>
        <w:trPr>
          <w:trHeight w:val="587"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95%</w:t>
            </w:r>
            <w:r>
              <w:rPr>
                <w:rFonts w:ascii="Arial"/>
                <w:sz w:val="18"/>
              </w:rPr>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spacing w:val="-1"/>
                <w:sz w:val="18"/>
              </w:rPr>
              <w:t>100%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2、其他应收款" w:id="176"/>
      <w:bookmarkEnd w:id="176"/>
      <w:r>
        <w:rPr>
          <w:b w:val="0"/>
          <w:bCs w:val="0"/>
        </w:rPr>
      </w:r>
      <w:r>
        <w:rPr>
          <w:rFonts w:ascii="Arial" w:hAnsi="Arial" w:cs="Arial" w:eastAsia="Arial" w:hint="default"/>
        </w:rPr>
        <w:t>12</w:t>
      </w:r>
      <w:r>
        <w:rPr/>
        <w:t>、其他应收款</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32" w:right="996"/>
        <w:jc w:val="left"/>
      </w:pPr>
      <w:r>
        <w:rPr/>
        <w:t>其他应收款的预期信用损失的确定方法及会计处理方法</w:t>
      </w:r>
    </w:p>
    <w:p>
      <w:pPr>
        <w:spacing w:line="240" w:lineRule="auto" w:before="5"/>
        <w:rPr>
          <w:rFonts w:ascii="宋体" w:hAnsi="宋体" w:cs="宋体" w:eastAsia="宋体" w:hint="default"/>
          <w:sz w:val="9"/>
          <w:szCs w:val="9"/>
        </w:rPr>
      </w:pPr>
    </w:p>
    <w:p>
      <w:pPr>
        <w:pStyle w:val="BodyText"/>
        <w:spacing w:line="240" w:lineRule="auto" w:before="34"/>
        <w:ind w:left="532" w:right="996"/>
        <w:jc w:val="left"/>
      </w:pPr>
      <w:r>
        <w:rPr/>
        <w:t>本公司对其他应收款的预期信用损失的确定方法及会计处理方法详见本附注五／</w:t>
      </w:r>
      <w:r>
        <w:rPr>
          <w:rFonts w:ascii="Arial" w:hAnsi="Arial" w:cs="Arial" w:eastAsia="Arial" w:hint="default"/>
        </w:rPr>
        <w:t>9</w:t>
      </w:r>
      <w:r>
        <w:rPr/>
        <w:t>、（</w:t>
      </w:r>
      <w:r>
        <w:rPr>
          <w:rFonts w:ascii="Arial" w:hAnsi="Arial" w:cs="Arial" w:eastAsia="Arial" w:hint="default"/>
        </w:rPr>
        <w:t>6</w:t>
      </w:r>
      <w:r>
        <w:rPr/>
        <w:t>）金融工具减</w:t>
      </w:r>
    </w:p>
    <w:p>
      <w:pPr>
        <w:pStyle w:val="BodyText"/>
        <w:spacing w:line="240" w:lineRule="auto" w:before="22"/>
        <w:ind w:right="996"/>
        <w:jc w:val="left"/>
      </w:pPr>
      <w:r>
        <w:rPr/>
        <w:t>值。</w:t>
      </w:r>
    </w:p>
    <w:p>
      <w:pPr>
        <w:spacing w:line="240" w:lineRule="auto" w:before="5"/>
        <w:rPr>
          <w:rFonts w:ascii="宋体" w:hAnsi="宋体" w:cs="宋体" w:eastAsia="宋体" w:hint="default"/>
          <w:sz w:val="9"/>
          <w:szCs w:val="9"/>
        </w:rPr>
      </w:pPr>
    </w:p>
    <w:p>
      <w:pPr>
        <w:pStyle w:val="BodyText"/>
        <w:spacing w:line="273" w:lineRule="auto" w:before="34"/>
        <w:ind w:right="1135" w:firstLine="420"/>
        <w:jc w:val="both"/>
      </w:pPr>
      <w:r>
        <w:rPr>
          <w:spacing w:val="4"/>
        </w:rPr>
        <w:t>本公司对在单项工具层面能以合理成本评估预期信用损失的充分证据的其他应收款单独确定其信用</w:t>
      </w:r>
      <w:r>
        <w:rPr>
          <w:w w:val="99"/>
        </w:rPr>
        <w:t> </w:t>
      </w:r>
      <w:r>
        <w:rPr/>
        <w:t>损失。</w:t>
      </w:r>
    </w:p>
    <w:p>
      <w:pPr>
        <w:pStyle w:val="BodyText"/>
        <w:spacing w:line="273" w:lineRule="auto" w:before="127"/>
        <w:ind w:right="1112" w:firstLine="420"/>
        <w:jc w:val="both"/>
      </w:pPr>
      <w:r>
        <w:rPr>
          <w:w w:val="95"/>
        </w:rPr>
        <w:t>当在单项工具层面无法以合理成本评估预期信用损失的充分证据时，本公司参考历史信用损失经验，</w:t>
      </w:r>
      <w:r>
        <w:rPr>
          <w:spacing w:val="-79"/>
          <w:w w:val="95"/>
        </w:rPr>
        <w:t> </w:t>
      </w:r>
      <w:r>
        <w:rPr>
          <w:spacing w:val="-79"/>
          <w:w w:val="95"/>
        </w:rPr>
      </w:r>
      <w:r>
        <w:rPr>
          <w:w w:val="95"/>
        </w:rPr>
        <w:t>结合当前状况以及对未来经济状况的判断，依据信用风险特征将其他应收款划分为若干组合，在组合基础</w:t>
      </w:r>
      <w:r>
        <w:rPr>
          <w:spacing w:val="40"/>
          <w:w w:val="95"/>
        </w:rPr>
        <w:t> </w:t>
      </w:r>
      <w:r>
        <w:rPr>
          <w:spacing w:val="40"/>
          <w:w w:val="95"/>
        </w:rPr>
      </w:r>
      <w:r>
        <w:rPr/>
        <w:t>上计算预期信用损失。确定组合的依据如下：</w:t>
      </w:r>
    </w:p>
    <w:p>
      <w:pPr>
        <w:spacing w:line="240" w:lineRule="auto" w:before="11"/>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587" w:hRule="exact"/>
        </w:trPr>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97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2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组合一：无风险组合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1" w:right="1"/>
              <w:jc w:val="left"/>
              <w:rPr>
                <w:rFonts w:ascii="宋体" w:hAnsi="宋体" w:cs="宋体" w:eastAsia="宋体" w:hint="default"/>
                <w:sz w:val="18"/>
                <w:szCs w:val="18"/>
              </w:rPr>
            </w:pPr>
            <w:r>
              <w:rPr>
                <w:rFonts w:ascii="宋体" w:hAnsi="宋体" w:cs="宋体" w:eastAsia="宋体" w:hint="default"/>
                <w:spacing w:val="-2"/>
                <w:sz w:val="18"/>
                <w:szCs w:val="18"/>
              </w:rPr>
              <w:t>本公司将备用金、押金以及应收增值税即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征即退款项划分为无风险组合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3"/>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及对未来经济情况的预期计量坏账准备</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组合二：合并范围内关联方组合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1" w:right="2"/>
              <w:jc w:val="left"/>
              <w:rPr>
                <w:rFonts w:ascii="宋体" w:hAnsi="宋体" w:cs="宋体" w:eastAsia="宋体" w:hint="default"/>
                <w:sz w:val="18"/>
                <w:szCs w:val="18"/>
              </w:rPr>
            </w:pPr>
            <w:r>
              <w:rPr>
                <w:rFonts w:ascii="宋体" w:hAnsi="宋体" w:cs="宋体" w:eastAsia="宋体" w:hint="default"/>
                <w:spacing w:val="8"/>
                <w:sz w:val="18"/>
                <w:szCs w:val="18"/>
              </w:rPr>
              <w:t>本公司将合并范围内公司划分为合并范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围内关联方组合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2" w:right="3"/>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及对未来经济情况的预期计量坏账准备</w:t>
            </w:r>
          </w:p>
        </w:tc>
      </w:tr>
      <w:tr>
        <w:trPr>
          <w:trHeight w:val="899"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组合三：其他组合</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1" w:right="1"/>
              <w:jc w:val="left"/>
              <w:rPr>
                <w:rFonts w:ascii="宋体" w:hAnsi="宋体" w:cs="宋体" w:eastAsia="宋体" w:hint="default"/>
                <w:sz w:val="18"/>
                <w:szCs w:val="18"/>
              </w:rPr>
            </w:pPr>
            <w:r>
              <w:rPr>
                <w:rFonts w:ascii="宋体" w:hAnsi="宋体" w:cs="宋体" w:eastAsia="宋体" w:hint="default"/>
                <w:spacing w:val="-2"/>
                <w:sz w:val="18"/>
                <w:szCs w:val="18"/>
              </w:rPr>
              <w:t>本公司将除组合一、组合二外的款项划分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为其他组合</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1"/>
              <w:ind w:left="2" w:right="2"/>
              <w:jc w:val="left"/>
              <w:rPr>
                <w:rFonts w:ascii="宋体" w:hAnsi="宋体" w:cs="宋体" w:eastAsia="宋体" w:hint="default"/>
                <w:sz w:val="18"/>
                <w:szCs w:val="18"/>
              </w:rPr>
            </w:pPr>
            <w:r>
              <w:rPr>
                <w:rFonts w:ascii="宋体" w:hAnsi="宋体" w:cs="宋体" w:eastAsia="宋体" w:hint="default"/>
                <w:spacing w:val="8"/>
                <w:sz w:val="18"/>
                <w:szCs w:val="18"/>
              </w:rPr>
              <w:t>按账龄与整个存续期预期信用损失率对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照表计提</w:t>
            </w:r>
          </w:p>
        </w:tc>
      </w:tr>
    </w:tbl>
    <w:p>
      <w:pPr>
        <w:spacing w:line="240" w:lineRule="auto" w:before="8"/>
        <w:rPr>
          <w:rFonts w:ascii="宋体" w:hAnsi="宋体" w:cs="宋体" w:eastAsia="宋体" w:hint="default"/>
          <w:sz w:val="5"/>
          <w:szCs w:val="5"/>
        </w:rPr>
      </w:pPr>
    </w:p>
    <w:p>
      <w:pPr>
        <w:pStyle w:val="BodyText"/>
        <w:spacing w:line="240" w:lineRule="auto" w:before="34"/>
        <w:ind w:left="532" w:right="996"/>
        <w:jc w:val="left"/>
      </w:pPr>
      <w:r>
        <w:rPr/>
        <w:t>按账龄与整个存续期预期信用损失率对照表计提的相关标准如下：</w:t>
      </w:r>
    </w:p>
    <w:p>
      <w:pPr>
        <w:spacing w:line="240" w:lineRule="auto" w:before="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54"/>
        <w:gridCol w:w="6840"/>
      </w:tblGrid>
      <w:tr>
        <w:trPr>
          <w:trHeight w:val="587"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1"/>
              <w:ind w:left="2153" w:right="0"/>
              <w:jc w:val="left"/>
              <w:rPr>
                <w:rFonts w:ascii="宋体" w:hAnsi="宋体" w:cs="宋体" w:eastAsia="宋体" w:hint="default"/>
                <w:sz w:val="18"/>
                <w:szCs w:val="18"/>
              </w:rPr>
            </w:pPr>
            <w:r>
              <w:rPr>
                <w:rFonts w:ascii="宋体" w:hAnsi="宋体" w:cs="宋体" w:eastAsia="宋体" w:hint="default"/>
                <w:sz w:val="18"/>
                <w:szCs w:val="18"/>
              </w:rPr>
              <w:t>其他应收款逾期信用损失准备率</w:t>
            </w:r>
          </w:p>
        </w:tc>
      </w:tr>
      <w:tr>
        <w:trPr>
          <w:trHeight w:val="587"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年以内（含</w:t>
            </w:r>
            <w:r>
              <w:rPr>
                <w:rFonts w:ascii="Arial" w:hAnsi="Arial" w:cs="Arial" w:eastAsia="Arial" w:hint="default"/>
                <w:sz w:val="18"/>
                <w:szCs w:val="18"/>
              </w:rPr>
              <w:t>1</w:t>
            </w:r>
            <w:r>
              <w:rPr>
                <w:rFonts w:ascii="宋体" w:hAnsi="宋体" w:cs="宋体" w:eastAsia="宋体" w:hint="default"/>
                <w:sz w:val="18"/>
                <w:szCs w:val="18"/>
              </w:rPr>
              <w:t>年）</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0.5%</w:t>
            </w:r>
          </w:p>
        </w:tc>
      </w:tr>
      <w:tr>
        <w:trPr>
          <w:trHeight w:val="587"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至</w:t>
            </w:r>
            <w:r>
              <w:rPr>
                <w:rFonts w:ascii="Arial" w:hAnsi="Arial" w:cs="Arial" w:eastAsia="Arial" w:hint="default"/>
                <w:sz w:val="18"/>
                <w:szCs w:val="18"/>
              </w:rPr>
              <w:t>2</w:t>
            </w:r>
            <w:r>
              <w:rPr>
                <w:rFonts w:ascii="宋体" w:hAnsi="宋体" w:cs="宋体" w:eastAsia="宋体" w:hint="default"/>
                <w:sz w:val="18"/>
                <w:szCs w:val="18"/>
              </w:rPr>
              <w:t>年（含</w:t>
            </w:r>
            <w:r>
              <w:rPr>
                <w:rFonts w:ascii="Arial" w:hAnsi="Arial" w:cs="Arial" w:eastAsia="Arial" w:hint="default"/>
                <w:sz w:val="18"/>
                <w:szCs w:val="18"/>
              </w:rPr>
              <w:t>2</w:t>
            </w:r>
            <w:r>
              <w:rPr>
                <w:rFonts w:ascii="宋体" w:hAnsi="宋体" w:cs="宋体" w:eastAsia="宋体" w:hint="default"/>
                <w:sz w:val="18"/>
                <w:szCs w:val="18"/>
              </w:rPr>
              <w:t>年）</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5%</w:t>
            </w:r>
            <w:r>
              <w:rPr>
                <w:rFonts w:ascii="Arial"/>
                <w:sz w:val="18"/>
              </w:rPr>
            </w:r>
          </w:p>
        </w:tc>
      </w:tr>
      <w:tr>
        <w:trPr>
          <w:trHeight w:val="585"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至</w:t>
            </w:r>
            <w:r>
              <w:rPr>
                <w:rFonts w:ascii="Arial" w:hAnsi="Arial" w:cs="Arial" w:eastAsia="Arial" w:hint="default"/>
                <w:sz w:val="18"/>
                <w:szCs w:val="18"/>
              </w:rPr>
              <w:t>3</w:t>
            </w:r>
            <w:r>
              <w:rPr>
                <w:rFonts w:ascii="宋体" w:hAnsi="宋体" w:cs="宋体" w:eastAsia="宋体" w:hint="default"/>
                <w:sz w:val="18"/>
                <w:szCs w:val="18"/>
              </w:rPr>
              <w:t>年（含</w:t>
            </w:r>
            <w:r>
              <w:rPr>
                <w:rFonts w:ascii="Arial" w:hAnsi="Arial" w:cs="Arial" w:eastAsia="Arial" w:hint="default"/>
                <w:sz w:val="18"/>
                <w:szCs w:val="18"/>
              </w:rPr>
              <w:t>3</w:t>
            </w:r>
            <w:r>
              <w:rPr>
                <w:rFonts w:ascii="宋体" w:hAnsi="宋体" w:cs="宋体" w:eastAsia="宋体" w:hint="default"/>
                <w:sz w:val="18"/>
                <w:szCs w:val="18"/>
              </w:rPr>
              <w:t>年）</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10%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854"/>
        <w:gridCol w:w="6840"/>
      </w:tblGrid>
      <w:tr>
        <w:trPr>
          <w:trHeight w:val="587"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至</w:t>
            </w:r>
            <w:r>
              <w:rPr>
                <w:rFonts w:ascii="Arial" w:hAnsi="Arial" w:cs="Arial" w:eastAsia="Arial" w:hint="default"/>
                <w:sz w:val="18"/>
                <w:szCs w:val="18"/>
              </w:rPr>
              <w:t>4</w:t>
            </w:r>
            <w:r>
              <w:rPr>
                <w:rFonts w:ascii="宋体" w:hAnsi="宋体" w:cs="宋体" w:eastAsia="宋体" w:hint="default"/>
                <w:sz w:val="18"/>
                <w:szCs w:val="18"/>
              </w:rPr>
              <w:t>年（含</w:t>
            </w:r>
            <w:r>
              <w:rPr>
                <w:rFonts w:ascii="Arial" w:hAnsi="Arial" w:cs="Arial" w:eastAsia="Arial" w:hint="default"/>
                <w:sz w:val="18"/>
                <w:szCs w:val="18"/>
              </w:rPr>
              <w:t>4</w:t>
            </w:r>
            <w:r>
              <w:rPr>
                <w:rFonts w:ascii="宋体" w:hAnsi="宋体" w:cs="宋体" w:eastAsia="宋体" w:hint="default"/>
                <w:sz w:val="18"/>
                <w:szCs w:val="18"/>
              </w:rPr>
              <w:t>年）</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30%</w:t>
            </w:r>
            <w:r>
              <w:rPr>
                <w:rFonts w:ascii="Arial"/>
                <w:sz w:val="18"/>
              </w:rPr>
            </w:r>
          </w:p>
        </w:tc>
      </w:tr>
      <w:tr>
        <w:trPr>
          <w:trHeight w:val="587"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至</w:t>
            </w:r>
            <w:r>
              <w:rPr>
                <w:rFonts w:ascii="Arial" w:hAnsi="Arial" w:cs="Arial" w:eastAsia="Arial" w:hint="default"/>
                <w:sz w:val="18"/>
                <w:szCs w:val="18"/>
              </w:rPr>
              <w:t>5</w:t>
            </w:r>
            <w:r>
              <w:rPr>
                <w:rFonts w:ascii="宋体" w:hAnsi="宋体" w:cs="宋体" w:eastAsia="宋体" w:hint="default"/>
                <w:sz w:val="18"/>
                <w:szCs w:val="18"/>
              </w:rPr>
              <w:t>年（含</w:t>
            </w:r>
            <w:r>
              <w:rPr>
                <w:rFonts w:ascii="Arial" w:hAnsi="Arial" w:cs="Arial" w:eastAsia="Arial" w:hint="default"/>
                <w:sz w:val="18"/>
                <w:szCs w:val="18"/>
              </w:rPr>
              <w:t>5</w:t>
            </w:r>
            <w:r>
              <w:rPr>
                <w:rFonts w:ascii="宋体" w:hAnsi="宋体" w:cs="宋体" w:eastAsia="宋体" w:hint="default"/>
                <w:sz w:val="18"/>
                <w:szCs w:val="18"/>
              </w:rPr>
              <w:t>年）</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50%</w:t>
            </w:r>
            <w:r>
              <w:rPr>
                <w:rFonts w:ascii="Arial"/>
                <w:sz w:val="18"/>
              </w:rPr>
            </w:r>
          </w:p>
        </w:tc>
      </w:tr>
      <w:tr>
        <w:trPr>
          <w:trHeight w:val="587"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100%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3、存货" w:id="177"/>
      <w:bookmarkEnd w:id="177"/>
      <w:r>
        <w:rPr>
          <w:b w:val="0"/>
          <w:bCs w:val="0"/>
        </w:rPr>
      </w:r>
      <w:r>
        <w:rPr>
          <w:rFonts w:ascii="Arial" w:hAnsi="Arial" w:cs="Arial" w:eastAsia="Arial" w:hint="default"/>
        </w:rPr>
        <w:t>13</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357" w:lineRule="auto"/>
        <w:ind w:left="540" w:right="996" w:hanging="428"/>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）存货的分类</w:t>
      </w:r>
      <w:r>
        <w:rPr>
          <w:rFonts w:ascii="宋体" w:hAnsi="宋体" w:cs="宋体" w:eastAsia="宋体" w:hint="default"/>
          <w:b/>
          <w:bCs/>
          <w:w w:val="99"/>
        </w:rPr>
        <w:t> </w:t>
      </w:r>
      <w:r>
        <w:rPr>
          <w:w w:val="95"/>
        </w:rPr>
        <w:t>存货是指本公司在日常活动中持有以备出售的产成品或商品、处在生产过程中的在产品、在生产过程</w:t>
      </w:r>
      <w:r>
        <w:rPr/>
      </w:r>
    </w:p>
    <w:p>
      <w:pPr>
        <w:pStyle w:val="BodyText"/>
        <w:spacing w:line="209" w:lineRule="exact"/>
        <w:ind w:right="996"/>
        <w:jc w:val="left"/>
      </w:pPr>
      <w:r>
        <w:rPr/>
        <w:t>或提供劳务过程中耗用的材料和物料等。主要包括原材料、在产品、库存商品、发出商品、在途物资等。</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w w:val="95"/>
          <w:sz w:val="21"/>
          <w:szCs w:val="21"/>
        </w:rPr>
        <w:t>存货在取得时，按成本进行初始计量，包括采购成本、加工成本和其他成本。存货发出时按个别认定</w:t>
      </w:r>
      <w:r>
        <w:rPr>
          <w:rFonts w:ascii="宋体" w:hAnsi="宋体" w:cs="宋体" w:eastAsia="宋体" w:hint="default"/>
          <w:sz w:val="21"/>
          <w:szCs w:val="21"/>
        </w:rPr>
      </w:r>
    </w:p>
    <w:p>
      <w:pPr>
        <w:pStyle w:val="BodyText"/>
        <w:spacing w:line="209" w:lineRule="exact"/>
        <w:ind w:right="996"/>
        <w:jc w:val="left"/>
      </w:pPr>
      <w:r>
        <w:rPr/>
        <w:t>法计价。</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存货可变现净值是按存货的估计售价减去至完工时估计将要发生的成本、估计的销售费用以及相关税</w:t>
      </w:r>
      <w:r>
        <w:rPr>
          <w:rFonts w:ascii="宋体" w:hAnsi="宋体" w:cs="宋体" w:eastAsia="宋体" w:hint="default"/>
          <w:sz w:val="21"/>
          <w:szCs w:val="21"/>
        </w:rPr>
      </w:r>
    </w:p>
    <w:p>
      <w:pPr>
        <w:pStyle w:val="BodyText"/>
        <w:spacing w:line="209" w:lineRule="exact"/>
        <w:ind w:right="996"/>
        <w:jc w:val="left"/>
      </w:pPr>
      <w:r>
        <w:rPr/>
        <w:t>费后的金额。在确定存货的可变现净值时，以取得的确凿证据为基础，同时考虑持有存货的目的以及资产</w:t>
      </w:r>
    </w:p>
    <w:p>
      <w:pPr>
        <w:pStyle w:val="BodyText"/>
        <w:spacing w:line="240" w:lineRule="auto" w:before="37"/>
        <w:ind w:right="996"/>
        <w:jc w:val="left"/>
      </w:pPr>
      <w:r>
        <w:rPr/>
        <w:t>负债表日后事项的影响。</w:t>
      </w:r>
    </w:p>
    <w:p>
      <w:pPr>
        <w:pStyle w:val="BodyText"/>
        <w:spacing w:line="273" w:lineRule="auto" w:before="157"/>
        <w:ind w:right="1132" w:firstLine="420"/>
        <w:jc w:val="both"/>
      </w:pPr>
      <w:r>
        <w:rPr>
          <w:w w:val="95"/>
        </w:rPr>
        <w:t>以前减记存货价值的影响因素已经消失的，减记的金额予以恢复，并在原已计提的存货跌价准备金额</w:t>
      </w:r>
      <w:r>
        <w:rPr>
          <w:w w:val="99"/>
        </w:rPr>
        <w:t> </w:t>
      </w:r>
      <w:r>
        <w:rPr/>
        <w:t>内转回，转回的金额计入当期损益。</w:t>
      </w:r>
    </w:p>
    <w:p>
      <w:pPr>
        <w:spacing w:line="357" w:lineRule="auto" w:before="127"/>
        <w:ind w:left="532" w:right="865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1"/>
        <w:rPr>
          <w:rFonts w:ascii="宋体" w:hAnsi="宋体" w:cs="宋体" w:eastAsia="宋体" w:hint="default"/>
          <w:sz w:val="18"/>
          <w:szCs w:val="18"/>
        </w:rPr>
      </w:pPr>
    </w:p>
    <w:p>
      <w:pPr>
        <w:pStyle w:val="Heading4"/>
        <w:spacing w:line="240" w:lineRule="auto" w:before="0"/>
        <w:ind w:right="996"/>
        <w:jc w:val="left"/>
        <w:rPr>
          <w:b w:val="0"/>
          <w:bCs w:val="0"/>
        </w:rPr>
      </w:pPr>
      <w:bookmarkStart w:name="14、长期股权投资" w:id="178"/>
      <w:bookmarkEnd w:id="178"/>
      <w:r>
        <w:rPr>
          <w:b w:val="0"/>
          <w:bCs w:val="0"/>
        </w:rPr>
      </w:r>
      <w:r>
        <w:rPr>
          <w:rFonts w:ascii="Arial" w:hAnsi="Arial" w:cs="Arial" w:eastAsia="Arial"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r>
        <w:rPr/>
        <w:t>（</w:t>
      </w:r>
      <w:r>
        <w:rPr>
          <w:rFonts w:ascii="Arial" w:hAnsi="Arial" w:cs="Arial" w:eastAsia="Arial" w:hint="default"/>
        </w:rPr>
        <w:t>1</w:t>
      </w:r>
      <w:r>
        <w:rPr/>
        <w:t>）初始投资成本确定</w:t>
      </w:r>
      <w:r>
        <w:rPr>
          <w:b w:val="0"/>
          <w:bCs w:val="0"/>
        </w:rPr>
      </w:r>
    </w:p>
    <w:p>
      <w:pPr>
        <w:pStyle w:val="BodyText"/>
        <w:spacing w:line="259" w:lineRule="auto" w:before="142"/>
        <w:ind w:right="1130" w:firstLine="420"/>
        <w:jc w:val="both"/>
      </w:pPr>
      <w:r>
        <w:rPr>
          <w:rFonts w:ascii="Arial" w:hAnsi="Arial" w:cs="Arial" w:eastAsia="Arial" w:hint="default"/>
          <w:spacing w:val="-1"/>
          <w:w w:val="95"/>
        </w:rPr>
        <w:t>1</w:t>
      </w:r>
      <w:r>
        <w:rPr>
          <w:spacing w:val="-1"/>
          <w:w w:val="95"/>
        </w:rPr>
        <w:t>）企业合并形成的长期股权投资，具体会计政策详见本附注五／</w:t>
      </w:r>
      <w:r>
        <w:rPr>
          <w:rFonts w:ascii="Arial" w:hAnsi="Arial" w:cs="Arial" w:eastAsia="Arial" w:hint="default"/>
          <w:spacing w:val="-1"/>
          <w:w w:val="95"/>
        </w:rPr>
        <w:t>5</w:t>
      </w:r>
      <w:r>
        <w:rPr>
          <w:spacing w:val="-1"/>
          <w:w w:val="95"/>
        </w:rPr>
        <w:t>、同一控制下和非同一控制下企业</w:t>
      </w:r>
      <w:r>
        <w:rPr>
          <w:spacing w:val="-76"/>
          <w:w w:val="95"/>
        </w:rPr>
        <w:t> </w:t>
      </w:r>
      <w:r>
        <w:rPr>
          <w:spacing w:val="-76"/>
          <w:w w:val="95"/>
        </w:rPr>
      </w:r>
      <w:r>
        <w:rPr/>
        <w:t>合并的会计处理方法。</w:t>
      </w:r>
    </w:p>
    <w:p>
      <w:pPr>
        <w:pStyle w:val="BodyText"/>
        <w:spacing w:line="357" w:lineRule="auto" w:before="140"/>
        <w:ind w:left="532" w:right="996"/>
        <w:jc w:val="left"/>
      </w:pPr>
      <w:r>
        <w:rPr>
          <w:rFonts w:ascii="Arial" w:hAnsi="Arial" w:cs="Arial" w:eastAsia="Arial" w:hint="default"/>
        </w:rPr>
        <w:t>2</w:t>
      </w:r>
      <w:r>
        <w:rPr/>
        <w:t>）其他方式取得的长期股权投资</w:t>
      </w:r>
      <w:r>
        <w:rPr>
          <w:w w:val="99"/>
        </w:rPr>
        <w:t> </w:t>
      </w:r>
      <w:r>
        <w:rPr>
          <w:w w:val="95"/>
        </w:rPr>
        <w:t>以支付现金方式取得的长期股权投资，按照实际支付的购买价款作为初始投资成本。初始投资成本包</w:t>
      </w:r>
      <w:r>
        <w:rPr/>
      </w:r>
    </w:p>
    <w:p>
      <w:pPr>
        <w:pStyle w:val="BodyText"/>
        <w:spacing w:line="209" w:lineRule="exact"/>
        <w:ind w:right="996"/>
        <w:jc w:val="left"/>
      </w:pPr>
      <w:r>
        <w:rPr/>
        <w:t>括与取得长期股权投资直接相关的费用、税金及其他必要支出。</w:t>
      </w:r>
    </w:p>
    <w:p>
      <w:pPr>
        <w:pStyle w:val="BodyText"/>
        <w:spacing w:line="273" w:lineRule="auto" w:before="157"/>
        <w:ind w:right="1132" w:firstLine="420"/>
        <w:jc w:val="both"/>
      </w:pPr>
      <w:r>
        <w:rPr>
          <w:w w:val="95"/>
        </w:rPr>
        <w:t>以发行权益性证券取得的长期股权投资，按照发行权益性证券的公允价值作为初始投资成本；发行或</w:t>
      </w:r>
      <w:r>
        <w:rPr>
          <w:w w:val="99"/>
        </w:rPr>
        <w:t> </w:t>
      </w:r>
      <w:r>
        <w:rPr/>
        <w:t>取得自身权益工具时发生的交易费用，可直接归属于权益性交易的从权益中扣减。</w:t>
      </w:r>
    </w:p>
    <w:p>
      <w:pPr>
        <w:pStyle w:val="BodyText"/>
        <w:spacing w:line="273" w:lineRule="auto" w:before="127"/>
        <w:ind w:right="1132" w:firstLine="420"/>
        <w:jc w:val="both"/>
      </w:pPr>
      <w:r>
        <w:rPr>
          <w:w w:val="95"/>
        </w:rPr>
        <w:t>在非货币性资产交换具备商业实质和换入资产或换出资产的公允价值能够可靠计量的前提下，非货币</w:t>
      </w:r>
      <w:r>
        <w:rPr>
          <w:w w:val="99"/>
        </w:rPr>
        <w:t> </w:t>
      </w: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before="127"/>
        <w:ind w:left="532" w:right="996"/>
        <w:jc w:val="left"/>
      </w:pPr>
      <w:r>
        <w:rPr/>
        <w:t>通过债务重组取得的长期股权投资，其初始投资成本按照公允价值为基础确定。</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r>
        <w:rPr/>
        <w:t>（</w:t>
      </w:r>
      <w:r>
        <w:rPr>
          <w:rFonts w:ascii="Arial" w:hAnsi="Arial" w:cs="Arial" w:eastAsia="Arial" w:hint="default"/>
        </w:rPr>
        <w:t>2</w:t>
      </w:r>
      <w:r>
        <w:rPr/>
        <w:t>）后续计量及损益确认</w:t>
      </w:r>
      <w:r>
        <w:rPr>
          <w:b w:val="0"/>
          <w:bCs w:val="0"/>
        </w:rPr>
      </w:r>
    </w:p>
    <w:p>
      <w:pPr>
        <w:pStyle w:val="BodyText"/>
        <w:spacing w:line="357" w:lineRule="auto" w:before="142"/>
        <w:ind w:left="532" w:right="996"/>
        <w:jc w:val="left"/>
      </w:pPr>
      <w:r>
        <w:rPr>
          <w:rFonts w:ascii="Arial" w:hAnsi="Arial" w:cs="Arial" w:eastAsia="Arial" w:hint="default"/>
        </w:rPr>
        <w:t>1</w:t>
      </w:r>
      <w:r>
        <w:rPr/>
        <w:t>）成本法</w:t>
      </w:r>
      <w:r>
        <w:rPr>
          <w:w w:val="99"/>
        </w:rPr>
        <w:t> </w:t>
      </w:r>
      <w:r>
        <w:rPr>
          <w:w w:val="95"/>
        </w:rPr>
        <w:t>本公司能够对被投资单位实施控制的长期股权投资采用成本法核算，并按照初始投资成本计价，追加</w:t>
      </w:r>
      <w:r>
        <w:rPr/>
      </w:r>
    </w:p>
    <w:p>
      <w:pPr>
        <w:pStyle w:val="BodyText"/>
        <w:spacing w:line="209" w:lineRule="exact"/>
        <w:ind w:right="996"/>
        <w:jc w:val="left"/>
      </w:pPr>
      <w:r>
        <w:rPr/>
        <w:t>或收回投资调整长期股权投资的成本。</w:t>
      </w:r>
    </w:p>
    <w:p>
      <w:pPr>
        <w:pStyle w:val="BodyText"/>
        <w:spacing w:line="273" w:lineRule="auto" w:before="157"/>
        <w:ind w:right="1135" w:firstLine="420"/>
        <w:jc w:val="both"/>
      </w:pPr>
      <w:r>
        <w:rPr>
          <w:w w:val="95"/>
        </w:rPr>
        <w:t>除取得投资时实际支付的价款或对价中包含的已宣告但尚未发放的现金股利或利润外，本公司按照享</w:t>
      </w:r>
      <w:r>
        <w:rPr>
          <w:w w:val="99"/>
        </w:rPr>
        <w:t> </w:t>
      </w:r>
      <w:r>
        <w:rPr/>
        <w:t>有被投资单位宣告分派的现金股利或利润确认为当期投资收益。</w:t>
      </w:r>
    </w:p>
    <w:p>
      <w:pPr>
        <w:pStyle w:val="BodyText"/>
        <w:spacing w:line="357" w:lineRule="auto" w:before="127"/>
        <w:ind w:left="532" w:right="996"/>
        <w:jc w:val="left"/>
      </w:pPr>
      <w:r>
        <w:rPr>
          <w:rFonts w:ascii="Arial" w:hAnsi="Arial" w:cs="Arial" w:eastAsia="Arial" w:hint="default"/>
        </w:rPr>
        <w:t>2</w:t>
      </w:r>
      <w:r>
        <w:rPr/>
        <w:t>）权益法</w:t>
      </w:r>
      <w:r>
        <w:rPr>
          <w:w w:val="99"/>
        </w:rPr>
        <w:t> </w:t>
      </w:r>
      <w:r>
        <w:rPr>
          <w:w w:val="95"/>
        </w:rPr>
        <w:t>本公司对联营企业和合营企业的长期股权投资采用权益法核算；对于其中一部分通过风险投资机构、</w:t>
      </w:r>
      <w:r>
        <w:rPr/>
      </w:r>
    </w:p>
    <w:p>
      <w:pPr>
        <w:pStyle w:val="BodyText"/>
        <w:spacing w:line="209" w:lineRule="exact"/>
        <w:ind w:right="996"/>
        <w:jc w:val="left"/>
      </w:pPr>
      <w:r>
        <w:rPr/>
        <w:t>共同基金、信托公司或包括投连险基金在内的类似主体间接持有的联营企业的权益性投资，采用公允价值</w:t>
      </w:r>
    </w:p>
    <w:p>
      <w:pPr>
        <w:pStyle w:val="BodyText"/>
        <w:spacing w:line="240" w:lineRule="auto" w:before="37"/>
        <w:ind w:right="996"/>
        <w:jc w:val="left"/>
      </w:pPr>
      <w:r>
        <w:rPr/>
        <w:t>计量且其变动计入损益。</w:t>
      </w:r>
    </w:p>
    <w:p>
      <w:pPr>
        <w:pStyle w:val="BodyText"/>
        <w:spacing w:line="273" w:lineRule="auto" w:before="157"/>
        <w:ind w:right="113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before="127"/>
        <w:ind w:right="1130" w:firstLine="420"/>
        <w:jc w:val="both"/>
      </w:pPr>
      <w:r>
        <w:rPr>
          <w:spacing w:val="4"/>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spacing w:val="43"/>
          <w:w w:val="95"/>
        </w:rPr>
        <w:t> </w:t>
      </w:r>
      <w:r>
        <w:rPr>
          <w:spacing w:val="43"/>
          <w:w w:val="95"/>
        </w:rPr>
      </w:r>
      <w:r>
        <w:rPr>
          <w:w w:val="95"/>
        </w:rPr>
        <w:t>的利润或现金股利计算应享有的部分，相应减少长期股权投资的账面价值；对于被投资单位除净损益、其</w:t>
      </w:r>
      <w:r>
        <w:rPr>
          <w:spacing w:val="43"/>
          <w:w w:val="95"/>
        </w:rPr>
        <w:t> </w:t>
      </w:r>
      <w:r>
        <w:rPr>
          <w:spacing w:val="43"/>
          <w:w w:val="95"/>
        </w:rPr>
      </w:r>
      <w:r>
        <w:rPr/>
        <w:t>他综合收益和利润分配以外所有者权益的其他变动，调整长期股权投资的账面价值并计入所有者权益。</w:t>
      </w:r>
    </w:p>
    <w:p>
      <w:pPr>
        <w:pStyle w:val="BodyText"/>
        <w:spacing w:line="273" w:lineRule="auto" w:before="128"/>
        <w:ind w:right="113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before="127"/>
        <w:ind w:right="1130" w:firstLine="420"/>
        <w:jc w:val="both"/>
      </w:pPr>
      <w:r>
        <w:rPr>
          <w:w w:val="95"/>
        </w:rPr>
        <w:t>本公司确认应分担被投资单位发生的亏损时，按照以下顺序进行处理：首先，冲减长期股权投资的账</w:t>
      </w:r>
      <w:r>
        <w:rPr>
          <w:spacing w:val="-97"/>
          <w:w w:val="95"/>
        </w:rPr>
        <w:t> </w:t>
      </w:r>
      <w:r>
        <w:rPr>
          <w:spacing w:val="-97"/>
          <w:w w:val="95"/>
        </w:rPr>
      </w:r>
      <w:r>
        <w:rPr>
          <w:w w:val="95"/>
        </w:rPr>
        <w:t>面价值。其次，长期股权投资的账面价值不足以冲减的，以其他实质上构成对被投资单位净投资的长期权</w:t>
      </w:r>
      <w:r>
        <w:rPr>
          <w:spacing w:val="40"/>
          <w:w w:val="95"/>
        </w:rPr>
        <w:t> </w:t>
      </w:r>
      <w:r>
        <w:rPr>
          <w:spacing w:val="40"/>
          <w:w w:val="95"/>
        </w:rPr>
      </w:r>
      <w:r>
        <w:rPr>
          <w:w w:val="95"/>
        </w:rPr>
        <w:t>益账面价值为限继续确认投资损失，冲减长期应收项目等的账面价值。最后，经过上述处理，按照投资合</w:t>
      </w:r>
      <w:r>
        <w:rPr>
          <w:spacing w:val="40"/>
          <w:w w:val="95"/>
        </w:rPr>
        <w:t> </w:t>
      </w:r>
      <w:r>
        <w:rPr>
          <w:spacing w:val="40"/>
          <w:w w:val="95"/>
        </w:rPr>
      </w:r>
      <w:r>
        <w:rPr/>
        <w:t>同或协议约定企业仍承担额外义务的，按预计承担的义务确认预计负债，计入当期投资损失。</w:t>
      </w:r>
    </w:p>
    <w:p>
      <w:pPr>
        <w:pStyle w:val="BodyText"/>
        <w:spacing w:line="273" w:lineRule="auto" w:before="127"/>
        <w:ind w:right="1130" w:firstLine="420"/>
        <w:jc w:val="both"/>
      </w:pPr>
      <w:r>
        <w:rPr>
          <w:w w:val="95"/>
        </w:rPr>
        <w:t>被投资单位以后期间实现盈利的，公司在扣除未确认的亏损分担额后，按与上述相反的顺序处理，减</w:t>
      </w:r>
      <w:r>
        <w:rPr>
          <w:spacing w:val="-97"/>
          <w:w w:val="95"/>
        </w:rPr>
        <w:t> </w:t>
      </w:r>
      <w:r>
        <w:rPr>
          <w:spacing w:val="-97"/>
          <w:w w:val="95"/>
        </w:rPr>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pStyle w:val="Heading4"/>
        <w:spacing w:line="240" w:lineRule="auto" w:before="127"/>
        <w:ind w:right="996"/>
        <w:jc w:val="left"/>
        <w:rPr>
          <w:b w:val="0"/>
          <w:bCs w:val="0"/>
        </w:rPr>
      </w:pPr>
      <w:r>
        <w:rPr/>
        <w:t>（</w:t>
      </w:r>
      <w:r>
        <w:rPr>
          <w:rFonts w:ascii="Arial" w:hAnsi="Arial" w:cs="Arial" w:eastAsia="Arial" w:hint="default"/>
        </w:rPr>
        <w:t>3</w:t>
      </w:r>
      <w:r>
        <w:rPr/>
        <w:t>）长期股权投资核算方法的转换</w:t>
      </w:r>
      <w:r>
        <w:rPr>
          <w:b w:val="0"/>
          <w:bCs w:val="0"/>
        </w:rPr>
      </w:r>
    </w:p>
    <w:p>
      <w:pPr>
        <w:pStyle w:val="BodyText"/>
        <w:spacing w:line="357" w:lineRule="auto" w:before="142"/>
        <w:ind w:left="532" w:right="996"/>
        <w:jc w:val="left"/>
      </w:pPr>
      <w:r>
        <w:rPr>
          <w:rFonts w:ascii="Arial" w:hAnsi="Arial" w:cs="Arial" w:eastAsia="Arial" w:hint="default"/>
        </w:rPr>
        <w:t>1</w:t>
      </w:r>
      <w:r>
        <w:rPr/>
        <w:t>）公允价值计量转权益法核算</w:t>
      </w:r>
      <w:r>
        <w:rPr>
          <w:w w:val="99"/>
        </w:rPr>
        <w:t> </w:t>
      </w:r>
      <w:r>
        <w:rPr>
          <w:w w:val="95"/>
        </w:rPr>
        <w:t>本公司原持有的对被投资单位不具有控制、共同控制或重大影响的按金融工具确认和计量准则进行会</w:t>
      </w:r>
      <w:r>
        <w:rPr/>
      </w:r>
    </w:p>
    <w:p>
      <w:pPr>
        <w:pStyle w:val="BodyText"/>
        <w:spacing w:line="209" w:lineRule="exact"/>
        <w:ind w:right="996"/>
        <w:jc w:val="left"/>
      </w:pPr>
      <w:r>
        <w:rPr>
          <w:spacing w:val="4"/>
        </w:rPr>
        <w:t>计处理的权益性投资，因追加投资等原因能够对被投资单位施加重大影响或实施共同控制但不构成控制</w:t>
      </w:r>
    </w:p>
    <w:p>
      <w:pPr>
        <w:pStyle w:val="BodyText"/>
        <w:spacing w:line="259" w:lineRule="auto" w:before="37"/>
        <w:ind w:right="996"/>
        <w:jc w:val="left"/>
      </w:pPr>
      <w:r>
        <w:rPr>
          <w:w w:val="95"/>
        </w:rPr>
        <w:t>的，按照《企业会计准则第</w:t>
      </w:r>
      <w:r>
        <w:rPr>
          <w:rFonts w:ascii="Arial" w:hAnsi="Arial" w:cs="Arial" w:eastAsia="Arial" w:hint="default"/>
          <w:w w:val="95"/>
        </w:rPr>
        <w:t>22</w:t>
      </w:r>
      <w:r>
        <w:rPr>
          <w:w w:val="95"/>
        </w:rPr>
        <w:t>号</w:t>
      </w:r>
      <w:r>
        <w:rPr>
          <w:rFonts w:ascii="Arial" w:hAnsi="Arial" w:cs="Arial" w:eastAsia="Arial" w:hint="default"/>
          <w:w w:val="95"/>
        </w:rPr>
        <w:t>——</w:t>
      </w:r>
      <w:r>
        <w:rPr>
          <w:w w:val="95"/>
        </w:rPr>
        <w:t>金融工具确认和计量》确定的原持有的股权投资的公允价值加上新增</w:t>
      </w:r>
      <w:r>
        <w:rPr>
          <w:spacing w:val="21"/>
          <w:w w:val="95"/>
        </w:rPr>
        <w:t> </w:t>
      </w:r>
      <w:r>
        <w:rPr>
          <w:spacing w:val="21"/>
          <w:w w:val="95"/>
        </w:rPr>
      </w:r>
      <w:r>
        <w:rPr/>
        <w:t>投资成本之和，作为改按权益法核算的初始投资成本。</w:t>
      </w:r>
    </w:p>
    <w:p>
      <w:pPr>
        <w:pStyle w:val="BodyText"/>
        <w:spacing w:line="273" w:lineRule="auto" w:before="140"/>
        <w:ind w:right="113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before="127"/>
        <w:ind w:right="1132" w:firstLine="420"/>
        <w:jc w:val="both"/>
      </w:pPr>
      <w:r>
        <w:rPr>
          <w:spacing w:val="4"/>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   </w:t>
      </w:r>
      <w:r>
        <w:rPr>
          <w:spacing w:val="40"/>
          <w:w w:val="95"/>
        </w:rPr>
        <w:t> </w:t>
      </w:r>
      <w:r>
        <w:rPr>
          <w:spacing w:val="40"/>
          <w:w w:val="95"/>
        </w:rPr>
      </w:r>
      <w:r>
        <w:rPr/>
        <w:t>入。</w:t>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357" w:lineRule="auto" w:before="34"/>
        <w:ind w:left="532" w:right="996"/>
        <w:jc w:val="left"/>
      </w:pPr>
      <w:r>
        <w:rPr>
          <w:rFonts w:ascii="Arial" w:hAnsi="Arial" w:cs="Arial" w:eastAsia="Arial" w:hint="default"/>
        </w:rPr>
        <w:t>2</w:t>
      </w:r>
      <w:r>
        <w:rPr/>
        <w:t>）公允价值计量或权益法核算转成本法核算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09" w:lineRule="exact"/>
        <w:ind w:right="996"/>
        <w:jc w:val="left"/>
      </w:pPr>
      <w:r>
        <w:rPr/>
        <w:t>计处理的权益性投资，或原持有对联营企业、合营企业的长期股权投资，因追加投资等原因能够对非同一</w:t>
      </w:r>
    </w:p>
    <w:p>
      <w:pPr>
        <w:pStyle w:val="BodyText"/>
        <w:spacing w:line="273" w:lineRule="auto" w:before="37"/>
        <w:ind w:right="996"/>
        <w:jc w:val="left"/>
      </w:pP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before="127"/>
        <w:ind w:right="996"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59" w:lineRule="auto" w:before="127"/>
        <w:ind w:right="1115" w:firstLine="420"/>
        <w:jc w:val="left"/>
      </w:pPr>
      <w:r>
        <w:rPr>
          <w:spacing w:val="-1"/>
        </w:rPr>
        <w:t>购买日之前持有的股权投资按照《企业会计准则第</w:t>
      </w:r>
      <w:r>
        <w:rPr>
          <w:rFonts w:ascii="Arial" w:hAnsi="Arial" w:cs="Arial" w:eastAsia="Arial" w:hint="default"/>
          <w:spacing w:val="-1"/>
        </w:rPr>
        <w:t>22</w:t>
      </w:r>
      <w:r>
        <w:rPr>
          <w:spacing w:val="-1"/>
        </w:rPr>
        <w:t>号</w:t>
      </w:r>
      <w:r>
        <w:rPr>
          <w:rFonts w:ascii="Arial" w:hAnsi="Arial" w:cs="Arial" w:eastAsia="Arial" w:hint="default"/>
          <w:spacing w:val="-1"/>
        </w:rPr>
        <w:t>——</w:t>
      </w:r>
      <w:r>
        <w:rPr>
          <w:spacing w:val="-1"/>
        </w:rPr>
        <w:t>金融工具确认和计量》的有关规定进行会</w:t>
      </w:r>
      <w:r>
        <w:rPr>
          <w:w w:val="99"/>
        </w:rPr>
        <w:t> </w:t>
      </w:r>
      <w:r>
        <w:rPr/>
        <w:t>计处理的，原计入其他综合收益的累计公允价值变动在改按成本法核算时转入当期损益。</w:t>
      </w:r>
    </w:p>
    <w:p>
      <w:pPr>
        <w:pStyle w:val="BodyText"/>
        <w:spacing w:line="357" w:lineRule="auto" w:before="140"/>
        <w:ind w:left="532" w:right="996"/>
        <w:jc w:val="left"/>
      </w:pPr>
      <w:r>
        <w:rPr>
          <w:rFonts w:ascii="Arial" w:hAnsi="Arial" w:cs="Arial" w:eastAsia="Arial" w:hint="default"/>
        </w:rPr>
        <w:t>3</w:t>
      </w:r>
      <w:r>
        <w:rPr/>
        <w:t>）权益法核算转公允价值计量</w:t>
      </w:r>
      <w:r>
        <w:rPr>
          <w:w w:val="99"/>
        </w:rPr>
        <w:t> </w:t>
      </w:r>
      <w:r>
        <w:rPr>
          <w:w w:val="95"/>
        </w:rPr>
        <w:t>本公司因处置部分股权投资等原因丧失了对被投资单位的共同控制或重大影响的，处置后的剩余股权</w:t>
      </w:r>
      <w:r>
        <w:rPr/>
      </w:r>
    </w:p>
    <w:p>
      <w:pPr>
        <w:pStyle w:val="BodyText"/>
        <w:spacing w:line="224" w:lineRule="exact"/>
        <w:ind w:right="996"/>
        <w:jc w:val="left"/>
      </w:pPr>
      <w:r>
        <w:rPr/>
        <w:t>改按《企业会计准则第</w:t>
      </w:r>
      <w:r>
        <w:rPr>
          <w:rFonts w:ascii="Arial" w:hAnsi="Arial" w:cs="Arial" w:eastAsia="Arial" w:hint="default"/>
        </w:rPr>
        <w:t>22</w:t>
      </w:r>
      <w:r>
        <w:rPr/>
        <w:t>号</w:t>
      </w:r>
      <w:r>
        <w:rPr>
          <w:rFonts w:ascii="Arial" w:hAnsi="Arial" w:cs="Arial" w:eastAsia="Arial" w:hint="default"/>
        </w:rPr>
        <w:t>——</w:t>
      </w:r>
      <w:r>
        <w:rPr/>
        <w:t>金融工具确认和计量》核算，其在丧失共同控制或重大影响之日的公允价</w:t>
      </w:r>
    </w:p>
    <w:p>
      <w:pPr>
        <w:pStyle w:val="BodyText"/>
        <w:spacing w:line="240" w:lineRule="auto" w:before="22"/>
        <w:ind w:right="996"/>
        <w:jc w:val="left"/>
      </w:pPr>
      <w:r>
        <w:rPr/>
        <w:t>值与账面价值之间的差额计入当期损益。</w:t>
      </w:r>
    </w:p>
    <w:p>
      <w:pPr>
        <w:pStyle w:val="BodyText"/>
        <w:spacing w:line="273" w:lineRule="auto" w:before="157"/>
        <w:ind w:right="996"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357" w:lineRule="auto" w:before="127"/>
        <w:ind w:left="532" w:right="996" w:hanging="60"/>
        <w:jc w:val="left"/>
      </w:pPr>
      <w:r>
        <w:rPr>
          <w:rFonts w:ascii="Arial" w:hAnsi="Arial" w:cs="Arial" w:eastAsia="Arial" w:hint="default"/>
        </w:rPr>
        <w:t>4</w:t>
      </w:r>
      <w:r>
        <w:rPr/>
        <w:t>）成本法转权益法</w:t>
      </w:r>
      <w:r>
        <w:rPr>
          <w:w w:val="99"/>
        </w:rPr>
        <w:t> </w:t>
      </w:r>
      <w:r>
        <w:rPr>
          <w:w w:val="95"/>
        </w:rPr>
        <w:t>本公司因处置部分权益性投资等原因丧失了对被投资单位的控制的，在编制个别财务报表时，处置后</w:t>
      </w:r>
      <w:r>
        <w:rPr/>
      </w:r>
    </w:p>
    <w:p>
      <w:pPr>
        <w:pStyle w:val="BodyText"/>
        <w:spacing w:line="209" w:lineRule="exact"/>
        <w:ind w:right="996"/>
        <w:jc w:val="left"/>
      </w:pPr>
      <w:r>
        <w:rPr/>
        <w:t>的剩余股权能够对被投资单位实施共同控制或施加重大影响的，改按权益法核算，并对该剩余股权视同自</w:t>
      </w:r>
    </w:p>
    <w:p>
      <w:pPr>
        <w:pStyle w:val="BodyText"/>
        <w:spacing w:line="240" w:lineRule="auto" w:before="37"/>
        <w:ind w:right="996"/>
        <w:jc w:val="left"/>
      </w:pPr>
      <w:r>
        <w:rPr/>
        <w:t>取得时即采用权益法核算进行调整。</w:t>
      </w:r>
    </w:p>
    <w:p>
      <w:pPr>
        <w:pStyle w:val="BodyText"/>
        <w:spacing w:line="357" w:lineRule="auto" w:before="157"/>
        <w:ind w:left="532" w:right="996" w:hanging="60"/>
        <w:jc w:val="left"/>
      </w:pPr>
      <w:r>
        <w:rPr>
          <w:rFonts w:ascii="Arial" w:hAnsi="Arial" w:cs="Arial" w:eastAsia="Arial" w:hint="default"/>
        </w:rPr>
        <w:t>5</w:t>
      </w:r>
      <w:r>
        <w:rPr/>
        <w:t>）成本法转公允价值计量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24" w:lineRule="exact"/>
        <w:ind w:right="996"/>
        <w:jc w:val="left"/>
      </w:pPr>
      <w:r>
        <w:rPr/>
        <w:t>的剩余股权不能对被投资单位实施共同控制或施加重大影响的，改按《企业会计准则第</w:t>
      </w:r>
      <w:r>
        <w:rPr>
          <w:rFonts w:ascii="Arial" w:hAnsi="Arial" w:cs="Arial" w:eastAsia="Arial" w:hint="default"/>
        </w:rPr>
        <w:t>22</w:t>
      </w:r>
      <w:r>
        <w:rPr/>
        <w:t>号</w:t>
      </w:r>
      <w:r>
        <w:rPr>
          <w:rFonts w:ascii="Arial" w:hAnsi="Arial" w:cs="Arial" w:eastAsia="Arial" w:hint="default"/>
        </w:rPr>
        <w:t>——</w:t>
      </w:r>
      <w:r>
        <w:rPr/>
        <w:t>金融工具</w:t>
      </w:r>
    </w:p>
    <w:p>
      <w:pPr>
        <w:pStyle w:val="BodyText"/>
        <w:spacing w:line="240" w:lineRule="auto" w:before="22"/>
        <w:ind w:right="996"/>
        <w:jc w:val="left"/>
      </w:pPr>
      <w:r>
        <w:rPr>
          <w:spacing w:val="-3"/>
        </w:rPr>
        <w:t>确认和计量》的有关规定进行会计处理，其在丧失控制之日的公允价值与账面价值间的差额计入当期损益。</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09" w:lineRule="exact"/>
        <w:ind w:right="996"/>
        <w:jc w:val="left"/>
      </w:pPr>
      <w:r>
        <w:rPr/>
        <w:t>长期股权投资，在处置该项投资时，采用与被投资单位直接处置相关资产或负债相同的基础，按相应比例</w:t>
      </w:r>
    </w:p>
    <w:p>
      <w:pPr>
        <w:pStyle w:val="BodyText"/>
        <w:spacing w:line="240" w:lineRule="auto" w:before="37"/>
        <w:ind w:right="996"/>
        <w:jc w:val="left"/>
      </w:pPr>
      <w:r>
        <w:rPr/>
        <w:t>对原计入其他综合收益的部分进行会计处理。</w:t>
      </w:r>
    </w:p>
    <w:p>
      <w:pPr>
        <w:pStyle w:val="BodyText"/>
        <w:spacing w:line="273" w:lineRule="auto" w:before="157"/>
        <w:ind w:right="996"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before="127"/>
        <w:ind w:left="532" w:right="996"/>
        <w:jc w:val="left"/>
      </w:pPr>
      <w:r>
        <w:rPr/>
        <w:t>①这些交易是同时或者在考虑了彼此影响的情况下订立的；</w:t>
      </w:r>
    </w:p>
    <w:p>
      <w:pPr>
        <w:pStyle w:val="BodyText"/>
        <w:spacing w:line="240" w:lineRule="auto" w:before="157"/>
        <w:ind w:left="532" w:right="996"/>
        <w:jc w:val="left"/>
      </w:pPr>
      <w:r>
        <w:rPr/>
        <w:t>②这些交易整体才能达成一项完整的商业结果；</w:t>
      </w:r>
    </w:p>
    <w:p>
      <w:pPr>
        <w:pStyle w:val="BodyText"/>
        <w:spacing w:line="240" w:lineRule="auto" w:before="157"/>
        <w:ind w:left="532" w:right="996"/>
        <w:jc w:val="left"/>
      </w:pPr>
      <w:r>
        <w:rPr/>
        <w:t>③一项交易的发生取决于其他至少一项交易的发生；</w:t>
      </w:r>
    </w:p>
    <w:p>
      <w:pPr>
        <w:pStyle w:val="BodyText"/>
        <w:spacing w:line="430" w:lineRule="atLeast" w:before="2"/>
        <w:ind w:left="532" w:right="996"/>
        <w:jc w:val="left"/>
      </w:pPr>
      <w:r>
        <w:rPr/>
        <w:t>④一项交易单独看是不经济的，但是和其他交易一并考虑时是经济的。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40" w:lineRule="auto" w:before="37"/>
        <w:ind w:right="996"/>
        <w:jc w:val="left"/>
      </w:pPr>
      <w:r>
        <w:rPr/>
        <w:t>报表和合并财务报表进行相关会计处理：</w:t>
      </w:r>
    </w:p>
    <w:p>
      <w:pPr>
        <w:pStyle w:val="BodyText"/>
        <w:spacing w:line="259" w:lineRule="auto" w:before="157"/>
        <w:ind w:right="996" w:firstLine="420"/>
        <w:jc w:val="left"/>
      </w:pPr>
      <w:r>
        <w:rPr>
          <w:rFonts w:ascii="Arial" w:hAnsi="Arial" w:cs="Arial" w:eastAsia="Arial" w:hint="default"/>
          <w:spacing w:val="2"/>
          <w:w w:val="95"/>
        </w:rPr>
        <w:t>1</w:t>
      </w:r>
      <w:r>
        <w:rPr>
          <w:spacing w:val="2"/>
          <w:w w:val="95"/>
        </w:rPr>
        <w:t>）在个别财务报表中，对于处置的股权，其账面价值与实际取得价款之间的差额计入当期损益。处</w:t>
      </w:r>
      <w:r>
        <w:rPr>
          <w:spacing w:val="-92"/>
          <w:w w:val="95"/>
        </w:rPr>
        <w:t> </w:t>
      </w:r>
      <w:r>
        <w:rPr>
          <w:spacing w:val="-92"/>
          <w:w w:val="95"/>
        </w:rPr>
      </w:r>
      <w:r>
        <w:rPr>
          <w:w w:val="95"/>
        </w:rPr>
        <w:t>置后的剩余股权能够对被投资单位实施共同控制或施加重大影响的，改按权益法核算，并对该剩余股权视</w:t>
      </w:r>
      <w:r>
        <w:rPr/>
      </w:r>
    </w:p>
    <w:p>
      <w:pPr>
        <w:spacing w:after="0" w:line="259"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66" w:lineRule="auto" w:before="34"/>
        <w:ind w:right="1130"/>
        <w:jc w:val="both"/>
      </w:pPr>
      <w:r>
        <w:rPr>
          <w:w w:val="95"/>
        </w:rPr>
        <w:t>同自取得时即采用权益法核算进行调整；处置后的剩余股权不能对被投资单位实施共同控制或施加重大影</w:t>
      </w:r>
      <w:r>
        <w:rPr>
          <w:spacing w:val="37"/>
          <w:w w:val="95"/>
        </w:rPr>
        <w:t> </w:t>
      </w:r>
      <w:r>
        <w:rPr>
          <w:spacing w:val="37"/>
          <w:w w:val="95"/>
        </w:rPr>
      </w:r>
      <w:r>
        <w:rPr>
          <w:w w:val="95"/>
        </w:rPr>
        <w:t>响的，改按《企业会计准则第</w:t>
      </w:r>
      <w:r>
        <w:rPr>
          <w:rFonts w:ascii="Arial" w:hAnsi="Arial" w:cs="Arial" w:eastAsia="Arial" w:hint="default"/>
          <w:w w:val="95"/>
        </w:rPr>
        <w:t>22</w:t>
      </w:r>
      <w:r>
        <w:rPr>
          <w:w w:val="95"/>
        </w:rPr>
        <w:t>号</w:t>
      </w:r>
      <w:r>
        <w:rPr>
          <w:rFonts w:ascii="Arial" w:hAnsi="Arial" w:cs="Arial" w:eastAsia="Arial" w:hint="default"/>
          <w:w w:val="95"/>
        </w:rPr>
        <w:t>——</w:t>
      </w:r>
      <w:r>
        <w:rPr>
          <w:w w:val="95"/>
        </w:rPr>
        <w:t>金融工具确认和计量》的有关规定进行会计处理，其在丧失控制之</w:t>
      </w:r>
      <w:r>
        <w:rPr>
          <w:spacing w:val="21"/>
          <w:w w:val="95"/>
        </w:rPr>
        <w:t> </w:t>
      </w:r>
      <w:r>
        <w:rPr>
          <w:spacing w:val="21"/>
          <w:w w:val="95"/>
        </w:rPr>
      </w:r>
      <w:r>
        <w:rPr/>
        <w:t>日的公允价值与账面价值间的差额计入当期损益。</w:t>
      </w:r>
    </w:p>
    <w:p>
      <w:pPr>
        <w:pStyle w:val="BodyText"/>
        <w:spacing w:line="268" w:lineRule="auto" w:before="134"/>
        <w:ind w:right="996" w:firstLine="420"/>
        <w:jc w:val="left"/>
      </w:pPr>
      <w:r>
        <w:rPr>
          <w:rFonts w:ascii="Arial" w:hAnsi="Arial" w:cs="Arial" w:eastAsia="Arial" w:hint="default"/>
          <w:spacing w:val="2"/>
        </w:rPr>
        <w:t>2</w:t>
      </w:r>
      <w:r>
        <w:rPr>
          <w:spacing w:val="2"/>
        </w:rPr>
        <w:t>）在合并财务报表中，对于在丧失对子公司控制权以前的各项交易，处置价款与处置长期股权投资</w:t>
      </w:r>
      <w:r>
        <w:rPr>
          <w:w w:val="99"/>
        </w:rPr>
        <w:t> </w:t>
      </w:r>
      <w:r>
        <w:rPr>
          <w:spacing w:val="-2"/>
          <w:w w:val="95"/>
        </w:rPr>
        <w:t>相应对享有子公司自购买日或合并日开始持续计算的净资产份额之间的差额，调整资本公积（股本溢价），</w:t>
      </w:r>
      <w:r>
        <w:rPr>
          <w:spacing w:val="62"/>
          <w:w w:val="95"/>
        </w:rPr>
        <w:t> </w:t>
      </w:r>
      <w:r>
        <w:rPr>
          <w:spacing w:val="62"/>
          <w:w w:val="95"/>
        </w:rPr>
      </w:r>
      <w:r>
        <w:rPr/>
        <w:t>资本公积不足冲减的，调整留存收益；在丧失对子公司控制权时，对于剩余股权，按照其在丧失控制权日</w:t>
      </w:r>
      <w:r>
        <w:rPr>
          <w:w w:val="99"/>
        </w:rPr>
        <w:t> </w:t>
      </w:r>
      <w:r>
        <w:rPr/>
        <w:t>的公允价值进行重新计量。处置股权取得的对价与剩余股权公允价值之和，减去按原持股比例计算应享有</w:t>
      </w:r>
      <w:r>
        <w:rPr>
          <w:w w:val="99"/>
        </w:rPr>
        <w:t> </w:t>
      </w:r>
      <w:r>
        <w:rPr/>
        <w:t>原有子公司自购买日开始持续计算的净资产的份额之间的差额，计入丧失控制权当期的投资收益，同时冲</w:t>
      </w:r>
      <w:r>
        <w:rPr>
          <w:w w:val="99"/>
        </w:rPr>
        <w:t> </w:t>
      </w:r>
      <w:r>
        <w:rPr/>
        <w:t>减商誉。与原有子公司股权投资相关的其他综合收益等，在丧失控制权时转为当期投资收益。</w:t>
      </w:r>
    </w:p>
    <w:p>
      <w:pPr>
        <w:pStyle w:val="BodyText"/>
        <w:spacing w:line="273" w:lineRule="auto" w:before="132"/>
        <w:ind w:right="1132" w:firstLine="420"/>
        <w:jc w:val="both"/>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73" w:lineRule="auto" w:before="127"/>
        <w:ind w:right="1135" w:firstLine="420"/>
        <w:jc w:val="both"/>
      </w:pPr>
      <w:r>
        <w:rPr>
          <w:w w:val="95"/>
        </w:rPr>
        <w:t>①在个别财务报表中，在丧失控制权之前每一次处置价款与处置的股权对应的长期股权投资账面价值</w:t>
      </w:r>
      <w:r>
        <w:rPr>
          <w:w w:val="99"/>
        </w:rPr>
        <w:t> </w:t>
      </w:r>
      <w:r>
        <w:rPr/>
        <w:t>之间的差额，确认为其他综合收益，在丧失控制权时一并转入丧失控制权当期的损益。</w:t>
      </w:r>
    </w:p>
    <w:p>
      <w:pPr>
        <w:pStyle w:val="BodyText"/>
        <w:spacing w:line="273" w:lineRule="auto" w:before="127"/>
        <w:ind w:right="1135" w:firstLine="420"/>
        <w:jc w:val="both"/>
      </w:pPr>
      <w:r>
        <w:rPr>
          <w:w w:val="95"/>
        </w:rPr>
        <w:t>②在合并财务报表中，在丧失控制权之前每一次处置价款与处置投资对应的享有该子公司净资产份额</w:t>
      </w:r>
      <w:r>
        <w:rPr>
          <w:w w:val="99"/>
        </w:rPr>
        <w:t> </w:t>
      </w:r>
      <w:r>
        <w:rPr/>
        <w:t>的差额，确认为其他综合收益，在丧失控制权时一并转入丧失控制权当期的损益。</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pStyle w:val="BodyText"/>
        <w:spacing w:line="209" w:lineRule="exact"/>
        <w:ind w:right="0"/>
        <w:jc w:val="both"/>
      </w:pPr>
      <w:r>
        <w:rPr/>
        <w:t>策，需要经过分享控制权的参与方一致同意时才存在，则视为本公司与其他参与方共同控制某项安排，该</w:t>
      </w:r>
    </w:p>
    <w:p>
      <w:pPr>
        <w:pStyle w:val="BodyText"/>
        <w:spacing w:line="240" w:lineRule="auto" w:before="37"/>
        <w:ind w:right="0"/>
        <w:jc w:val="both"/>
      </w:pPr>
      <w:r>
        <w:rPr/>
        <w:t>安排即属于合营安排。</w:t>
      </w:r>
    </w:p>
    <w:p>
      <w:pPr>
        <w:pStyle w:val="BodyText"/>
        <w:spacing w:line="273" w:lineRule="auto" w:before="157"/>
        <w:ind w:right="1130"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43"/>
          <w:w w:val="95"/>
        </w:rPr>
        <w:t> </w:t>
      </w:r>
      <w:r>
        <w:rPr>
          <w:spacing w:val="43"/>
          <w:w w:val="95"/>
        </w:rPr>
      </w:r>
      <w:r>
        <w:rPr/>
        <w:t>规定进行会计处理。</w:t>
      </w:r>
    </w:p>
    <w:p>
      <w:pPr>
        <w:pStyle w:val="BodyText"/>
        <w:spacing w:line="266" w:lineRule="auto" w:before="127"/>
        <w:ind w:right="1127" w:firstLine="420"/>
        <w:jc w:val="both"/>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3"/>
          <w:w w:val="95"/>
        </w:rPr>
        <w:t> </w:t>
      </w:r>
      <w:r>
        <w:rPr>
          <w:spacing w:val="43"/>
          <w:w w:val="95"/>
        </w:rPr>
      </w:r>
      <w:r>
        <w:rPr>
          <w:w w:val="95"/>
        </w:rPr>
        <w:t>断对被投资单位具有重大影响：（</w:t>
      </w:r>
      <w:r>
        <w:rPr>
          <w:rFonts w:ascii="Arial" w:hAnsi="Arial" w:cs="Arial" w:eastAsia="Arial" w:hint="default"/>
          <w:w w:val="95"/>
        </w:rPr>
        <w:t>1</w:t>
      </w:r>
      <w:r>
        <w:rPr>
          <w:w w:val="95"/>
        </w:rPr>
        <w:t>）在被投资单位的董事会或类似权力机构中派有代表；（</w:t>
      </w:r>
      <w:r>
        <w:rPr>
          <w:rFonts w:ascii="Arial" w:hAnsi="Arial" w:cs="Arial" w:eastAsia="Arial" w:hint="default"/>
          <w:w w:val="95"/>
        </w:rPr>
        <w:t>2</w:t>
      </w:r>
      <w:r>
        <w:rPr>
          <w:w w:val="95"/>
        </w:rPr>
        <w:t>）参与被投</w:t>
      </w:r>
      <w:r>
        <w:rPr>
          <w:spacing w:val="24"/>
          <w:w w:val="95"/>
        </w:rPr>
        <w:t> </w:t>
      </w:r>
      <w:r>
        <w:rPr>
          <w:spacing w:val="24"/>
          <w:w w:val="95"/>
        </w:rPr>
      </w:r>
      <w:r>
        <w:rPr>
          <w:w w:val="95"/>
        </w:rPr>
        <w:t>资单位财务和经营政策制定过程；（</w:t>
      </w:r>
      <w:r>
        <w:rPr>
          <w:rFonts w:ascii="Arial" w:hAnsi="Arial" w:cs="Arial" w:eastAsia="Arial" w:hint="default"/>
          <w:w w:val="95"/>
        </w:rPr>
        <w:t>3</w:t>
      </w:r>
      <w:r>
        <w:rPr>
          <w:w w:val="95"/>
        </w:rPr>
        <w:t>）与被投资单位之间发生重要交易；（</w:t>
      </w:r>
      <w:r>
        <w:rPr>
          <w:rFonts w:ascii="Arial" w:hAnsi="Arial" w:cs="Arial" w:eastAsia="Arial" w:hint="default"/>
          <w:w w:val="95"/>
        </w:rPr>
        <w:t>4</w:t>
      </w:r>
      <w:r>
        <w:rPr>
          <w:w w:val="95"/>
        </w:rPr>
        <w:t>）向被投资单位派出管理人</w:t>
      </w:r>
      <w:r>
        <w:rPr>
          <w:spacing w:val="21"/>
          <w:w w:val="95"/>
        </w:rPr>
        <w:t> </w:t>
      </w:r>
      <w:r>
        <w:rPr>
          <w:spacing w:val="21"/>
          <w:w w:val="95"/>
        </w:rPr>
      </w:r>
      <w:r>
        <w:rPr/>
        <w:t>员；（</w:t>
      </w:r>
      <w:r>
        <w:rPr>
          <w:rFonts w:ascii="Arial" w:hAnsi="Arial" w:cs="Arial" w:eastAsia="Arial" w:hint="default"/>
        </w:rPr>
        <w:t>5</w:t>
      </w:r>
      <w:r>
        <w:rPr/>
        <w:t>）向被投资单位提供关键技术资料。</w:t>
      </w:r>
    </w:p>
    <w:p>
      <w:pPr>
        <w:spacing w:line="240" w:lineRule="auto" w:before="9"/>
        <w:rPr>
          <w:rFonts w:ascii="宋体" w:hAnsi="宋体" w:cs="宋体" w:eastAsia="宋体" w:hint="default"/>
          <w:sz w:val="22"/>
          <w:szCs w:val="22"/>
        </w:rPr>
      </w:pPr>
    </w:p>
    <w:p>
      <w:pPr>
        <w:pStyle w:val="Heading4"/>
        <w:spacing w:line="240" w:lineRule="auto" w:before="0"/>
        <w:ind w:right="0"/>
        <w:jc w:val="both"/>
        <w:rPr>
          <w:b w:val="0"/>
          <w:bCs w:val="0"/>
        </w:rPr>
      </w:pPr>
      <w:bookmarkStart w:name="15、固定资产" w:id="179"/>
      <w:bookmarkEnd w:id="179"/>
      <w:r>
        <w:rPr>
          <w:b w:val="0"/>
          <w:bCs w:val="0"/>
        </w:rPr>
      </w:r>
      <w:r>
        <w:rPr>
          <w:rFonts w:ascii="Arial" w:hAnsi="Arial" w:cs="Arial" w:eastAsia="Arial" w:hint="default"/>
        </w:rPr>
        <w:t>15</w:t>
      </w:r>
      <w:r>
        <w:rPr/>
        <w:t>、固定资产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0"/>
        <w:jc w:val="both"/>
        <w:rPr>
          <w:b w:val="0"/>
          <w:bCs w:val="0"/>
        </w:rPr>
      </w:pPr>
      <w:bookmarkStart w:name="（1）确认条件" w:id="180"/>
      <w:bookmarkEnd w:id="180"/>
      <w:r>
        <w:rPr>
          <w:b w:val="0"/>
          <w:bCs w:val="0"/>
        </w:rPr>
      </w:r>
      <w:r>
        <w:rPr/>
        <w:t>（</w:t>
      </w:r>
      <w:r>
        <w:rPr>
          <w:rFonts w:ascii="Arial" w:hAnsi="Arial" w:cs="Arial" w:eastAsia="Arial" w:hint="default"/>
        </w:rPr>
        <w:t>1</w:t>
      </w:r>
      <w:r>
        <w:rPr/>
        <w:t>）确认条件</w:t>
      </w:r>
      <w:r>
        <w:rPr>
          <w:b w:val="0"/>
          <w:bCs w:val="0"/>
        </w:rPr>
      </w:r>
    </w:p>
    <w:p>
      <w:pPr>
        <w:pStyle w:val="BodyText"/>
        <w:spacing w:line="273" w:lineRule="auto" w:before="142"/>
        <w:ind w:right="1132" w:firstLine="420"/>
        <w:jc w:val="both"/>
      </w:pPr>
      <w:r>
        <w:rPr>
          <w:w w:val="95"/>
        </w:rPr>
        <w:t>固定资产指为生产商品、提供劳务、出租或经营管理而持有，并且使用寿命超过一个会计年度的有形</w:t>
      </w:r>
      <w:r>
        <w:rPr>
          <w:w w:val="99"/>
        </w:rPr>
        <w:t> </w:t>
      </w:r>
      <w:r>
        <w:rPr/>
        <w:t>资产。固定资产在同时满足下列条件时予以确认：</w:t>
      </w:r>
    </w:p>
    <w:p>
      <w:pPr>
        <w:pStyle w:val="BodyText"/>
        <w:spacing w:line="240" w:lineRule="auto" w:before="127"/>
        <w:ind w:left="532" w:right="996"/>
        <w:jc w:val="left"/>
      </w:pPr>
      <w:r>
        <w:rPr/>
        <w:t>（</w:t>
      </w:r>
      <w:r>
        <w:rPr>
          <w:rFonts w:ascii="Arial" w:hAnsi="Arial" w:cs="Arial" w:eastAsia="Arial" w:hint="default"/>
        </w:rPr>
        <w:t>1</w:t>
      </w:r>
      <w:r>
        <w:rPr/>
        <w:t>）与该固定资产有关的经济利益很可能流入企业；</w:t>
      </w:r>
    </w:p>
    <w:p>
      <w:pPr>
        <w:pStyle w:val="BodyText"/>
        <w:spacing w:line="357" w:lineRule="auto" w:before="142"/>
        <w:ind w:left="532" w:right="6437"/>
        <w:jc w:val="left"/>
      </w:pPr>
      <w:r>
        <w:rPr/>
        <w:t>（</w:t>
      </w:r>
      <w:r>
        <w:rPr>
          <w:rFonts w:ascii="Arial" w:hAnsi="Arial" w:cs="Arial" w:eastAsia="Arial" w:hint="default"/>
        </w:rPr>
        <w:t>2</w:t>
      </w:r>
      <w:r>
        <w:rPr/>
        <w:t>）该固定资产的成本能够可靠地计量。</w:t>
      </w:r>
      <w:r>
        <w:rPr>
          <w:w w:val="99"/>
        </w:rPr>
        <w:t> </w:t>
      </w:r>
      <w:r>
        <w:rPr/>
        <w:t>本公司固定资产按成本进行初始计量。</w:t>
      </w:r>
    </w:p>
    <w:p>
      <w:pPr>
        <w:pStyle w:val="BodyText"/>
        <w:spacing w:line="259" w:lineRule="auto" w:before="54"/>
        <w:ind w:right="1133" w:firstLine="420"/>
        <w:jc w:val="both"/>
      </w:pPr>
      <w:r>
        <w:rPr>
          <w:spacing w:val="2"/>
          <w:w w:val="95"/>
        </w:rPr>
        <w:t>（</w:t>
      </w:r>
      <w:r>
        <w:rPr>
          <w:rFonts w:ascii="Arial" w:hAnsi="Arial" w:cs="Arial" w:eastAsia="Arial" w:hint="default"/>
          <w:spacing w:val="2"/>
          <w:w w:val="95"/>
        </w:rPr>
        <w:t>1</w:t>
      </w:r>
      <w:r>
        <w:rPr>
          <w:spacing w:val="2"/>
          <w:w w:val="95"/>
        </w:rPr>
        <w:t>）外购的固定资产的成本包括买价、进口关税等相关税费，以及为使固定资产达到预定可使用状</w:t>
      </w:r>
      <w:r>
        <w:rPr>
          <w:spacing w:val="-92"/>
          <w:w w:val="95"/>
        </w:rPr>
        <w:t> </w:t>
      </w:r>
      <w:r>
        <w:rPr>
          <w:spacing w:val="-92"/>
          <w:w w:val="95"/>
        </w:rPr>
      </w:r>
      <w:r>
        <w:rPr/>
        <w:t>态前所发生的可直接归属于该资产的其他支出。</w:t>
      </w:r>
    </w:p>
    <w:p>
      <w:pPr>
        <w:spacing w:after="0" w:line="259"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left="532" w:right="996"/>
        <w:jc w:val="left"/>
      </w:pPr>
      <w:r>
        <w:rPr/>
        <w:t>（</w:t>
      </w:r>
      <w:r>
        <w:rPr>
          <w:rFonts w:ascii="Arial" w:hAnsi="Arial" w:cs="Arial" w:eastAsia="Arial" w:hint="default"/>
        </w:rPr>
        <w:t>2</w:t>
      </w:r>
      <w:r>
        <w:rPr/>
        <w:t>）自行建造固定资产的成本，由建造该项资产达到预定可使用状态前所发生的必要支出构成。</w:t>
      </w:r>
    </w:p>
    <w:p>
      <w:pPr>
        <w:pStyle w:val="BodyText"/>
        <w:spacing w:line="259" w:lineRule="auto" w:before="142"/>
        <w:ind w:right="1133" w:firstLine="420"/>
        <w:jc w:val="both"/>
      </w:pPr>
      <w:r>
        <w:rPr>
          <w:spacing w:val="2"/>
          <w:w w:val="95"/>
        </w:rPr>
        <w:t>（</w:t>
      </w:r>
      <w:r>
        <w:rPr>
          <w:rFonts w:ascii="Arial" w:hAnsi="Arial" w:cs="Arial" w:eastAsia="Arial" w:hint="default"/>
          <w:spacing w:val="2"/>
          <w:w w:val="95"/>
        </w:rPr>
        <w:t>3</w:t>
      </w:r>
      <w:r>
        <w:rPr>
          <w:spacing w:val="2"/>
          <w:w w:val="95"/>
        </w:rPr>
        <w:t>）投资者投入的固定资产，按投资合同或协议约定的价值作为入账价值，但合同或协议约定价值</w:t>
      </w:r>
      <w:r>
        <w:rPr>
          <w:spacing w:val="-92"/>
          <w:w w:val="95"/>
        </w:rPr>
        <w:t> </w:t>
      </w:r>
      <w:r>
        <w:rPr>
          <w:spacing w:val="-92"/>
          <w:w w:val="95"/>
        </w:rPr>
      </w:r>
      <w:r>
        <w:rPr/>
        <w:t>不公允的按公允价值入账。</w:t>
      </w:r>
    </w:p>
    <w:p>
      <w:pPr>
        <w:pStyle w:val="BodyText"/>
        <w:spacing w:line="266" w:lineRule="auto" w:before="140"/>
        <w:ind w:right="1130" w:firstLine="420"/>
        <w:jc w:val="both"/>
      </w:pPr>
      <w:r>
        <w:rPr>
          <w:spacing w:val="2"/>
          <w:w w:val="95"/>
        </w:rPr>
        <w:t>（</w:t>
      </w:r>
      <w:r>
        <w:rPr>
          <w:rFonts w:ascii="Arial" w:hAnsi="Arial" w:cs="Arial" w:eastAsia="Arial" w:hint="default"/>
          <w:spacing w:val="2"/>
          <w:w w:val="95"/>
        </w:rPr>
        <w:t>4</w:t>
      </w:r>
      <w:r>
        <w:rPr>
          <w:spacing w:val="2"/>
          <w:w w:val="95"/>
        </w:rPr>
        <w:t>）购买固定资产的价款超过正常信用条件延期支付，实质上具有融资性质的，固定资产的成本以</w:t>
      </w:r>
      <w:r>
        <w:rPr>
          <w:spacing w:val="-92"/>
          <w:w w:val="95"/>
        </w:rPr>
        <w:t> </w:t>
      </w:r>
      <w:r>
        <w:rPr>
          <w:spacing w:val="-92"/>
          <w:w w:val="95"/>
        </w:rPr>
      </w:r>
      <w:r>
        <w:rPr>
          <w:w w:val="95"/>
        </w:rPr>
        <w:t>购买价款的现值为基础确定。实际支付的价款与购买价款的现值之间的差额，除应予资本化的以外，在信</w:t>
      </w:r>
      <w:r>
        <w:rPr>
          <w:spacing w:val="43"/>
          <w:w w:val="95"/>
        </w:rPr>
        <w:t> </w:t>
      </w:r>
      <w:r>
        <w:rPr>
          <w:spacing w:val="43"/>
          <w:w w:val="95"/>
        </w:rPr>
      </w:r>
      <w:r>
        <w:rPr/>
        <w:t>用期间内计入当期损益。</w:t>
      </w:r>
    </w:p>
    <w:p>
      <w:pPr>
        <w:pStyle w:val="Heading4"/>
        <w:spacing w:line="240" w:lineRule="auto" w:before="134"/>
        <w:ind w:right="996"/>
        <w:jc w:val="left"/>
        <w:rPr>
          <w:b w:val="0"/>
          <w:bCs w:val="0"/>
        </w:rPr>
      </w:pPr>
      <w:bookmarkStart w:name="（2）折旧方法" w:id="181"/>
      <w:bookmarkEnd w:id="181"/>
      <w:r>
        <w:rPr>
          <w:b w:val="0"/>
          <w:bCs w:val="0"/>
        </w:rPr>
      </w:r>
      <w:r>
        <w:rPr/>
        <w:t>（</w:t>
      </w:r>
      <w:r>
        <w:rPr>
          <w:rFonts w:ascii="Arial" w:hAnsi="Arial" w:cs="Arial" w:eastAsia="Arial" w:hint="default"/>
        </w:rPr>
        <w:t>2</w:t>
      </w:r>
      <w:r>
        <w:rPr/>
        <w:t>）折旧方法</w:t>
      </w:r>
      <w:r>
        <w:rPr>
          <w:b w:val="0"/>
          <w:bCs w:val="0"/>
        </w:rPr>
      </w:r>
    </w:p>
    <w:p>
      <w:pPr>
        <w:spacing w:line="240" w:lineRule="auto" w:before="0"/>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22"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Arial" w:hAnsi="Arial" w:cs="Arial" w:eastAsia="Arial"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3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Arial" w:hAnsi="Arial" w:cs="Arial" w:eastAsia="Arial" w:hint="default"/>
                <w:sz w:val="18"/>
                <w:szCs w:val="18"/>
              </w:rPr>
              <w:t>%</w:t>
            </w:r>
            <w:r>
              <w:rPr>
                <w:rFonts w:ascii="宋体" w:hAnsi="宋体" w:cs="宋体" w:eastAsia="宋体" w:hint="default"/>
                <w:sz w:val="18"/>
                <w:szCs w:val="18"/>
              </w:rPr>
              <w:t>）</w:t>
            </w:r>
          </w:p>
        </w:tc>
      </w:tr>
      <w:tr>
        <w:trPr>
          <w:trHeight w:val="5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sz w:val="18"/>
              </w:rPr>
              <w:t>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sz w:val="18"/>
              </w:rPr>
              <w:t>3.17-1.90</w:t>
            </w:r>
          </w:p>
        </w:tc>
      </w:tr>
      <w:tr>
        <w:trPr>
          <w:trHeight w:val="5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sz w:val="18"/>
              </w:rPr>
              <w:t>23.75-9.50</w:t>
            </w:r>
          </w:p>
        </w:tc>
      </w:tr>
      <w:tr>
        <w:trPr>
          <w:trHeight w:val="5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w w:val="99"/>
                <w:sz w:val="18"/>
              </w:rPr>
              <w:t>5</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1" w:right="0"/>
              <w:jc w:val="left"/>
              <w:rPr>
                <w:rFonts w:ascii="Arial" w:hAnsi="Arial" w:cs="Arial" w:eastAsia="Arial" w:hint="default"/>
                <w:sz w:val="18"/>
                <w:szCs w:val="18"/>
              </w:rPr>
            </w:pPr>
            <w:r>
              <w:rPr>
                <w:rFonts w:ascii="Arial"/>
                <w:sz w:val="18"/>
              </w:rPr>
              <w:t>19.00</w:t>
            </w:r>
          </w:p>
        </w:tc>
      </w:tr>
    </w:tbl>
    <w:p>
      <w:pPr>
        <w:spacing w:line="240" w:lineRule="auto" w:before="6"/>
        <w:rPr>
          <w:rFonts w:ascii="宋体" w:hAnsi="宋体" w:cs="宋体" w:eastAsia="宋体" w:hint="default"/>
          <w:b/>
          <w:bCs/>
          <w:sz w:val="5"/>
          <w:szCs w:val="5"/>
        </w:rPr>
      </w:pPr>
    </w:p>
    <w:p>
      <w:pPr>
        <w:pStyle w:val="BodyText"/>
        <w:spacing w:line="273" w:lineRule="auto" w:before="34"/>
        <w:ind w:right="1135" w:firstLine="420"/>
        <w:jc w:val="both"/>
      </w:pPr>
      <w:r>
        <w:rPr>
          <w:spacing w:val="4"/>
        </w:rPr>
        <w:t>固定资产折旧按其入账价值减去预计净残值后在预计使用寿命内计提。对计提了减值准备的固定资</w:t>
      </w:r>
      <w:r>
        <w:rPr>
          <w:w w:val="99"/>
        </w:rPr>
        <w:t> </w:t>
      </w:r>
      <w:r>
        <w:rPr>
          <w:w w:val="95"/>
        </w:rPr>
        <w:t>产，则在未来期间按扣除减值准备后的账面价值及依据尚可使用年限确定折旧额；已提足折旧仍继续使用</w:t>
      </w:r>
      <w:r>
        <w:rPr>
          <w:spacing w:val="38"/>
          <w:w w:val="95"/>
        </w:rPr>
        <w:t> </w:t>
      </w:r>
      <w:r>
        <w:rPr>
          <w:spacing w:val="38"/>
          <w:w w:val="95"/>
        </w:rPr>
      </w:r>
      <w:r>
        <w:rPr/>
        <w:t>的固定资产不计提折旧。</w:t>
      </w:r>
    </w:p>
    <w:p>
      <w:pPr>
        <w:pStyle w:val="BodyText"/>
        <w:spacing w:line="273" w:lineRule="auto" w:before="127"/>
        <w:ind w:right="1112" w:firstLine="420"/>
        <w:jc w:val="both"/>
      </w:pPr>
      <w:r>
        <w:rPr>
          <w:w w:val="95"/>
        </w:rPr>
        <w:t>本公司根据固定资产的性质和使用情况，确定固定资产的使用寿命和预计净残值。并在年度终了，对</w:t>
      </w:r>
      <w:r>
        <w:rPr>
          <w:w w:val="99"/>
        </w:rPr>
        <w:t> </w:t>
      </w:r>
      <w:r>
        <w:rPr>
          <w:w w:val="95"/>
        </w:rPr>
        <w:t>固定资产的使用寿命、预计净残值和折旧方法进行复核，如与原先估计数存在差异的，进行相应的调整。</w:t>
      </w:r>
      <w:r>
        <w:rPr/>
      </w:r>
    </w:p>
    <w:p>
      <w:pPr>
        <w:pStyle w:val="BodyText"/>
        <w:spacing w:line="357" w:lineRule="auto" w:before="127"/>
        <w:ind w:left="532" w:right="996"/>
        <w:jc w:val="left"/>
      </w:pPr>
      <w:r>
        <w:rPr>
          <w:rFonts w:ascii="Arial" w:hAnsi="Arial" w:cs="Arial" w:eastAsia="Arial" w:hint="default"/>
        </w:rPr>
        <w:t>1</w:t>
      </w:r>
      <w:r>
        <w:rPr/>
        <w:t>）固定资产的后续支出</w:t>
      </w:r>
      <w:r>
        <w:rPr>
          <w:w w:val="99"/>
        </w:rPr>
        <w:t> </w:t>
      </w:r>
      <w:r>
        <w:rPr>
          <w:w w:val="95"/>
        </w:rPr>
        <w:t>与固定资产有关的后续支出，符合固定资产确认条件的，计入固定资产成本；不符合固定资产确认条</w:t>
      </w:r>
      <w:r>
        <w:rPr/>
      </w:r>
    </w:p>
    <w:p>
      <w:pPr>
        <w:pStyle w:val="BodyText"/>
        <w:spacing w:line="209" w:lineRule="exact"/>
        <w:ind w:right="996"/>
        <w:jc w:val="left"/>
      </w:pPr>
      <w:r>
        <w:rPr/>
        <w:t>件的，在发生时计入当期损益。</w:t>
      </w:r>
    </w:p>
    <w:p>
      <w:pPr>
        <w:pStyle w:val="BodyText"/>
        <w:spacing w:line="357" w:lineRule="auto" w:before="157"/>
        <w:ind w:left="532" w:right="996" w:firstLine="45"/>
        <w:jc w:val="left"/>
      </w:pPr>
      <w:r>
        <w:rPr>
          <w:rFonts w:ascii="Arial" w:hAnsi="Arial" w:cs="Arial" w:eastAsia="Arial" w:hint="default"/>
        </w:rPr>
        <w:t>2</w:t>
      </w:r>
      <w:r>
        <w:rPr/>
        <w:t>）固定资产处置</w:t>
      </w:r>
      <w:r>
        <w:rPr>
          <w:w w:val="99"/>
        </w:rPr>
        <w:t> </w:t>
      </w:r>
      <w:r>
        <w:rPr>
          <w:w w:val="95"/>
        </w:rPr>
        <w:t>当固定资产被处置、或者预期通过使用或处置不能产生经济利益时，终止确认该固定资产。固定资产</w:t>
      </w:r>
      <w:r>
        <w:rPr/>
      </w:r>
    </w:p>
    <w:p>
      <w:pPr>
        <w:pStyle w:val="BodyText"/>
        <w:spacing w:line="209" w:lineRule="exact"/>
        <w:ind w:right="996"/>
        <w:jc w:val="left"/>
      </w:pPr>
      <w:r>
        <w:rPr/>
        <w:t>出售、转让、报废或毁损的处置收入扣除其账面价值和相关税费后的金额计入当期损益。</w:t>
      </w:r>
    </w:p>
    <w:p>
      <w:pPr>
        <w:spacing w:line="357" w:lineRule="auto" w:before="157"/>
        <w:ind w:left="532" w:right="996" w:hanging="420"/>
        <w:jc w:val="left"/>
        <w:rPr>
          <w:rFonts w:ascii="宋体" w:hAnsi="宋体" w:cs="宋体" w:eastAsia="宋体" w:hint="default"/>
          <w:sz w:val="21"/>
          <w:szCs w:val="21"/>
        </w:rPr>
      </w:pPr>
      <w:bookmarkStart w:name="（3）融资租入固定资产的认定依据、计价和折旧方法" w:id="182"/>
      <w:bookmarkEnd w:id="182"/>
      <w:r>
        <w:rPr/>
      </w: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w w:val="95"/>
          <w:sz w:val="21"/>
          <w:szCs w:val="21"/>
        </w:rPr>
        <w:t>当本公司租入的固定资产符合下列一项或数项标准时，确认为融资租入固定资产：</w:t>
      </w:r>
      <w:r>
        <w:rPr>
          <w:rFonts w:ascii="宋体" w:hAnsi="宋体" w:cs="宋体" w:eastAsia="宋体" w:hint="default"/>
          <w:sz w:val="21"/>
          <w:szCs w:val="21"/>
        </w:rPr>
      </w:r>
    </w:p>
    <w:p>
      <w:pPr>
        <w:pStyle w:val="BodyText"/>
        <w:spacing w:line="240" w:lineRule="auto" w:before="54"/>
        <w:ind w:left="532" w:right="996"/>
        <w:jc w:val="left"/>
      </w:pPr>
      <w:r>
        <w:rPr/>
        <w:t>（</w:t>
      </w:r>
      <w:r>
        <w:rPr>
          <w:rFonts w:ascii="Arial" w:hAnsi="Arial" w:cs="Arial" w:eastAsia="Arial" w:hint="default"/>
        </w:rPr>
        <w:t>1</w:t>
      </w:r>
      <w:r>
        <w:rPr/>
        <w:t>）在租赁期届满时，租赁资产的所有权转移给本公司。</w:t>
      </w:r>
    </w:p>
    <w:p>
      <w:pPr>
        <w:pStyle w:val="BodyText"/>
        <w:spacing w:line="259" w:lineRule="auto" w:before="142"/>
        <w:ind w:right="1133" w:firstLine="420"/>
        <w:jc w:val="both"/>
      </w:pPr>
      <w:r>
        <w:rPr>
          <w:spacing w:val="2"/>
          <w:w w:val="95"/>
        </w:rPr>
        <w:t>（</w:t>
      </w:r>
      <w:r>
        <w:rPr>
          <w:rFonts w:ascii="Arial" w:hAnsi="Arial" w:cs="Arial" w:eastAsia="Arial" w:hint="default"/>
          <w:spacing w:val="2"/>
          <w:w w:val="95"/>
        </w:rPr>
        <w:t>2</w:t>
      </w:r>
      <w:r>
        <w:rPr>
          <w:spacing w:val="2"/>
          <w:w w:val="95"/>
        </w:rPr>
        <w:t>）本公司有购买租赁资产的选择权，所订立的购买价款预计将远低于行使选择权时租赁资产的公</w:t>
      </w:r>
      <w:r>
        <w:rPr>
          <w:spacing w:val="-92"/>
          <w:w w:val="95"/>
        </w:rPr>
        <w:t> </w:t>
      </w:r>
      <w:r>
        <w:rPr>
          <w:spacing w:val="-92"/>
          <w:w w:val="95"/>
        </w:rPr>
      </w:r>
      <w:r>
        <w:rPr/>
        <w:t>允价值，因而在租赁开始日就可以合理确定本公司将会行使这种选择权。</w:t>
      </w:r>
    </w:p>
    <w:p>
      <w:pPr>
        <w:pStyle w:val="BodyText"/>
        <w:spacing w:line="240" w:lineRule="auto" w:before="140"/>
        <w:ind w:left="532" w:right="996"/>
        <w:jc w:val="left"/>
      </w:pPr>
      <w:r>
        <w:rPr/>
        <w:t>（</w:t>
      </w:r>
      <w:r>
        <w:rPr>
          <w:rFonts w:ascii="Arial" w:hAnsi="Arial" w:cs="Arial" w:eastAsia="Arial" w:hint="default"/>
        </w:rPr>
        <w:t>3</w:t>
      </w:r>
      <w:r>
        <w:rPr/>
        <w:t>）即使资产的所有权不转移，但租赁期占租赁资产使用寿命的大部分。</w:t>
      </w:r>
    </w:p>
    <w:p>
      <w:pPr>
        <w:pStyle w:val="BodyText"/>
        <w:spacing w:line="240" w:lineRule="auto" w:before="142"/>
        <w:ind w:left="532" w:right="996"/>
        <w:jc w:val="left"/>
      </w:pPr>
      <w:r>
        <w:rPr/>
        <w:t>（</w:t>
      </w:r>
      <w:r>
        <w:rPr>
          <w:rFonts w:ascii="Arial" w:hAnsi="Arial" w:cs="Arial" w:eastAsia="Arial" w:hint="default"/>
        </w:rPr>
        <w:t>4</w:t>
      </w:r>
      <w:r>
        <w:rPr/>
        <w:t>）本公司在租赁开始日的最低租赁付款额现值，几乎相当于租赁开始日租赁资产公允价值。</w:t>
      </w:r>
    </w:p>
    <w:p>
      <w:pPr>
        <w:pStyle w:val="BodyText"/>
        <w:spacing w:line="357" w:lineRule="auto" w:before="142"/>
        <w:ind w:left="532" w:right="996"/>
        <w:jc w:val="left"/>
      </w:pPr>
      <w:r>
        <w:rPr/>
        <w:t>（</w:t>
      </w:r>
      <w:r>
        <w:rPr>
          <w:rFonts w:ascii="Arial" w:hAnsi="Arial" w:cs="Arial" w:eastAsia="Arial" w:hint="default"/>
        </w:rPr>
        <w:t>5</w:t>
      </w:r>
      <w:r>
        <w:rPr/>
        <w:t>）租赁资产性质特殊，如果不作较大改造，只有本公司才能使用。</w:t>
      </w:r>
      <w:r>
        <w:rPr>
          <w:w w:val="99"/>
        </w:rPr>
        <w:t> </w:t>
      </w:r>
      <w:r>
        <w:rPr>
          <w:w w:val="95"/>
        </w:rPr>
        <w:t>融资租赁租入的固定资产，按租赁开始日租赁资产公允价值与最低租赁付款额的现值两者中较低者，</w:t>
      </w:r>
      <w:r>
        <w:rPr/>
      </w:r>
    </w:p>
    <w:p>
      <w:pPr>
        <w:pStyle w:val="BodyText"/>
        <w:spacing w:line="209" w:lineRule="exact"/>
        <w:ind w:right="996"/>
        <w:jc w:val="left"/>
      </w:pPr>
      <w:r>
        <w:rPr/>
        <w:t>作为入账价值。最低租赁付款额作为长期应付款的入账价值，其差额作为未确认融资费用。在租赁谈判和</w:t>
      </w:r>
    </w:p>
    <w:p>
      <w:pPr>
        <w:pStyle w:val="BodyText"/>
        <w:spacing w:line="273" w:lineRule="auto" w:before="37"/>
        <w:ind w:right="996"/>
        <w:jc w:val="left"/>
      </w:pPr>
      <w:r>
        <w:rPr>
          <w:w w:val="95"/>
        </w:rPr>
        <w:t>签订租赁合同过程中发生的，可归属于租赁项目的手续费、律师费、差旅费、印花税等初始直接费用，计</w:t>
      </w:r>
      <w:r>
        <w:rPr>
          <w:spacing w:val="44"/>
          <w:w w:val="95"/>
        </w:rPr>
        <w:t> </w:t>
      </w:r>
      <w:r>
        <w:rPr>
          <w:spacing w:val="44"/>
          <w:w w:val="95"/>
        </w:rPr>
      </w:r>
      <w:r>
        <w:rPr/>
        <w:t>入租入资产价值。未确认融资费用在租赁期内各个期间采用实际利率法进行分摊。</w:t>
      </w:r>
    </w:p>
    <w:p>
      <w:pPr>
        <w:spacing w:after="0" w:line="273"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2" w:firstLine="420"/>
        <w:jc w:val="both"/>
      </w:pPr>
      <w:r>
        <w:rPr>
          <w:w w:val="95"/>
        </w:rPr>
        <w:t>本公司采用与自有固定资产相一致的折旧政策计提融资租入固定资产折旧。能够合理确定租赁期届满</w:t>
      </w:r>
      <w:r>
        <w:rPr>
          <w:w w:val="99"/>
        </w:rPr>
        <w:t> </w:t>
      </w:r>
      <w:r>
        <w:rPr>
          <w:w w:val="95"/>
        </w:rPr>
        <w:t>时取得租赁资产所有权的，在租赁资产使用寿命内计提折旧。无法合理确定租赁期届满时能够取得租赁资</w:t>
      </w:r>
      <w:r>
        <w:rPr>
          <w:spacing w:val="40"/>
          <w:w w:val="95"/>
        </w:rPr>
        <w:t> </w:t>
      </w:r>
      <w:r>
        <w:rPr>
          <w:spacing w:val="40"/>
          <w:w w:val="95"/>
        </w:rPr>
      </w:r>
      <w:r>
        <w:rPr/>
        <w:t>产所有权的，在租赁期与租赁资产使用寿命两者中较短的期间内计提折旧。</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16、在建工程" w:id="183"/>
      <w:bookmarkEnd w:id="183"/>
      <w:r>
        <w:rPr>
          <w:b w:val="0"/>
          <w:bCs w:val="0"/>
        </w:rPr>
      </w:r>
      <w:r>
        <w:rPr>
          <w:rFonts w:ascii="Arial" w:hAnsi="Arial" w:cs="Arial" w:eastAsia="Arial" w:hint="default"/>
        </w:rPr>
        <w:t>16</w:t>
      </w:r>
      <w:r>
        <w:rPr/>
        <w:t>、在建工程</w:t>
      </w:r>
      <w:r>
        <w:rPr>
          <w:b w:val="0"/>
          <w:bCs w:val="0"/>
        </w:rPr>
      </w:r>
    </w:p>
    <w:p>
      <w:pPr>
        <w:spacing w:line="240" w:lineRule="auto" w:before="8"/>
        <w:rPr>
          <w:rFonts w:ascii="宋体" w:hAnsi="宋体" w:cs="宋体" w:eastAsia="宋体" w:hint="default"/>
          <w:b/>
          <w:bCs/>
          <w:sz w:val="24"/>
          <w:szCs w:val="24"/>
        </w:rPr>
      </w:pPr>
    </w:p>
    <w:p>
      <w:pPr>
        <w:spacing w:line="357" w:lineRule="auto" w:before="0"/>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）在建工程初始计量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本公司自行建造的在建工程按实际成本计价，实际成本由建造该项资产达到预定可使用状态前所发生</w:t>
      </w:r>
      <w:r>
        <w:rPr>
          <w:rFonts w:ascii="宋体" w:hAnsi="宋体" w:cs="宋体" w:eastAsia="宋体" w:hint="default"/>
          <w:sz w:val="21"/>
          <w:szCs w:val="21"/>
        </w:rPr>
      </w:r>
    </w:p>
    <w:p>
      <w:pPr>
        <w:pStyle w:val="BodyText"/>
        <w:spacing w:line="209" w:lineRule="exact"/>
        <w:ind w:right="996"/>
        <w:jc w:val="left"/>
      </w:pPr>
      <w:r>
        <w:rPr/>
        <w:t>的必要支出构成，包括工程用物资成本、人工成本、交纳的相关税费、应予资本化的借款费用以及应分摊</w:t>
      </w:r>
    </w:p>
    <w:p>
      <w:pPr>
        <w:pStyle w:val="BodyText"/>
        <w:spacing w:line="240" w:lineRule="auto" w:before="37"/>
        <w:ind w:right="996"/>
        <w:jc w:val="left"/>
      </w:pPr>
      <w:r>
        <w:rPr/>
        <w:t>的间接费用等。</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09" w:lineRule="exact"/>
        <w:ind w:right="996"/>
        <w:jc w:val="left"/>
      </w:pPr>
      <w:r>
        <w:rPr/>
        <w:t>所建造的在建工程已达到预定可使用状态，但尚未办理竣工决算的，自达到预定可使用状态之日起，根据</w:t>
      </w:r>
    </w:p>
    <w:p>
      <w:pPr>
        <w:pStyle w:val="BodyText"/>
        <w:spacing w:line="273" w:lineRule="auto" w:before="37"/>
        <w:ind w:right="996"/>
        <w:jc w:val="left"/>
      </w:pPr>
      <w:r>
        <w:rPr>
          <w:w w:val="95"/>
        </w:rPr>
        <w:t>工程预算、造价或者工程实际成本等，按估计的价值转入固定资产，并按本公司固定资产折旧政策计提固</w:t>
      </w:r>
      <w:r>
        <w:rPr>
          <w:spacing w:val="43"/>
          <w:w w:val="95"/>
        </w:rPr>
        <w:t> </w:t>
      </w:r>
      <w:r>
        <w:rPr>
          <w:spacing w:val="43"/>
          <w:w w:val="95"/>
        </w:rPr>
      </w:r>
      <w:r>
        <w:rPr/>
        <w:t>定资产的折旧，待办理竣工决算后，再按实际成本调整原来的暂估价值，但不调整原已计提的折旧额。</w:t>
      </w:r>
    </w:p>
    <w:p>
      <w:pPr>
        <w:spacing w:line="240" w:lineRule="auto" w:before="9"/>
        <w:rPr>
          <w:rFonts w:ascii="宋体" w:hAnsi="宋体" w:cs="宋体" w:eastAsia="宋体" w:hint="default"/>
          <w:sz w:val="23"/>
          <w:szCs w:val="23"/>
        </w:rPr>
      </w:pPr>
    </w:p>
    <w:p>
      <w:pPr>
        <w:pStyle w:val="Heading4"/>
        <w:spacing w:line="240" w:lineRule="auto" w:before="0"/>
        <w:ind w:right="996"/>
        <w:jc w:val="left"/>
        <w:rPr>
          <w:b w:val="0"/>
          <w:bCs w:val="0"/>
        </w:rPr>
      </w:pPr>
      <w:bookmarkStart w:name="17、借款费用" w:id="184"/>
      <w:bookmarkEnd w:id="184"/>
      <w:r>
        <w:rPr>
          <w:b w:val="0"/>
          <w:bCs w:val="0"/>
        </w:rPr>
      </w:r>
      <w:r>
        <w:rPr>
          <w:rFonts w:ascii="Arial" w:hAnsi="Arial" w:cs="Arial" w:eastAsia="Arial" w:hint="default"/>
        </w:rPr>
        <w:t>17</w:t>
      </w:r>
      <w:r>
        <w:rPr/>
        <w:t>、借款费用</w:t>
      </w:r>
      <w:r>
        <w:rPr>
          <w:b w:val="0"/>
          <w:bCs w:val="0"/>
        </w:rPr>
      </w:r>
    </w:p>
    <w:p>
      <w:pPr>
        <w:spacing w:line="240" w:lineRule="auto" w:before="8"/>
        <w:rPr>
          <w:rFonts w:ascii="宋体" w:hAnsi="宋体" w:cs="宋体" w:eastAsia="宋体" w:hint="default"/>
          <w:b/>
          <w:bCs/>
          <w:sz w:val="24"/>
          <w:szCs w:val="24"/>
        </w:rPr>
      </w:pPr>
    </w:p>
    <w:p>
      <w:pPr>
        <w:spacing w:line="357" w:lineRule="auto" w:before="0"/>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本公司发生的借款费用，可直接归属于符合资本化条件的资产的购建或者生产的，予以资本化，计入</w:t>
      </w:r>
      <w:r>
        <w:rPr>
          <w:rFonts w:ascii="宋体" w:hAnsi="宋体" w:cs="宋体" w:eastAsia="宋体" w:hint="default"/>
          <w:sz w:val="21"/>
          <w:szCs w:val="21"/>
        </w:rPr>
      </w:r>
    </w:p>
    <w:p>
      <w:pPr>
        <w:pStyle w:val="BodyText"/>
        <w:spacing w:line="209" w:lineRule="exact"/>
        <w:ind w:right="996"/>
        <w:jc w:val="left"/>
      </w:pPr>
      <w:r>
        <w:rPr/>
        <w:t>相关资产成本；其他借款费用，在发生时根据其发生额确认为费用，计入当期损益。</w:t>
      </w:r>
    </w:p>
    <w:p>
      <w:pPr>
        <w:pStyle w:val="BodyText"/>
        <w:spacing w:line="273" w:lineRule="auto" w:before="157"/>
        <w:ind w:right="1132" w:firstLine="420"/>
        <w:jc w:val="both"/>
      </w:pPr>
      <w:r>
        <w:rPr>
          <w:w w:val="95"/>
        </w:rPr>
        <w:t>符合资本化条件的资产，是指需要经过相当长时间的购建或者生产活动才能达到预定可使用或者可销</w:t>
      </w:r>
      <w:r>
        <w:rPr>
          <w:w w:val="99"/>
        </w:rPr>
        <w:t> </w:t>
      </w:r>
      <w:r>
        <w:rPr/>
        <w:t>售状态的固定资产、投资性房地产和存货等资产。</w:t>
      </w:r>
    </w:p>
    <w:p>
      <w:pPr>
        <w:pStyle w:val="BodyText"/>
        <w:spacing w:line="240" w:lineRule="auto" w:before="127"/>
        <w:ind w:left="532" w:right="996"/>
        <w:jc w:val="left"/>
      </w:pPr>
      <w:r>
        <w:rPr/>
        <w:t>借款费用同时满足下列条件时开始资本化：</w:t>
      </w:r>
    </w:p>
    <w:p>
      <w:pPr>
        <w:pStyle w:val="BodyText"/>
        <w:spacing w:line="273" w:lineRule="auto" w:before="157"/>
        <w:ind w:right="1135" w:firstLine="427"/>
        <w:jc w:val="both"/>
      </w:pPr>
      <w:r>
        <w:rPr>
          <w:w w:val="95"/>
        </w:rPr>
        <w:t>①资产支出已经发生，资产支出包括为购建或者生产符合资本化条件的资产而以支付现金、转移非现</w:t>
      </w:r>
      <w:r>
        <w:rPr>
          <w:w w:val="99"/>
        </w:rPr>
        <w:t> </w:t>
      </w:r>
      <w:r>
        <w:rPr/>
        <w:t>金资产或者承担带息债务形式发生的支出；</w:t>
      </w:r>
    </w:p>
    <w:p>
      <w:pPr>
        <w:pStyle w:val="BodyText"/>
        <w:spacing w:line="240" w:lineRule="auto" w:before="127"/>
        <w:ind w:left="540" w:right="996"/>
        <w:jc w:val="left"/>
      </w:pPr>
      <w:r>
        <w:rPr/>
        <w:t>②借款费用已经发生；</w:t>
      </w:r>
    </w:p>
    <w:p>
      <w:pPr>
        <w:pStyle w:val="BodyText"/>
        <w:spacing w:line="240" w:lineRule="auto" w:before="157"/>
        <w:ind w:left="540" w:right="996"/>
        <w:jc w:val="left"/>
      </w:pPr>
      <w:r>
        <w:rPr/>
        <w:t>③为使资产达到预定可使用或者可销售状态所必要的购建或者生产活动已经开始。</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09" w:lineRule="exact"/>
        <w:ind w:right="996"/>
        <w:jc w:val="left"/>
      </w:pPr>
      <w:r>
        <w:rPr/>
        <w:t>包括在内。</w:t>
      </w:r>
    </w:p>
    <w:p>
      <w:pPr>
        <w:pStyle w:val="BodyText"/>
        <w:spacing w:line="430" w:lineRule="atLeast" w:before="2"/>
        <w:ind w:left="532" w:right="996"/>
        <w:jc w:val="left"/>
      </w:pPr>
      <w:r>
        <w:rPr/>
        <w:t>当购建或者生产符合资本化条件的资产达到预定可使用或者可销售状态时，借款费用停止资本化。</w:t>
      </w:r>
      <w:r>
        <w:rPr>
          <w:w w:val="99"/>
        </w:rPr>
        <w:t> </w:t>
      </w:r>
      <w:r>
        <w:rPr>
          <w:w w:val="95"/>
        </w:rPr>
        <w:t>生产符合资本化条件的资产中部分项目分别完工且可单独使用时，该部分资产借款费用停止资本化。</w:t>
      </w:r>
      <w:r>
        <w:rPr/>
      </w:r>
    </w:p>
    <w:p>
      <w:pPr>
        <w:pStyle w:val="BodyText"/>
        <w:spacing w:line="240" w:lineRule="auto" w:before="37"/>
        <w:ind w:right="996"/>
        <w:jc w:val="left"/>
      </w:pPr>
      <w:r>
        <w:rPr/>
        <w:t>当购建或者</w:t>
      </w:r>
    </w:p>
    <w:p>
      <w:pPr>
        <w:pStyle w:val="BodyText"/>
        <w:spacing w:line="273" w:lineRule="auto" w:before="157"/>
        <w:ind w:right="1135" w:firstLine="420"/>
        <w:jc w:val="both"/>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357" w:lineRule="auto" w:before="127"/>
        <w:ind w:left="532" w:right="996" w:hanging="420"/>
        <w:jc w:val="left"/>
      </w:pPr>
      <w:r>
        <w:rPr>
          <w:rFonts w:ascii="宋体" w:hAnsi="宋体" w:cs="宋体" w:eastAsia="宋体" w:hint="default"/>
          <w:b/>
          <w:bCs/>
        </w:rPr>
        <w:t>（</w:t>
      </w:r>
      <w:r>
        <w:rPr>
          <w:rFonts w:ascii="Arial" w:hAnsi="Arial" w:cs="Arial" w:eastAsia="Arial"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w w:val="95"/>
        </w:rPr>
        <w:t>符合资本化条件的资产在购建或生产过程中发生的非正常中断、且中断时间连续超过</w:t>
      </w:r>
      <w:r>
        <w:rPr>
          <w:rFonts w:ascii="Arial" w:hAnsi="Arial" w:cs="Arial" w:eastAsia="Arial" w:hint="default"/>
          <w:spacing w:val="2"/>
          <w:w w:val="95"/>
        </w:rPr>
        <w:t>3</w:t>
      </w:r>
      <w:r>
        <w:rPr>
          <w:spacing w:val="2"/>
          <w:w w:val="95"/>
        </w:rPr>
        <w:t>个月的，则借</w:t>
      </w:r>
      <w:r>
        <w:rPr>
          <w:spacing w:val="2"/>
        </w:rPr>
      </w:r>
    </w:p>
    <w:p>
      <w:pPr>
        <w:spacing w:after="0" w:line="357"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专门借款的利息费用（扣除尚未动用的借款资金存入银行取得的利息收入或者进行暂时性投资取得的</w:t>
      </w:r>
      <w:r>
        <w:rPr>
          <w:rFonts w:ascii="宋体" w:hAnsi="宋体" w:cs="宋体" w:eastAsia="宋体" w:hint="default"/>
          <w:sz w:val="21"/>
          <w:szCs w:val="21"/>
        </w:rPr>
      </w:r>
    </w:p>
    <w:p>
      <w:pPr>
        <w:pStyle w:val="BodyText"/>
        <w:spacing w:line="209" w:lineRule="exact"/>
        <w:ind w:right="996"/>
        <w:jc w:val="left"/>
      </w:pPr>
      <w:r>
        <w:rPr/>
        <w:t>投资收益）及其辅助费用在所购建或者生产的符合资本化条件的资产达到预定可使用或者可销售状态前，</w:t>
      </w:r>
    </w:p>
    <w:p>
      <w:pPr>
        <w:pStyle w:val="BodyText"/>
        <w:spacing w:line="240" w:lineRule="auto" w:before="37"/>
        <w:ind w:right="996"/>
        <w:jc w:val="left"/>
      </w:pPr>
      <w:r>
        <w:rPr/>
        <w:t>予以资本化。</w:t>
      </w:r>
    </w:p>
    <w:p>
      <w:pPr>
        <w:pStyle w:val="BodyText"/>
        <w:spacing w:line="273" w:lineRule="auto" w:before="157"/>
        <w:ind w:right="1132" w:firstLine="420"/>
        <w:jc w:val="both"/>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before="127"/>
        <w:ind w:right="1135" w:firstLine="420"/>
        <w:jc w:val="both"/>
      </w:pPr>
      <w:r>
        <w:rPr>
          <w:w w:val="95"/>
        </w:rPr>
        <w:t>借款存在折价或者溢价的，按照实际利率法确定每一会计期间应摊销的折价或者溢价金额，调整每期</w:t>
      </w:r>
      <w:r>
        <w:rPr>
          <w:w w:val="99"/>
        </w:rPr>
        <w:t> </w:t>
      </w:r>
      <w:r>
        <w:rPr/>
        <w:t>利息金额。</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18、无形资产" w:id="185"/>
      <w:bookmarkEnd w:id="185"/>
      <w:r>
        <w:rPr>
          <w:b w:val="0"/>
          <w:bCs w:val="0"/>
        </w:rPr>
      </w:r>
      <w:r>
        <w:rPr>
          <w:rFonts w:ascii="Arial" w:hAnsi="Arial" w:cs="Arial" w:eastAsia="Arial"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2" w:firstLine="420"/>
        <w:jc w:val="both"/>
      </w:pPr>
      <w:r>
        <w:rPr>
          <w:w w:val="95"/>
        </w:rPr>
        <w:t>无形资产是指本公司拥有或者控制的没有实物形态的可辨认非货币性资产，包括土地使用权、软件、</w:t>
      </w:r>
      <w:r>
        <w:rPr>
          <w:spacing w:val="-79"/>
          <w:w w:val="95"/>
        </w:rPr>
        <w:t> </w:t>
      </w:r>
      <w:r>
        <w:rPr>
          <w:spacing w:val="-79"/>
          <w:w w:val="95"/>
        </w:rPr>
      </w:r>
      <w:r>
        <w:rPr/>
        <w:t>专利权。</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w w:val="95"/>
          <w:sz w:val="21"/>
          <w:szCs w:val="21"/>
        </w:rPr>
        <w:t>外购无形资产的成本，包括购买价款、相关税费以及直接归属于使该项资产达到预定用途所发生的其</w:t>
      </w:r>
      <w:r>
        <w:rPr>
          <w:rFonts w:ascii="宋体" w:hAnsi="宋体" w:cs="宋体" w:eastAsia="宋体" w:hint="default"/>
          <w:sz w:val="21"/>
          <w:szCs w:val="21"/>
        </w:rPr>
      </w:r>
    </w:p>
    <w:p>
      <w:pPr>
        <w:pStyle w:val="BodyText"/>
        <w:spacing w:line="209" w:lineRule="exact"/>
        <w:ind w:right="996"/>
        <w:jc w:val="left"/>
      </w:pPr>
      <w:r>
        <w:rPr/>
        <w:t>他支出。购买无形资产的价款超过正常信用条件延期支付，实质上具有融资性质的，无形资产的成本以购</w:t>
      </w:r>
    </w:p>
    <w:p>
      <w:pPr>
        <w:pStyle w:val="BodyText"/>
        <w:spacing w:line="240" w:lineRule="auto" w:before="37"/>
        <w:ind w:right="996"/>
        <w:jc w:val="left"/>
      </w:pPr>
      <w:r>
        <w:rPr/>
        <w:t>买价款的现值为基础确定。</w:t>
      </w:r>
    </w:p>
    <w:p>
      <w:pPr>
        <w:pStyle w:val="BodyText"/>
        <w:spacing w:line="273" w:lineRule="auto" w:before="157"/>
        <w:ind w:right="1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before="127"/>
        <w:ind w:right="1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before="127"/>
        <w:ind w:right="1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before="127"/>
        <w:ind w:right="1130" w:firstLine="420"/>
        <w:jc w:val="both"/>
      </w:pPr>
      <w:r>
        <w:rPr>
          <w:w w:val="95"/>
        </w:rPr>
        <w:t>内部自行开发的无形资产，其成本包括：开发该无形资产时耗用的材料、劳务成本、注册费、在开发</w:t>
      </w:r>
      <w:r>
        <w:rPr>
          <w:spacing w:val="-97"/>
          <w:w w:val="95"/>
        </w:rPr>
        <w:t> </w:t>
      </w:r>
      <w:r>
        <w:rPr>
          <w:spacing w:val="-97"/>
          <w:w w:val="95"/>
        </w:rPr>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pStyle w:val="BodyText"/>
        <w:spacing w:line="364" w:lineRule="auto" w:before="127"/>
        <w:ind w:left="532" w:right="996" w:hanging="420"/>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w w:val="95"/>
        </w:rPr>
        <w:t>本公司在取得无形资产时分析判断其使用寿命，划分为使用寿命有限和使用寿命不确定的无形资产。</w:t>
      </w:r>
      <w:r>
        <w:rPr>
          <w:spacing w:val="-79"/>
          <w:w w:val="95"/>
        </w:rPr>
        <w:t> </w:t>
      </w:r>
      <w:r>
        <w:rPr>
          <w:spacing w:val="-79"/>
          <w:w w:val="95"/>
        </w:rPr>
      </w:r>
      <w:r>
        <w:rPr>
          <w:rFonts w:ascii="Arial" w:hAnsi="Arial" w:cs="Arial" w:eastAsia="Arial" w:hint="default"/>
        </w:rPr>
        <w:t>1</w:t>
      </w:r>
      <w:r>
        <w:rPr/>
        <w:t>）使用寿命有限的无形资产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03" w:lineRule="exact"/>
        <w:ind w:right="996"/>
        <w:jc w:val="left"/>
      </w:pPr>
      <w:r>
        <w:rPr/>
        <w:t>资产预计寿命及依据如下：</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464" w:hRule="exact"/>
        </w:trPr>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32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462"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left"/>
              <w:rPr>
                <w:rFonts w:ascii="Arial" w:hAnsi="Arial" w:cs="Arial" w:eastAsia="Arial" w:hint="default"/>
                <w:sz w:val="18"/>
                <w:szCs w:val="18"/>
              </w:rPr>
            </w:pPr>
            <w:r>
              <w:rPr>
                <w:rFonts w:ascii="Arial"/>
                <w:sz w:val="18"/>
              </w:rPr>
              <w:t>50</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32"/>
        <w:gridCol w:w="3232"/>
        <w:gridCol w:w="3230"/>
      </w:tblGrid>
      <w:tr>
        <w:trPr>
          <w:trHeight w:val="464"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left"/>
              <w:rPr>
                <w:rFonts w:ascii="Arial" w:hAnsi="Arial" w:cs="Arial" w:eastAsia="Arial" w:hint="default"/>
                <w:sz w:val="18"/>
                <w:szCs w:val="18"/>
              </w:rPr>
            </w:pPr>
            <w:r>
              <w:rPr>
                <w:rFonts w:ascii="Arial"/>
                <w:sz w:val="18"/>
              </w:rPr>
              <w:t>5-10</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64"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 w:right="0"/>
              <w:jc w:val="left"/>
              <w:rPr>
                <w:rFonts w:ascii="宋体" w:hAnsi="宋体" w:cs="宋体" w:eastAsia="宋体" w:hint="default"/>
                <w:sz w:val="18"/>
                <w:szCs w:val="18"/>
              </w:rPr>
            </w:pPr>
            <w:r>
              <w:rPr>
                <w:rFonts w:ascii="宋体" w:hAnsi="宋体" w:cs="宋体" w:eastAsia="宋体" w:hint="default"/>
                <w:sz w:val="18"/>
                <w:szCs w:val="18"/>
              </w:rPr>
              <w:t>专利到期剩余期限</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64" w:hRule="exact"/>
        </w:trPr>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 w:right="0"/>
              <w:jc w:val="left"/>
              <w:rPr>
                <w:rFonts w:ascii="Arial" w:hAnsi="Arial" w:cs="Arial" w:eastAsia="Arial" w:hint="default"/>
                <w:sz w:val="18"/>
                <w:szCs w:val="18"/>
              </w:rPr>
            </w:pPr>
            <w:r>
              <w:rPr>
                <w:rFonts w:ascii="Arial"/>
                <w:sz w:val="18"/>
              </w:rPr>
              <w:t>10</w:t>
            </w:r>
          </w:p>
        </w:tc>
        <w:tc>
          <w:tcPr>
            <w:tcW w:w="3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6"/>
        <w:rPr>
          <w:rFonts w:ascii="宋体" w:hAnsi="宋体" w:cs="宋体" w:eastAsia="宋体" w:hint="default"/>
          <w:sz w:val="5"/>
          <w:szCs w:val="5"/>
        </w:rPr>
      </w:pPr>
    </w:p>
    <w:p>
      <w:pPr>
        <w:pStyle w:val="BodyText"/>
        <w:spacing w:line="273" w:lineRule="auto" w:before="34"/>
        <w:ind w:right="1112" w:firstLine="420"/>
        <w:jc w:val="both"/>
      </w:pPr>
      <w:r>
        <w:rPr>
          <w:w w:val="95"/>
        </w:rPr>
        <w:t>每期末，对使用寿命有限的无形资产的使用寿命及摊销方法进行复核，如与原先估计数存在差异的，</w:t>
      </w:r>
      <w:r>
        <w:rPr>
          <w:spacing w:val="-79"/>
          <w:w w:val="95"/>
        </w:rPr>
        <w:t> </w:t>
      </w:r>
      <w:r>
        <w:rPr>
          <w:spacing w:val="-79"/>
          <w:w w:val="95"/>
        </w:rPr>
      </w:r>
      <w:r>
        <w:rPr/>
        <w:t>进行相应的调整。</w:t>
      </w:r>
    </w:p>
    <w:p>
      <w:pPr>
        <w:pStyle w:val="BodyText"/>
        <w:spacing w:line="432" w:lineRule="exact" w:before="27"/>
        <w:ind w:left="532" w:right="996"/>
        <w:jc w:val="left"/>
      </w:pPr>
      <w:r>
        <w:rPr/>
        <w:t>经复核，本期期末无形资产的使用寿命及摊销方法与以前估计未有不同。</w:t>
      </w:r>
      <w:r>
        <w:rPr>
          <w:w w:val="99"/>
        </w:rPr>
        <w:t> </w:t>
      </w:r>
      <w:r>
        <w:rPr>
          <w:rFonts w:ascii="Arial" w:hAnsi="Arial" w:cs="Arial" w:eastAsia="Arial" w:hint="default"/>
        </w:rPr>
        <w:t>2</w:t>
      </w:r>
      <w:r>
        <w:rPr/>
        <w:t>）使用寿命不确定的无形资产</w:t>
      </w:r>
      <w:r>
        <w:rPr>
          <w:w w:val="99"/>
        </w:rPr>
        <w:t> </w:t>
      </w:r>
      <w:r>
        <w:rPr/>
        <w:t>无法预见无形资产为企业带来经济利益期限的，视为使用寿命不确定的无形资产。</w:t>
      </w:r>
      <w:r>
        <w:rPr>
          <w:w w:val="99"/>
        </w:rPr>
        <w:t> </w:t>
      </w:r>
      <w:r>
        <w:rPr>
          <w:w w:val="95"/>
        </w:rPr>
        <w:t>对于使用寿命不确定的无形资产，在持有期间内不摊销，每期末对无形资产的寿命进行复核。如果期</w:t>
      </w:r>
      <w:r>
        <w:rPr/>
      </w:r>
    </w:p>
    <w:p>
      <w:pPr>
        <w:pStyle w:val="BodyText"/>
        <w:spacing w:line="255" w:lineRule="exact"/>
        <w:ind w:right="996"/>
        <w:jc w:val="left"/>
      </w:pPr>
      <w:r>
        <w:rPr/>
        <w:t>末重新复核后仍为不确定的，在每个会计期间继续进行减值测试。</w:t>
      </w:r>
    </w:p>
    <w:p>
      <w:pPr>
        <w:pStyle w:val="BodyText"/>
        <w:spacing w:line="240" w:lineRule="auto" w:before="157"/>
        <w:ind w:left="532" w:right="996"/>
        <w:jc w:val="left"/>
      </w:pPr>
      <w:r>
        <w:rPr/>
        <w:t>经复核，该类无形资产的使用寿命仍为不确定。</w:t>
      </w:r>
    </w:p>
    <w:p>
      <w:pPr>
        <w:pStyle w:val="Heading4"/>
        <w:spacing w:line="240" w:lineRule="auto" w:before="157"/>
        <w:ind w:right="996"/>
        <w:jc w:val="left"/>
        <w:rPr>
          <w:b w:val="0"/>
          <w:bCs w:val="0"/>
        </w:rPr>
      </w:pPr>
      <w:bookmarkStart w:name="（3）内部研究开发支出会计政策" w:id="186"/>
      <w:bookmarkEnd w:id="186"/>
      <w:r>
        <w:rPr>
          <w:b w:val="0"/>
          <w:bCs w:val="0"/>
        </w:rPr>
      </w:r>
      <w:r>
        <w:rPr/>
        <w:t>（</w:t>
      </w:r>
      <w:r>
        <w:rPr>
          <w:rFonts w:ascii="Arial" w:hAnsi="Arial" w:cs="Arial" w:eastAsia="Arial" w:hint="default"/>
        </w:rPr>
        <w:t>3</w:t>
      </w:r>
      <w:r>
        <w:rPr/>
        <w:t>）内部研究开发支出会计政策</w:t>
      </w:r>
      <w:r>
        <w:rPr>
          <w:b w:val="0"/>
          <w:bCs w:val="0"/>
        </w:rPr>
      </w:r>
    </w:p>
    <w:p>
      <w:pPr>
        <w:spacing w:line="367" w:lineRule="auto" w:before="142"/>
        <w:ind w:left="532" w:right="996" w:hanging="209"/>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99"/>
          <w:sz w:val="21"/>
          <w:szCs w:val="21"/>
        </w:rPr>
        <w:t> </w:t>
      </w:r>
      <w:r>
        <w:rPr>
          <w:rFonts w:ascii="宋体" w:hAnsi="宋体" w:cs="宋体" w:eastAsia="宋体" w:hint="default"/>
          <w:w w:val="95"/>
          <w:sz w:val="21"/>
          <w:szCs w:val="21"/>
        </w:rPr>
        <w:t>开发阶段：在进行商业性生产或使用前，将研究成果或其他知识应用于某项计划或设计，以生产出新</w:t>
      </w:r>
      <w:r>
        <w:rPr>
          <w:rFonts w:ascii="宋体" w:hAnsi="宋体" w:cs="宋体" w:eastAsia="宋体" w:hint="default"/>
          <w:sz w:val="21"/>
          <w:szCs w:val="21"/>
        </w:rPr>
      </w:r>
    </w:p>
    <w:p>
      <w:pPr>
        <w:pStyle w:val="BodyText"/>
        <w:spacing w:line="201" w:lineRule="exact"/>
        <w:ind w:right="996"/>
        <w:jc w:val="left"/>
      </w:pPr>
      <w:r>
        <w:rPr/>
        <w:t>的或具有实质性改进的材料、装置、产品等活动的阶段。</w:t>
      </w:r>
    </w:p>
    <w:p>
      <w:pPr>
        <w:pStyle w:val="BodyText"/>
        <w:spacing w:line="240" w:lineRule="auto" w:before="157"/>
        <w:ind w:left="532" w:right="996"/>
        <w:jc w:val="left"/>
      </w:pPr>
      <w:r>
        <w:rPr/>
        <w:t>内部研究开发项目研究阶段的支出，在发生时计入当期损益。</w:t>
      </w:r>
    </w:p>
    <w:p>
      <w:pPr>
        <w:pStyle w:val="BodyText"/>
        <w:spacing w:line="367" w:lineRule="auto" w:before="157"/>
        <w:ind w:left="532" w:right="1154" w:hanging="209"/>
        <w:jc w:val="left"/>
      </w:pPr>
      <w:r>
        <w:rPr>
          <w:rFonts w:ascii="Arial" w:hAnsi="Arial" w:cs="Arial" w:eastAsia="Arial" w:hint="default"/>
          <w:b/>
          <w:bCs/>
        </w:rPr>
        <w:t>2</w:t>
      </w:r>
      <w:r>
        <w:rPr>
          <w:rFonts w:ascii="宋体" w:hAnsi="宋体" w:cs="宋体" w:eastAsia="宋体" w:hint="default"/>
          <w:b/>
          <w:bCs/>
        </w:rPr>
        <w:t>）内部研究开发支出会计政策</w:t>
      </w:r>
      <w:r>
        <w:rPr>
          <w:rFonts w:ascii="宋体" w:hAnsi="宋体" w:cs="宋体" w:eastAsia="宋体" w:hint="default"/>
          <w:b/>
          <w:bCs/>
          <w:w w:val="99"/>
        </w:rPr>
        <w:t> </w:t>
      </w:r>
      <w:r>
        <w:rPr>
          <w:w w:val="95"/>
        </w:rPr>
        <w:t>内部研究开发项目开发阶段的支出，同时满足下列条件时确认为无形资产：</w:t>
      </w:r>
      <w:r>
        <w:rPr>
          <w:spacing w:val="20"/>
          <w:w w:val="95"/>
        </w:rPr>
        <w:t> </w:t>
      </w:r>
      <w:r>
        <w:rPr>
          <w:spacing w:val="20"/>
          <w:w w:val="95"/>
        </w:rPr>
      </w:r>
      <w:r>
        <w:rPr>
          <w:rFonts w:ascii="Arial" w:hAnsi="Arial" w:cs="Arial" w:eastAsia="Arial" w:hint="default"/>
        </w:rPr>
        <w:t>1</w:t>
      </w:r>
      <w:r>
        <w:rPr/>
        <w:t>）完成该无形资产以使其能够使用或出售在技术上具有可行性；</w:t>
      </w:r>
    </w:p>
    <w:p>
      <w:pPr>
        <w:pStyle w:val="BodyText"/>
        <w:spacing w:line="240" w:lineRule="auto" w:before="18"/>
        <w:ind w:left="532" w:right="996"/>
        <w:jc w:val="left"/>
      </w:pPr>
      <w:r>
        <w:rPr>
          <w:rFonts w:ascii="Arial" w:hAnsi="Arial" w:cs="Arial" w:eastAsia="Arial" w:hint="default"/>
        </w:rPr>
        <w:t>2</w:t>
      </w:r>
      <w:r>
        <w:rPr/>
        <w:t>）具有完成该无形资产并使用或出售的意图；</w:t>
      </w:r>
    </w:p>
    <w:p>
      <w:pPr>
        <w:pStyle w:val="BodyText"/>
        <w:spacing w:line="259" w:lineRule="auto" w:before="142"/>
        <w:ind w:right="1133" w:firstLine="420"/>
        <w:jc w:val="both"/>
      </w:pPr>
      <w:r>
        <w:rPr>
          <w:rFonts w:ascii="Arial" w:hAnsi="Arial" w:cs="Arial" w:eastAsia="Arial" w:hint="default"/>
          <w:spacing w:val="2"/>
          <w:w w:val="95"/>
        </w:rPr>
        <w:t>3</w:t>
      </w:r>
      <w:r>
        <w:rPr>
          <w:spacing w:val="2"/>
          <w:w w:val="95"/>
        </w:rPr>
        <w:t>）无形资产产生经济利益的方式，包括能够证明运用该无形资产生产的产品存在市场或无形资产自</w:t>
      </w:r>
      <w:r>
        <w:rPr>
          <w:spacing w:val="-92"/>
          <w:w w:val="95"/>
        </w:rPr>
        <w:t> </w:t>
      </w:r>
      <w:r>
        <w:rPr>
          <w:spacing w:val="-92"/>
          <w:w w:val="95"/>
        </w:rPr>
      </w:r>
      <w:r>
        <w:rPr/>
        <w:t>身存在市场，无形资产将在内部使用的，能够证明其有用性；</w:t>
      </w:r>
    </w:p>
    <w:p>
      <w:pPr>
        <w:pStyle w:val="BodyText"/>
        <w:spacing w:line="259" w:lineRule="auto" w:before="140"/>
        <w:ind w:right="1133" w:firstLine="420"/>
        <w:jc w:val="both"/>
      </w:pPr>
      <w:r>
        <w:rPr>
          <w:rFonts w:ascii="Arial" w:hAnsi="Arial" w:cs="Arial" w:eastAsia="Arial" w:hint="default"/>
          <w:spacing w:val="2"/>
          <w:w w:val="95"/>
        </w:rPr>
        <w:t>4</w:t>
      </w:r>
      <w:r>
        <w:rPr>
          <w:spacing w:val="2"/>
          <w:w w:val="95"/>
        </w:rPr>
        <w:t>）有足够的技术、财务资源和其他资源支持，以完成该无形资产的开发，并有能力使用或出售该无</w:t>
      </w:r>
      <w:r>
        <w:rPr>
          <w:spacing w:val="-92"/>
          <w:w w:val="95"/>
        </w:rPr>
        <w:t> </w:t>
      </w:r>
      <w:r>
        <w:rPr>
          <w:spacing w:val="-92"/>
          <w:w w:val="95"/>
        </w:rPr>
      </w:r>
      <w:r>
        <w:rPr/>
        <w:t>形资产；</w:t>
      </w:r>
    </w:p>
    <w:p>
      <w:pPr>
        <w:pStyle w:val="BodyText"/>
        <w:spacing w:line="357" w:lineRule="auto" w:before="140"/>
        <w:ind w:left="532" w:right="1019"/>
        <w:jc w:val="left"/>
      </w:pPr>
      <w:r>
        <w:rPr>
          <w:rFonts w:ascii="Arial" w:hAnsi="Arial" w:cs="Arial" w:eastAsia="Arial" w:hint="default"/>
        </w:rPr>
        <w:t>5</w:t>
      </w:r>
      <w:r>
        <w:rPr/>
        <w:t>）归属于该无形资产开发阶段的支出能够可靠地计量。</w:t>
      </w:r>
      <w:r>
        <w:rPr>
          <w:w w:val="99"/>
        </w:rPr>
        <w:t> </w:t>
      </w:r>
      <w:r>
        <w:rPr>
          <w:spacing w:val="-3"/>
        </w:rPr>
        <w:t>内部研究开发支出的资本化时点：公司将产品策划阶段作为研究阶段，即开发部门根据市场调研情况，</w:t>
      </w:r>
    </w:p>
    <w:p>
      <w:pPr>
        <w:pStyle w:val="BodyText"/>
        <w:spacing w:line="209" w:lineRule="exact"/>
        <w:ind w:right="996"/>
        <w:jc w:val="left"/>
      </w:pPr>
      <w:r>
        <w:rPr/>
        <w:t>对计划开发的产品进行可行性论证，撰写立项报告，并经审批通过。产品论证结束后，由开发部门提交软</w:t>
      </w:r>
    </w:p>
    <w:p>
      <w:pPr>
        <w:pStyle w:val="BodyText"/>
        <w:spacing w:line="273" w:lineRule="auto" w:before="37"/>
        <w:ind w:right="996"/>
        <w:jc w:val="left"/>
      </w:pPr>
      <w:r>
        <w:rPr>
          <w:w w:val="95"/>
        </w:rPr>
        <w:t>件产品立项审批表申请立项，经审批通过后，产品正式立项，组建产品开发项目组，指定产品经理，开发</w:t>
      </w:r>
      <w:r>
        <w:rPr>
          <w:spacing w:val="44"/>
          <w:w w:val="95"/>
        </w:rPr>
        <w:t> </w:t>
      </w:r>
      <w:r>
        <w:rPr>
          <w:spacing w:val="44"/>
          <w:w w:val="95"/>
        </w:rPr>
      </w:r>
      <w:r>
        <w:rPr/>
        <w:t>支出资本化过程开始。</w:t>
      </w:r>
    </w:p>
    <w:p>
      <w:pPr>
        <w:pStyle w:val="BodyText"/>
        <w:spacing w:line="273" w:lineRule="auto" w:before="127"/>
        <w:ind w:right="1132" w:firstLine="420"/>
        <w:jc w:val="both"/>
      </w:pPr>
      <w:r>
        <w:rPr>
          <w:w w:val="95"/>
        </w:rPr>
        <w:t>不满足上述条件的开发阶段的支出，于发生时计入当期损益。以前期间已计入损益的开发支出不在以</w:t>
      </w:r>
      <w:r>
        <w:rPr>
          <w:w w:val="99"/>
        </w:rPr>
        <w:t> </w:t>
      </w:r>
      <w:r>
        <w:rPr>
          <w:w w:val="95"/>
        </w:rPr>
        <w:t>后期间重新确认为资产。已资本化的开发阶段的支出在资产负债表上列示为开发支出，自该项目达到预定</w:t>
      </w:r>
      <w:r>
        <w:rPr>
          <w:spacing w:val="37"/>
          <w:w w:val="95"/>
        </w:rPr>
        <w:t> </w:t>
      </w:r>
      <w:r>
        <w:rPr>
          <w:spacing w:val="37"/>
          <w:w w:val="95"/>
        </w:rPr>
      </w:r>
      <w:r>
        <w:rPr/>
        <w:t>用途之日起转为无形资产。</w:t>
      </w:r>
    </w:p>
    <w:p>
      <w:pPr>
        <w:spacing w:after="0" w:line="273" w:lineRule="auto"/>
        <w:jc w:val="both"/>
        <w:sectPr>
          <w:footerReference w:type="default" r:id="rId38"/>
          <w:pgSz w:w="11910" w:h="16840"/>
          <w:pgMar w:footer="1016" w:header="878" w:top="1100" w:bottom="1200" w:left="1020" w:right="0"/>
          <w:pgNumType w:start="14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19、长期资产减值" w:id="187"/>
      <w:bookmarkEnd w:id="187"/>
      <w:r>
        <w:rPr>
          <w:b w:val="0"/>
          <w:bCs w:val="0"/>
        </w:rPr>
      </w:r>
      <w:r>
        <w:rPr>
          <w:rFonts w:ascii="Arial" w:hAnsi="Arial" w:cs="Arial" w:eastAsia="Arial" w:hint="default"/>
        </w:rPr>
        <w:t>19</w:t>
      </w:r>
      <w:r>
        <w:rPr/>
        <w:t>、长期资产减值</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2" w:firstLine="420"/>
        <w:jc w:val="both"/>
      </w:pPr>
      <w:r>
        <w:rPr>
          <w:w w:val="95"/>
        </w:rPr>
        <w:t>本公司在资产负债表日判断长期资产是否存在可能发生减值的迹象。如果长期资产存在减值迹象的，</w:t>
      </w:r>
      <w:r>
        <w:rPr>
          <w:spacing w:val="-79"/>
          <w:w w:val="95"/>
        </w:rPr>
        <w:t> </w:t>
      </w:r>
      <w:r>
        <w:rPr>
          <w:spacing w:val="-79"/>
          <w:w w:val="95"/>
        </w:rPr>
      </w:r>
      <w:r>
        <w:rPr>
          <w:w w:val="95"/>
        </w:rPr>
        <w:t>以单项资产为基础估计其可收回金额；难以对单项资产的可收回金额进行估计的，以该资产所属的资产组</w:t>
      </w:r>
      <w:r>
        <w:rPr>
          <w:spacing w:val="37"/>
          <w:w w:val="95"/>
        </w:rPr>
        <w:t> </w:t>
      </w:r>
      <w:r>
        <w:rPr>
          <w:spacing w:val="37"/>
          <w:w w:val="95"/>
        </w:rPr>
      </w:r>
      <w:r>
        <w:rPr/>
        <w:t>为基础确定资产组的可收回金额。</w:t>
      </w:r>
    </w:p>
    <w:p>
      <w:pPr>
        <w:pStyle w:val="BodyText"/>
        <w:spacing w:line="273" w:lineRule="auto" w:before="127"/>
        <w:ind w:right="1132" w:firstLine="420"/>
        <w:jc w:val="both"/>
      </w:pPr>
      <w:r>
        <w:rPr>
          <w:w w:val="95"/>
        </w:rPr>
        <w:t>资产可收回金额的估计，根据其公允价值减去处置费用后的净额与资产预计未来现金流量的现值两者</w:t>
      </w:r>
      <w:r>
        <w:rPr>
          <w:w w:val="99"/>
        </w:rPr>
        <w:t> </w:t>
      </w:r>
      <w:r>
        <w:rPr/>
        <w:t>之间较高者确定。</w:t>
      </w:r>
    </w:p>
    <w:p>
      <w:pPr>
        <w:pStyle w:val="BodyText"/>
        <w:spacing w:line="273" w:lineRule="auto" w:before="127"/>
        <w:ind w:right="1132" w:firstLine="420"/>
        <w:jc w:val="both"/>
      </w:pPr>
      <w:r>
        <w:rPr>
          <w:w w:val="95"/>
        </w:rPr>
        <w:t>可收回金额的计量结果表明，长期资产的可收回金额低于其账面价值的，将长期资产的账面价值减记</w:t>
      </w:r>
      <w:r>
        <w:rPr>
          <w:w w:val="99"/>
        </w:rPr>
        <w:t> </w:t>
      </w:r>
      <w:r>
        <w:rPr>
          <w:w w:val="95"/>
        </w:rPr>
        <w:t>至可收回金额，减记的金额确认为资产减值损失，计入当期损益，同时计提相应的资产减值准备。资产减</w:t>
      </w:r>
      <w:r>
        <w:rPr>
          <w:spacing w:val="42"/>
          <w:w w:val="95"/>
        </w:rPr>
        <w:t> </w:t>
      </w:r>
      <w:r>
        <w:rPr>
          <w:spacing w:val="42"/>
          <w:w w:val="95"/>
        </w:rPr>
      </w:r>
      <w:r>
        <w:rPr/>
        <w:t>值损失一经确认，在以后会计期间不得转回。</w:t>
      </w:r>
    </w:p>
    <w:p>
      <w:pPr>
        <w:pStyle w:val="BodyText"/>
        <w:spacing w:line="273" w:lineRule="auto" w:before="127"/>
        <w:ind w:right="1135" w:firstLine="420"/>
        <w:jc w:val="both"/>
      </w:pPr>
      <w:r>
        <w:rPr>
          <w:w w:val="95"/>
        </w:rPr>
        <w:t>资产减值损失确认后，减值资产的折旧或者摊销费用在未来期间作相应调整，以使该资产在剩余使用</w:t>
      </w:r>
      <w:r>
        <w:rPr>
          <w:w w:val="99"/>
        </w:rPr>
        <w:t> </w:t>
      </w:r>
      <w:r>
        <w:rPr/>
        <w:t>寿命内，系统地分摊调整后的资产账面价值（扣除预计净残值）。</w:t>
      </w:r>
    </w:p>
    <w:p>
      <w:pPr>
        <w:pStyle w:val="BodyText"/>
        <w:spacing w:line="240" w:lineRule="auto" w:before="127"/>
        <w:ind w:left="532" w:right="996"/>
        <w:jc w:val="left"/>
      </w:pPr>
      <w:r>
        <w:rPr/>
        <w:t>因企业合并所形成的商誉和使用寿命不确定的无形资产，无论是否存在减值迹象，每年都进行减值测</w:t>
      </w:r>
    </w:p>
    <w:p>
      <w:pPr>
        <w:pStyle w:val="BodyText"/>
        <w:spacing w:line="240" w:lineRule="auto" w:before="37"/>
        <w:ind w:right="996"/>
        <w:jc w:val="left"/>
      </w:pPr>
      <w:r>
        <w:rPr/>
        <w:t>试。</w:t>
      </w:r>
    </w:p>
    <w:p>
      <w:pPr>
        <w:spacing w:line="240" w:lineRule="auto" w:before="5"/>
        <w:rPr>
          <w:rFonts w:ascii="宋体" w:hAnsi="宋体" w:cs="宋体" w:eastAsia="宋体" w:hint="default"/>
          <w:sz w:val="9"/>
          <w:szCs w:val="9"/>
        </w:rPr>
      </w:pPr>
    </w:p>
    <w:p>
      <w:pPr>
        <w:pStyle w:val="BodyText"/>
        <w:spacing w:line="273" w:lineRule="auto" w:before="34"/>
        <w:ind w:right="1135" w:firstLine="420"/>
        <w:jc w:val="both"/>
      </w:pPr>
      <w:r>
        <w:rPr>
          <w:w w:val="95"/>
        </w:rPr>
        <w:t>在对商誉进行减值测试时，将商誉的账面价值分摊至预期从企业合并的协同效应中受益的资产组或资</w:t>
      </w:r>
      <w:r>
        <w:rPr>
          <w:w w:val="99"/>
        </w:rPr>
        <w:t> </w:t>
      </w:r>
      <w:r>
        <w:rPr>
          <w:w w:val="95"/>
        </w:rPr>
        <w:t>产组组合。在对包含商誉的相关资产组或者资产组组合进行减值测试时，如与商誉相关的资产组或者资产</w:t>
      </w:r>
      <w:r>
        <w:rPr>
          <w:spacing w:val="37"/>
          <w:w w:val="95"/>
        </w:rPr>
        <w:t> </w:t>
      </w:r>
      <w:r>
        <w:rPr>
          <w:spacing w:val="37"/>
          <w:w w:val="95"/>
        </w:rPr>
      </w:r>
      <w:r>
        <w:rPr>
          <w:w w:val="95"/>
        </w:rPr>
        <w:t>组组合存在减值迹象的，先对不包含商誉的资产组或者资产组组合进行减值测试，计算可收回金额，并与</w:t>
      </w:r>
      <w:r>
        <w:rPr>
          <w:spacing w:val="37"/>
          <w:w w:val="95"/>
        </w:rPr>
        <w:t> </w:t>
      </w:r>
      <w:r>
        <w:rPr>
          <w:spacing w:val="37"/>
          <w:w w:val="95"/>
        </w:rPr>
      </w:r>
      <w:r>
        <w:rPr>
          <w:w w:val="95"/>
        </w:rPr>
        <w:t>相关账面价值相比较，确认相应的减值损失。再对包含商誉的资产组或者资产组组合进行减值测试，比较</w:t>
      </w:r>
      <w:r>
        <w:rPr>
          <w:spacing w:val="37"/>
          <w:w w:val="95"/>
        </w:rPr>
        <w:t> </w:t>
      </w:r>
      <w:r>
        <w:rPr>
          <w:spacing w:val="37"/>
          <w:w w:val="95"/>
        </w:rPr>
      </w:r>
      <w:r>
        <w:rPr>
          <w:w w:val="95"/>
        </w:rPr>
        <w:t>这些相关资产组或者资产组组合的账面价值（包括所分摊的商誉的账面价值部分）与其可收回金额，如相</w:t>
      </w:r>
      <w:r>
        <w:rPr>
          <w:spacing w:val="37"/>
          <w:w w:val="95"/>
        </w:rPr>
        <w:t> </w:t>
      </w:r>
      <w:r>
        <w:rPr>
          <w:spacing w:val="37"/>
          <w:w w:val="95"/>
        </w:rPr>
      </w:r>
      <w:r>
        <w:rPr/>
        <w:t>关资产组或者资产组组合的可收回金额低于其账面价值的，确认商誉的减值损失。</w:t>
      </w:r>
    </w:p>
    <w:p>
      <w:pPr>
        <w:pStyle w:val="BodyText"/>
        <w:spacing w:line="612" w:lineRule="exact" w:before="66"/>
        <w:ind w:left="532" w:right="996" w:hanging="420"/>
        <w:jc w:val="left"/>
      </w:pPr>
      <w:bookmarkStart w:name="20、长期待摊费用" w:id="188"/>
      <w:bookmarkEnd w:id="188"/>
      <w:r>
        <w:rPr/>
      </w:r>
      <w:r>
        <w:rPr>
          <w:rFonts w:ascii="Arial" w:hAnsi="Arial" w:cs="Arial" w:eastAsia="Arial" w:hint="default"/>
          <w:b/>
          <w:bCs/>
        </w:rPr>
        <w:t>20</w:t>
      </w:r>
      <w:r>
        <w:rPr>
          <w:rFonts w:ascii="宋体" w:hAnsi="宋体" w:cs="宋体" w:eastAsia="宋体" w:hint="default"/>
          <w:b/>
          <w:bCs/>
        </w:rPr>
        <w:t>、长期待摊费用</w:t>
      </w:r>
      <w:r>
        <w:rPr>
          <w:rFonts w:ascii="宋体" w:hAnsi="宋体" w:cs="宋体" w:eastAsia="宋体" w:hint="default"/>
          <w:b/>
          <w:bCs/>
          <w:w w:val="99"/>
        </w:rPr>
        <w:t> </w:t>
      </w:r>
      <w:r>
        <w:rPr>
          <w:spacing w:val="2"/>
          <w:w w:val="95"/>
        </w:rPr>
        <w:t>长期待摊费用，是指本公司已经发生但应由本期和以后各期负担的分摊期限在</w:t>
      </w:r>
      <w:r>
        <w:rPr>
          <w:rFonts w:ascii="Arial" w:hAnsi="Arial" w:cs="Arial" w:eastAsia="Arial" w:hint="default"/>
          <w:spacing w:val="2"/>
          <w:w w:val="95"/>
        </w:rPr>
        <w:t>1</w:t>
      </w:r>
      <w:r>
        <w:rPr>
          <w:spacing w:val="2"/>
          <w:w w:val="95"/>
        </w:rPr>
        <w:t>年以上的各项费用。</w:t>
      </w:r>
      <w:r>
        <w:rPr>
          <w:spacing w:val="2"/>
        </w:rPr>
      </w:r>
    </w:p>
    <w:p>
      <w:pPr>
        <w:pStyle w:val="BodyText"/>
        <w:spacing w:line="219" w:lineRule="exact"/>
        <w:ind w:right="996"/>
        <w:jc w:val="left"/>
      </w:pPr>
      <w:r>
        <w:rPr/>
        <w:t>长期待摊费用在受益期内按直线法分期摊销。</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21、职工薪酬" w:id="189"/>
      <w:bookmarkEnd w:id="189"/>
      <w:r>
        <w:rPr>
          <w:b w:val="0"/>
          <w:bCs w:val="0"/>
        </w:rPr>
      </w:r>
      <w:r>
        <w:rPr>
          <w:rFonts w:ascii="Arial" w:hAnsi="Arial" w:cs="Arial" w:eastAsia="Arial"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5" w:firstLine="420"/>
        <w:jc w:val="both"/>
      </w:pPr>
      <w:r>
        <w:rPr>
          <w:w w:val="95"/>
        </w:rPr>
        <w:t>职工薪酬，是指本公司为获得职工提供的服务或解除劳动关系而给予的各种形式的报酬或补偿。职工</w:t>
      </w:r>
      <w:r>
        <w:rPr>
          <w:w w:val="99"/>
        </w:rPr>
        <w:t> </w:t>
      </w:r>
      <w:r>
        <w:rPr/>
        <w:t>薪酬包括短期薪酬、离职后福利、辞退福利和其他长期职工福利。</w:t>
      </w:r>
    </w:p>
    <w:p>
      <w:pPr>
        <w:spacing w:line="360" w:lineRule="auto" w:before="127"/>
        <w:ind w:left="532" w:right="1132" w:hanging="420"/>
        <w:jc w:val="left"/>
        <w:rPr>
          <w:rFonts w:ascii="宋体" w:hAnsi="宋体" w:cs="宋体" w:eastAsia="宋体" w:hint="default"/>
          <w:sz w:val="21"/>
          <w:szCs w:val="21"/>
        </w:rPr>
      </w:pPr>
      <w:bookmarkStart w:name="（1）短期薪酬的会计处理方法" w:id="190"/>
      <w:bookmarkEnd w:id="190"/>
      <w:r>
        <w:rPr/>
      </w: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短期薪酬是指本公司在职工提供相关服务的年度报告期间结束后十二个月内需要全部予以支付的职</w:t>
      </w:r>
    </w:p>
    <w:p>
      <w:pPr>
        <w:pStyle w:val="BodyText"/>
        <w:spacing w:line="207" w:lineRule="exact"/>
        <w:ind w:right="996"/>
        <w:jc w:val="left"/>
      </w:pPr>
      <w:r>
        <w:rPr>
          <w:spacing w:val="-3"/>
        </w:rPr>
        <w:t>工薪酬，离职后福利和辞退福利除外。本公司在职工提供服务的会计期间，将应付的短期薪酬确认为负债，</w:t>
      </w:r>
    </w:p>
    <w:p>
      <w:pPr>
        <w:pStyle w:val="BodyText"/>
        <w:spacing w:line="240" w:lineRule="auto" w:before="37"/>
        <w:ind w:right="996"/>
        <w:jc w:val="left"/>
      </w:pPr>
      <w:r>
        <w:rPr/>
        <w:t>并根据职工提供服务的受益对象计入相关资产成本和费用。</w:t>
      </w:r>
    </w:p>
    <w:p>
      <w:pPr>
        <w:spacing w:line="357" w:lineRule="auto" w:before="157"/>
        <w:ind w:left="532" w:right="996" w:hanging="420"/>
        <w:jc w:val="left"/>
        <w:rPr>
          <w:rFonts w:ascii="宋体" w:hAnsi="宋体" w:cs="宋体" w:eastAsia="宋体" w:hint="default"/>
          <w:sz w:val="21"/>
          <w:szCs w:val="21"/>
        </w:rPr>
      </w:pPr>
      <w:bookmarkStart w:name="（2）离职后福利的会计处理方法" w:id="191"/>
      <w:bookmarkEnd w:id="191"/>
      <w:r>
        <w:rPr/>
      </w: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09" w:lineRule="exact"/>
        <w:ind w:right="996"/>
        <w:jc w:val="left"/>
      </w:pPr>
      <w:r>
        <w:rPr/>
        <w:t>式的报酬和福利，短期薪酬和辞退福利除外。</w:t>
      </w:r>
    </w:p>
    <w:p>
      <w:pPr>
        <w:pStyle w:val="BodyText"/>
        <w:spacing w:line="430" w:lineRule="atLeast" w:before="2"/>
        <w:ind w:left="532" w:right="996"/>
        <w:jc w:val="left"/>
      </w:pPr>
      <w:r>
        <w:rPr/>
        <w:t>本公司的离职后福利计划分类为设定提存计划和设定受益计划。</w:t>
      </w:r>
      <w:r>
        <w:rPr>
          <w:w w:val="99"/>
        </w:rPr>
        <w:t> </w:t>
      </w:r>
      <w:r>
        <w:rPr>
          <w:w w:val="95"/>
        </w:rPr>
        <w:t>离职后福利设定提存计划主要为参加由各地劳动及社会保障机构组织实施的社会基本养老保险、失业</w:t>
      </w:r>
      <w:r>
        <w:rPr/>
      </w:r>
    </w:p>
    <w:p>
      <w:pPr>
        <w:pStyle w:val="BodyText"/>
        <w:spacing w:line="240" w:lineRule="auto" w:before="37"/>
        <w:ind w:right="996"/>
        <w:jc w:val="left"/>
      </w:pPr>
      <w:r>
        <w:rPr/>
        <w:t>保险等</w:t>
      </w:r>
      <w:r>
        <w:rPr>
          <w:color w:val="0000CC"/>
        </w:rPr>
        <w:t>。</w:t>
      </w:r>
      <w:r>
        <w:rPr/>
        <w:t>在职工为本公司提供服务的会计期间，将根据设定提存计划计算的应缴存金额确认为负债，并计</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376" w:lineRule="auto" w:before="34"/>
        <w:ind w:left="532" w:right="996" w:hanging="420"/>
        <w:jc w:val="left"/>
      </w:pPr>
      <w:r>
        <w:rPr/>
        <w:t>入当期损益或相关资产成本。</w:t>
      </w:r>
      <w:r>
        <w:rPr>
          <w:w w:val="99"/>
        </w:rPr>
        <w:t> </w:t>
      </w:r>
      <w:r>
        <w:rPr>
          <w:w w:val="95"/>
        </w:rPr>
        <w:t>本公司按照国家规定的标准和年金计划定期缴付上述款项后，不再有其他的支付义务。</w:t>
      </w:r>
      <w:r>
        <w:rPr/>
      </w:r>
    </w:p>
    <w:p>
      <w:pPr>
        <w:spacing w:line="357" w:lineRule="auto" w:before="37"/>
        <w:ind w:left="532" w:right="996" w:hanging="420"/>
        <w:jc w:val="left"/>
        <w:rPr>
          <w:rFonts w:ascii="宋体" w:hAnsi="宋体" w:cs="宋体" w:eastAsia="宋体" w:hint="default"/>
          <w:sz w:val="21"/>
          <w:szCs w:val="21"/>
        </w:rPr>
      </w:pPr>
      <w:bookmarkStart w:name="（3）辞退福利的会计处理方法" w:id="192"/>
      <w:bookmarkEnd w:id="192"/>
      <w:r>
        <w:rPr/>
      </w: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辞退福利是指本公司在职工劳动合同到期之前解除与职工的劳动关系，或者为鼓励职工自愿接受裁减</w:t>
      </w:r>
      <w:r>
        <w:rPr>
          <w:rFonts w:ascii="宋体" w:hAnsi="宋体" w:cs="宋体" w:eastAsia="宋体" w:hint="default"/>
          <w:sz w:val="21"/>
          <w:szCs w:val="21"/>
        </w:rPr>
      </w:r>
    </w:p>
    <w:p>
      <w:pPr>
        <w:pStyle w:val="BodyText"/>
        <w:spacing w:line="209" w:lineRule="exact"/>
        <w:ind w:right="996"/>
        <w:jc w:val="left"/>
      </w:pPr>
      <w:r>
        <w:rPr/>
        <w:t>而给予职工的补偿，在本公司不能单方面撤回解除劳动关系计划或裁减建议时和确认与涉及支付辞退福利</w:t>
      </w:r>
    </w:p>
    <w:p>
      <w:pPr>
        <w:pStyle w:val="BodyText"/>
        <w:spacing w:line="273" w:lineRule="auto" w:before="37"/>
        <w:ind w:right="996"/>
        <w:jc w:val="left"/>
      </w:pPr>
      <w:r>
        <w:rPr>
          <w:w w:val="95"/>
        </w:rPr>
        <w:t>的重组相关的成本费用时两者孰早日，确认因解除与职工的劳动关系给予补偿而产生的负债，同时计入当</w:t>
      </w:r>
      <w:r>
        <w:rPr>
          <w:spacing w:val="40"/>
          <w:w w:val="95"/>
        </w:rPr>
        <w:t> </w:t>
      </w:r>
      <w:r>
        <w:rPr>
          <w:spacing w:val="40"/>
          <w:w w:val="95"/>
        </w:rPr>
      </w:r>
      <w:r>
        <w:rPr/>
        <w:t>期损益。</w:t>
      </w:r>
    </w:p>
    <w:p>
      <w:pPr>
        <w:pStyle w:val="BodyText"/>
        <w:spacing w:line="273" w:lineRule="auto" w:before="127"/>
        <w:ind w:right="1130" w:firstLine="420"/>
        <w:jc w:val="both"/>
      </w:pPr>
      <w:r>
        <w:rPr>
          <w:w w:val="95"/>
        </w:rPr>
        <w:t>本公司向接受内部退休安排的职工提供内退福利。内退福利是指，向未达到国家规定的退休年龄、经</w:t>
      </w:r>
      <w:r>
        <w:rPr>
          <w:spacing w:val="-97"/>
          <w:w w:val="95"/>
        </w:rPr>
        <w:t> </w:t>
      </w:r>
      <w:r>
        <w:rPr>
          <w:spacing w:val="-97"/>
          <w:w w:val="95"/>
        </w:rPr>
      </w:r>
      <w:r>
        <w:rPr>
          <w:w w:val="95"/>
        </w:rPr>
        <w:t>本公司管理层批准自愿退出工作岗位的职工支付的工资及为其缴纳的社会保险费等。本公司自内部退休安</w:t>
      </w:r>
      <w:r>
        <w:rPr>
          <w:spacing w:val="39"/>
          <w:w w:val="95"/>
        </w:rPr>
        <w:t> </w:t>
      </w:r>
      <w:r>
        <w:rPr>
          <w:spacing w:val="39"/>
          <w:w w:val="95"/>
        </w:rPr>
      </w:r>
      <w:r>
        <w:rPr>
          <w:w w:val="95"/>
        </w:rPr>
        <w:t>排开始之日起至职工达到正常退休年龄止，向内退职工支付内部退养福利。对于内退福利，本公司比照辞</w:t>
      </w:r>
      <w:r>
        <w:rPr>
          <w:spacing w:val="43"/>
          <w:w w:val="95"/>
        </w:rPr>
        <w:t> </w:t>
      </w:r>
      <w:r>
        <w:rPr>
          <w:spacing w:val="43"/>
          <w:w w:val="95"/>
        </w:rPr>
      </w:r>
      <w:r>
        <w:rPr>
          <w:w w:val="95"/>
        </w:rPr>
        <w:t>退福利进行会计处理，在符合辞退福利相关确认条件时，将自职工停止提供服务日至正常退休日期间拟支</w:t>
      </w:r>
      <w:r>
        <w:rPr>
          <w:spacing w:val="40"/>
          <w:w w:val="95"/>
        </w:rPr>
        <w:t> </w:t>
      </w:r>
      <w:r>
        <w:rPr>
          <w:spacing w:val="40"/>
          <w:w w:val="95"/>
        </w:rPr>
      </w:r>
      <w:r>
        <w:rPr>
          <w:w w:val="95"/>
        </w:rPr>
        <w:t>付的内退职工工资和缴纳的社会保险费等，确认为负债，一次性计入当期损益。内退福利的精算假设变化</w:t>
      </w:r>
      <w:r>
        <w:rPr>
          <w:spacing w:val="40"/>
          <w:w w:val="95"/>
        </w:rPr>
        <w:t> </w:t>
      </w:r>
      <w:r>
        <w:rPr>
          <w:spacing w:val="40"/>
          <w:w w:val="95"/>
        </w:rPr>
      </w:r>
      <w:r>
        <w:rPr/>
        <w:t>及福利标准调整引起的差异于发生时计入当期损益。</w:t>
      </w:r>
    </w:p>
    <w:p>
      <w:pPr>
        <w:pStyle w:val="BodyText"/>
        <w:spacing w:line="367" w:lineRule="auto" w:before="130"/>
        <w:ind w:left="532" w:right="996" w:hanging="420"/>
        <w:jc w:val="left"/>
      </w:pPr>
      <w:bookmarkStart w:name="（4）其他长期职工福利的会计处理方法" w:id="193"/>
      <w:bookmarkEnd w:id="193"/>
      <w:r>
        <w:rPr/>
      </w:r>
      <w:r>
        <w:rPr>
          <w:rFonts w:ascii="宋体" w:hAnsi="宋体" w:cs="宋体" w:eastAsia="宋体" w:hint="default"/>
          <w:b/>
          <w:bCs/>
        </w:rPr>
        <w:t>（</w:t>
      </w:r>
      <w:r>
        <w:rPr>
          <w:rFonts w:ascii="Arial" w:hAnsi="Arial" w:cs="Arial" w:eastAsia="Arial" w:hint="default"/>
          <w:b/>
          <w:bCs/>
        </w:rPr>
        <w:t>4</w:t>
      </w:r>
      <w:r>
        <w:rPr>
          <w:rFonts w:ascii="宋体" w:hAnsi="宋体" w:cs="宋体" w:eastAsia="宋体" w:hint="default"/>
          <w:b/>
          <w:bCs/>
        </w:rPr>
        <w:t>）其他长期职工福利的会计处理方法</w:t>
      </w:r>
      <w:r>
        <w:rPr>
          <w:rFonts w:ascii="宋体" w:hAnsi="宋体" w:cs="宋体" w:eastAsia="宋体" w:hint="default"/>
          <w:b/>
          <w:bCs/>
          <w:w w:val="99"/>
        </w:rPr>
        <w:t> </w:t>
      </w: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01" w:lineRule="exact"/>
        <w:ind w:right="996"/>
        <w:jc w:val="left"/>
      </w:pPr>
      <w:r>
        <w:rPr/>
        <w:t>确认为负债，并计入当期损益或相关资产成本；除上述情形外的其他长期职工福利，在资产负债表日由独</w:t>
      </w:r>
    </w:p>
    <w:p>
      <w:pPr>
        <w:pStyle w:val="BodyText"/>
        <w:spacing w:line="273" w:lineRule="auto" w:before="37"/>
        <w:ind w:right="1124"/>
        <w:jc w:val="left"/>
      </w:pPr>
      <w:r>
        <w:rPr>
          <w:spacing w:val="4"/>
        </w:rPr>
        <w:t>立精算师使用预期累计福利单位法进行精算，将设定受益计划产生的福利义务归属于职工提供服务的期</w:t>
      </w:r>
      <w:r>
        <w:rPr>
          <w:w w:val="99"/>
        </w:rPr>
        <w:t> </w:t>
      </w:r>
      <w:r>
        <w:rPr/>
        <w:t>间，并计入当期损益或相关资产成本。</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22、预计负债" w:id="194"/>
      <w:bookmarkEnd w:id="194"/>
      <w:r>
        <w:rPr>
          <w:b w:val="0"/>
          <w:bCs w:val="0"/>
        </w:rPr>
      </w:r>
      <w:r>
        <w:rPr>
          <w:rFonts w:ascii="Arial" w:hAnsi="Arial" w:cs="Arial" w:eastAsia="Arial" w:hint="default"/>
        </w:rPr>
        <w:t>22</w:t>
      </w:r>
      <w:r>
        <w:rPr/>
        <w:t>、预计负债</w:t>
      </w:r>
      <w:r>
        <w:rPr>
          <w:b w:val="0"/>
          <w:bCs w:val="0"/>
        </w:rPr>
      </w:r>
    </w:p>
    <w:p>
      <w:pPr>
        <w:spacing w:line="240" w:lineRule="auto" w:before="8"/>
        <w:rPr>
          <w:rFonts w:ascii="宋体" w:hAnsi="宋体" w:cs="宋体" w:eastAsia="宋体" w:hint="default"/>
          <w:b/>
          <w:bCs/>
          <w:sz w:val="24"/>
          <w:szCs w:val="24"/>
        </w:rPr>
      </w:pPr>
    </w:p>
    <w:p>
      <w:pPr>
        <w:spacing w:line="357" w:lineRule="auto" w:before="0"/>
        <w:ind w:left="532" w:right="403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w w:val="95"/>
          <w:sz w:val="21"/>
          <w:szCs w:val="21"/>
        </w:rPr>
        <w:t>与或有事项相关的义务同时满足下列条件时，本公司确认为预计负债：</w:t>
      </w:r>
      <w:r>
        <w:rPr>
          <w:rFonts w:ascii="宋体" w:hAnsi="宋体" w:cs="宋体" w:eastAsia="宋体" w:hint="default"/>
          <w:sz w:val="21"/>
          <w:szCs w:val="21"/>
        </w:rPr>
      </w:r>
    </w:p>
    <w:p>
      <w:pPr>
        <w:pStyle w:val="BodyText"/>
        <w:spacing w:line="240" w:lineRule="auto" w:before="54"/>
        <w:ind w:left="532" w:right="996"/>
        <w:jc w:val="left"/>
      </w:pPr>
      <w:r>
        <w:rPr/>
        <w:t>①该义务是本公司承担的现时义务；</w:t>
      </w:r>
    </w:p>
    <w:p>
      <w:pPr>
        <w:pStyle w:val="BodyText"/>
        <w:spacing w:line="240" w:lineRule="auto" w:before="157"/>
        <w:ind w:left="532" w:right="996"/>
        <w:jc w:val="left"/>
      </w:pPr>
      <w:r>
        <w:rPr/>
        <w:t>②履行该义务很可能导致经济利益流出本公司；</w:t>
      </w:r>
    </w:p>
    <w:p>
      <w:pPr>
        <w:pStyle w:val="BodyText"/>
        <w:spacing w:line="240" w:lineRule="auto" w:before="157"/>
        <w:ind w:left="532" w:right="996"/>
        <w:jc w:val="left"/>
      </w:pPr>
      <w:r>
        <w:rPr/>
        <w:t>③该义务的金额能够可靠地计量。</w:t>
      </w:r>
    </w:p>
    <w:p>
      <w:pPr>
        <w:spacing w:line="357" w:lineRule="auto" w:before="157"/>
        <w:ind w:left="532" w:right="211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本公司预计负债按履行相关现时义务所需的支出的最佳估计数进行初始计量。</w:t>
      </w:r>
      <w:r>
        <w:rPr>
          <w:rFonts w:ascii="宋体" w:hAnsi="宋体" w:cs="宋体" w:eastAsia="宋体" w:hint="default"/>
          <w:sz w:val="21"/>
          <w:szCs w:val="21"/>
        </w:rPr>
      </w:r>
    </w:p>
    <w:p>
      <w:pPr>
        <w:pStyle w:val="BodyText"/>
        <w:spacing w:line="273" w:lineRule="auto" w:before="54"/>
        <w:ind w:right="1130" w:firstLine="420"/>
        <w:jc w:val="both"/>
      </w:pPr>
      <w:r>
        <w:rPr>
          <w:w w:val="95"/>
        </w:rPr>
        <w:t>本公司在确定最佳估计数时，综合考虑与或有事项有关的风险、不确定性和货币时间价值等因素。对</w:t>
      </w:r>
      <w:r>
        <w:rPr>
          <w:spacing w:val="-97"/>
          <w:w w:val="95"/>
        </w:rPr>
        <w:t> </w:t>
      </w:r>
      <w:r>
        <w:rPr>
          <w:spacing w:val="-97"/>
          <w:w w:val="95"/>
        </w:rPr>
      </w:r>
      <w:r>
        <w:rPr/>
        <w:t>于货币时间价值影响重大的，通过对相关未来现金流出进行折现后确定最佳估计数。</w:t>
      </w:r>
    </w:p>
    <w:p>
      <w:pPr>
        <w:pStyle w:val="BodyText"/>
        <w:spacing w:line="432" w:lineRule="exact" w:before="27"/>
        <w:ind w:left="532" w:right="996"/>
        <w:jc w:val="left"/>
      </w:pPr>
      <w:r>
        <w:rPr/>
        <w:t>最佳估计数分别以下情况处理：</w:t>
      </w:r>
      <w:r>
        <w:rPr>
          <w:w w:val="99"/>
        </w:rPr>
        <w:t> </w:t>
      </w:r>
      <w:r>
        <w:rPr>
          <w:w w:val="95"/>
        </w:rPr>
        <w:t>所需支出存在一个连续范围（或区间），且该范围内各种结果发生的可能性相同的，则最佳估计数按</w:t>
      </w:r>
      <w:r>
        <w:rPr/>
      </w:r>
    </w:p>
    <w:p>
      <w:pPr>
        <w:pStyle w:val="BodyText"/>
        <w:spacing w:line="255" w:lineRule="exact"/>
        <w:ind w:right="996"/>
        <w:jc w:val="left"/>
      </w:pPr>
      <w:r>
        <w:rPr/>
        <w:t>照该范围的中间值即上下限金额的平均数确定。</w:t>
      </w:r>
    </w:p>
    <w:p>
      <w:pPr>
        <w:pStyle w:val="BodyText"/>
        <w:spacing w:line="273" w:lineRule="auto" w:before="157"/>
        <w:ind w:right="1132" w:firstLine="420"/>
        <w:jc w:val="both"/>
      </w:pPr>
      <w:r>
        <w:rPr>
          <w:w w:val="95"/>
        </w:rPr>
        <w:t>所需支出不存在一个连续范围（或区间），或虽然存在一个连续范围但该范围内各种结果发生的可能</w:t>
      </w:r>
      <w:r>
        <w:rPr>
          <w:w w:val="99"/>
        </w:rPr>
        <w:t> </w:t>
      </w: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73" w:lineRule="auto" w:before="34"/>
        <w:ind w:right="1132" w:firstLine="420"/>
        <w:jc w:val="both"/>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23、股份支付" w:id="195"/>
      <w:bookmarkEnd w:id="195"/>
      <w:r>
        <w:rPr>
          <w:b w:val="0"/>
          <w:bCs w:val="0"/>
        </w:rPr>
      </w:r>
      <w:r>
        <w:rPr>
          <w:rFonts w:ascii="Arial" w:hAnsi="Arial" w:cs="Arial" w:eastAsia="Arial" w:hint="default"/>
        </w:rPr>
        <w:t>23</w:t>
      </w:r>
      <w:r>
        <w:rPr/>
        <w:t>、股份支付</w:t>
      </w:r>
      <w:r>
        <w:rPr>
          <w:b w:val="0"/>
          <w:bCs w:val="0"/>
        </w:rPr>
      </w:r>
    </w:p>
    <w:p>
      <w:pPr>
        <w:spacing w:line="240" w:lineRule="auto" w:before="8"/>
        <w:rPr>
          <w:rFonts w:ascii="宋体" w:hAnsi="宋体" w:cs="宋体" w:eastAsia="宋体" w:hint="default"/>
          <w:b/>
          <w:bCs/>
          <w:sz w:val="24"/>
          <w:szCs w:val="24"/>
        </w:rPr>
      </w:pPr>
    </w:p>
    <w:p>
      <w:pPr>
        <w:spacing w:line="357" w:lineRule="auto" w:before="0"/>
        <w:ind w:left="540" w:right="4034"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w w:val="95"/>
          <w:sz w:val="21"/>
          <w:szCs w:val="21"/>
        </w:rPr>
        <w:t>本集团股份支付分为以权益结算的股份支付和以现金结算的股份支付。</w:t>
      </w:r>
      <w:r>
        <w:rPr>
          <w:rFonts w:ascii="宋体" w:hAnsi="宋体" w:cs="宋体" w:eastAsia="宋体" w:hint="default"/>
          <w:sz w:val="21"/>
          <w:szCs w:val="21"/>
        </w:rPr>
      </w:r>
    </w:p>
    <w:p>
      <w:pPr>
        <w:spacing w:line="357" w:lineRule="auto" w:before="54"/>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对于授予的存在活跃市场的期权等权益工具，按照活跃市场中的报价确定其公允价值。对于授予的不</w:t>
      </w:r>
      <w:r>
        <w:rPr>
          <w:rFonts w:ascii="宋体" w:hAnsi="宋体" w:cs="宋体" w:eastAsia="宋体" w:hint="default"/>
          <w:sz w:val="21"/>
          <w:szCs w:val="21"/>
        </w:rPr>
      </w:r>
    </w:p>
    <w:p>
      <w:pPr>
        <w:pStyle w:val="BodyText"/>
        <w:spacing w:line="209" w:lineRule="exact"/>
        <w:ind w:right="996"/>
        <w:jc w:val="left"/>
      </w:pPr>
      <w:r>
        <w:rPr/>
        <w:t>存在活跃市场的期权等权益工具，采用期权定价模型等确定其公允价值，选用的期权定价模型考虑以下因</w:t>
      </w:r>
    </w:p>
    <w:p>
      <w:pPr>
        <w:pStyle w:val="BodyText"/>
        <w:spacing w:line="259" w:lineRule="auto" w:before="37"/>
        <w:ind w:right="996"/>
        <w:jc w:val="left"/>
      </w:pPr>
      <w:r>
        <w:rPr>
          <w:spacing w:val="-6"/>
        </w:rPr>
        <w:t>素：（</w:t>
      </w:r>
      <w:r>
        <w:rPr>
          <w:rFonts w:ascii="Arial" w:hAnsi="Arial" w:cs="Arial" w:eastAsia="Arial" w:hint="default"/>
          <w:spacing w:val="-6"/>
        </w:rPr>
        <w:t>1</w:t>
      </w:r>
      <w:r>
        <w:rPr>
          <w:spacing w:val="-6"/>
        </w:rPr>
        <w:t>）期权的行权价格；（</w:t>
      </w:r>
      <w:r>
        <w:rPr>
          <w:rFonts w:ascii="Arial" w:hAnsi="Arial" w:cs="Arial" w:eastAsia="Arial" w:hint="default"/>
          <w:spacing w:val="-6"/>
        </w:rPr>
        <w:t>2</w:t>
      </w:r>
      <w:r>
        <w:rPr>
          <w:spacing w:val="-6"/>
        </w:rPr>
        <w:t>）期权的有效期；（</w:t>
      </w:r>
      <w:r>
        <w:rPr>
          <w:rFonts w:ascii="Arial" w:hAnsi="Arial" w:cs="Arial" w:eastAsia="Arial" w:hint="default"/>
          <w:spacing w:val="-6"/>
        </w:rPr>
        <w:t>3</w:t>
      </w:r>
      <w:r>
        <w:rPr>
          <w:spacing w:val="-6"/>
        </w:rPr>
        <w:t>）标的股份的现行价格；（</w:t>
      </w:r>
      <w:r>
        <w:rPr>
          <w:rFonts w:ascii="Arial" w:hAnsi="Arial" w:cs="Arial" w:eastAsia="Arial" w:hint="default"/>
          <w:spacing w:val="-6"/>
        </w:rPr>
        <w:t>4</w:t>
      </w:r>
      <w:r>
        <w:rPr>
          <w:spacing w:val="-6"/>
        </w:rPr>
        <w:t>）股价预计波动率；（</w:t>
      </w:r>
      <w:r>
        <w:rPr>
          <w:rFonts w:ascii="Arial" w:hAnsi="Arial" w:cs="Arial" w:eastAsia="Arial" w:hint="default"/>
          <w:spacing w:val="-6"/>
        </w:rPr>
        <w:t>5</w:t>
      </w:r>
      <w:r>
        <w:rPr>
          <w:spacing w:val="-6"/>
        </w:rPr>
        <w:t>）</w:t>
      </w:r>
      <w:r>
        <w:rPr>
          <w:spacing w:val="-102"/>
        </w:rPr>
        <w:t> </w:t>
      </w:r>
      <w:r>
        <w:rPr/>
        <w:t>股份的预计股利；（</w:t>
      </w:r>
      <w:r>
        <w:rPr>
          <w:rFonts w:ascii="Arial" w:hAnsi="Arial" w:cs="Arial" w:eastAsia="Arial" w:hint="default"/>
        </w:rPr>
        <w:t>6</w:t>
      </w:r>
      <w:r>
        <w:rPr/>
        <w:t>）期权有效期内的无风险利率。</w:t>
      </w:r>
    </w:p>
    <w:p>
      <w:pPr>
        <w:pStyle w:val="BodyText"/>
        <w:spacing w:line="273" w:lineRule="auto" w:before="123"/>
        <w:ind w:right="1130" w:firstLine="420"/>
        <w:jc w:val="both"/>
      </w:pPr>
      <w:r>
        <w:rPr>
          <w:w w:val="95"/>
        </w:rPr>
        <w:t>在确定权益工具授予日的公允价值时，考虑股份支付协议规定的可行权条件中的市场条件和非可行权</w:t>
      </w:r>
      <w:r>
        <w:rPr>
          <w:w w:val="99"/>
        </w:rPr>
        <w:t> </w:t>
      </w:r>
      <w:r>
        <w:rPr>
          <w:spacing w:val="-5"/>
        </w:rPr>
        <w:t>条件的影响。股份支付存在非可行权条件的，只要职工或其他方满足了所有可行权条件中的非市场条件（如</w:t>
      </w:r>
      <w:r>
        <w:rPr>
          <w:w w:val="99"/>
        </w:rPr>
        <w:t> </w:t>
      </w:r>
      <w:r>
        <w:rPr/>
        <w:t>服务期限等），即确认已得到服务相对应的成本费用。</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w w:val="95"/>
          <w:sz w:val="21"/>
          <w:szCs w:val="21"/>
        </w:rPr>
        <w:t>等待期内每个资产负债表日，根据最新取得的可行权职工人数变动等后续信息作出最佳估计，修正预</w:t>
      </w:r>
      <w:r>
        <w:rPr>
          <w:rFonts w:ascii="宋体" w:hAnsi="宋体" w:cs="宋体" w:eastAsia="宋体" w:hint="default"/>
          <w:sz w:val="21"/>
          <w:szCs w:val="21"/>
        </w:rPr>
      </w:r>
    </w:p>
    <w:p>
      <w:pPr>
        <w:pStyle w:val="BodyText"/>
        <w:spacing w:line="209" w:lineRule="exact"/>
        <w:ind w:right="996"/>
        <w:jc w:val="left"/>
      </w:pPr>
      <w:r>
        <w:rPr/>
        <w:t>计可行权的权益工具数量。在可行权日，最终预计可行权权益工具的数量与实际可行权数量一致。</w:t>
      </w:r>
    </w:p>
    <w:p>
      <w:pPr>
        <w:pStyle w:val="BodyText"/>
        <w:spacing w:line="357" w:lineRule="auto" w:before="157"/>
        <w:ind w:left="540" w:right="996" w:hanging="428"/>
        <w:jc w:val="left"/>
      </w:pPr>
      <w:r>
        <w:rPr>
          <w:rFonts w:ascii="宋体" w:hAnsi="宋体" w:cs="宋体" w:eastAsia="宋体" w:hint="default"/>
          <w:b/>
          <w:bCs/>
        </w:rPr>
        <w:t>（</w:t>
      </w:r>
      <w:r>
        <w:rPr>
          <w:rFonts w:ascii="Arial" w:hAnsi="Arial" w:cs="Arial" w:eastAsia="Arial" w:hint="default"/>
          <w:b/>
          <w:bCs/>
        </w:rPr>
        <w:t>4</w:t>
      </w:r>
      <w:r>
        <w:rPr>
          <w:rFonts w:ascii="宋体" w:hAnsi="宋体" w:cs="宋体" w:eastAsia="宋体" w:hint="default"/>
          <w:b/>
          <w:bCs/>
        </w:rPr>
        <w:t>）会计处理方法</w:t>
      </w:r>
      <w:r>
        <w:rPr>
          <w:rFonts w:ascii="宋体" w:hAnsi="宋体" w:cs="宋体" w:eastAsia="宋体" w:hint="default"/>
          <w:b/>
          <w:bCs/>
          <w:w w:val="99"/>
        </w:rPr>
        <w:t> </w:t>
      </w:r>
      <w:r>
        <w:rPr>
          <w:w w:val="95"/>
        </w:rPr>
        <w:t>以权益结算的股份支付，按授予职工权益工具的公允价值计量。授予后立即可行权的，在授予日按照</w:t>
      </w:r>
      <w:r>
        <w:rPr/>
      </w:r>
    </w:p>
    <w:p>
      <w:pPr>
        <w:pStyle w:val="BodyText"/>
        <w:spacing w:line="209" w:lineRule="exact"/>
        <w:ind w:right="996"/>
        <w:jc w:val="left"/>
      </w:pPr>
      <w:r>
        <w:rPr/>
        <w:t>权益工具的公允价值计入相关成本或费用，相应增加资本公积。在完成等待期内的服务或达到规定业绩条</w:t>
      </w:r>
    </w:p>
    <w:p>
      <w:pPr>
        <w:pStyle w:val="BodyText"/>
        <w:spacing w:line="273" w:lineRule="auto" w:before="37"/>
        <w:ind w:right="1135"/>
        <w:jc w:val="both"/>
      </w:pPr>
      <w:r>
        <w:rPr>
          <w:w w:val="95"/>
        </w:rPr>
        <w:t>件才可行权的，在等待期内的每个资产负债表日，以对可行权权益工具数量的最佳估计为基础，按照权益</w:t>
      </w:r>
      <w:r>
        <w:rPr>
          <w:spacing w:val="37"/>
          <w:w w:val="95"/>
        </w:rPr>
        <w:t> </w:t>
      </w:r>
      <w:r>
        <w:rPr>
          <w:spacing w:val="37"/>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before="128"/>
        <w:ind w:right="1025" w:firstLine="427"/>
        <w:jc w:val="left"/>
      </w:pPr>
      <w:r>
        <w:rPr/>
        <w:t>以现金结算的股份支付，按照本集团承担的以股份或其他权益工具为基础计算确定的负债的公允价值</w:t>
      </w:r>
      <w:r>
        <w:rPr>
          <w:w w:val="99"/>
        </w:rPr>
        <w:t> </w:t>
      </w:r>
      <w:r>
        <w:rPr>
          <w:spacing w:val="-3"/>
        </w:rPr>
        <w:t>计量。授予后立即可行权的，在授予日以本集团承担负债的公允价值计入相关成本或费用，相应增加负债。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产负债表日，以对可行权情况的最佳估计为基础，按照本集团承担负债的公允价值金额，将当期取得的服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before="128"/>
        <w:ind w:right="1132" w:firstLine="420"/>
        <w:jc w:val="both"/>
      </w:pPr>
      <w:r>
        <w:rPr>
          <w:w w:val="95"/>
        </w:rPr>
        <w:t>若在等待期内取消了授予的权益工具，本公司对取消所授予的权益性工具作为加速行权处理，将剩余</w:t>
      </w:r>
      <w:r>
        <w:rPr>
          <w:w w:val="99"/>
        </w:rPr>
        <w:t> </w:t>
      </w:r>
      <w:r>
        <w:rPr>
          <w:w w:val="95"/>
        </w:rPr>
        <w:t>等待期内应确认的金额立即计入当期损益，同时确认资本公积。职工或其他方能够选择满足非可行权条件</w:t>
      </w:r>
      <w:r>
        <w:rPr>
          <w:spacing w:val="37"/>
          <w:w w:val="95"/>
        </w:rPr>
        <w:t> </w:t>
      </w:r>
      <w:r>
        <w:rPr>
          <w:spacing w:val="37"/>
          <w:w w:val="95"/>
        </w:rPr>
      </w:r>
      <w:r>
        <w:rPr/>
        <w:t>但在等待期内未满足的，本公司将其作为授予权益工具的取消处理。（</w:t>
      </w:r>
      <w:r>
        <w:rPr>
          <w:rFonts w:ascii="Arial" w:hAnsi="Arial" w:cs="Arial" w:eastAsia="Arial" w:hint="default"/>
        </w:rPr>
        <w:t>5</w:t>
      </w:r>
      <w:r>
        <w:rPr/>
        <w:t>）</w:t>
      </w:r>
      <w:r>
        <w:rPr>
          <w:spacing w:val="-19"/>
        </w:rPr>
        <w:t> </w:t>
      </w:r>
      <w:r>
        <w:rPr/>
        <w:t>限制性股票</w:t>
      </w:r>
    </w:p>
    <w:p>
      <w:pPr>
        <w:pStyle w:val="BodyText"/>
        <w:spacing w:line="357" w:lineRule="auto" w:before="109"/>
        <w:ind w:left="532" w:right="996" w:hanging="420"/>
        <w:jc w:val="left"/>
      </w:pPr>
      <w:r>
        <w:rPr>
          <w:rFonts w:ascii="宋体" w:hAnsi="宋体" w:cs="宋体" w:eastAsia="宋体" w:hint="default"/>
          <w:b/>
          <w:bCs/>
        </w:rPr>
        <w:t>（</w:t>
      </w:r>
      <w:r>
        <w:rPr>
          <w:rFonts w:ascii="Arial" w:hAnsi="Arial" w:cs="Arial" w:eastAsia="Arial" w:hint="default"/>
          <w:b/>
          <w:bCs/>
        </w:rPr>
        <w:t>5</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限制性股票</w:t>
      </w:r>
      <w:r>
        <w:rPr>
          <w:rFonts w:ascii="宋体" w:hAnsi="宋体" w:cs="宋体" w:eastAsia="宋体" w:hint="default"/>
          <w:b/>
          <w:bCs/>
          <w:w w:val="99"/>
        </w:rPr>
        <w:t> </w:t>
      </w:r>
      <w:r>
        <w:rPr>
          <w:w w:val="95"/>
        </w:rPr>
        <w:t>股权激励计划中，本公司授予被激励对象限制性股票，被激励对象先认购股票，如果后续未达到股权</w:t>
      </w:r>
      <w:r>
        <w:rPr/>
      </w:r>
    </w:p>
    <w:p>
      <w:pPr>
        <w:pStyle w:val="BodyText"/>
        <w:spacing w:line="209" w:lineRule="exact"/>
        <w:ind w:right="996"/>
        <w:jc w:val="left"/>
      </w:pPr>
      <w:r>
        <w:rPr/>
        <w:t>激励计划规定的解锁条件，则本公司按照事先约定的价格回购股票。向职工发行的限制性股票按有关规定</w:t>
      </w:r>
    </w:p>
    <w:p>
      <w:pPr>
        <w:pStyle w:val="BodyText"/>
        <w:spacing w:line="273" w:lineRule="auto" w:before="37"/>
        <w:ind w:right="996"/>
        <w:jc w:val="left"/>
      </w:pPr>
      <w:r>
        <w:rPr>
          <w:w w:val="95"/>
        </w:rPr>
        <w:t>履行了注册登记等增资手续的，在授予日，本公司根据收到的职工缴纳的认股款确认股本和资本公积（股</w:t>
      </w:r>
      <w:r>
        <w:rPr>
          <w:spacing w:val="43"/>
          <w:w w:val="95"/>
        </w:rPr>
        <w:t> </w:t>
      </w:r>
      <w:r>
        <w:rPr>
          <w:spacing w:val="43"/>
          <w:w w:val="95"/>
        </w:rPr>
      </w:r>
      <w:r>
        <w:rPr/>
        <w:t>本溢价）；同时就回购义务确认库存股和其他应付款。</w:t>
      </w:r>
    </w:p>
    <w:p>
      <w:pPr>
        <w:spacing w:after="0" w:line="273"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4、收入" w:id="196"/>
      <w:bookmarkEnd w:id="196"/>
      <w:r>
        <w:rPr>
          <w:b w:val="0"/>
          <w:bCs w:val="0"/>
        </w:rPr>
      </w:r>
      <w:r>
        <w:rPr>
          <w:rFonts w:ascii="Arial" w:hAnsi="Arial" w:cs="Arial" w:eastAsia="Arial" w:hint="default"/>
        </w:rPr>
        <w:t>24</w:t>
      </w:r>
      <w:r>
        <w:rPr/>
        <w:t>、收入</w:t>
      </w:r>
      <w:r>
        <w:rPr>
          <w:b w:val="0"/>
          <w:bCs w:val="0"/>
        </w:rPr>
      </w:r>
    </w:p>
    <w:p>
      <w:pPr>
        <w:spacing w:line="240" w:lineRule="auto" w:before="8"/>
        <w:rPr>
          <w:rFonts w:ascii="宋体" w:hAnsi="宋体" w:cs="宋体" w:eastAsia="宋体" w:hint="default"/>
          <w:b/>
          <w:bCs/>
          <w:sz w:val="24"/>
          <w:szCs w:val="24"/>
        </w:rPr>
      </w:pPr>
    </w:p>
    <w:p>
      <w:pPr>
        <w:spacing w:line="357" w:lineRule="auto" w:before="0"/>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公司已将商品所有权上的主要风险和报酬转移给购买方；公司既没有保留与所有权相联系的继续管理</w:t>
      </w:r>
      <w:r>
        <w:rPr>
          <w:rFonts w:ascii="宋体" w:hAnsi="宋体" w:cs="宋体" w:eastAsia="宋体" w:hint="default"/>
          <w:sz w:val="21"/>
          <w:szCs w:val="21"/>
        </w:rPr>
      </w:r>
    </w:p>
    <w:p>
      <w:pPr>
        <w:pStyle w:val="BodyText"/>
        <w:spacing w:line="209" w:lineRule="exact"/>
        <w:ind w:right="996"/>
        <w:jc w:val="left"/>
      </w:pPr>
      <w:r>
        <w:rPr>
          <w:spacing w:val="-3"/>
        </w:rPr>
        <w:t>权，也没有对已售出的商品实施有效控制；收入的金额能够可靠地计量；相关的经济利益很可能流入企业；</w:t>
      </w:r>
    </w:p>
    <w:p>
      <w:pPr>
        <w:pStyle w:val="BodyText"/>
        <w:spacing w:line="240" w:lineRule="auto" w:before="37"/>
        <w:ind w:right="996"/>
        <w:jc w:val="left"/>
      </w:pPr>
      <w:r>
        <w:rPr/>
        <w:t>相关的已发生或将发生的成本能够可靠地计量时，确认商品销售收入实现。</w:t>
      </w:r>
    </w:p>
    <w:p>
      <w:pPr>
        <w:pStyle w:val="BodyText"/>
        <w:spacing w:line="273" w:lineRule="auto" w:before="157"/>
        <w:ind w:right="996" w:firstLine="420"/>
        <w:jc w:val="left"/>
      </w:pPr>
      <w:r>
        <w:rPr>
          <w:w w:val="95"/>
        </w:rPr>
        <w:t>合同或协议价款的收取采用递延方式，实质上具有融资性质的，按照应收的合同或协议价款的公允价</w:t>
      </w:r>
      <w:r>
        <w:rPr>
          <w:w w:val="99"/>
        </w:rPr>
        <w:t> </w:t>
      </w:r>
      <w:r>
        <w:rPr/>
        <w:t>值确定销售商品收入金额。</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09" w:lineRule="exact"/>
        <w:ind w:right="996"/>
        <w:jc w:val="left"/>
      </w:pPr>
      <w:r>
        <w:rPr/>
        <w:t>使用权收入金额：</w:t>
      </w:r>
    </w:p>
    <w:p>
      <w:pPr>
        <w:pStyle w:val="BodyText"/>
        <w:spacing w:line="240" w:lineRule="auto" w:before="157"/>
        <w:ind w:left="532" w:right="996"/>
        <w:jc w:val="left"/>
      </w:pPr>
      <w:r>
        <w:rPr/>
        <w:t>①利息收入金额，按照他人使用本企业货币资金的时间和实际利率计算确定。</w:t>
      </w:r>
    </w:p>
    <w:p>
      <w:pPr>
        <w:pStyle w:val="BodyText"/>
        <w:spacing w:line="240" w:lineRule="auto" w:before="157"/>
        <w:ind w:left="532" w:right="996"/>
        <w:jc w:val="left"/>
      </w:pPr>
      <w:r>
        <w:rPr/>
        <w:t>②使用费收入金额，按照有关合同或协议约定的收费时间和方法计算确定。</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）提供劳务收入的确认依据和方法</w:t>
      </w:r>
      <w:r>
        <w:rPr>
          <w:rFonts w:ascii="宋体" w:hAnsi="宋体" w:cs="宋体" w:eastAsia="宋体" w:hint="default"/>
          <w:b/>
          <w:bCs/>
          <w:w w:val="99"/>
          <w:sz w:val="21"/>
          <w:szCs w:val="21"/>
        </w:rPr>
        <w:t> </w:t>
      </w:r>
      <w:r>
        <w:rPr>
          <w:rFonts w:ascii="宋体" w:hAnsi="宋体" w:cs="宋体" w:eastAsia="宋体" w:hint="default"/>
          <w:w w:val="95"/>
          <w:sz w:val="21"/>
          <w:szCs w:val="21"/>
        </w:rPr>
        <w:t>在资产负债表日提供劳务交易的结果能够可靠估计的，采用完工百分比法确认提供劳务收入。提供劳</w:t>
      </w:r>
      <w:r>
        <w:rPr>
          <w:rFonts w:ascii="宋体" w:hAnsi="宋体" w:cs="宋体" w:eastAsia="宋体" w:hint="default"/>
          <w:sz w:val="21"/>
          <w:szCs w:val="21"/>
        </w:rPr>
      </w:r>
    </w:p>
    <w:p>
      <w:pPr>
        <w:pStyle w:val="BodyText"/>
        <w:spacing w:line="209" w:lineRule="exact"/>
        <w:ind w:right="996"/>
        <w:jc w:val="left"/>
      </w:pPr>
      <w:r>
        <w:rPr/>
        <w:t>务交易的完工进度，依据已完工作的测量已经提供的劳务占应提供劳务总量的比例确定。</w:t>
      </w:r>
    </w:p>
    <w:p>
      <w:pPr>
        <w:pStyle w:val="BodyText"/>
        <w:spacing w:line="240" w:lineRule="auto" w:before="157"/>
        <w:ind w:left="532" w:right="996"/>
        <w:jc w:val="left"/>
      </w:pPr>
      <w:r>
        <w:rPr/>
        <w:t>提供劳务交易的结果能够可靠估计，是指同时满足下列条件：</w:t>
      </w:r>
    </w:p>
    <w:p>
      <w:pPr>
        <w:pStyle w:val="BodyText"/>
        <w:spacing w:line="240" w:lineRule="auto" w:before="157"/>
        <w:ind w:left="532" w:right="996"/>
        <w:jc w:val="left"/>
      </w:pPr>
      <w:r>
        <w:rPr/>
        <w:t>①收入的金额能够可靠地计量；</w:t>
      </w:r>
    </w:p>
    <w:p>
      <w:pPr>
        <w:pStyle w:val="BodyText"/>
        <w:spacing w:line="240" w:lineRule="auto" w:before="157"/>
        <w:ind w:left="532" w:right="996"/>
        <w:jc w:val="left"/>
      </w:pPr>
      <w:r>
        <w:rPr/>
        <w:t>②相关的经济利益很可能流入企业；</w:t>
      </w:r>
    </w:p>
    <w:p>
      <w:pPr>
        <w:pStyle w:val="BodyText"/>
        <w:spacing w:line="240" w:lineRule="auto" w:before="157"/>
        <w:ind w:left="532" w:right="996"/>
        <w:jc w:val="left"/>
      </w:pPr>
      <w:r>
        <w:rPr/>
        <w:t>③交易的完工进度能够可靠地确定；</w:t>
      </w:r>
    </w:p>
    <w:p>
      <w:pPr>
        <w:pStyle w:val="BodyText"/>
        <w:spacing w:line="430" w:lineRule="atLeast" w:before="2"/>
        <w:ind w:left="532" w:right="996"/>
        <w:jc w:val="left"/>
      </w:pPr>
      <w:r>
        <w:rPr/>
        <w:t>④交易中已发生和将发生的成本能够可靠地计量。</w:t>
      </w:r>
      <w:r>
        <w:rPr>
          <w:w w:val="99"/>
        </w:rPr>
        <w:t> </w:t>
      </w:r>
      <w:r>
        <w:rPr>
          <w:w w:val="95"/>
        </w:rPr>
        <w:t>按照已收或应收的合同或协议价款确定提供劳务收入总额，但已收或应收的合同或协议价款不公允的</w:t>
      </w:r>
      <w:r>
        <w:rPr/>
      </w:r>
    </w:p>
    <w:p>
      <w:pPr>
        <w:pStyle w:val="BodyText"/>
        <w:spacing w:line="273" w:lineRule="auto" w:before="37"/>
        <w:ind w:right="1130"/>
        <w:jc w:val="both"/>
      </w:pPr>
      <w:r>
        <w:rPr>
          <w:w w:val="95"/>
        </w:rPr>
        <w:t>除外。资产负债表日按照提供劳务收入总额乘以完工进度扣除以前会计期间累计已确认提供劳务收入后的</w:t>
      </w:r>
      <w:r>
        <w:rPr>
          <w:spacing w:val="39"/>
          <w:w w:val="95"/>
        </w:rPr>
        <w:t> </w:t>
      </w:r>
      <w:r>
        <w:rPr>
          <w:spacing w:val="39"/>
          <w:w w:val="95"/>
        </w:rPr>
      </w:r>
      <w:r>
        <w:rPr>
          <w:w w:val="95"/>
        </w:rPr>
        <w:t>金额，确认当期提供劳务收入；同时，按照提供劳务估计总成本乘以完工进度扣除以前会计期间累计已确</w:t>
      </w:r>
      <w:r>
        <w:rPr>
          <w:spacing w:val="43"/>
          <w:w w:val="95"/>
        </w:rPr>
        <w:t> </w:t>
      </w:r>
      <w:r>
        <w:rPr>
          <w:spacing w:val="43"/>
          <w:w w:val="95"/>
        </w:rPr>
      </w:r>
      <w:r>
        <w:rPr/>
        <w:t>认劳务成本后的金额，结转当期劳务成本。</w:t>
      </w:r>
    </w:p>
    <w:p>
      <w:pPr>
        <w:pStyle w:val="BodyText"/>
        <w:spacing w:line="240" w:lineRule="auto" w:before="127"/>
        <w:ind w:left="532" w:right="996"/>
        <w:jc w:val="left"/>
      </w:pPr>
      <w:r>
        <w:rPr/>
        <w:t>在资产负债表日提供劳务交易结果不能够可靠估计的，分别下列情况处理：</w:t>
      </w:r>
    </w:p>
    <w:p>
      <w:pPr>
        <w:pStyle w:val="BodyText"/>
        <w:spacing w:line="259" w:lineRule="auto" w:before="157"/>
        <w:ind w:right="996" w:firstLine="420"/>
        <w:jc w:val="left"/>
      </w:pPr>
      <w:r>
        <w:rPr>
          <w:rFonts w:ascii="Arial" w:hAnsi="Arial" w:cs="Arial" w:eastAsia="Arial" w:hint="default"/>
          <w:spacing w:val="2"/>
          <w:w w:val="95"/>
        </w:rPr>
        <w:t>1</w:t>
      </w:r>
      <w:r>
        <w:rPr>
          <w:spacing w:val="2"/>
          <w:w w:val="95"/>
        </w:rPr>
        <w:t>）已经发生的劳务成本预计能够得到补偿的，按照已经发生的劳务成本金额确认提供劳务收入，并</w:t>
      </w:r>
      <w:r>
        <w:rPr>
          <w:spacing w:val="-92"/>
          <w:w w:val="95"/>
        </w:rPr>
        <w:t> </w:t>
      </w:r>
      <w:r>
        <w:rPr>
          <w:spacing w:val="-92"/>
          <w:w w:val="95"/>
        </w:rPr>
      </w:r>
      <w:r>
        <w:rPr/>
        <w:t>按相同金额结转劳务成本。</w:t>
      </w:r>
    </w:p>
    <w:p>
      <w:pPr>
        <w:pStyle w:val="BodyText"/>
        <w:spacing w:line="259" w:lineRule="auto" w:before="140"/>
        <w:ind w:right="996" w:firstLine="420"/>
        <w:jc w:val="left"/>
      </w:pPr>
      <w:r>
        <w:rPr>
          <w:rFonts w:ascii="Arial" w:hAnsi="Arial" w:cs="Arial" w:eastAsia="Arial" w:hint="default"/>
          <w:spacing w:val="2"/>
          <w:w w:val="95"/>
        </w:rPr>
        <w:t>2</w:t>
      </w:r>
      <w:r>
        <w:rPr>
          <w:spacing w:val="2"/>
          <w:w w:val="95"/>
        </w:rPr>
        <w:t>）已经发生的劳务成本预计不能够得到补偿的，将已经发生的劳务成本计入当期损益，不确认提供</w:t>
      </w:r>
      <w:r>
        <w:rPr>
          <w:spacing w:val="-92"/>
          <w:w w:val="95"/>
        </w:rPr>
        <w:t> </w:t>
      </w:r>
      <w:r>
        <w:rPr>
          <w:spacing w:val="-92"/>
          <w:w w:val="95"/>
        </w:rPr>
      </w:r>
      <w:r>
        <w:rPr/>
        <w:t>劳务收入。</w:t>
      </w:r>
    </w:p>
    <w:p>
      <w:pPr>
        <w:pStyle w:val="BodyText"/>
        <w:spacing w:line="273" w:lineRule="auto" w:before="140"/>
        <w:ind w:right="1130"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3"/>
          <w:w w:val="95"/>
        </w:rPr>
        <w:t> </w:t>
      </w:r>
      <w:r>
        <w:rPr>
          <w:spacing w:val="43"/>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spacing w:line="357" w:lineRule="auto" w:before="12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）附回购条件的资产转让</w:t>
      </w:r>
      <w:r>
        <w:rPr>
          <w:rFonts w:ascii="宋体" w:hAnsi="宋体" w:cs="宋体" w:eastAsia="宋体" w:hint="default"/>
          <w:b/>
          <w:bCs/>
          <w:w w:val="99"/>
          <w:sz w:val="21"/>
          <w:szCs w:val="21"/>
        </w:rPr>
        <w:t> </w:t>
      </w:r>
      <w:r>
        <w:rPr>
          <w:rFonts w:ascii="宋体" w:hAnsi="宋体" w:cs="宋体" w:eastAsia="宋体" w:hint="default"/>
          <w:w w:val="95"/>
          <w:sz w:val="21"/>
          <w:szCs w:val="21"/>
        </w:rPr>
        <w:t>公司销售产品或转让其他资产时，与购买方签订了所销售的产品或转让资产回购协议，根据协议条款</w:t>
      </w:r>
      <w:r>
        <w:rPr>
          <w:rFonts w:ascii="宋体" w:hAnsi="宋体" w:cs="宋体" w:eastAsia="宋体" w:hint="default"/>
          <w:sz w:val="21"/>
          <w:szCs w:val="21"/>
        </w:rPr>
      </w:r>
    </w:p>
    <w:p>
      <w:pPr>
        <w:pStyle w:val="BodyText"/>
        <w:spacing w:line="209" w:lineRule="exact"/>
        <w:ind w:right="996"/>
        <w:jc w:val="left"/>
      </w:pPr>
      <w:r>
        <w:rPr/>
        <w:t>判断销售商品是否满足收入确认条件。如售后回购属于融资交易，则在交付产品或资产时，本公司不确认</w:t>
      </w:r>
    </w:p>
    <w:p>
      <w:pPr>
        <w:spacing w:after="0" w:line="209" w:lineRule="exact"/>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销售收入。回购价款大于销售价款的差额，在回购期间按期计提利息，计入财务费用。</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）公司收入确认的具体方法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本公司的主营业务为电子政务系统的产品开发与服务，主要面向政府、法院、检察院、食药监等领域</w:t>
      </w:r>
      <w:r>
        <w:rPr>
          <w:rFonts w:ascii="宋体" w:hAnsi="宋体" w:cs="宋体" w:eastAsia="宋体" w:hint="default"/>
          <w:sz w:val="21"/>
          <w:szCs w:val="21"/>
        </w:rPr>
      </w:r>
    </w:p>
    <w:p>
      <w:pPr>
        <w:pStyle w:val="BodyText"/>
        <w:spacing w:line="209" w:lineRule="exact"/>
        <w:ind w:right="996"/>
        <w:jc w:val="left"/>
      </w:pPr>
      <w:r>
        <w:rPr/>
        <w:t>的客户提供应用软件、系统建设服务和运行维护服务。收入确认的具体方法如下：</w:t>
      </w:r>
    </w:p>
    <w:p>
      <w:pPr>
        <w:pStyle w:val="BodyText"/>
        <w:spacing w:line="357" w:lineRule="auto" w:before="157"/>
        <w:ind w:left="532" w:right="996"/>
        <w:jc w:val="left"/>
      </w:pPr>
      <w:r>
        <w:rPr>
          <w:rFonts w:ascii="Arial" w:hAnsi="Arial" w:cs="Arial" w:eastAsia="Arial" w:hint="default"/>
        </w:rPr>
        <w:t>1</w:t>
      </w:r>
      <w:r>
        <w:rPr/>
        <w:t>）应用软件</w:t>
      </w:r>
      <w:r>
        <w:rPr>
          <w:w w:val="99"/>
        </w:rPr>
        <w:t> </w:t>
      </w:r>
      <w:r>
        <w:rPr>
          <w:w w:val="95"/>
        </w:rPr>
        <w:t>应用软件指公司针对客户在电子政务中的业务应用需求而提供的软件产品及应用软件定制开发。由于</w:t>
      </w:r>
      <w:r>
        <w:rPr/>
      </w:r>
    </w:p>
    <w:p>
      <w:pPr>
        <w:pStyle w:val="BodyText"/>
        <w:spacing w:line="209" w:lineRule="exact"/>
        <w:ind w:right="996"/>
        <w:jc w:val="left"/>
      </w:pPr>
      <w:r>
        <w:rPr/>
        <w:t>软件产品销售与软件定制开发的收入能够区分且能够单独计量，因此公司分别按照销售商品的收入确认原</w:t>
      </w:r>
    </w:p>
    <w:p>
      <w:pPr>
        <w:pStyle w:val="BodyText"/>
        <w:spacing w:line="240" w:lineRule="auto" w:before="37"/>
        <w:ind w:right="996"/>
        <w:jc w:val="left"/>
      </w:pPr>
      <w:r>
        <w:rPr/>
        <w:t>则和提供劳务的收入确认原则对软件产品与软件开发确认收入。</w:t>
      </w:r>
    </w:p>
    <w:p>
      <w:pPr>
        <w:pStyle w:val="BodyText"/>
        <w:spacing w:line="273" w:lineRule="auto" w:before="157"/>
        <w:ind w:right="1112" w:firstLine="420"/>
        <w:jc w:val="both"/>
      </w:pPr>
      <w:r>
        <w:rPr>
          <w:w w:val="95"/>
        </w:rPr>
        <w:t>在遵循收入确认基本原则的基础上，软件产品销售在取得客户确认的《软件安装报告》时确认收入。</w:t>
      </w:r>
      <w:r>
        <w:rPr>
          <w:spacing w:val="-79"/>
          <w:w w:val="95"/>
        </w:rPr>
        <w:t> </w:t>
      </w:r>
      <w:r>
        <w:rPr>
          <w:spacing w:val="-79"/>
          <w:w w:val="95"/>
        </w:rPr>
      </w:r>
      <w:r>
        <w:rPr>
          <w:w w:val="95"/>
        </w:rPr>
        <w:t>软件开发采取对已完工作进行测量的方法，以资产负债表日的完工进度确认收入。公司在资产负债表日编</w:t>
      </w:r>
      <w:r>
        <w:rPr>
          <w:spacing w:val="37"/>
          <w:w w:val="95"/>
        </w:rPr>
        <w:t> </w:t>
      </w:r>
      <w:r>
        <w:rPr>
          <w:spacing w:val="37"/>
          <w:w w:val="95"/>
        </w:rPr>
      </w:r>
      <w:r>
        <w:rPr>
          <w:w w:val="95"/>
        </w:rPr>
        <w:t>制《软件开发进度报告》，对完工进度进行测量，按照软件开发收入总额乘以完工进度扣除以前会计期间</w:t>
      </w:r>
      <w:r>
        <w:rPr>
          <w:spacing w:val="40"/>
          <w:w w:val="95"/>
        </w:rPr>
        <w:t> </w:t>
      </w:r>
      <w:r>
        <w:rPr>
          <w:spacing w:val="40"/>
          <w:w w:val="95"/>
        </w:rPr>
      </w:r>
      <w:r>
        <w:rPr/>
        <w:t>累计已确认软件开发收入后的金额，确认当期软件开发收入。</w:t>
      </w:r>
    </w:p>
    <w:p>
      <w:pPr>
        <w:pStyle w:val="BodyText"/>
        <w:spacing w:line="357" w:lineRule="auto" w:before="128"/>
        <w:ind w:left="532" w:right="996"/>
        <w:jc w:val="left"/>
      </w:pPr>
      <w:r>
        <w:rPr>
          <w:rFonts w:ascii="Arial" w:hAnsi="Arial" w:cs="Arial" w:eastAsia="Arial" w:hint="default"/>
        </w:rPr>
        <w:t>2</w:t>
      </w:r>
      <w:r>
        <w:rPr/>
        <w:t>）系统建设服务</w:t>
      </w:r>
      <w:r>
        <w:rPr>
          <w:w w:val="99"/>
        </w:rPr>
        <w:t> </w:t>
      </w:r>
      <w:r>
        <w:rPr>
          <w:w w:val="95"/>
        </w:rPr>
        <w:t>系统建设服务指公司针对电子政务客户在信息化基础环境建设、网络平台建设、系统平台建设、安全</w:t>
      </w:r>
      <w:r>
        <w:rPr/>
      </w:r>
    </w:p>
    <w:p>
      <w:pPr>
        <w:pStyle w:val="BodyText"/>
        <w:spacing w:line="209" w:lineRule="exact"/>
        <w:ind w:right="996"/>
        <w:jc w:val="left"/>
      </w:pPr>
      <w:r>
        <w:rPr/>
        <w:t>体系建设和管理等方面的需求，为客户提供的信息化基础环境建设服务。信息化基础环境建设服务按照提</w:t>
      </w:r>
    </w:p>
    <w:p>
      <w:pPr>
        <w:pStyle w:val="BodyText"/>
        <w:spacing w:line="273" w:lineRule="auto" w:before="37"/>
        <w:ind w:right="996"/>
        <w:jc w:val="left"/>
      </w:pPr>
      <w:r>
        <w:rPr>
          <w:w w:val="95"/>
        </w:rPr>
        <w:t>供劳务的收入确认原则确认收入。服务与设备的收入不能够区分或不能单独计量的，与设备共同按照销售</w:t>
      </w:r>
      <w:r>
        <w:rPr>
          <w:spacing w:val="40"/>
          <w:w w:val="95"/>
        </w:rPr>
        <w:t> </w:t>
      </w:r>
      <w:r>
        <w:rPr>
          <w:spacing w:val="40"/>
          <w:w w:val="95"/>
        </w:rPr>
      </w:r>
      <w:r>
        <w:rPr/>
        <w:t>商品的收入确认原则确认收入。</w:t>
      </w:r>
    </w:p>
    <w:p>
      <w:pPr>
        <w:pStyle w:val="BodyText"/>
        <w:spacing w:line="273" w:lineRule="auto" w:before="128"/>
        <w:ind w:right="1112" w:firstLine="420"/>
        <w:jc w:val="both"/>
      </w:pPr>
      <w:r>
        <w:rPr>
          <w:w w:val="95"/>
        </w:rPr>
        <w:t>在遵循收入确认基本原则的基础上，信息化基础环境建设服务在服务已提供，并取得客户确认的《验</w:t>
      </w:r>
      <w:r>
        <w:rPr>
          <w:spacing w:val="-97"/>
          <w:w w:val="95"/>
        </w:rPr>
        <w:t> </w:t>
      </w:r>
      <w:r>
        <w:rPr>
          <w:spacing w:val="-97"/>
          <w:w w:val="95"/>
        </w:rPr>
      </w:r>
      <w:r>
        <w:rPr>
          <w:w w:val="95"/>
        </w:rPr>
        <w:t>收报告》时确认收入；设备的收入在取得客户确认的《货物接收单》（不需安装调试的）或《验收报告》</w:t>
      </w:r>
      <w:r>
        <w:rPr/>
      </w:r>
    </w:p>
    <w:p>
      <w:pPr>
        <w:pStyle w:val="BodyText"/>
        <w:spacing w:line="240" w:lineRule="auto" w:before="7"/>
        <w:ind w:right="996"/>
        <w:jc w:val="left"/>
      </w:pPr>
      <w:r>
        <w:rPr/>
        <w:t>（需要安装调试的）时确认收入。</w:t>
      </w:r>
    </w:p>
    <w:p>
      <w:pPr>
        <w:pStyle w:val="BodyText"/>
        <w:spacing w:line="357" w:lineRule="auto" w:before="157"/>
        <w:ind w:left="532" w:right="996" w:hanging="120"/>
        <w:jc w:val="left"/>
      </w:pPr>
      <w:r>
        <w:rPr>
          <w:rFonts w:ascii="Arial" w:hAnsi="Arial" w:cs="Arial" w:eastAsia="Arial" w:hint="default"/>
        </w:rPr>
        <w:t>3</w:t>
      </w:r>
      <w:r>
        <w:rPr/>
        <w:t>）运行维护服务</w:t>
      </w:r>
      <w:r>
        <w:rPr>
          <w:w w:val="99"/>
        </w:rPr>
        <w:t> </w:t>
      </w:r>
      <w:r>
        <w:rPr>
          <w:w w:val="95"/>
        </w:rPr>
        <w:t>运行维护服务指，除应用软件和系统建设服务之外，公司针对电子政务客户的专业服务需求，围绕信</w:t>
      </w:r>
      <w:r>
        <w:rPr/>
      </w:r>
    </w:p>
    <w:p>
      <w:pPr>
        <w:pStyle w:val="BodyText"/>
        <w:spacing w:line="209" w:lineRule="exact"/>
        <w:ind w:right="996"/>
        <w:jc w:val="left"/>
      </w:pPr>
      <w:r>
        <w:rPr/>
        <w:t>息化应用的生命周期，为客户提供的涵盖应用软件及系统运行平台的信息化系统运维管理、信息化应用推</w:t>
      </w:r>
    </w:p>
    <w:p>
      <w:pPr>
        <w:pStyle w:val="BodyText"/>
        <w:spacing w:line="240" w:lineRule="auto" w:before="37"/>
        <w:ind w:right="996"/>
        <w:jc w:val="left"/>
      </w:pPr>
      <w:r>
        <w:rPr/>
        <w:t>广、信息化规划咨询等服务。</w:t>
      </w:r>
    </w:p>
    <w:p>
      <w:pPr>
        <w:pStyle w:val="BodyText"/>
        <w:spacing w:line="273" w:lineRule="auto" w:before="157"/>
        <w:ind w:right="1130" w:firstLine="420"/>
        <w:jc w:val="both"/>
      </w:pPr>
      <w:r>
        <w:rPr>
          <w:w w:val="95"/>
        </w:rPr>
        <w:t>在遵循收入确认基本原则的基础上，对于单次提供的服务，在服务已经提供，收到价款或取得收款的</w:t>
      </w:r>
      <w:r>
        <w:rPr>
          <w:spacing w:val="-97"/>
          <w:w w:val="95"/>
        </w:rPr>
        <w:t> </w:t>
      </w:r>
      <w:r>
        <w:rPr>
          <w:spacing w:val="-97"/>
          <w:w w:val="95"/>
        </w:rPr>
      </w:r>
      <w:r>
        <w:rPr/>
        <w:t>依据后确认收入；对于在一定期间内持续提供的服务，在服务期内分期确认收入。</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25、政府补助" w:id="197"/>
      <w:bookmarkEnd w:id="197"/>
      <w:r>
        <w:rPr>
          <w:b w:val="0"/>
          <w:bCs w:val="0"/>
        </w:rPr>
      </w:r>
      <w:r>
        <w:rPr>
          <w:rFonts w:ascii="Arial" w:hAnsi="Arial" w:cs="Arial" w:eastAsia="Arial"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r>
        <w:rPr/>
        <w:t>（</w:t>
      </w:r>
      <w:r>
        <w:rPr>
          <w:rFonts w:ascii="Arial" w:hAnsi="Arial" w:cs="Arial" w:eastAsia="Arial" w:hint="default"/>
        </w:rPr>
        <w:t>1</w:t>
      </w:r>
      <w:r>
        <w:rPr/>
        <w:t>）类型</w:t>
      </w:r>
      <w:r>
        <w:rPr>
          <w:b w:val="0"/>
          <w:bCs w:val="0"/>
        </w:rPr>
      </w:r>
    </w:p>
    <w:p>
      <w:pPr>
        <w:pStyle w:val="BodyText"/>
        <w:spacing w:line="273" w:lineRule="auto" w:before="142"/>
        <w:ind w:right="1135" w:firstLine="420"/>
        <w:jc w:val="both"/>
      </w:pPr>
      <w:r>
        <w:rPr>
          <w:w w:val="95"/>
        </w:rPr>
        <w:t>政府补助，是本公司从政府无偿取得的货币性资产与非货币性资产。根据相关政府文件规定的补助对</w:t>
      </w:r>
      <w:r>
        <w:rPr>
          <w:w w:val="99"/>
        </w:rPr>
        <w:t> </w:t>
      </w:r>
      <w:r>
        <w:rPr/>
        <w:t>象，将政府补助划分为与资产相关的政府补助和与收益相关的政府补助。</w:t>
      </w:r>
    </w:p>
    <w:p>
      <w:pPr>
        <w:pStyle w:val="BodyText"/>
        <w:spacing w:line="273" w:lineRule="auto" w:before="127"/>
        <w:ind w:right="1132" w:firstLine="420"/>
        <w:jc w:val="both"/>
      </w:pPr>
      <w:r>
        <w:rPr>
          <w:w w:val="95"/>
        </w:rPr>
        <w:t>对于政府文件未明确补助对象的政府补助，公司根据实际补助对象划分为与资产相关的政府补助或与</w:t>
      </w:r>
      <w:r>
        <w:rPr>
          <w:w w:val="99"/>
        </w:rPr>
        <w:t> </w:t>
      </w:r>
      <w:r>
        <w:rPr/>
        <w:t>收益相关的政府补助。</w:t>
      </w:r>
    </w:p>
    <w:p>
      <w:pPr>
        <w:pStyle w:val="BodyText"/>
        <w:spacing w:line="273" w:lineRule="auto" w:before="127"/>
        <w:ind w:right="1130" w:firstLine="420"/>
        <w:jc w:val="both"/>
      </w:pPr>
      <w:r>
        <w:rPr>
          <w:w w:val="95"/>
        </w:rPr>
        <w:t>与资产相关的政府补助，是指本公司取得的、用于购建或以其他方式形成长期资产的政府补助。与收</w:t>
      </w:r>
      <w:r>
        <w:rPr>
          <w:spacing w:val="-97"/>
          <w:w w:val="95"/>
        </w:rPr>
        <w:t> </w:t>
      </w:r>
      <w:r>
        <w:rPr>
          <w:spacing w:val="-97"/>
          <w:w w:val="95"/>
        </w:rPr>
      </w:r>
      <w:r>
        <w:rPr/>
        <w:t>益相关的政府补助，是指除与资产相关的政府补助之外的政府补助。</w:t>
      </w:r>
    </w:p>
    <w:p>
      <w:pPr>
        <w:pStyle w:val="BodyText"/>
        <w:spacing w:line="357" w:lineRule="auto" w:before="127"/>
        <w:ind w:left="532" w:right="996" w:hanging="420"/>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w w:val="95"/>
        </w:rPr>
        <w:t>对期末有证据表明公司能够符合财政扶持政策规定的相关条件且预计能够收到财政扶持资金的，按应</w:t>
      </w:r>
      <w:r>
        <w:rPr/>
      </w:r>
    </w:p>
    <w:p>
      <w:pPr>
        <w:spacing w:after="0" w:line="357"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收金额确认政府补助。除此之外，政府补助均在实际收到时确认。</w:t>
      </w:r>
    </w:p>
    <w:p>
      <w:pPr>
        <w:pStyle w:val="BodyText"/>
        <w:spacing w:line="266" w:lineRule="auto" w:before="157"/>
        <w:ind w:right="1130" w:firstLine="420"/>
        <w:jc w:val="both"/>
      </w:pPr>
      <w:r>
        <w:rPr>
          <w:w w:val="95"/>
        </w:rPr>
        <w:t>政府补助为货币性资产的，按照收到或应收的金额计量。政府补助为非货币性资产的，按照公允价值</w:t>
      </w:r>
      <w:r>
        <w:rPr>
          <w:spacing w:val="-97"/>
          <w:w w:val="95"/>
        </w:rPr>
        <w:t> </w:t>
      </w:r>
      <w:r>
        <w:rPr>
          <w:spacing w:val="-97"/>
          <w:w w:val="95"/>
        </w:rPr>
      </w:r>
      <w:r>
        <w:rPr>
          <w:spacing w:val="2"/>
          <w:w w:val="95"/>
        </w:rPr>
        <w:t>计量；公允价值不能够可靠取得的，按照名义金额（人民币</w:t>
      </w:r>
      <w:r>
        <w:rPr>
          <w:rFonts w:ascii="Arial" w:hAnsi="Arial" w:cs="Arial" w:eastAsia="Arial" w:hint="default"/>
          <w:spacing w:val="2"/>
          <w:w w:val="95"/>
        </w:rPr>
        <w:t>1</w:t>
      </w:r>
      <w:r>
        <w:rPr>
          <w:spacing w:val="2"/>
          <w:w w:val="95"/>
        </w:rPr>
        <w:t>元）计量。按照名义金额计量的政府补助，</w:t>
      </w:r>
      <w:r>
        <w:rPr>
          <w:spacing w:val="40"/>
          <w:w w:val="95"/>
        </w:rPr>
        <w:t> </w:t>
      </w:r>
      <w:r>
        <w:rPr>
          <w:spacing w:val="40"/>
          <w:w w:val="95"/>
        </w:rPr>
      </w:r>
      <w:r>
        <w:rPr/>
        <w:t>直接计入当期损益。</w:t>
      </w:r>
    </w:p>
    <w:p>
      <w:pPr>
        <w:pStyle w:val="BodyText"/>
        <w:spacing w:line="357" w:lineRule="auto" w:before="134"/>
        <w:ind w:left="537" w:right="996" w:hanging="425"/>
        <w:jc w:val="left"/>
      </w:pPr>
      <w:r>
        <w:rPr>
          <w:rFonts w:ascii="宋体" w:hAnsi="宋体" w:cs="宋体" w:eastAsia="宋体" w:hint="default"/>
          <w:b/>
          <w:bCs/>
        </w:rPr>
        <w:t>（</w:t>
      </w:r>
      <w:r>
        <w:rPr>
          <w:rFonts w:ascii="Arial" w:hAnsi="Arial" w:cs="Arial" w:eastAsia="Arial" w:hint="default"/>
          <w:b/>
          <w:bCs/>
        </w:rPr>
        <w:t>3</w:t>
      </w:r>
      <w:r>
        <w:rPr>
          <w:rFonts w:ascii="宋体" w:hAnsi="宋体" w:cs="宋体" w:eastAsia="宋体" w:hint="default"/>
          <w:b/>
          <w:bCs/>
        </w:rPr>
        <w:t>）会计处理方法</w:t>
      </w:r>
      <w:r>
        <w:rPr>
          <w:rFonts w:ascii="宋体" w:hAnsi="宋体" w:cs="宋体" w:eastAsia="宋体" w:hint="default"/>
          <w:b/>
          <w:bCs/>
          <w:w w:val="99"/>
        </w:rPr>
        <w:t> </w:t>
      </w:r>
      <w:r>
        <w:rPr>
          <w:w w:val="95"/>
        </w:rPr>
        <w:t>本公司根据经济业务的实质，确定某一类政府补助业务应当采用总额法还是净额法进行会计处理。通</w:t>
      </w:r>
      <w:r>
        <w:rPr/>
      </w:r>
    </w:p>
    <w:p>
      <w:pPr>
        <w:pStyle w:val="BodyText"/>
        <w:spacing w:line="209" w:lineRule="exact"/>
        <w:ind w:right="996"/>
        <w:jc w:val="left"/>
      </w:pPr>
      <w:r>
        <w:rPr/>
        <w:t>常情况下，本公司对于同类或类似政府补助业务只选用一种方法，且对该业务一贯地运用该方法。</w:t>
      </w:r>
    </w:p>
    <w:p>
      <w:pPr>
        <w:pStyle w:val="BodyText"/>
        <w:spacing w:line="273" w:lineRule="auto" w:before="157"/>
        <w:ind w:right="1132" w:firstLine="420"/>
        <w:jc w:val="both"/>
      </w:pPr>
      <w:r>
        <w:rPr>
          <w:w w:val="95"/>
        </w:rPr>
        <w:t>与资产相关的政府补助，应当冲减相关资产的账面价值或确认为递延收益。与资产相关的政府补助确</w:t>
      </w:r>
      <w:r>
        <w:rPr>
          <w:w w:val="99"/>
        </w:rPr>
        <w:t> </w:t>
      </w:r>
      <w:r>
        <w:rPr/>
        <w:t>认为递延收益的，在所建造或购买资产使用寿命内按照合理、系统的方法分期计入损益。</w:t>
      </w:r>
    </w:p>
    <w:p>
      <w:pPr>
        <w:pStyle w:val="BodyText"/>
        <w:spacing w:line="273" w:lineRule="auto" w:before="127"/>
        <w:ind w:right="1132" w:firstLine="420"/>
        <w:jc w:val="both"/>
      </w:pPr>
      <w:r>
        <w:rPr>
          <w:w w:val="95"/>
        </w:rPr>
        <w:t>与收益相关的政府补助，用于补偿企业以后期间的相关费用或损失的，确认为递延收益，在确认相关</w:t>
      </w:r>
      <w:r>
        <w:rPr>
          <w:w w:val="99"/>
        </w:rPr>
        <w:t> </w:t>
      </w:r>
      <w:r>
        <w:rPr>
          <w:w w:val="95"/>
        </w:rPr>
        <w:t>费用或损失的期间计入当期损益或冲减相关成本；用于补偿企业已发生的相关费用或损失的，取得时直接</w:t>
      </w:r>
      <w:r>
        <w:rPr>
          <w:spacing w:val="40"/>
          <w:w w:val="95"/>
        </w:rPr>
        <w:t> </w:t>
      </w:r>
      <w:r>
        <w:rPr>
          <w:spacing w:val="40"/>
          <w:w w:val="95"/>
        </w:rPr>
      </w:r>
      <w:r>
        <w:rPr/>
        <w:t>计入当期损益或冲减相关成本。</w:t>
      </w:r>
    </w:p>
    <w:p>
      <w:pPr>
        <w:pStyle w:val="BodyText"/>
        <w:spacing w:line="273" w:lineRule="auto" w:before="128"/>
        <w:ind w:right="1135" w:firstLine="420"/>
        <w:jc w:val="both"/>
      </w:pPr>
      <w:r>
        <w:rPr>
          <w:w w:val="95"/>
        </w:rPr>
        <w:t>与企业日常活动相关的政府补助计入其他收益或冲减相关成本费用；与企业日常活动无关的政府补助</w:t>
      </w:r>
      <w:r>
        <w:rPr>
          <w:w w:val="99"/>
        </w:rPr>
        <w:t> </w:t>
      </w:r>
      <w:r>
        <w:rPr/>
        <w:t>计入营业外收支。</w:t>
      </w:r>
    </w:p>
    <w:p>
      <w:pPr>
        <w:pStyle w:val="BodyText"/>
        <w:spacing w:line="273" w:lineRule="auto" w:before="127"/>
        <w:ind w:right="1135" w:firstLine="420"/>
        <w:jc w:val="both"/>
      </w:pPr>
      <w:r>
        <w:rPr>
          <w:w w:val="95"/>
        </w:rPr>
        <w:t>收到与政策性优惠贷款贴息相关的政府补助冲减相关借款费用；取得贷款银行提供的政策性优惠利率</w:t>
      </w:r>
      <w:r>
        <w:rPr>
          <w:w w:val="99"/>
        </w:rPr>
        <w:t> </w:t>
      </w:r>
      <w:r>
        <w:rPr>
          <w:w w:val="95"/>
        </w:rPr>
        <w:t>贷款的，以实际收到的借款金额作为借款的入账价值，按照借款本金和该政策性优惠利率计算相关借款费   </w:t>
      </w:r>
      <w:r>
        <w:rPr>
          <w:spacing w:val="37"/>
          <w:w w:val="95"/>
        </w:rPr>
        <w:t> </w:t>
      </w:r>
      <w:r>
        <w:rPr>
          <w:spacing w:val="37"/>
          <w:w w:val="95"/>
        </w:rPr>
      </w:r>
      <w:r>
        <w:rPr/>
        <w:t>用。</w:t>
      </w:r>
    </w:p>
    <w:p>
      <w:pPr>
        <w:pStyle w:val="BodyText"/>
        <w:spacing w:line="273" w:lineRule="auto" w:before="128"/>
        <w:ind w:right="1130" w:firstLine="420"/>
        <w:jc w:val="both"/>
      </w:pPr>
      <w:r>
        <w:rPr>
          <w:w w:val="95"/>
        </w:rPr>
        <w:t>已确认的政府补助需要返还时，初始确认时冲减相关资产账面价值的，调整资产账面价值；存在相关</w:t>
      </w:r>
      <w:r>
        <w:rPr>
          <w:spacing w:val="-97"/>
          <w:w w:val="95"/>
        </w:rPr>
        <w:t> </w:t>
      </w:r>
      <w:r>
        <w:rPr>
          <w:spacing w:val="-97"/>
          <w:w w:val="95"/>
        </w:rPr>
      </w:r>
      <w:r>
        <w:rPr>
          <w:w w:val="95"/>
        </w:rPr>
        <w:t>递延收益余额的，冲减相关递延收益账面余额，超出部分计入当期损益；不存在相关递延收益的，直接计</w:t>
      </w:r>
      <w:r>
        <w:rPr>
          <w:spacing w:val="41"/>
          <w:w w:val="95"/>
        </w:rPr>
        <w:t> </w:t>
      </w:r>
      <w:r>
        <w:rPr>
          <w:spacing w:val="41"/>
          <w:w w:val="95"/>
        </w:rPr>
      </w:r>
      <w:r>
        <w:rPr/>
        <w:t>入当期损益。</w:t>
      </w:r>
    </w:p>
    <w:p>
      <w:pPr>
        <w:spacing w:line="612" w:lineRule="exact" w:before="63"/>
        <w:ind w:left="532" w:right="996" w:hanging="420"/>
        <w:jc w:val="left"/>
        <w:rPr>
          <w:rFonts w:ascii="宋体" w:hAnsi="宋体" w:cs="宋体" w:eastAsia="宋体" w:hint="default"/>
          <w:sz w:val="21"/>
          <w:szCs w:val="21"/>
        </w:rPr>
      </w:pPr>
      <w:bookmarkStart w:name="26、递延所得税资产/递延所得税负债" w:id="198"/>
      <w:bookmarkEnd w:id="198"/>
      <w:r>
        <w:rPr/>
      </w:r>
      <w:r>
        <w:rPr>
          <w:rFonts w:ascii="Arial" w:hAnsi="Arial" w:cs="Arial" w:eastAsia="Arial" w:hint="default"/>
          <w:b/>
          <w:bCs/>
          <w:sz w:val="21"/>
          <w:szCs w:val="21"/>
        </w:rPr>
        <w:t>26</w:t>
      </w:r>
      <w:r>
        <w:rPr>
          <w:rFonts w:ascii="宋体" w:hAnsi="宋体" w:cs="宋体" w:eastAsia="宋体" w:hint="default"/>
          <w:b/>
          <w:bCs/>
          <w:sz w:val="21"/>
          <w:szCs w:val="21"/>
        </w:rPr>
        <w:t>、递延所得税资产</w:t>
      </w:r>
      <w:r>
        <w:rPr>
          <w:rFonts w:ascii="Arial" w:hAnsi="Arial" w:cs="Arial" w:eastAsia="Arial"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Arial" w:hAnsi="Arial" w:cs="Arial" w:eastAsia="Arial" w:hint="default"/>
          <w:sz w:val="21"/>
          <w:szCs w:val="21"/>
        </w:rPr>
        <w:t>(</w:t>
      </w:r>
      <w:r>
        <w:rPr>
          <w:rFonts w:ascii="宋体" w:hAnsi="宋体" w:cs="宋体" w:eastAsia="宋体" w:hint="default"/>
          <w:sz w:val="21"/>
          <w:szCs w:val="21"/>
        </w:rPr>
        <w:t>暂时性差异</w:t>
      </w:r>
      <w:r>
        <w:rPr>
          <w:rFonts w:ascii="Arial" w:hAnsi="Arial" w:cs="Arial" w:eastAsia="Arial" w:hint="default"/>
          <w:sz w:val="21"/>
          <w:szCs w:val="21"/>
        </w:rPr>
        <w:t>)</w:t>
      </w:r>
      <w:r>
        <w:rPr>
          <w:rFonts w:ascii="宋体" w:hAnsi="宋体" w:cs="宋体" w:eastAsia="宋体" w:hint="default"/>
          <w:sz w:val="21"/>
          <w:szCs w:val="21"/>
        </w:rPr>
        <w:t>计算</w:t>
      </w:r>
    </w:p>
    <w:p>
      <w:pPr>
        <w:pStyle w:val="BodyText"/>
        <w:spacing w:line="219" w:lineRule="exact"/>
        <w:ind w:right="996"/>
        <w:jc w:val="left"/>
      </w:pPr>
      <w:r>
        <w:rPr/>
        <w:t>确认。于资产负债表日，递延所得税资产和递延所得税负债，按照预期收回该资产或清偿该负债期间的适</w:t>
      </w:r>
    </w:p>
    <w:p>
      <w:pPr>
        <w:pStyle w:val="BodyText"/>
        <w:spacing w:line="240" w:lineRule="auto" w:before="37"/>
        <w:ind w:right="996"/>
        <w:jc w:val="left"/>
      </w:pPr>
      <w:r>
        <w:rPr/>
        <w:t>用税率计量。</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09" w:lineRule="exact"/>
        <w:ind w:right="996"/>
        <w:jc w:val="left"/>
      </w:pPr>
      <w:r>
        <w:rPr/>
        <w:t>税所得额为限，确认由可抵扣暂时性差异产生的递延所得税资产。但是，同时具有下列特征的交易中因资</w:t>
      </w:r>
    </w:p>
    <w:p>
      <w:pPr>
        <w:pStyle w:val="BodyText"/>
        <w:spacing w:line="240" w:lineRule="auto" w:before="37"/>
        <w:ind w:right="996"/>
        <w:jc w:val="left"/>
      </w:pPr>
      <w:r>
        <w:rPr/>
        <w:t>产或负债的初始确认所产生的递延所得税资产不予确认：</w:t>
      </w:r>
    </w:p>
    <w:p>
      <w:pPr>
        <w:pStyle w:val="BodyText"/>
        <w:spacing w:line="240" w:lineRule="auto" w:before="157"/>
        <w:ind w:left="532" w:right="996"/>
        <w:jc w:val="left"/>
      </w:pPr>
      <w:r>
        <w:rPr/>
        <w:t>①该交易不是企业合并；</w:t>
      </w:r>
    </w:p>
    <w:p>
      <w:pPr>
        <w:pStyle w:val="BodyText"/>
        <w:spacing w:line="430" w:lineRule="atLeast" w:before="2"/>
        <w:ind w:left="532" w:right="996"/>
        <w:jc w:val="left"/>
      </w:pPr>
      <w:r>
        <w:rPr/>
        <w:t>②交易发生时既不影响会计利润也不影响应纳税所得额或可抵扣亏损。</w:t>
      </w:r>
      <w:r>
        <w:rPr>
          <w:w w:val="99"/>
        </w:rPr>
        <w:t> </w:t>
      </w:r>
      <w:r>
        <w:rPr>
          <w:w w:val="95"/>
        </w:rPr>
        <w:t>对于与联营企业投资相关的可抵扣暂时性差异，同时满足下列条件的，确认相应的递延所得税资产：</w:t>
      </w:r>
      <w:r>
        <w:rPr/>
      </w:r>
    </w:p>
    <w:p>
      <w:pPr>
        <w:pStyle w:val="BodyText"/>
        <w:spacing w:line="240" w:lineRule="auto" w:before="37"/>
        <w:ind w:right="996"/>
        <w:jc w:val="left"/>
      </w:pPr>
      <w:r>
        <w:rPr/>
        <w:t>暂时性差异在可预见的未来很可能转回，且未来很可能获得用来抵扣可抵扣暂时性差异的应纳税所得额。</w:t>
      </w:r>
    </w:p>
    <w:p>
      <w:pPr>
        <w:spacing w:line="357" w:lineRule="auto" w:before="157"/>
        <w:ind w:left="532" w:right="9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sz w:val="21"/>
          <w:szCs w:val="21"/>
        </w:rPr>
      </w:r>
    </w:p>
    <w:p>
      <w:pPr>
        <w:pStyle w:val="BodyText"/>
        <w:spacing w:line="240" w:lineRule="auto" w:before="54"/>
        <w:ind w:left="532" w:right="996"/>
        <w:jc w:val="left"/>
      </w:pPr>
      <w:r>
        <w:rPr/>
        <w:t>①商誉的初始确认所形成的暂时性差异；</w:t>
      </w:r>
    </w:p>
    <w:p>
      <w:pPr>
        <w:pStyle w:val="BodyText"/>
        <w:spacing w:line="240" w:lineRule="auto" w:before="157"/>
        <w:ind w:left="532" w:right="996"/>
        <w:jc w:val="left"/>
      </w:pPr>
      <w:r>
        <w:rPr/>
        <w:t>②非企业合并形成的交易或事项，且该交易或事项发生时既不影响会计利润，也不影响应纳税所得额</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（或可抵扣亏损）所形成的暂时性差异；</w:t>
      </w:r>
    </w:p>
    <w:p>
      <w:pPr>
        <w:pStyle w:val="BodyText"/>
        <w:spacing w:line="273" w:lineRule="auto" w:before="157"/>
        <w:ind w:right="1135" w:firstLine="420"/>
        <w:jc w:val="both"/>
      </w:pPr>
      <w:r>
        <w:rPr>
          <w:w w:val="95"/>
        </w:rPr>
        <w:t>③对于与子公司、联营企业投资相关的应纳税暂时性差异，该暂时性差异转回的时间能够控制并且该</w:t>
      </w:r>
      <w:r>
        <w:rPr>
          <w:w w:val="99"/>
        </w:rPr>
        <w:t> </w:t>
      </w:r>
      <w:r>
        <w:rPr/>
        <w:t>暂时性差异在可预见的未来很可能不会转回。</w:t>
      </w:r>
    </w:p>
    <w:p>
      <w:pPr>
        <w:pStyle w:val="Heading4"/>
        <w:spacing w:line="240" w:lineRule="auto" w:before="127"/>
        <w:ind w:right="996"/>
        <w:jc w:val="left"/>
        <w:rPr>
          <w:b w:val="0"/>
          <w:bCs w:val="0"/>
        </w:rPr>
      </w:pPr>
      <w:r>
        <w:rPr/>
        <w:t>（</w:t>
      </w:r>
      <w:r>
        <w:rPr>
          <w:rFonts w:ascii="Arial" w:hAnsi="Arial" w:cs="Arial" w:eastAsia="Arial" w:hint="default"/>
        </w:rPr>
        <w:t>3</w:t>
      </w:r>
      <w:r>
        <w:rPr/>
        <w:t>）同时满足下列条件时，将递延所得税资产及递延所得税负债以抵销后的净额列示</w:t>
      </w:r>
      <w:r>
        <w:rPr>
          <w:b w:val="0"/>
          <w:bCs w:val="0"/>
        </w:rPr>
      </w:r>
    </w:p>
    <w:p>
      <w:pPr>
        <w:pStyle w:val="BodyText"/>
        <w:spacing w:line="240" w:lineRule="auto" w:before="142"/>
        <w:ind w:left="532" w:right="996"/>
        <w:jc w:val="left"/>
      </w:pPr>
      <w:r>
        <w:rPr/>
        <w:t>①企业拥有以净额结算当期所得税资产及当期所得税负债的法定权利；</w:t>
      </w:r>
    </w:p>
    <w:p>
      <w:pPr>
        <w:pStyle w:val="BodyText"/>
        <w:spacing w:line="273" w:lineRule="auto" w:before="157"/>
        <w:ind w:right="1132" w:firstLine="420"/>
        <w:jc w:val="both"/>
      </w:pPr>
      <w:r>
        <w:rPr>
          <w:spacing w:val="5"/>
          <w:w w:val="95"/>
        </w:rPr>
        <w:t>②递延所得税资产和递延所得税负债是与同一税收征管部门对同一纳税主体征收的所得税相关或者</w:t>
      </w:r>
      <w:r>
        <w:rPr>
          <w:w w:val="99"/>
        </w:rPr>
        <w:t> </w:t>
      </w:r>
      <w:r>
        <w:rPr>
          <w:w w:val="95"/>
        </w:rPr>
        <w:t>对不同的纳税主体相关，但在未来每一具有重要性的递延所得税资产和递延所得税负债转回的期间内，涉</w:t>
      </w:r>
      <w:r>
        <w:rPr>
          <w:spacing w:val="40"/>
          <w:w w:val="95"/>
        </w:rPr>
        <w:t> </w:t>
      </w:r>
      <w:r>
        <w:rPr>
          <w:spacing w:val="40"/>
          <w:w w:val="95"/>
        </w:rPr>
      </w:r>
      <w:r>
        <w:rPr/>
        <w:t>及的纳税主体体意图以净额结算当期所得税资产及当期所得税负债或是同时取得资产、清偿债务。</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27、租赁" w:id="199"/>
      <w:bookmarkEnd w:id="199"/>
      <w:r>
        <w:rPr>
          <w:b w:val="0"/>
          <w:bCs w:val="0"/>
        </w:rPr>
      </w:r>
      <w:r>
        <w:rPr>
          <w:rFonts w:ascii="Arial" w:hAnsi="Arial" w:cs="Arial" w:eastAsia="Arial" w:hint="default"/>
        </w:rPr>
        <w:t>27</w:t>
      </w:r>
      <w:r>
        <w:rPr/>
        <w:t>、租赁</w:t>
      </w:r>
      <w:r>
        <w:rPr>
          <w:b w:val="0"/>
          <w:bCs w:val="0"/>
        </w:rPr>
      </w:r>
    </w:p>
    <w:p>
      <w:pPr>
        <w:spacing w:line="240" w:lineRule="auto" w:before="11"/>
        <w:rPr>
          <w:rFonts w:ascii="宋体" w:hAnsi="宋体" w:cs="宋体" w:eastAsia="宋体" w:hint="default"/>
          <w:b/>
          <w:bCs/>
          <w:sz w:val="24"/>
          <w:szCs w:val="24"/>
        </w:rPr>
      </w:pPr>
    </w:p>
    <w:p>
      <w:pPr>
        <w:spacing w:line="357" w:lineRule="auto" w:before="0"/>
        <w:ind w:left="532" w:right="1132" w:hanging="420"/>
        <w:jc w:val="left"/>
        <w:rPr>
          <w:rFonts w:ascii="宋体" w:hAnsi="宋体" w:cs="宋体" w:eastAsia="宋体" w:hint="default"/>
          <w:sz w:val="21"/>
          <w:szCs w:val="21"/>
        </w:rPr>
      </w:pPr>
      <w:bookmarkStart w:name="（1）经营租赁的会计处理方法" w:id="200"/>
      <w:bookmarkEnd w:id="200"/>
      <w:r>
        <w:rPr/>
      </w: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如果租赁条款在实质上将与租赁资产所有权有关的全部风险和报酬转移给承租人，该租赁为融资租</w:t>
      </w:r>
    </w:p>
    <w:p>
      <w:pPr>
        <w:pStyle w:val="BodyText"/>
        <w:spacing w:line="209" w:lineRule="exact"/>
        <w:ind w:right="996"/>
        <w:jc w:val="left"/>
      </w:pPr>
      <w:r>
        <w:rPr/>
        <w:t>赁，其他租赁则为经营租赁。</w:t>
      </w:r>
    </w:p>
    <w:p>
      <w:pPr>
        <w:pStyle w:val="BodyText"/>
        <w:spacing w:line="357" w:lineRule="auto" w:before="157"/>
        <w:ind w:left="532" w:right="1019"/>
        <w:jc w:val="left"/>
      </w:pPr>
      <w:r>
        <w:rPr>
          <w:rFonts w:ascii="Arial" w:hAnsi="Arial" w:cs="Arial" w:eastAsia="Arial" w:hint="default"/>
        </w:rPr>
        <w:t>1</w:t>
      </w:r>
      <w:r>
        <w:rPr/>
        <w:t>）经营租入资产</w:t>
      </w:r>
      <w:r>
        <w:rPr>
          <w:w w:val="99"/>
        </w:rPr>
        <w:t> </w:t>
      </w:r>
      <w:r>
        <w:rPr>
          <w:spacing w:val="-3"/>
        </w:rPr>
        <w:t>公司租入资产所支付的租赁费，在不扣除免租期的整个租赁期内，按直线法进行分摊，计入当期费用。</w:t>
      </w:r>
    </w:p>
    <w:p>
      <w:pPr>
        <w:pStyle w:val="BodyText"/>
        <w:spacing w:line="209" w:lineRule="exact"/>
        <w:ind w:right="996"/>
        <w:jc w:val="left"/>
      </w:pPr>
      <w:r>
        <w:rPr/>
        <w:t>公司支付的与租赁交易相关的初始直接费用，计入当期费用。</w:t>
      </w:r>
    </w:p>
    <w:p>
      <w:pPr>
        <w:pStyle w:val="BodyText"/>
        <w:spacing w:line="273" w:lineRule="auto" w:before="157"/>
        <w:ind w:right="1135" w:firstLine="420"/>
        <w:jc w:val="both"/>
      </w:pPr>
      <w:r>
        <w:rPr>
          <w:w w:val="95"/>
        </w:rPr>
        <w:t>资产出租方承担了应由公司承担的与租赁相关的费用时，公司将该部分费用从租金总额中扣除，按扣</w:t>
      </w:r>
      <w:r>
        <w:rPr>
          <w:w w:val="99"/>
        </w:rPr>
        <w:t> </w:t>
      </w:r>
      <w:r>
        <w:rPr/>
        <w:t>除后的租金费用在租赁期内分摊，计入当期费用。</w:t>
      </w:r>
    </w:p>
    <w:p>
      <w:pPr>
        <w:pStyle w:val="BodyText"/>
        <w:spacing w:line="357" w:lineRule="auto" w:before="127"/>
        <w:ind w:left="532" w:right="996"/>
        <w:jc w:val="left"/>
      </w:pPr>
      <w:r>
        <w:rPr>
          <w:rFonts w:ascii="Arial" w:hAnsi="Arial" w:cs="Arial" w:eastAsia="Arial" w:hint="default"/>
        </w:rPr>
        <w:t>2</w:t>
      </w:r>
      <w:r>
        <w:rPr/>
        <w:t>）经营租出资产</w:t>
      </w:r>
      <w:r>
        <w:rPr>
          <w:w w:val="99"/>
        </w:rPr>
        <w:t> </w:t>
      </w:r>
      <w:r>
        <w:rPr>
          <w:w w:val="95"/>
        </w:rPr>
        <w:t>公司出租资产所收取的租赁费，在不扣除免租期的整个租赁期内，按直线法进行分摊，确认为租赁收</w:t>
      </w:r>
      <w:r>
        <w:rPr/>
      </w:r>
    </w:p>
    <w:p>
      <w:pPr>
        <w:pStyle w:val="BodyText"/>
        <w:spacing w:line="209" w:lineRule="exact"/>
        <w:ind w:right="996"/>
        <w:jc w:val="left"/>
      </w:pPr>
      <w:r>
        <w:rPr/>
        <w:t>入。公司支付的与租赁交易相关的初始直接费用，计入当期费用；如金额较大的，则予以资本化，在整个</w:t>
      </w:r>
    </w:p>
    <w:p>
      <w:pPr>
        <w:pStyle w:val="BodyText"/>
        <w:spacing w:line="240" w:lineRule="auto" w:before="37"/>
        <w:ind w:right="996"/>
        <w:jc w:val="left"/>
      </w:pPr>
      <w:r>
        <w:rPr/>
        <w:t>租赁期间内按照与租赁收入确认相同的基础分期计入当期收益。</w:t>
      </w:r>
    </w:p>
    <w:p>
      <w:pPr>
        <w:pStyle w:val="BodyText"/>
        <w:spacing w:line="273" w:lineRule="auto" w:before="157"/>
        <w:ind w:right="1135" w:firstLine="420"/>
        <w:jc w:val="both"/>
      </w:pPr>
      <w:r>
        <w:rPr>
          <w:w w:val="95"/>
        </w:rPr>
        <w:t>公司承担了应由承租方承担的与租赁相关的费用时，公司将该部分费用从租金收入总额中扣除，按扣</w:t>
      </w:r>
      <w:r>
        <w:rPr>
          <w:w w:val="99"/>
        </w:rPr>
        <w:t> </w:t>
      </w:r>
      <w:r>
        <w:rPr/>
        <w:t>除后的租金费用在租赁期内分配。</w:t>
      </w:r>
    </w:p>
    <w:p>
      <w:pPr>
        <w:pStyle w:val="Heading4"/>
        <w:spacing w:line="240" w:lineRule="auto" w:before="127"/>
        <w:ind w:right="996"/>
        <w:jc w:val="left"/>
        <w:rPr>
          <w:b w:val="0"/>
          <w:bCs w:val="0"/>
        </w:rPr>
      </w:pPr>
      <w:bookmarkStart w:name="（2）融资租赁的会计处理方法" w:id="201"/>
      <w:bookmarkEnd w:id="201"/>
      <w:r>
        <w:rPr>
          <w:b w:val="0"/>
          <w:bCs w:val="0"/>
        </w:rPr>
      </w:r>
      <w:r>
        <w:rPr/>
        <w:t>（</w:t>
      </w:r>
      <w:r>
        <w:rPr>
          <w:rFonts w:ascii="Arial" w:hAnsi="Arial" w:cs="Arial" w:eastAsia="Arial" w:hint="default"/>
        </w:rPr>
        <w:t>2</w:t>
      </w:r>
      <w:r>
        <w:rPr/>
        <w:t>）融资租赁的会计处理方法</w:t>
      </w:r>
      <w:r>
        <w:rPr>
          <w:b w:val="0"/>
          <w:bCs w:val="0"/>
        </w:rPr>
      </w:r>
    </w:p>
    <w:p>
      <w:pPr>
        <w:pStyle w:val="BodyText"/>
        <w:spacing w:line="266" w:lineRule="auto" w:before="142"/>
        <w:ind w:right="1112" w:firstLine="420"/>
        <w:jc w:val="both"/>
      </w:pPr>
      <w:r>
        <w:rPr>
          <w:rFonts w:ascii="Arial" w:hAnsi="Arial" w:cs="Arial" w:eastAsia="Arial" w:hint="default"/>
          <w:spacing w:val="2"/>
          <w:w w:val="95"/>
        </w:rPr>
        <w:t>1</w:t>
      </w:r>
      <w:r>
        <w:rPr>
          <w:spacing w:val="2"/>
          <w:w w:val="95"/>
        </w:rPr>
        <w:t>）融资租入资产：公司在承租开始日，将租赁资产公允价值与最低租赁付款额现值两者中较低者作</w:t>
      </w:r>
      <w:r>
        <w:rPr>
          <w:spacing w:val="-92"/>
          <w:w w:val="95"/>
        </w:rPr>
        <w:t> </w:t>
      </w:r>
      <w:r>
        <w:rPr>
          <w:spacing w:val="-92"/>
          <w:w w:val="95"/>
        </w:rPr>
      </w:r>
      <w:r>
        <w:rPr>
          <w:w w:val="95"/>
        </w:rPr>
        <w:t>为租入资产的入账价值，将最低租赁付款额作为长期应付款的入账价值，其差额作为未确认的融资费用。</w:t>
      </w:r>
      <w:r>
        <w:rPr>
          <w:spacing w:val="61"/>
          <w:w w:val="95"/>
        </w:rPr>
        <w:t> </w:t>
      </w:r>
      <w:r>
        <w:rPr>
          <w:spacing w:val="61"/>
          <w:w w:val="95"/>
        </w:rPr>
      </w:r>
      <w:r>
        <w:rPr/>
        <w:t>融资租入资产的认定依据、计价和折旧方法详见本附注五／</w:t>
      </w:r>
      <w:r>
        <w:rPr>
          <w:rFonts w:ascii="Arial" w:hAnsi="Arial" w:cs="Arial" w:eastAsia="Arial" w:hint="default"/>
        </w:rPr>
        <w:t>15</w:t>
      </w:r>
      <w:r>
        <w:rPr/>
        <w:t>、固定资产。</w:t>
      </w:r>
    </w:p>
    <w:p>
      <w:pPr>
        <w:pStyle w:val="BodyText"/>
        <w:spacing w:line="240" w:lineRule="auto" w:before="116"/>
        <w:ind w:left="532" w:right="996"/>
        <w:jc w:val="left"/>
      </w:pPr>
      <w:r>
        <w:rPr/>
        <w:t>公司采用实际利率法对未确认的融资费用，在资产租赁期间内摊销，计入财务费用。</w:t>
      </w:r>
    </w:p>
    <w:p>
      <w:pPr>
        <w:pStyle w:val="BodyText"/>
        <w:spacing w:line="266" w:lineRule="auto" w:before="157"/>
        <w:ind w:right="1133" w:firstLine="420"/>
        <w:jc w:val="both"/>
      </w:pPr>
      <w:r>
        <w:rPr>
          <w:rFonts w:ascii="Arial" w:hAnsi="Arial" w:cs="Arial" w:eastAsia="Arial" w:hint="default"/>
          <w:spacing w:val="2"/>
          <w:w w:val="95"/>
        </w:rPr>
        <w:t>2</w:t>
      </w:r>
      <w:r>
        <w:rPr>
          <w:spacing w:val="2"/>
          <w:w w:val="95"/>
        </w:rPr>
        <w:t>）融资租出资产：公司在租赁开始日，将应收融资租赁款，未担保余值之和与其现值的差额确认为</w:t>
      </w:r>
      <w:r>
        <w:rPr>
          <w:spacing w:val="-92"/>
          <w:w w:val="95"/>
        </w:rPr>
        <w:t> </w:t>
      </w:r>
      <w:r>
        <w:rPr>
          <w:spacing w:val="-92"/>
          <w:w w:val="95"/>
        </w:rPr>
      </w: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line="240" w:lineRule="auto" w:before="0"/>
        <w:rPr>
          <w:rFonts w:ascii="宋体" w:hAnsi="宋体" w:cs="宋体" w:eastAsia="宋体" w:hint="default"/>
          <w:sz w:val="24"/>
          <w:szCs w:val="24"/>
        </w:rPr>
      </w:pPr>
    </w:p>
    <w:p>
      <w:pPr>
        <w:pStyle w:val="Heading4"/>
        <w:spacing w:line="240" w:lineRule="auto" w:before="0"/>
        <w:ind w:right="996"/>
        <w:jc w:val="left"/>
        <w:rPr>
          <w:b w:val="0"/>
          <w:bCs w:val="0"/>
        </w:rPr>
      </w:pPr>
      <w:bookmarkStart w:name="28、其他重要的会计政策和会计估计" w:id="202"/>
      <w:bookmarkEnd w:id="202"/>
      <w:r>
        <w:rPr>
          <w:b w:val="0"/>
          <w:bCs w:val="0"/>
        </w:rPr>
      </w:r>
      <w:r>
        <w:rPr>
          <w:rFonts w:ascii="Arial" w:hAnsi="Arial" w:cs="Arial" w:eastAsia="Arial" w:hint="default"/>
        </w:rPr>
        <w:t>28</w:t>
      </w:r>
      <w:r>
        <w:rPr/>
        <w:t>、其他重要的会计政策和会计估计</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r>
        <w:rPr/>
        <w:t>（</w:t>
      </w:r>
      <w:r>
        <w:rPr>
          <w:rFonts w:ascii="Arial" w:hAnsi="Arial" w:cs="Arial" w:eastAsia="Arial" w:hint="default"/>
        </w:rPr>
        <w:t>1</w:t>
      </w:r>
      <w:r>
        <w:rPr/>
        <w:t>）终止经营</w:t>
      </w:r>
      <w:r>
        <w:rPr>
          <w:b w:val="0"/>
          <w:bCs w:val="0"/>
        </w:rPr>
      </w:r>
    </w:p>
    <w:p>
      <w:pPr>
        <w:pStyle w:val="BodyText"/>
        <w:spacing w:line="240" w:lineRule="auto" w:before="142"/>
        <w:ind w:left="532" w:right="996"/>
        <w:jc w:val="left"/>
      </w:pPr>
      <w:r>
        <w:rPr/>
        <w:t>本公司将满足下列条件之一的，且该组成部分已经处置或划归为持有待售类别的、能够单独区分的组</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376" w:lineRule="auto" w:before="34"/>
        <w:ind w:left="532" w:right="2114" w:hanging="420"/>
        <w:jc w:val="left"/>
      </w:pPr>
      <w:r>
        <w:rPr/>
        <w:t>成部分确认为终止经营组成部分：</w:t>
      </w:r>
      <w:r>
        <w:rPr>
          <w:w w:val="99"/>
        </w:rPr>
        <w:t> </w:t>
      </w:r>
      <w:r>
        <w:rPr>
          <w:w w:val="95"/>
        </w:rPr>
        <w:t>该组成部分代表一项独立的主要业务或一个单独的主要经营地区。</w:t>
      </w:r>
      <w:r>
        <w:rPr/>
      </w:r>
    </w:p>
    <w:p>
      <w:pPr>
        <w:pStyle w:val="BodyText"/>
        <w:spacing w:line="273" w:lineRule="auto" w:before="37"/>
        <w:ind w:right="1132" w:firstLine="420"/>
        <w:jc w:val="both"/>
      </w:pPr>
      <w:r>
        <w:rPr>
          <w:spacing w:val="5"/>
          <w:w w:val="95"/>
        </w:rPr>
        <w:t>②该组成部分是拟对一项独立的主要业务或一个单独的主要经营地区进行处置的一项相关联计划的</w:t>
      </w:r>
      <w:r>
        <w:rPr>
          <w:w w:val="99"/>
        </w:rPr>
        <w:t> </w:t>
      </w:r>
      <w:r>
        <w:rPr/>
        <w:t>一部分。</w:t>
      </w:r>
    </w:p>
    <w:p>
      <w:pPr>
        <w:pStyle w:val="BodyText"/>
        <w:spacing w:line="376" w:lineRule="auto" w:before="127"/>
        <w:ind w:left="532" w:right="996"/>
        <w:jc w:val="left"/>
      </w:pPr>
      <w:r>
        <w:rPr/>
        <w:t>③该组成部分是专为转售而取得的子公司。</w:t>
      </w:r>
      <w:r>
        <w:rPr>
          <w:w w:val="99"/>
        </w:rPr>
        <w:t> </w:t>
      </w:r>
      <w:r>
        <w:rPr>
          <w:w w:val="95"/>
        </w:rPr>
        <w:t>终止经营的减值损失和转回金额等经营损益及处置损益作为终止经营损益在利润表中列示。</w:t>
      </w:r>
      <w:r>
        <w:rPr/>
      </w:r>
    </w:p>
    <w:p>
      <w:pPr>
        <w:pStyle w:val="BodyText"/>
        <w:spacing w:line="357" w:lineRule="auto" w:before="37"/>
        <w:ind w:left="532" w:right="996" w:hanging="420"/>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）回购本公司股份</w:t>
      </w:r>
      <w:r>
        <w:rPr>
          <w:rFonts w:ascii="宋体" w:hAnsi="宋体" w:cs="宋体" w:eastAsia="宋体" w:hint="default"/>
          <w:b/>
          <w:bCs/>
          <w:w w:val="99"/>
        </w:rPr>
        <w:t> </w:t>
      </w:r>
      <w:r>
        <w:rPr>
          <w:w w:val="95"/>
        </w:rPr>
        <w:t>本公司回购的股份在注销或者转让之前，作为库存股管理，回购股份的全部支出转作库存股成本。股</w:t>
      </w:r>
      <w:r>
        <w:rPr/>
      </w:r>
    </w:p>
    <w:p>
      <w:pPr>
        <w:pStyle w:val="BodyText"/>
        <w:spacing w:line="209" w:lineRule="exact"/>
        <w:ind w:left="532" w:right="996" w:hanging="420"/>
        <w:jc w:val="left"/>
      </w:pPr>
      <w:r>
        <w:rPr/>
        <w:t>份回购中支付的对价和交易费用减少所有者权益，回购、转让或注销本公司股份时，不确认利得或损失。</w:t>
      </w:r>
    </w:p>
    <w:p>
      <w:pPr>
        <w:pStyle w:val="BodyText"/>
        <w:spacing w:line="273" w:lineRule="auto" w:before="157"/>
        <w:ind w:right="1130" w:firstLine="420"/>
        <w:jc w:val="both"/>
      </w:pPr>
      <w:r>
        <w:rPr>
          <w:w w:val="95"/>
        </w:rPr>
        <w:t>转让库存股，按实际收到的金额与库存股账面金额的差额，计入资本公积，资本公积不足冲减的，冲</w:t>
      </w:r>
      <w:r>
        <w:rPr>
          <w:spacing w:val="-97"/>
          <w:w w:val="95"/>
        </w:rPr>
        <w:t> </w:t>
      </w:r>
      <w:r>
        <w:rPr>
          <w:spacing w:val="-97"/>
          <w:w w:val="95"/>
        </w:rPr>
      </w:r>
      <w:r>
        <w:rPr>
          <w:w w:val="95"/>
        </w:rPr>
        <w:t>减盈余公积和未分配利润。注销库存股，按股票面值和注销股数减少股本，按注销库存股的账面余额与面</w:t>
      </w:r>
      <w:r>
        <w:rPr>
          <w:spacing w:val="40"/>
          <w:w w:val="95"/>
        </w:rPr>
        <w:t> </w:t>
      </w:r>
      <w:r>
        <w:rPr>
          <w:spacing w:val="40"/>
          <w:w w:val="95"/>
        </w:rPr>
      </w:r>
      <w:r>
        <w:rPr/>
        <w:t>值的差额，冲减资本公积，资本公积不足冲减的，冲减盈余公积和未分配利润。</w:t>
      </w:r>
    </w:p>
    <w:p>
      <w:pPr>
        <w:spacing w:line="240" w:lineRule="auto" w:before="7"/>
        <w:rPr>
          <w:rFonts w:ascii="宋体" w:hAnsi="宋体" w:cs="宋体" w:eastAsia="宋体" w:hint="default"/>
          <w:sz w:val="23"/>
          <w:szCs w:val="23"/>
        </w:rPr>
      </w:pPr>
    </w:p>
    <w:p>
      <w:pPr>
        <w:pStyle w:val="Heading4"/>
        <w:spacing w:line="240" w:lineRule="auto" w:before="0"/>
        <w:ind w:right="996"/>
        <w:jc w:val="left"/>
        <w:rPr>
          <w:b w:val="0"/>
          <w:bCs w:val="0"/>
        </w:rPr>
      </w:pPr>
      <w:bookmarkStart w:name="29、重要会计政策和会计估计变更" w:id="203"/>
      <w:bookmarkEnd w:id="203"/>
      <w:r>
        <w:rPr>
          <w:b w:val="0"/>
          <w:bCs w:val="0"/>
        </w:rPr>
      </w:r>
      <w:r>
        <w:rPr>
          <w:rFonts w:ascii="Arial" w:hAnsi="Arial" w:cs="Arial" w:eastAsia="Arial" w:hint="default"/>
        </w:rPr>
        <w:t>29</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重要会计政策变更" w:id="204"/>
      <w:bookmarkEnd w:id="204"/>
      <w:r>
        <w:rPr>
          <w:b w:val="0"/>
          <w:bCs w:val="0"/>
        </w:rPr>
      </w:r>
      <w:r>
        <w:rPr/>
        <w:t>（</w:t>
      </w:r>
      <w:r>
        <w:rPr>
          <w:rFonts w:ascii="Arial" w:hAnsi="Arial" w:cs="Arial" w:eastAsia="Arial" w:hint="default"/>
        </w:rPr>
        <w:t>1</w:t>
      </w:r>
      <w:r>
        <w:rPr/>
        <w:t>）重要会计政策变更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6"/>
        <w:jc w:val="left"/>
      </w:pPr>
      <w:r>
        <w:rPr/>
        <w:t>√ 适用 □</w:t>
      </w:r>
      <w:r>
        <w:rPr>
          <w:spacing w:val="-4"/>
        </w:rPr>
        <w:t> </w:t>
      </w:r>
      <w:r>
        <w:rPr/>
        <w:t>不适用</w:t>
      </w:r>
    </w:p>
    <w:p>
      <w:pPr>
        <w:pStyle w:val="Heading4"/>
        <w:spacing w:line="240" w:lineRule="auto" w:before="157"/>
        <w:ind w:right="996"/>
        <w:jc w:val="left"/>
        <w:rPr>
          <w:b w:val="0"/>
          <w:bCs w:val="0"/>
        </w:rPr>
      </w:pPr>
      <w:r>
        <w:rPr>
          <w:rFonts w:ascii="Arial" w:hAnsi="Arial" w:cs="Arial" w:eastAsia="Arial" w:hint="default"/>
        </w:rPr>
        <w:t>1.</w:t>
      </w:r>
      <w:r>
        <w:rPr>
          <w:rFonts w:ascii="Arial" w:hAnsi="Arial" w:cs="Arial" w:eastAsia="Arial" w:hint="default"/>
          <w:spacing w:val="43"/>
        </w:rPr>
        <w:t> </w:t>
      </w:r>
      <w:r>
        <w:rPr/>
        <w:t>会计政策变更说明：</w:t>
      </w:r>
      <w:r>
        <w:rPr>
          <w:b w:val="0"/>
          <w:bCs w:val="0"/>
        </w:rPr>
      </w:r>
    </w:p>
    <w:p>
      <w:pPr>
        <w:pStyle w:val="BodyText"/>
        <w:spacing w:line="259" w:lineRule="auto" w:before="142"/>
        <w:ind w:right="1124" w:firstLine="420"/>
        <w:jc w:val="both"/>
      </w:pPr>
      <w:r>
        <w:rPr>
          <w:spacing w:val="-4"/>
          <w:w w:val="99"/>
        </w:rPr>
        <w:t>本公司自</w:t>
      </w:r>
      <w:r>
        <w:rPr>
          <w:rFonts w:ascii="Arial" w:hAnsi="Arial" w:cs="Arial" w:eastAsia="Arial" w:hint="default"/>
          <w:spacing w:val="-4"/>
          <w:w w:val="99"/>
        </w:rPr>
        <w:t>2019</w:t>
      </w:r>
      <w:r>
        <w:rPr>
          <w:spacing w:val="-4"/>
          <w:w w:val="99"/>
        </w:rPr>
        <w:t>年</w:t>
      </w:r>
      <w:r>
        <w:rPr>
          <w:rFonts w:ascii="Arial" w:hAnsi="Arial" w:cs="Arial" w:eastAsia="Arial" w:hint="default"/>
          <w:spacing w:val="-4"/>
          <w:w w:val="99"/>
        </w:rPr>
        <w:t>1</w:t>
      </w:r>
      <w:r>
        <w:rPr>
          <w:spacing w:val="-4"/>
          <w:w w:val="99"/>
        </w:rPr>
        <w:t>月</w:t>
      </w:r>
      <w:r>
        <w:rPr>
          <w:rFonts w:ascii="Arial" w:hAnsi="Arial" w:cs="Arial" w:eastAsia="Arial" w:hint="default"/>
          <w:spacing w:val="-4"/>
          <w:w w:val="99"/>
        </w:rPr>
        <w:t>1</w:t>
      </w:r>
      <w:r>
        <w:rPr>
          <w:spacing w:val="-4"/>
          <w:w w:val="99"/>
        </w:rPr>
        <w:t>日起执行财政部</w:t>
      </w:r>
      <w:r>
        <w:rPr>
          <w:rFonts w:ascii="Arial" w:hAnsi="Arial" w:cs="Arial" w:eastAsia="Arial" w:hint="default"/>
          <w:spacing w:val="-4"/>
          <w:w w:val="99"/>
        </w:rPr>
        <w:t>2017</w:t>
      </w:r>
      <w:r>
        <w:rPr>
          <w:spacing w:val="-4"/>
          <w:w w:val="99"/>
        </w:rPr>
        <w:t>年修订的《企业会计准则第</w:t>
      </w:r>
      <w:r>
        <w:rPr>
          <w:rFonts w:ascii="Arial" w:hAnsi="Arial" w:cs="Arial" w:eastAsia="Arial" w:hint="default"/>
          <w:spacing w:val="-4"/>
          <w:w w:val="99"/>
        </w:rPr>
        <w:t>22</w:t>
      </w:r>
      <w:r>
        <w:rPr>
          <w:spacing w:val="-4"/>
          <w:w w:val="99"/>
        </w:rPr>
        <w:t>号</w:t>
      </w:r>
      <w:r>
        <w:rPr>
          <w:rFonts w:ascii="Arial" w:hAnsi="Arial" w:cs="Arial" w:eastAsia="Arial" w:hint="default"/>
          <w:spacing w:val="-4"/>
          <w:w w:val="99"/>
        </w:rPr>
        <w:t>-</w:t>
      </w:r>
      <w:r>
        <w:rPr>
          <w:spacing w:val="-4"/>
          <w:w w:val="99"/>
        </w:rPr>
        <w:t>金融工具确认和计量》《企</w:t>
      </w:r>
      <w:r>
        <w:rPr>
          <w:w w:val="99"/>
        </w:rPr>
        <w:t> </w:t>
      </w:r>
      <w:r>
        <w:rPr>
          <w:spacing w:val="-2"/>
        </w:rPr>
        <w:t>业会计准则第</w:t>
      </w:r>
      <w:r>
        <w:rPr>
          <w:rFonts w:ascii="Arial" w:hAnsi="Arial" w:cs="Arial" w:eastAsia="Arial" w:hint="default"/>
          <w:spacing w:val="-2"/>
        </w:rPr>
        <w:t>23</w:t>
      </w:r>
      <w:r>
        <w:rPr>
          <w:spacing w:val="-2"/>
        </w:rPr>
        <w:t>号</w:t>
      </w:r>
      <w:r>
        <w:rPr>
          <w:rFonts w:ascii="Arial" w:hAnsi="Arial" w:cs="Arial" w:eastAsia="Arial" w:hint="default"/>
          <w:spacing w:val="-2"/>
        </w:rPr>
        <w:t>-</w:t>
      </w:r>
      <w:r>
        <w:rPr>
          <w:spacing w:val="-2"/>
        </w:rPr>
        <w:t>金融资产转移》和《企业会计准则第</w:t>
      </w:r>
      <w:r>
        <w:rPr>
          <w:rFonts w:ascii="Arial" w:hAnsi="Arial" w:cs="Arial" w:eastAsia="Arial" w:hint="default"/>
          <w:spacing w:val="-2"/>
        </w:rPr>
        <w:t>24</w:t>
      </w:r>
      <w:r>
        <w:rPr>
          <w:spacing w:val="-2"/>
        </w:rPr>
        <w:t>号</w:t>
      </w:r>
      <w:r>
        <w:rPr>
          <w:rFonts w:ascii="Arial" w:hAnsi="Arial" w:cs="Arial" w:eastAsia="Arial" w:hint="default"/>
          <w:spacing w:val="-2"/>
        </w:rPr>
        <w:t>-</w:t>
      </w:r>
      <w:r>
        <w:rPr>
          <w:spacing w:val="-2"/>
        </w:rPr>
        <w:t>套期会计》《企业会计准则第</w:t>
      </w:r>
      <w:r>
        <w:rPr>
          <w:rFonts w:ascii="Arial" w:hAnsi="Arial" w:cs="Arial" w:eastAsia="Arial" w:hint="default"/>
          <w:spacing w:val="-2"/>
        </w:rPr>
        <w:t>37</w:t>
      </w:r>
      <w:r>
        <w:rPr>
          <w:spacing w:val="-2"/>
        </w:rPr>
        <w:t>号</w:t>
      </w:r>
      <w:r>
        <w:rPr>
          <w:rFonts w:ascii="Arial" w:hAnsi="Arial" w:cs="Arial" w:eastAsia="Arial" w:hint="default"/>
          <w:spacing w:val="-2"/>
        </w:rPr>
        <w:t>-</w:t>
      </w:r>
      <w:r>
        <w:rPr>
          <w:spacing w:val="-2"/>
        </w:rPr>
        <w:t>金融工具</w:t>
      </w:r>
      <w:r>
        <w:rPr>
          <w:spacing w:val="-103"/>
        </w:rPr>
        <w:t> </w:t>
      </w:r>
      <w:r>
        <w:rPr>
          <w:spacing w:val="-103"/>
        </w:rPr>
      </w:r>
      <w:r>
        <w:rPr/>
        <w:t>列报》（以上四项统称</w:t>
      </w:r>
      <w:r>
        <w:rPr>
          <w:rFonts w:ascii="Arial" w:hAnsi="Arial" w:cs="Arial" w:eastAsia="Arial" w:hint="default"/>
        </w:rPr>
        <w:t>&lt;</w:t>
      </w:r>
      <w:r>
        <w:rPr/>
        <w:t>新金融工具准则</w:t>
      </w:r>
      <w:r>
        <w:rPr>
          <w:rFonts w:ascii="Arial" w:hAnsi="Arial" w:cs="Arial" w:eastAsia="Arial" w:hint="default"/>
        </w:rPr>
        <w:t>&gt;</w:t>
      </w:r>
      <w:r>
        <w:rPr/>
        <w:t>），变更后的会计政策详见附注五。</w:t>
      </w:r>
    </w:p>
    <w:p>
      <w:pPr>
        <w:spacing w:line="432" w:lineRule="exact" w:before="23"/>
        <w:ind w:left="532" w:right="996"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9"/>
          <w:sz w:val="21"/>
          <w:szCs w:val="21"/>
        </w:rPr>
        <w:t> </w:t>
      </w:r>
      <w:r>
        <w:rPr>
          <w:rFonts w:ascii="宋体" w:hAnsi="宋体" w:cs="宋体" w:eastAsia="宋体" w:hint="default"/>
          <w:b/>
          <w:bCs/>
          <w:sz w:val="21"/>
          <w:szCs w:val="21"/>
        </w:rPr>
        <w:t>执行新金融工具准则对本公司的影响</w:t>
      </w:r>
      <w:r>
        <w:rPr>
          <w:rFonts w:ascii="宋体" w:hAnsi="宋体" w:cs="宋体" w:eastAsia="宋体" w:hint="default"/>
          <w:b/>
          <w:bCs/>
          <w:w w:val="99"/>
          <w:sz w:val="21"/>
          <w:szCs w:val="21"/>
        </w:rPr>
        <w:t> </w:t>
      </w:r>
      <w:r>
        <w:rPr>
          <w:rFonts w:ascii="宋体" w:hAnsi="宋体" w:cs="宋体" w:eastAsia="宋体" w:hint="default"/>
          <w:spacing w:val="-2"/>
          <w:w w:val="99"/>
          <w:sz w:val="21"/>
          <w:szCs w:val="21"/>
        </w:rPr>
        <w:t>于</w:t>
      </w:r>
      <w:r>
        <w:rPr>
          <w:rFonts w:ascii="Arial" w:hAnsi="Arial" w:cs="Arial" w:eastAsia="Arial" w:hint="default"/>
          <w:spacing w:val="-2"/>
          <w:w w:val="99"/>
          <w:sz w:val="21"/>
          <w:szCs w:val="21"/>
        </w:rPr>
        <w:t>2019</w:t>
      </w:r>
      <w:r>
        <w:rPr>
          <w:rFonts w:ascii="宋体" w:hAnsi="宋体" w:cs="宋体" w:eastAsia="宋体" w:hint="default"/>
          <w:spacing w:val="-2"/>
          <w:w w:val="99"/>
          <w:sz w:val="21"/>
          <w:szCs w:val="21"/>
        </w:rPr>
        <w:t>年</w:t>
      </w:r>
      <w:r>
        <w:rPr>
          <w:rFonts w:ascii="Arial" w:hAnsi="Arial" w:cs="Arial" w:eastAsia="Arial" w:hint="default"/>
          <w:spacing w:val="-2"/>
          <w:w w:val="99"/>
          <w:sz w:val="21"/>
          <w:szCs w:val="21"/>
        </w:rPr>
        <w:t>1</w:t>
      </w:r>
      <w:r>
        <w:rPr>
          <w:rFonts w:ascii="宋体" w:hAnsi="宋体" w:cs="宋体" w:eastAsia="宋体" w:hint="default"/>
          <w:spacing w:val="-2"/>
          <w:w w:val="99"/>
          <w:sz w:val="21"/>
          <w:szCs w:val="21"/>
        </w:rPr>
        <w:t>月</w:t>
      </w:r>
      <w:r>
        <w:rPr>
          <w:rFonts w:ascii="Arial" w:hAnsi="Arial" w:cs="Arial" w:eastAsia="Arial" w:hint="default"/>
          <w:spacing w:val="-2"/>
          <w:w w:val="99"/>
          <w:sz w:val="21"/>
          <w:szCs w:val="21"/>
        </w:rPr>
        <w:t>1</w:t>
      </w:r>
      <w:r>
        <w:rPr>
          <w:rFonts w:ascii="宋体" w:hAnsi="宋体" w:cs="宋体" w:eastAsia="宋体" w:hint="default"/>
          <w:spacing w:val="-2"/>
          <w:w w:val="99"/>
          <w:sz w:val="21"/>
          <w:szCs w:val="21"/>
        </w:rPr>
        <w:t>日之前的金融工具确认和计量与新金融工具准则要求不一致的，本公司按照新金融工具</w:t>
      </w:r>
      <w:r>
        <w:rPr>
          <w:rFonts w:ascii="宋体" w:hAnsi="宋体" w:cs="宋体" w:eastAsia="宋体" w:hint="default"/>
          <w:spacing w:val="-2"/>
          <w:sz w:val="21"/>
          <w:szCs w:val="21"/>
        </w:rPr>
      </w:r>
    </w:p>
    <w:p>
      <w:pPr>
        <w:pStyle w:val="BodyText"/>
        <w:spacing w:line="255" w:lineRule="exact"/>
        <w:ind w:right="996"/>
        <w:jc w:val="left"/>
      </w:pPr>
      <w:r>
        <w:rPr/>
        <w:t>准则的要求进行衔接调整。涉及前期比较财务报表数据与新金融工具准则要求不一致的，本公司未调整可</w:t>
      </w:r>
    </w:p>
    <w:p>
      <w:pPr>
        <w:pStyle w:val="BodyText"/>
        <w:spacing w:line="259" w:lineRule="auto" w:before="37"/>
        <w:ind w:right="996"/>
        <w:jc w:val="left"/>
      </w:pPr>
      <w:r>
        <w:rPr>
          <w:spacing w:val="3"/>
          <w:w w:val="95"/>
        </w:rPr>
        <w:t>比期间信息。金融工具原账面价值和新金融工具准则施行日的新账面价值之间的差额，计入</w:t>
      </w:r>
      <w:r>
        <w:rPr>
          <w:rFonts w:ascii="Arial" w:hAnsi="Arial" w:cs="Arial" w:eastAsia="Arial" w:hint="default"/>
          <w:spacing w:val="3"/>
          <w:w w:val="95"/>
        </w:rPr>
        <w:t>2019</w:t>
      </w:r>
      <w:r>
        <w:rPr>
          <w:spacing w:val="3"/>
          <w:w w:val="95"/>
        </w:rPr>
        <w:t>年</w:t>
      </w:r>
      <w:r>
        <w:rPr>
          <w:rFonts w:ascii="Arial" w:hAnsi="Arial" w:cs="Arial" w:eastAsia="Arial" w:hint="default"/>
          <w:spacing w:val="3"/>
          <w:w w:val="95"/>
        </w:rPr>
        <w:t>1</w:t>
      </w:r>
      <w:r>
        <w:rPr>
          <w:spacing w:val="3"/>
          <w:w w:val="95"/>
        </w:rPr>
        <w:t>月</w:t>
      </w:r>
      <w:r>
        <w:rPr>
          <w:rFonts w:ascii="Arial" w:hAnsi="Arial" w:cs="Arial" w:eastAsia="Arial" w:hint="default"/>
          <w:spacing w:val="3"/>
          <w:w w:val="95"/>
        </w:rPr>
        <w:t>1</w:t>
      </w:r>
      <w:r>
        <w:rPr>
          <w:rFonts w:ascii="Arial" w:hAnsi="Arial" w:cs="Arial" w:eastAsia="Arial" w:hint="default"/>
          <w:spacing w:val="25"/>
          <w:w w:val="95"/>
        </w:rPr>
        <w:t> </w:t>
      </w:r>
      <w:r>
        <w:rPr/>
        <w:t>日留存收益或其他综合收益。</w:t>
      </w:r>
    </w:p>
    <w:p>
      <w:pPr>
        <w:pStyle w:val="BodyText"/>
        <w:spacing w:line="240" w:lineRule="auto" w:before="140"/>
        <w:ind w:left="532" w:right="996"/>
        <w:jc w:val="left"/>
      </w:pPr>
      <w:r>
        <w:rPr/>
        <w:t>执行新金融工具准则对本期期初资产负债表相关项目的影响列示如下：</w:t>
      </w:r>
    </w:p>
    <w:p>
      <w:pPr>
        <w:spacing w:line="240" w:lineRule="auto" w:before="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843"/>
        <w:gridCol w:w="1559"/>
        <w:gridCol w:w="1449"/>
        <w:gridCol w:w="1617"/>
        <w:gridCol w:w="1615"/>
        <w:gridCol w:w="1611"/>
      </w:tblGrid>
      <w:tr>
        <w:trPr>
          <w:trHeight w:val="427" w:hRule="exact"/>
        </w:trPr>
        <w:tc>
          <w:tcPr>
            <w:tcW w:w="184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Arial" w:hAnsi="Arial" w:cs="Arial" w:eastAsia="Arial" w:hint="default"/>
                <w:sz w:val="18"/>
                <w:szCs w:val="18"/>
              </w:rPr>
              <w:t>2018</w:t>
            </w:r>
            <w:r>
              <w:rPr>
                <w:rFonts w:ascii="宋体" w:hAnsi="宋体" w:cs="宋体" w:eastAsia="宋体" w:hint="default"/>
                <w:sz w:val="18"/>
                <w:szCs w:val="18"/>
              </w:rPr>
              <w:t>年</w:t>
            </w: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468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61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6" w:right="0"/>
              <w:jc w:val="left"/>
              <w:rPr>
                <w:rFonts w:ascii="宋体" w:hAnsi="宋体" w:cs="宋体" w:eastAsia="宋体" w:hint="default"/>
                <w:sz w:val="18"/>
                <w:szCs w:val="18"/>
              </w:rPr>
            </w:pPr>
            <w:r>
              <w:rPr>
                <w:rFonts w:ascii="Arial" w:hAnsi="Arial" w:cs="Arial" w:eastAsia="Arial" w:hint="default"/>
                <w:sz w:val="18"/>
                <w:szCs w:val="18"/>
              </w:rPr>
              <w:t>2019</w:t>
            </w:r>
            <w:r>
              <w:rPr>
                <w:rFonts w:ascii="宋体" w:hAnsi="宋体" w:cs="宋体" w:eastAsia="宋体" w:hint="default"/>
                <w:sz w:val="18"/>
                <w:szCs w:val="18"/>
              </w:rPr>
              <w:t>年</w:t>
            </w:r>
            <w:r>
              <w:rPr>
                <w:rFonts w:ascii="Arial" w:hAnsi="Arial" w:cs="Arial" w:eastAsia="Arial" w:hint="default"/>
                <w:sz w:val="18"/>
                <w:szCs w:val="18"/>
              </w:rPr>
              <w:t>1</w:t>
            </w:r>
            <w:r>
              <w:rPr>
                <w:rFonts w:ascii="宋体" w:hAnsi="宋体" w:cs="宋体" w:eastAsia="宋体" w:hint="default"/>
                <w:sz w:val="18"/>
                <w:szCs w:val="18"/>
              </w:rPr>
              <w:t>月</w:t>
            </w:r>
            <w:r>
              <w:rPr>
                <w:rFonts w:ascii="Arial" w:hAnsi="Arial" w:cs="Arial" w:eastAsia="Arial" w:hint="default"/>
                <w:sz w:val="18"/>
                <w:szCs w:val="18"/>
              </w:rPr>
              <w:t>1</w:t>
            </w:r>
            <w:r>
              <w:rPr>
                <w:rFonts w:ascii="宋体" w:hAnsi="宋体" w:cs="宋体" w:eastAsia="宋体" w:hint="default"/>
                <w:sz w:val="18"/>
                <w:szCs w:val="18"/>
              </w:rPr>
              <w:t>日</w:t>
            </w:r>
          </w:p>
        </w:tc>
      </w:tr>
      <w:tr>
        <w:trPr>
          <w:trHeight w:val="427" w:hRule="exact"/>
        </w:trPr>
        <w:tc>
          <w:tcPr>
            <w:tcW w:w="1843"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86" w:right="0"/>
              <w:jc w:val="left"/>
              <w:rPr>
                <w:rFonts w:ascii="宋体" w:hAnsi="宋体" w:cs="宋体" w:eastAsia="宋体" w:hint="default"/>
                <w:sz w:val="18"/>
                <w:szCs w:val="18"/>
              </w:rPr>
            </w:pPr>
            <w:r>
              <w:rPr>
                <w:rFonts w:ascii="宋体" w:hAnsi="宋体" w:cs="宋体" w:eastAsia="宋体" w:hint="default"/>
                <w:sz w:val="18"/>
                <w:szCs w:val="18"/>
              </w:rPr>
              <w:t>分类和计量影响</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9" w:right="0"/>
              <w:jc w:val="left"/>
              <w:rPr>
                <w:rFonts w:ascii="宋体" w:hAnsi="宋体" w:cs="宋体" w:eastAsia="宋体" w:hint="default"/>
                <w:sz w:val="18"/>
                <w:szCs w:val="18"/>
              </w:rPr>
            </w:pPr>
            <w:r>
              <w:rPr>
                <w:rFonts w:ascii="宋体" w:hAnsi="宋体" w:cs="宋体" w:eastAsia="宋体" w:hint="default"/>
                <w:sz w:val="18"/>
                <w:szCs w:val="18"/>
              </w:rPr>
              <w:t>金融资产减值影响</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11" w:type="dxa"/>
            <w:vMerge/>
            <w:tcBorders>
              <w:left w:val="single" w:sz="6" w:space="0" w:color="000000"/>
              <w:bottom w:val="single" w:sz="6" w:space="0" w:color="000000"/>
              <w:right w:val="single" w:sz="6" w:space="0" w:color="000000"/>
            </w:tcBorders>
            <w:shd w:val="clear" w:color="auto" w:fill="D2D2D2"/>
          </w:tcPr>
          <w:p>
            <w:pP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1,581,100.00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-5,044.00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1,576,056.00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1,576,056.00</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923,975,361.74</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-1,772,289.31</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922,203,072.43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922,203,072.43</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925,556,461.74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-925,556,461.74</w:t>
            </w:r>
          </w:p>
        </w:tc>
        <w:tc>
          <w:tcPr>
            <w:tcW w:w="1617"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-925,556,461.74</w:t>
            </w:r>
          </w:p>
        </w:tc>
        <w:tc>
          <w:tcPr>
            <w:tcW w:w="161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283,634,799.06</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2"/>
                <w:sz w:val="18"/>
              </w:rPr>
              <w:t>-672,113.84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2"/>
                <w:sz w:val="18"/>
              </w:rPr>
              <w:t>-672,113.84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282,962,685.22</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Arial" w:hAnsi="Arial" w:cs="Arial" w:eastAsia="Arial" w:hint="default"/>
                <w:sz w:val="18"/>
                <w:szCs w:val="18"/>
              </w:rPr>
            </w:pPr>
            <w:r>
              <w:rPr>
                <w:rFonts w:ascii="Arial"/>
                <w:spacing w:val="-1"/>
                <w:sz w:val="18"/>
              </w:rPr>
              <w:t>131,000,000.00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Arial" w:hAnsi="Arial" w:cs="Arial" w:eastAsia="Arial" w:hint="default"/>
                <w:sz w:val="18"/>
                <w:szCs w:val="18"/>
              </w:rPr>
            </w:pPr>
            <w:r>
              <w:rPr>
                <w:rFonts w:ascii="Arial"/>
                <w:spacing w:val="-1"/>
                <w:sz w:val="18"/>
              </w:rPr>
              <w:t>-131,000,000.00</w:t>
            </w:r>
          </w:p>
        </w:tc>
        <w:tc>
          <w:tcPr>
            <w:tcW w:w="1617"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Arial" w:hAnsi="Arial" w:cs="Arial" w:eastAsia="Arial" w:hint="default"/>
                <w:sz w:val="18"/>
                <w:szCs w:val="18"/>
              </w:rPr>
            </w:pPr>
            <w:r>
              <w:rPr>
                <w:rFonts w:ascii="Arial"/>
                <w:spacing w:val="-1"/>
                <w:sz w:val="18"/>
              </w:rPr>
              <w:t>-131,000,000.00</w:t>
            </w:r>
          </w:p>
        </w:tc>
        <w:tc>
          <w:tcPr>
            <w:tcW w:w="1611"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Arial" w:hAnsi="Arial" w:cs="Arial" w:eastAsia="Arial" w:hint="default"/>
                <w:sz w:val="18"/>
                <w:szCs w:val="18"/>
              </w:rPr>
            </w:pPr>
            <w:r>
              <w:rPr>
                <w:rFonts w:ascii="Arial"/>
                <w:spacing w:val="-1"/>
                <w:sz w:val="18"/>
              </w:rPr>
              <w:t>77,000,000.00</w:t>
            </w:r>
          </w:p>
        </w:tc>
        <w:tc>
          <w:tcPr>
            <w:tcW w:w="1617"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Arial" w:hAnsi="Arial" w:cs="Arial" w:eastAsia="Arial" w:hint="default"/>
                <w:sz w:val="18"/>
                <w:szCs w:val="18"/>
              </w:rPr>
            </w:pPr>
            <w:r>
              <w:rPr>
                <w:rFonts w:ascii="Arial"/>
                <w:spacing w:val="-1"/>
                <w:sz w:val="18"/>
              </w:rPr>
              <w:t>77,000,000.00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Arial" w:hAnsi="Arial" w:cs="Arial" w:eastAsia="Arial" w:hint="default"/>
                <w:sz w:val="18"/>
                <w:szCs w:val="18"/>
              </w:rPr>
            </w:pPr>
            <w:r>
              <w:rPr>
                <w:rFonts w:ascii="Arial"/>
                <w:spacing w:val="-1"/>
                <w:sz w:val="18"/>
              </w:rPr>
              <w:t>77,000,000.00</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843"/>
        <w:gridCol w:w="1559"/>
        <w:gridCol w:w="1449"/>
        <w:gridCol w:w="1617"/>
        <w:gridCol w:w="1615"/>
        <w:gridCol w:w="1611"/>
      </w:tblGrid>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80" w:right="0"/>
              <w:jc w:val="left"/>
              <w:rPr>
                <w:rFonts w:ascii="Arial" w:hAnsi="Arial" w:cs="Arial" w:eastAsia="Arial" w:hint="default"/>
                <w:sz w:val="18"/>
                <w:szCs w:val="18"/>
              </w:rPr>
            </w:pPr>
            <w:r>
              <w:rPr>
                <w:rFonts w:ascii="Arial"/>
                <w:sz w:val="18"/>
              </w:rPr>
              <w:t>54,000,000.00</w:t>
            </w:r>
          </w:p>
        </w:tc>
        <w:tc>
          <w:tcPr>
            <w:tcW w:w="1617"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54,000,000.00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54,000,000.00</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43,562,582.39</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258,531.33</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258,531.33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2"/>
                <w:sz w:val="18"/>
              </w:rPr>
              <w:t>43,821,113.72</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5,830,781,979.36</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-2,190,915.82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-2,190,915.82</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5,828,591,063.54</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64,002,272.39</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60,663.54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60,663.54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64,062,935.93</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1,673,697,359.82</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-2,164,443.62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-2,164,443.62</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1,671,532,916.20</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68,961,519.53</w:t>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-87,135.74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-87,135.74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68,874,383.79</w:t>
            </w:r>
          </w:p>
        </w:tc>
      </w:tr>
      <w:tr>
        <w:trPr>
          <w:trHeight w:val="42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right"/>
              <w:rPr>
                <w:rFonts w:ascii="Arial" w:hAnsi="Arial" w:cs="Arial" w:eastAsia="Arial" w:hint="default"/>
                <w:sz w:val="18"/>
                <w:szCs w:val="18"/>
              </w:rPr>
            </w:pPr>
            <w:r>
              <w:rPr>
                <w:rFonts w:ascii="Arial"/>
                <w:spacing w:val="-2"/>
                <w:w w:val="95"/>
                <w:sz w:val="18"/>
              </w:rPr>
              <w:t>4,317,111,134.92</w:t>
            </w:r>
            <w:r>
              <w:rPr>
                <w:rFonts w:ascii="Arial"/>
                <w:spacing w:val="-2"/>
                <w:sz w:val="18"/>
              </w:rPr>
            </w:r>
          </w:p>
        </w:tc>
        <w:tc>
          <w:tcPr>
            <w:tcW w:w="1449" w:type="dxa"/>
            <w:tcBorders>
              <w:top w:val="single" w:sz="6" w:space="0" w:color="000000"/>
              <w:left w:val="single" w:sz="6" w:space="0" w:color="000000"/>
              <w:bottom w:val="single" w:sz="6" w:space="0" w:color="000000"/>
              <w:right w:val="single" w:sz="6" w:space="0" w:color="000000"/>
            </w:tcBorders>
          </w:tcPr>
          <w:p>
            <w:pP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-2,190,915.82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-2,190,915.82</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4,314,920,219.10</w:t>
            </w:r>
          </w:p>
        </w:tc>
      </w:tr>
    </w:tbl>
    <w:p>
      <w:pPr>
        <w:spacing w:line="240" w:lineRule="auto" w:before="5"/>
        <w:rPr>
          <w:rFonts w:ascii="宋体" w:hAnsi="宋体" w:cs="宋体" w:eastAsia="宋体" w:hint="default"/>
          <w:sz w:val="5"/>
          <w:szCs w:val="5"/>
        </w:rPr>
      </w:pPr>
    </w:p>
    <w:p>
      <w:pPr>
        <w:pStyle w:val="BodyText"/>
        <w:spacing w:line="273" w:lineRule="auto" w:before="34"/>
        <w:ind w:right="1132" w:firstLine="420"/>
        <w:jc w:val="both"/>
      </w:pPr>
      <w:r>
        <w:rPr>
          <w:w w:val="95"/>
        </w:rPr>
        <w:t>注：上表仅呈列受影响的财务报表项目，不受影响的财务报表项目不包括在内，因此所披露的小计和</w:t>
      </w:r>
      <w:r>
        <w:rPr>
          <w:w w:val="99"/>
        </w:rPr>
        <w:t> </w:t>
      </w:r>
      <w:r>
        <w:rPr/>
        <w:t>合计无法根据上表中呈列的数字重新计算得出。</w:t>
      </w:r>
    </w:p>
    <w:p>
      <w:pPr>
        <w:pStyle w:val="BodyText"/>
        <w:spacing w:line="259" w:lineRule="auto" w:before="127"/>
        <w:ind w:right="1060" w:firstLine="420"/>
        <w:jc w:val="both"/>
      </w:pPr>
      <w:r>
        <w:rPr>
          <w:w w:val="95"/>
        </w:rPr>
        <w:t>本公司自</w:t>
      </w:r>
      <w:r>
        <w:rPr>
          <w:rFonts w:ascii="Arial" w:hAnsi="Arial" w:cs="Arial" w:eastAsia="Arial" w:hint="default"/>
          <w:w w:val="95"/>
        </w:rPr>
        <w:t>2019</w:t>
      </w:r>
      <w:r>
        <w:rPr>
          <w:w w:val="95"/>
        </w:rPr>
        <w:t>年</w:t>
      </w:r>
      <w:r>
        <w:rPr>
          <w:rFonts w:ascii="Arial" w:hAnsi="Arial" w:cs="Arial" w:eastAsia="Arial" w:hint="default"/>
          <w:w w:val="95"/>
        </w:rPr>
        <w:t>6</w:t>
      </w:r>
      <w:r>
        <w:rPr>
          <w:w w:val="95"/>
        </w:rPr>
        <w:t>月</w:t>
      </w:r>
      <w:r>
        <w:rPr>
          <w:rFonts w:ascii="Arial" w:hAnsi="Arial" w:cs="Arial" w:eastAsia="Arial" w:hint="default"/>
          <w:w w:val="95"/>
        </w:rPr>
        <w:t>10</w:t>
      </w:r>
      <w:r>
        <w:rPr>
          <w:w w:val="95"/>
        </w:rPr>
        <w:t>日起执行经修订的《企业会计准则第</w:t>
      </w:r>
      <w:r>
        <w:rPr>
          <w:rFonts w:ascii="Arial" w:hAnsi="Arial" w:cs="Arial" w:eastAsia="Arial" w:hint="default"/>
          <w:w w:val="95"/>
        </w:rPr>
        <w:t>7</w:t>
      </w:r>
      <w:r>
        <w:rPr>
          <w:w w:val="95"/>
        </w:rPr>
        <w:t>号——非货币性资产交换》，自</w:t>
      </w:r>
      <w:r>
        <w:rPr>
          <w:rFonts w:ascii="Arial" w:hAnsi="Arial" w:cs="Arial" w:eastAsia="Arial" w:hint="default"/>
          <w:w w:val="95"/>
        </w:rPr>
        <w:t>2019</w:t>
      </w:r>
      <w:r>
        <w:rPr>
          <w:w w:val="95"/>
        </w:rPr>
        <w:t>年</w:t>
      </w:r>
      <w:r>
        <w:rPr>
          <w:rFonts w:ascii="Arial" w:hAnsi="Arial" w:cs="Arial" w:eastAsia="Arial" w:hint="default"/>
          <w:w w:val="95"/>
        </w:rPr>
        <w:t>6</w:t>
      </w:r>
      <w:r>
        <w:rPr>
          <w:rFonts w:ascii="Arial" w:hAnsi="Arial" w:cs="Arial" w:eastAsia="Arial" w:hint="default"/>
          <w:w w:val="99"/>
        </w:rPr>
        <w:t> </w:t>
      </w:r>
      <w:r>
        <w:rPr/>
        <w:t>月</w:t>
      </w:r>
      <w:r>
        <w:rPr>
          <w:rFonts w:ascii="Arial" w:hAnsi="Arial" w:cs="Arial" w:eastAsia="Arial" w:hint="default"/>
        </w:rPr>
        <w:t>17</w:t>
      </w:r>
      <w:r>
        <w:rPr/>
        <w:t>日起执行经修订的《企业会计准则第</w:t>
      </w:r>
      <w:r>
        <w:rPr>
          <w:rFonts w:ascii="Arial" w:hAnsi="Arial" w:cs="Arial" w:eastAsia="Arial" w:hint="default"/>
        </w:rPr>
        <w:t>12</w:t>
      </w:r>
      <w:r>
        <w:rPr/>
        <w:t>号——债务重组》。该项会计政策变更采用未来适用法处理，</w:t>
      </w:r>
      <w:r>
        <w:rPr>
          <w:w w:val="99"/>
        </w:rPr>
        <w:t> </w:t>
      </w:r>
      <w:r>
        <w:rPr>
          <w:spacing w:val="-2"/>
          <w:w w:val="99"/>
        </w:rPr>
        <w:t>并根据准则的规定对于</w:t>
      </w:r>
      <w:r>
        <w:rPr>
          <w:rFonts w:ascii="Arial" w:hAnsi="Arial" w:cs="Arial" w:eastAsia="Arial" w:hint="default"/>
          <w:spacing w:val="-2"/>
          <w:w w:val="99"/>
        </w:rPr>
        <w:t>2019</w:t>
      </w:r>
      <w:r>
        <w:rPr>
          <w:spacing w:val="-2"/>
          <w:w w:val="99"/>
        </w:rPr>
        <w:t>年</w:t>
      </w:r>
      <w:r>
        <w:rPr>
          <w:rFonts w:ascii="Arial" w:hAnsi="Arial" w:cs="Arial" w:eastAsia="Arial" w:hint="default"/>
          <w:spacing w:val="-2"/>
          <w:w w:val="99"/>
        </w:rPr>
        <w:t>1</w:t>
      </w:r>
      <w:r>
        <w:rPr>
          <w:spacing w:val="-2"/>
          <w:w w:val="99"/>
        </w:rPr>
        <w:t>月</w:t>
      </w:r>
      <w:r>
        <w:rPr>
          <w:rFonts w:ascii="Arial" w:hAnsi="Arial" w:cs="Arial" w:eastAsia="Arial" w:hint="default"/>
          <w:spacing w:val="-2"/>
          <w:w w:val="99"/>
        </w:rPr>
        <w:t>1</w:t>
      </w:r>
      <w:r>
        <w:rPr>
          <w:spacing w:val="-2"/>
          <w:w w:val="99"/>
        </w:rPr>
        <w:t>日至准则实施日之间发生的非货币性资产交换和债务重组进行调整。本</w:t>
      </w:r>
      <w:r>
        <w:rPr>
          <w:spacing w:val="-69"/>
          <w:w w:val="99"/>
        </w:rPr>
        <w:t> </w:t>
      </w:r>
      <w:r>
        <w:rPr>
          <w:spacing w:val="-69"/>
          <w:w w:val="99"/>
        </w:rPr>
      </w:r>
      <w:r>
        <w:rPr/>
        <w:t>公司首次执行该准则对财务报表无影响。</w:t>
      </w:r>
    </w:p>
    <w:p>
      <w:pPr>
        <w:spacing w:line="240" w:lineRule="auto" w:before="9"/>
        <w:rPr>
          <w:rFonts w:ascii="宋体" w:hAnsi="宋体" w:cs="宋体" w:eastAsia="宋体" w:hint="default"/>
          <w:sz w:val="24"/>
          <w:szCs w:val="24"/>
        </w:rPr>
      </w:pPr>
    </w:p>
    <w:p>
      <w:pPr>
        <w:pStyle w:val="Heading4"/>
        <w:spacing w:line="240" w:lineRule="auto" w:before="0"/>
        <w:ind w:right="996"/>
        <w:jc w:val="left"/>
        <w:rPr>
          <w:b w:val="0"/>
          <w:bCs w:val="0"/>
        </w:rPr>
      </w:pPr>
      <w:bookmarkStart w:name="（2）重要会计估计变更" w:id="205"/>
      <w:bookmarkEnd w:id="205"/>
      <w:r>
        <w:rPr>
          <w:b w:val="0"/>
          <w:bCs w:val="0"/>
        </w:rPr>
      </w:r>
      <w:r>
        <w:rPr/>
        <w:t>（</w:t>
      </w:r>
      <w:r>
        <w:rPr>
          <w:rFonts w:ascii="Arial" w:hAnsi="Arial" w:cs="Arial" w:eastAsia="Arial" w:hint="default"/>
        </w:rPr>
        <w:t>2</w:t>
      </w:r>
      <w:r>
        <w:rPr/>
        <w:t>）重要会计估计变更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6"/>
        <w:jc w:val="left"/>
      </w:pPr>
      <w:r>
        <w:rPr/>
        <w:t>□ 适用 √</w:t>
      </w:r>
      <w:r>
        <w:rPr>
          <w:spacing w:val="-4"/>
        </w:rPr>
        <w:t> </w:t>
      </w:r>
      <w:r>
        <w:rPr/>
        <w:t>不适用</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3）2019年起执行新金融工具准则、新收入准则或新租赁准则调整执行当年年初财务" w:id="206"/>
      <w:bookmarkEnd w:id="206"/>
      <w:r>
        <w:rPr>
          <w:b w:val="0"/>
          <w:bCs w:val="0"/>
        </w:rPr>
      </w:r>
      <w:r>
        <w:rPr>
          <w:spacing w:val="-5"/>
          <w:w w:val="95"/>
        </w:rPr>
        <w:t>（</w:t>
      </w:r>
      <w:r>
        <w:rPr>
          <w:rFonts w:ascii="Arial" w:hAnsi="Arial" w:cs="Arial" w:eastAsia="Arial" w:hint="default"/>
          <w:spacing w:val="-5"/>
          <w:w w:val="95"/>
        </w:rPr>
        <w:t>3</w:t>
      </w:r>
      <w:r>
        <w:rPr>
          <w:spacing w:val="-5"/>
          <w:w w:val="95"/>
        </w:rPr>
        <w:t>）</w:t>
      </w:r>
      <w:r>
        <w:rPr>
          <w:rFonts w:ascii="Arial" w:hAnsi="Arial" w:cs="Arial" w:eastAsia="Arial" w:hint="default"/>
          <w:spacing w:val="-5"/>
          <w:w w:val="95"/>
        </w:rPr>
        <w:t>2019        </w:t>
      </w:r>
      <w:r>
        <w:rPr>
          <w:rFonts w:ascii="Arial" w:hAnsi="Arial" w:cs="Arial" w:eastAsia="Arial" w:hint="default"/>
          <w:spacing w:val="34"/>
          <w:w w:val="95"/>
        </w:rPr>
        <w:t> </w:t>
      </w:r>
      <w:r>
        <w:rPr>
          <w:w w:val="95"/>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15"/>
        <w:jc w:val="left"/>
      </w:pPr>
      <w:r>
        <w:rPr/>
        <w:t>√ 适用 □</w:t>
      </w:r>
      <w:r>
        <w:rPr>
          <w:spacing w:val="-4"/>
        </w:rPr>
        <w:t> </w:t>
      </w:r>
      <w:r>
        <w:rPr/>
        <w:t>不适用</w:t>
      </w:r>
    </w:p>
    <w:p>
      <w:pPr>
        <w:spacing w:before="103"/>
        <w:ind w:left="112" w:right="-15" w:firstLine="0"/>
        <w:jc w:val="left"/>
        <w:rPr>
          <w:rFonts w:ascii="宋体" w:hAnsi="宋体" w:cs="宋体" w:eastAsia="宋体" w:hint="default"/>
          <w:sz w:val="18"/>
          <w:szCs w:val="18"/>
        </w:rPr>
      </w:pPr>
      <w:r>
        <w:rPr>
          <w:rFonts w:ascii="宋体" w:hAnsi="宋体" w:cs="宋体" w:eastAsia="宋体" w:hint="default"/>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899" w:space="7019"/>
            <w:col w:w="197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6"/>
        <w:gridCol w:w="1677"/>
        <w:gridCol w:w="1677"/>
        <w:gridCol w:w="1677"/>
      </w:tblGrid>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Arial" w:hAnsi="Arial" w:cs="Arial" w:eastAsia="Arial"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Arial" w:hAnsi="Arial" w:cs="Arial" w:eastAsia="Arial" w:hint="default"/>
                <w:sz w:val="18"/>
                <w:szCs w:val="18"/>
              </w:rPr>
            </w:pPr>
            <w:r>
              <w:rPr>
                <w:rFonts w:ascii="Arial"/>
                <w:spacing w:val="-1"/>
                <w:sz w:val="18"/>
              </w:rPr>
              <w:t>1,303,142,047.61</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1,303,142,047.61</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1,581,100.00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1,576,056.00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-5,044.00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923,975,361.74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922,203,072.43</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-1,772,289.31</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39,702,660.85</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39,702,660.85</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677"/>
        <w:gridCol w:w="1677"/>
        <w:gridCol w:w="1677"/>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283,634,799.06</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282,962,685.22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Arial" w:hAnsi="Arial" w:cs="Arial" w:eastAsia="Arial" w:hint="default"/>
                <w:sz w:val="18"/>
                <w:szCs w:val="18"/>
              </w:rPr>
            </w:pPr>
            <w:r>
              <w:rPr>
                <w:rFonts w:ascii="Arial"/>
                <w:spacing w:val="-2"/>
                <w:sz w:val="18"/>
              </w:rPr>
              <w:t>-672,113.84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1,044,938.00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1,044,938.00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677,082,569.92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677,082,569.92</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Arial" w:hAnsi="Arial" w:cs="Arial" w:eastAsia="Arial" w:hint="default"/>
                <w:sz w:val="18"/>
                <w:szCs w:val="18"/>
              </w:rPr>
            </w:pPr>
            <w:r>
              <w:rPr>
                <w:rFonts w:ascii="Arial"/>
                <w:spacing w:val="-2"/>
                <w:sz w:val="18"/>
              </w:rPr>
              <w:t>10,576,220.11</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4"/>
              <w:jc w:val="right"/>
              <w:rPr>
                <w:rFonts w:ascii="Arial" w:hAnsi="Arial" w:cs="Arial" w:eastAsia="Arial" w:hint="default"/>
                <w:sz w:val="18"/>
                <w:szCs w:val="18"/>
              </w:rPr>
            </w:pPr>
            <w:r>
              <w:rPr>
                <w:rFonts w:ascii="Arial"/>
                <w:spacing w:val="-2"/>
                <w:sz w:val="18"/>
              </w:rPr>
              <w:t>10,576,220.11</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3,239,694,759.29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3,237,245,312.14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-2,449,447.15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131,000,000.00</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-131,000,000.00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77,000,000.00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77,000,000.00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54,000,000.00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54,000,000.00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252,901,655.59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252,901,655.59</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3,155,416.39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3,155,416.39</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288,458,816.48</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288,458,816.48</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200,800,569.84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200,800,569.84</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1,661,066,055.81</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1,661,066,055.81</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10,142,123.57</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10,142,123.57</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43,562,582.39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43,821,113.72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258,531.33</w:t>
            </w: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1016" w:header="878" w:top="1100" w:bottom="1200" w:left="1020" w:right="0"/>
          <w:pgNumType w:start="15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677"/>
        <w:gridCol w:w="1677"/>
        <w:gridCol w:w="1677"/>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2,591,087,220.07</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2,591,345,751.40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258,531.33</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5,830,781,979.36</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5,828,591,063.54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-2,190,915.82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39,000,000.00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39,000,000.00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431,436,428.16</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431,436,428.16</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695,363,183.24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695,363,183.24</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20,004,067.79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20,004,067.79</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78,935,962.94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78,935,962.94</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197,033,327.33</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197,033,327.33</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231,125.00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231,125.00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27,000,000.00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27,000,000.00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1,488,772,969.46</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1,488,772,969.46</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677"/>
        <w:gridCol w:w="1677"/>
        <w:gridCol w:w="1677"/>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21,408,680.00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21,408,680.00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3,489,194.98</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3,489,194.98</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24,897,874.98</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24,897,874.98</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1,513,670,844.44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1,513,670,844.44</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754,491,460.00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754,491,460.00</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1,900,345,553.82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1,900,345,553.82</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144,387,030.64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144,387,030.64</w:t>
            </w: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64,002,272.39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64,062,935.93</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60,663.54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1,673,697,359.82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1,671,532,916.20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-2,164,443.62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4,248,149,615.39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4,246,045,835.31</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-2,103,780.08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68,961,519.53</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68,874,383.79</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-87,135.74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3"/>
                <w:sz w:val="18"/>
              </w:rPr>
              <w:t>4,317,111,134.92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4,314,920,219.10</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-2,190,915.82</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5,830,781,979.36</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5,828,591,063.54</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-2,190,915.82</w:t>
            </w:r>
          </w:p>
        </w:tc>
      </w:tr>
    </w:tbl>
    <w:p>
      <w:pPr>
        <w:spacing w:before="51"/>
        <w:ind w:left="112" w:right="996"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6"/>
        <w:gridCol w:w="1714"/>
        <w:gridCol w:w="1715"/>
        <w:gridCol w:w="1715"/>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
              <w:jc w:val="righ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9"/>
              <w:jc w:val="righ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01</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01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296,260,042.96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296,260,042.96</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714"/>
        <w:gridCol w:w="1715"/>
        <w:gridCol w:w="1715"/>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22,091,627.46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22,805,316.15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713,688.69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250,000.00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250,000.00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150,302,957.88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150,302,957.88</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1,044,938.00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1,044,938.00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200,165.17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200,165.17</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469,104,793.47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469,818,482.16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713,688.69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131,000,000.00</w:t>
            </w: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-131,000,000.00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2,554,501,581.68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2,554,501,581.68</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77,000,000.00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77,000,000.00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54,000,000.00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54,000,000.00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30,230,417.77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30,230,417.77</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9,975,431.02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9,975,431.02</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13,061,612.52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12,954,559.22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-107,053.30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2,738,769,042.99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2,738,661,989.69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-107,053.30</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714"/>
        <w:gridCol w:w="1715"/>
        <w:gridCol w:w="1715"/>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3,207,873,836.46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3,208,480,471.85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2" w:right="0"/>
              <w:jc w:val="left"/>
              <w:rPr>
                <w:rFonts w:ascii="Arial" w:hAnsi="Arial" w:cs="Arial" w:eastAsia="Arial" w:hint="default"/>
                <w:sz w:val="18"/>
                <w:szCs w:val="18"/>
              </w:rPr>
            </w:pPr>
            <w:r>
              <w:rPr>
                <w:rFonts w:ascii="Arial"/>
                <w:sz w:val="18"/>
              </w:rPr>
              <w:t>606,635.39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25,844,430.00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25,844,430.00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489,418.87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489,418.87</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189,343.05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189,343.05</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2,714,877.98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2,714,877.98</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170,250,250.12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170,250,250.12</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199,488,320.02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199,488,320.02</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777,280.00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777,280.00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777,280.00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777,280.00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200,265,600.02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200,265,600.02</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8" w:footer="1016" w:top="110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536"/>
        <w:gridCol w:w="1714"/>
        <w:gridCol w:w="1715"/>
        <w:gridCol w:w="1715"/>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754,491,460.00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754,491,460.00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2,074,349,037.03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2,074,349,037.03</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144,387,030.64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144,387,030.64</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64,002,272.39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64,062,935.93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60,663.54</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259,152,497.66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259,698,469.51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545,971.85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3,007,608,236.44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3,008,214,871.83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606,635.39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3,207,873,836.46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3,208,480,471.85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606,635.39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996"/>
        <w:jc w:val="left"/>
        <w:rPr>
          <w:b w:val="0"/>
          <w:bCs w:val="0"/>
        </w:rPr>
      </w:pPr>
      <w:bookmarkStart w:name="（4）2019年起执行新金融工具准则或新租赁准则追溯调整前期比较数据说明" w:id="207"/>
      <w:bookmarkEnd w:id="207"/>
      <w:r>
        <w:rPr>
          <w:b w:val="0"/>
          <w:bCs w:val="0"/>
        </w:rPr>
      </w:r>
      <w:r>
        <w:rPr/>
        <w:t>（</w:t>
      </w:r>
      <w:r>
        <w:rPr>
          <w:rFonts w:ascii="Arial" w:hAnsi="Arial" w:cs="Arial" w:eastAsia="Arial" w:hint="default"/>
        </w:rPr>
        <w:t>4</w:t>
      </w:r>
      <w:r>
        <w:rPr/>
        <w:t>）</w:t>
      </w:r>
      <w:r>
        <w:rPr>
          <w:rFonts w:ascii="Arial" w:hAnsi="Arial" w:cs="Arial" w:eastAsia="Arial" w:hint="default"/>
        </w:rPr>
        <w:t>2019</w:t>
      </w:r>
      <w:r>
        <w:rPr>
          <w:rFonts w:ascii="Arial" w:hAnsi="Arial" w:cs="Arial" w:eastAsia="Arial" w:hint="default"/>
          <w:spacing w:val="-17"/>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24"/>
          <w:szCs w:val="24"/>
        </w:rPr>
      </w:pPr>
    </w:p>
    <w:p>
      <w:pPr>
        <w:spacing w:line="501" w:lineRule="auto" w:before="0"/>
        <w:ind w:left="112" w:right="895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bookmarkStart w:name="六、税项" w:id="208"/>
      <w:bookmarkEnd w:id="208"/>
      <w:r>
        <w:rPr>
          <w:rFonts w:ascii="宋体" w:hAnsi="宋体" w:cs="宋体" w:eastAsia="宋体" w:hint="default"/>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09"/>
      <w:bookmarkEnd w:id="209"/>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Arial" w:hAnsi="Arial" w:cs="Arial" w:eastAsia="Arial" w:hint="default"/>
                <w:sz w:val="18"/>
                <w:szCs w:val="18"/>
              </w:rPr>
            </w:pPr>
            <w:r>
              <w:rPr>
                <w:rFonts w:ascii="Arial" w:hAnsi="Arial" w:cs="Arial" w:eastAsia="Arial" w:hint="default"/>
                <w:sz w:val="18"/>
                <w:szCs w:val="18"/>
              </w:rPr>
              <w:t>16%</w:t>
            </w:r>
            <w:r>
              <w:rPr>
                <w:rFonts w:ascii="宋体" w:hAnsi="宋体" w:cs="宋体" w:eastAsia="宋体" w:hint="default"/>
                <w:sz w:val="18"/>
                <w:szCs w:val="18"/>
              </w:rPr>
              <w:t>、</w:t>
            </w:r>
            <w:r>
              <w:rPr>
                <w:rFonts w:ascii="Arial" w:hAnsi="Arial" w:cs="Arial" w:eastAsia="Arial" w:hint="default"/>
                <w:sz w:val="18"/>
                <w:szCs w:val="18"/>
              </w:rPr>
              <w:t>13%</w:t>
            </w:r>
            <w:r>
              <w:rPr>
                <w:rFonts w:ascii="宋体" w:hAnsi="宋体" w:cs="宋体" w:eastAsia="宋体" w:hint="default"/>
                <w:sz w:val="18"/>
                <w:szCs w:val="18"/>
              </w:rPr>
              <w:t>、</w:t>
            </w:r>
            <w:r>
              <w:rPr>
                <w:rFonts w:ascii="Arial" w:hAnsi="Arial" w:cs="Arial" w:eastAsia="Arial" w:hint="default"/>
                <w:sz w:val="18"/>
                <w:szCs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Arial" w:hAnsi="Arial" w:cs="Arial" w:eastAsia="Arial" w:hint="default"/>
                <w:sz w:val="18"/>
                <w:szCs w:val="18"/>
              </w:rPr>
            </w:pPr>
            <w:r>
              <w:rPr>
                <w:rFonts w:ascii="Arial"/>
                <w:sz w:val="18"/>
              </w:rPr>
              <w:t>25%</w:t>
            </w:r>
          </w:p>
        </w:tc>
      </w:tr>
    </w:tbl>
    <w:p>
      <w:pPr>
        <w:spacing w:before="50"/>
        <w:ind w:left="112" w:right="99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w:hAnsi="Arial" w:cs="Arial" w:eastAsia="Arial" w:hint="default"/>
                <w:sz w:val="18"/>
                <w:szCs w:val="18"/>
              </w:rPr>
            </w:pPr>
            <w:r>
              <w:rPr>
                <w:rFonts w:ascii="Arial"/>
                <w:sz w:val="18"/>
              </w:rPr>
              <w:t>15%</w:t>
            </w:r>
          </w:p>
        </w:tc>
      </w:tr>
    </w:tbl>
    <w:p>
      <w:pPr>
        <w:spacing w:after="0" w:line="240" w:lineRule="auto"/>
        <w:jc w:val="lef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华宇金信（深圳）信息技术有限公司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北京华宇九品科技有限公司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华宇万户医疗科技（上海）有限公司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上海殊创数据技术有限责任公司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溯源云（北京）科技服务有限公司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Arial" w:hAnsi="Arial" w:cs="Arial" w:eastAsia="Arial" w:hint="default"/>
                <w:sz w:val="18"/>
                <w:szCs w:val="18"/>
              </w:rPr>
            </w:pPr>
            <w:r>
              <w:rPr>
                <w:rFonts w:ascii="Arial"/>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上海华宇九政科技有限公司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Arial" w:hAnsi="Arial" w:cs="Arial" w:eastAsia="Arial" w:hint="default"/>
                <w:sz w:val="18"/>
                <w:szCs w:val="18"/>
              </w:rPr>
            </w:pPr>
            <w:r>
              <w:rPr>
                <w:rFonts w:ascii="Arial"/>
                <w:sz w:val="18"/>
              </w:rPr>
              <w:t>20%</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税收优惠" w:id="210"/>
      <w:bookmarkEnd w:id="210"/>
      <w:r>
        <w:rPr>
          <w:b w:val="0"/>
          <w:bCs w:val="0"/>
        </w:rPr>
      </w:r>
      <w:r>
        <w:rPr>
          <w:rFonts w:ascii="Arial" w:hAnsi="Arial" w:cs="Arial" w:eastAsia="Arial"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6"/>
        <w:jc w:val="left"/>
      </w:pPr>
      <w:r>
        <w:rPr/>
        <w:t>（</w:t>
      </w:r>
      <w:r>
        <w:rPr>
          <w:rFonts w:ascii="Arial" w:hAnsi="Arial" w:cs="Arial" w:eastAsia="Arial" w:hint="default"/>
        </w:rPr>
        <w:t>1</w:t>
      </w:r>
      <w:r>
        <w:rPr/>
        <w:t>）增值税</w:t>
      </w:r>
    </w:p>
    <w:p>
      <w:pPr>
        <w:pStyle w:val="BodyText"/>
        <w:spacing w:line="240" w:lineRule="auto" w:before="142"/>
        <w:ind w:left="532" w:right="0"/>
        <w:jc w:val="left"/>
      </w:pPr>
      <w:r>
        <w:rPr>
          <w:rFonts w:ascii="Arial" w:hAnsi="Arial" w:cs="Arial" w:eastAsia="Arial" w:hint="default"/>
        </w:rPr>
        <w:t>1</w:t>
      </w:r>
      <w:r>
        <w:rPr/>
        <w:t>）根据国务院下发的《国务院关于印发进一步鼓励软件产业和集成电路产业发展的若干政策的通知》</w:t>
      </w:r>
    </w:p>
    <w:p>
      <w:pPr>
        <w:pStyle w:val="BodyText"/>
        <w:spacing w:line="268" w:lineRule="auto" w:before="22"/>
        <w:ind w:right="996"/>
        <w:jc w:val="left"/>
      </w:pPr>
      <w:r>
        <w:rPr>
          <w:w w:val="95"/>
        </w:rPr>
        <w:t>（国发</w:t>
      </w:r>
      <w:r>
        <w:rPr>
          <w:rFonts w:ascii="Arial" w:hAnsi="Arial" w:cs="Arial" w:eastAsia="Arial" w:hint="default"/>
          <w:w w:val="95"/>
        </w:rPr>
        <w:t>[2011]4</w:t>
      </w:r>
      <w:r>
        <w:rPr>
          <w:w w:val="95"/>
        </w:rPr>
        <w:t>号）第（一）条及第（三十三）条的规定，公司及公司所属子公司北京亿信华辰软件有限责</w:t>
      </w:r>
      <w:r>
        <w:rPr>
          <w:spacing w:val="77"/>
          <w:w w:val="95"/>
        </w:rPr>
        <w:t> </w:t>
      </w:r>
      <w:r>
        <w:rPr>
          <w:spacing w:val="77"/>
          <w:w w:val="95"/>
        </w:rPr>
      </w:r>
      <w:r>
        <w:rPr>
          <w:spacing w:val="-3"/>
        </w:rPr>
        <w:t>任公司、北京华宇信息技术有限公司、华宇（大连）信息服务有限公司、华宇金信（北京）软件有限公司、</w:t>
      </w:r>
      <w:r>
        <w:rPr>
          <w:w w:val="99"/>
        </w:rPr>
        <w:t> </w:t>
      </w:r>
      <w:r>
        <w:rPr/>
        <w:t>北京万户网络技术有限公司、上海浦东华宇信息技术有限公司、联奕科技有限公司、北京华宇元典信息服</w:t>
      </w:r>
      <w:r>
        <w:rPr>
          <w:w w:val="99"/>
        </w:rPr>
        <w:t> </w:t>
      </w:r>
      <w:r>
        <w:rPr/>
        <w:t>务有限公司、合肥万户网络技术有限公司、上海万户网络技术有限公司销售其自行开发生产的软件产品，</w:t>
      </w:r>
      <w:r>
        <w:rPr>
          <w:w w:val="99"/>
        </w:rPr>
        <w:t> </w:t>
      </w:r>
      <w:r>
        <w:rPr/>
        <w:t>按法定税率征收增值税后，享受增值税实际税负超过</w:t>
      </w:r>
      <w:r>
        <w:rPr>
          <w:rFonts w:ascii="Arial" w:hAnsi="Arial" w:cs="Arial" w:eastAsia="Arial" w:hint="default"/>
        </w:rPr>
        <w:t>3%</w:t>
      </w:r>
      <w:r>
        <w:rPr/>
        <w:t>的部分实行即征即退的优惠政策。</w:t>
      </w:r>
    </w:p>
    <w:p>
      <w:pPr>
        <w:pStyle w:val="BodyText"/>
        <w:spacing w:line="268" w:lineRule="auto" w:before="114"/>
        <w:ind w:right="996" w:firstLine="420"/>
        <w:jc w:val="left"/>
      </w:pPr>
      <w:r>
        <w:rPr>
          <w:rFonts w:ascii="Arial" w:hAnsi="Arial" w:cs="Arial" w:eastAsia="Arial" w:hint="default"/>
          <w:spacing w:val="-6"/>
          <w:w w:val="99"/>
        </w:rPr>
        <w:t>2</w:t>
      </w:r>
      <w:r>
        <w:rPr>
          <w:spacing w:val="-6"/>
          <w:w w:val="99"/>
        </w:rPr>
        <w:t>）根据《财政部、国家税务总局关于软件产品增值税政策的通知》（财税</w:t>
      </w:r>
      <w:r>
        <w:rPr>
          <w:rFonts w:ascii="Arial" w:hAnsi="Arial" w:cs="Arial" w:eastAsia="Arial" w:hint="default"/>
          <w:spacing w:val="-6"/>
          <w:w w:val="99"/>
        </w:rPr>
        <w:t>[2011]100</w:t>
      </w:r>
      <w:r>
        <w:rPr>
          <w:spacing w:val="-6"/>
          <w:w w:val="99"/>
        </w:rPr>
        <w:t>号）第一款第（三）</w:t>
      </w:r>
      <w:r>
        <w:rPr>
          <w:w w:val="99"/>
        </w:rPr>
        <w:t> </w:t>
      </w:r>
      <w:r>
        <w:rPr/>
        <w:t>条的规定，公司及所属子公司北京亿信华辰软件有限责任公司、广州华宇信息技术有限公司、北京华宇信</w:t>
      </w:r>
      <w:r>
        <w:rPr>
          <w:w w:val="99"/>
        </w:rPr>
        <w:t> </w:t>
      </w:r>
      <w:r>
        <w:rPr/>
        <w:t>息技术有限公司、华宇金信（北京）软件有限公司、上海浦东华宇信息技术有限公司、北京万户网络技术</w:t>
      </w:r>
      <w:r>
        <w:rPr>
          <w:w w:val="99"/>
        </w:rPr>
        <w:t> </w:t>
      </w:r>
      <w:r>
        <w:rPr/>
        <w:t>有限公司以及孙公司合肥万户网络技术有限公司的受托开发软件产品，著作权属于委托方或属于与委托方</w:t>
      </w:r>
      <w:r>
        <w:rPr>
          <w:w w:val="99"/>
        </w:rPr>
        <w:t> </w:t>
      </w:r>
      <w:r>
        <w:rPr/>
        <w:t>共有的享受不征收增值税的优惠政策。</w:t>
      </w:r>
    </w:p>
    <w:p>
      <w:pPr>
        <w:pStyle w:val="BodyText"/>
        <w:spacing w:line="240" w:lineRule="auto" w:before="132"/>
        <w:ind w:right="996"/>
        <w:jc w:val="left"/>
      </w:pPr>
      <w:r>
        <w:rPr/>
        <w:t>（</w:t>
      </w:r>
      <w:r>
        <w:rPr>
          <w:rFonts w:ascii="Arial" w:hAnsi="Arial" w:cs="Arial" w:eastAsia="Arial" w:hint="default"/>
        </w:rPr>
        <w:t>2</w:t>
      </w:r>
      <w:r>
        <w:rPr/>
        <w:t>）企业所得税</w:t>
      </w:r>
    </w:p>
    <w:p>
      <w:pPr>
        <w:pStyle w:val="BodyText"/>
        <w:spacing w:line="268" w:lineRule="auto" w:before="142"/>
        <w:ind w:right="1112" w:firstLine="420"/>
        <w:jc w:val="both"/>
      </w:pPr>
      <w:r>
        <w:rPr>
          <w:rFonts w:ascii="Arial" w:hAnsi="Arial" w:cs="Arial" w:eastAsia="Arial" w:hint="default"/>
        </w:rPr>
        <w:t>1</w:t>
      </w:r>
      <w:r>
        <w:rPr/>
        <w:t>）根据自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日起施行的《中华人民共和国企业所得税法实施条例》及其实施细则规定，国</w:t>
      </w:r>
      <w:r>
        <w:rPr>
          <w:w w:val="99"/>
        </w:rPr>
        <w:t> </w:t>
      </w:r>
      <w:r>
        <w:rPr>
          <w:w w:val="95"/>
        </w:rPr>
        <w:t>家需要重点扶持的高新技术企业，公司及公司子公司广州华宇信息技术有限公司、北京亿信华辰软件有限</w:t>
      </w:r>
      <w:r>
        <w:rPr>
          <w:spacing w:val="37"/>
          <w:w w:val="95"/>
        </w:rPr>
        <w:t> </w:t>
      </w:r>
      <w:r>
        <w:rPr>
          <w:spacing w:val="37"/>
          <w:w w:val="95"/>
        </w:rPr>
      </w:r>
      <w:r>
        <w:rPr>
          <w:w w:val="95"/>
        </w:rPr>
        <w:t>责任公司、华宇金信（北京）软件有限公司、北京万户网络技术有限公司、合肥万户网络技术有限公司、</w:t>
      </w:r>
      <w:r>
        <w:rPr>
          <w:spacing w:val="61"/>
          <w:w w:val="95"/>
        </w:rPr>
        <w:t> </w:t>
      </w:r>
      <w:r>
        <w:rPr>
          <w:spacing w:val="61"/>
          <w:w w:val="95"/>
        </w:rPr>
      </w:r>
      <w:r>
        <w:rPr>
          <w:w w:val="95"/>
        </w:rPr>
        <w:t>上海万户网络技术有限公司、华宇金信（深圳）信息技术有限公司、北京华宇元典信息服务有限公司、北</w:t>
      </w:r>
      <w:r>
        <w:rPr>
          <w:spacing w:val="42"/>
          <w:w w:val="95"/>
        </w:rPr>
        <w:t> </w:t>
      </w:r>
      <w:r>
        <w:rPr>
          <w:spacing w:val="42"/>
          <w:w w:val="95"/>
        </w:rPr>
      </w:r>
      <w:r>
        <w:rPr/>
        <w:t>京华宇九品科技有限公司被认定为高新技术企业，减按</w:t>
      </w:r>
      <w:r>
        <w:rPr>
          <w:rFonts w:ascii="Arial" w:hAnsi="Arial" w:cs="Arial" w:eastAsia="Arial" w:hint="default"/>
        </w:rPr>
        <w:t>15</w:t>
      </w:r>
      <w:r>
        <w:rPr/>
        <w:t>％的税率征收企业所得税。</w:t>
      </w:r>
    </w:p>
    <w:p>
      <w:pPr>
        <w:pStyle w:val="BodyText"/>
        <w:spacing w:line="266" w:lineRule="auto" w:before="114"/>
        <w:ind w:right="996" w:firstLine="420"/>
        <w:jc w:val="left"/>
      </w:pPr>
      <w:r>
        <w:rPr>
          <w:rFonts w:ascii="Arial" w:hAnsi="Arial" w:cs="Arial" w:eastAsia="Arial" w:hint="default"/>
          <w:spacing w:val="-2"/>
          <w:w w:val="95"/>
        </w:rPr>
        <w:t>2</w:t>
      </w:r>
      <w:r>
        <w:rPr>
          <w:spacing w:val="-2"/>
          <w:w w:val="95"/>
        </w:rPr>
        <w:t>）根据财税〔</w:t>
      </w:r>
      <w:r>
        <w:rPr>
          <w:rFonts w:ascii="Arial" w:hAnsi="Arial" w:cs="Arial" w:eastAsia="Arial" w:hint="default"/>
          <w:spacing w:val="-2"/>
          <w:w w:val="95"/>
        </w:rPr>
        <w:t>2016</w:t>
      </w:r>
      <w:r>
        <w:rPr>
          <w:spacing w:val="-2"/>
          <w:w w:val="95"/>
        </w:rPr>
        <w:t>〕</w:t>
      </w:r>
      <w:r>
        <w:rPr>
          <w:rFonts w:ascii="Arial" w:hAnsi="Arial" w:cs="Arial" w:eastAsia="Arial" w:hint="default"/>
          <w:spacing w:val="-2"/>
          <w:w w:val="95"/>
        </w:rPr>
        <w:t>49</w:t>
      </w:r>
      <w:r>
        <w:rPr>
          <w:spacing w:val="-2"/>
          <w:w w:val="95"/>
        </w:rPr>
        <w:t>号《关于软件和集成电路产业企业所得税优惠政策有关问题的通知》的规定，</w:t>
      </w:r>
      <w:r>
        <w:rPr>
          <w:spacing w:val="-72"/>
          <w:w w:val="95"/>
        </w:rPr>
        <w:t> </w:t>
      </w:r>
      <w:r>
        <w:rPr>
          <w:spacing w:val="-72"/>
          <w:w w:val="95"/>
        </w:rPr>
      </w:r>
      <w:r>
        <w:rPr/>
        <w:t>公司所属子公司北京华宇信息技术有限公司、上海浦东华宇信息技术有限公司、联奕科技有限公司可享受</w:t>
      </w:r>
      <w:r>
        <w:rPr>
          <w:w w:val="99"/>
        </w:rPr>
        <w:t> </w:t>
      </w:r>
      <w:r>
        <w:rPr/>
        <w:t>国家规划布局内重点软件企业减按</w:t>
      </w:r>
      <w:r>
        <w:rPr>
          <w:rFonts w:ascii="Arial" w:hAnsi="Arial" w:cs="Arial" w:eastAsia="Arial" w:hint="default"/>
        </w:rPr>
        <w:t>10%</w:t>
      </w:r>
      <w:r>
        <w:rPr/>
        <w:t>税率征收企业所得税的优惠税收政策。</w:t>
      </w:r>
    </w:p>
    <w:p>
      <w:pPr>
        <w:pStyle w:val="BodyText"/>
        <w:spacing w:line="259" w:lineRule="auto" w:before="116"/>
        <w:ind w:right="996" w:firstLine="420"/>
        <w:jc w:val="left"/>
      </w:pPr>
      <w:r>
        <w:rPr>
          <w:rFonts w:ascii="Arial" w:hAnsi="Arial" w:cs="Arial" w:eastAsia="Arial" w:hint="default"/>
          <w:spacing w:val="2"/>
        </w:rPr>
        <w:t>3</w:t>
      </w:r>
      <w:r>
        <w:rPr>
          <w:spacing w:val="2"/>
        </w:rPr>
        <w:t>）根据《财政部、国家税务总局关于进一步鼓励软件产业和集成电路产业发展企业所得税政策的通</w:t>
      </w:r>
      <w:r>
        <w:rPr>
          <w:w w:val="99"/>
        </w:rPr>
        <w:t> </w:t>
      </w:r>
      <w:r>
        <w:rPr>
          <w:spacing w:val="-3"/>
        </w:rPr>
        <w:t>知》的规定（财税</w:t>
      </w:r>
      <w:r>
        <w:rPr>
          <w:rFonts w:ascii="Arial" w:hAnsi="Arial" w:cs="Arial" w:eastAsia="Arial" w:hint="default"/>
          <w:spacing w:val="-3"/>
        </w:rPr>
        <w:t>[2012]27</w:t>
      </w:r>
      <w:r>
        <w:rPr>
          <w:spacing w:val="-3"/>
        </w:rPr>
        <w:t>号），华宇（大连）信息服务有限公司</w:t>
      </w:r>
      <w:r>
        <w:rPr>
          <w:rFonts w:ascii="Arial" w:hAnsi="Arial" w:cs="Arial" w:eastAsia="Arial" w:hint="default"/>
          <w:spacing w:val="-3"/>
        </w:rPr>
        <w:t>2016</w:t>
      </w:r>
      <w:r>
        <w:rPr>
          <w:spacing w:val="-3"/>
        </w:rPr>
        <w:t>年度被认定为符合条件的软件企业，</w:t>
      </w:r>
      <w:r>
        <w:rPr>
          <w:w w:val="99"/>
        </w:rPr>
        <w:t> </w:t>
      </w:r>
      <w:r>
        <w:rPr>
          <w:rFonts w:ascii="Arial" w:hAnsi="Arial" w:cs="Arial" w:eastAsia="Arial" w:hint="default"/>
        </w:rPr>
        <w:t>2016</w:t>
      </w:r>
      <w:r>
        <w:rPr/>
        <w:t>年度、</w:t>
      </w:r>
      <w:r>
        <w:rPr>
          <w:rFonts w:ascii="Arial" w:hAnsi="Arial" w:cs="Arial" w:eastAsia="Arial" w:hint="default"/>
        </w:rPr>
        <w:t>2017</w:t>
      </w:r>
      <w:r>
        <w:rPr/>
        <w:t>年度免征企业所得税，</w:t>
      </w:r>
      <w:r>
        <w:rPr>
          <w:rFonts w:ascii="Arial" w:hAnsi="Arial" w:cs="Arial" w:eastAsia="Arial" w:hint="default"/>
        </w:rPr>
        <w:t>2018</w:t>
      </w:r>
      <w:r>
        <w:rPr/>
        <w:t>年度、</w:t>
      </w:r>
      <w:r>
        <w:rPr>
          <w:rFonts w:ascii="Arial" w:hAnsi="Arial" w:cs="Arial" w:eastAsia="Arial" w:hint="default"/>
        </w:rPr>
        <w:t>2019</w:t>
      </w:r>
      <w:r>
        <w:rPr/>
        <w:t>年度、</w:t>
      </w:r>
      <w:r>
        <w:rPr>
          <w:rFonts w:ascii="Arial" w:hAnsi="Arial" w:cs="Arial" w:eastAsia="Arial" w:hint="default"/>
        </w:rPr>
        <w:t>2020</w:t>
      </w:r>
      <w:r>
        <w:rPr/>
        <w:t>年度减半征收企业所得税。</w:t>
      </w:r>
    </w:p>
    <w:p>
      <w:pPr>
        <w:pStyle w:val="BodyText"/>
        <w:spacing w:line="240" w:lineRule="auto" w:before="123"/>
        <w:ind w:left="532" w:right="0"/>
        <w:jc w:val="left"/>
      </w:pPr>
      <w:r>
        <w:rPr>
          <w:rFonts w:ascii="Arial" w:hAnsi="Arial" w:cs="Arial" w:eastAsia="Arial" w:hint="default"/>
          <w:spacing w:val="-6"/>
        </w:rPr>
        <w:t>4</w:t>
      </w:r>
      <w:r>
        <w:rPr>
          <w:spacing w:val="-6"/>
        </w:rPr>
        <w:t>）根据《财政部、国家税务总局关于实施小微企业普惠性税收减免政策的通知》的规定（财税〔</w:t>
      </w:r>
      <w:r>
        <w:rPr>
          <w:rFonts w:ascii="Arial" w:hAnsi="Arial" w:cs="Arial" w:eastAsia="Arial" w:hint="default"/>
          <w:spacing w:val="-6"/>
        </w:rPr>
        <w:t>2019</w:t>
      </w:r>
      <w:r>
        <w:rPr>
          <w:spacing w:val="-6"/>
        </w:rPr>
        <w:t>〕</w:t>
      </w:r>
    </w:p>
    <w:p>
      <w:pPr>
        <w:pStyle w:val="BodyText"/>
        <w:spacing w:line="240" w:lineRule="auto" w:before="22"/>
        <w:ind w:right="996"/>
        <w:jc w:val="left"/>
      </w:pPr>
      <w:r>
        <w:rPr>
          <w:rFonts w:ascii="Arial" w:hAnsi="Arial" w:cs="Arial" w:eastAsia="Arial" w:hint="default"/>
        </w:rPr>
        <w:t>13</w:t>
      </w:r>
      <w:r>
        <w:rPr/>
        <w:t>号）的相关规定，公司子公司上海华宇九政科技有限公司年应纳税所得额不超过</w:t>
      </w:r>
      <w:r>
        <w:rPr>
          <w:rFonts w:ascii="Arial" w:hAnsi="Arial" w:cs="Arial" w:eastAsia="Arial" w:hint="default"/>
        </w:rPr>
        <w:t>100</w:t>
      </w:r>
      <w:r>
        <w:rPr/>
        <w:t>万元的部分，减按</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rFonts w:ascii="Arial" w:hAnsi="Arial" w:cs="Arial" w:eastAsia="Arial" w:hint="default"/>
        </w:rPr>
        <w:t>25%</w:t>
      </w:r>
      <w:r>
        <w:rPr/>
        <w:t>计入应纳税所得额，按</w:t>
      </w:r>
      <w:r>
        <w:rPr>
          <w:rFonts w:ascii="Arial" w:hAnsi="Arial" w:cs="Arial" w:eastAsia="Arial" w:hint="default"/>
        </w:rPr>
        <w:t>20%</w:t>
      </w:r>
      <w:r>
        <w:rPr/>
        <w:t>的税率缴纳企业所得税。</w:t>
      </w:r>
    </w:p>
    <w:p>
      <w:pPr>
        <w:spacing w:before="167"/>
        <w:ind w:left="112" w:right="996"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64" w:lineRule="auto" w:before="158"/>
        <w:ind w:right="1132" w:firstLine="427"/>
        <w:jc w:val="both"/>
      </w:pPr>
      <w:r>
        <w:rPr>
          <w:spacing w:val="-5"/>
          <w:w w:val="99"/>
        </w:rPr>
        <w:t>依据国务院下发的《国务院关于印发进一步鼓励软件产业和集成电路产业发展的若干政策的通知》（国</w:t>
      </w:r>
      <w:r>
        <w:rPr>
          <w:w w:val="99"/>
        </w:rPr>
        <w:t> </w:t>
      </w:r>
      <w:r>
        <w:rPr>
          <w:spacing w:val="-2"/>
        </w:rPr>
        <w:t>发</w:t>
      </w:r>
      <w:r>
        <w:rPr>
          <w:rFonts w:ascii="Arial" w:hAnsi="Arial" w:cs="Arial" w:eastAsia="Arial" w:hint="default"/>
          <w:spacing w:val="-2"/>
        </w:rPr>
        <w:t>[2011]4</w:t>
      </w:r>
      <w:r>
        <w:rPr>
          <w:spacing w:val="-2"/>
        </w:rPr>
        <w:t>号）第（一）条及第（三十三）条的规定，公司及公司所属子公司、孙公司享受增值税实际税负</w:t>
      </w:r>
      <w:r>
        <w:rPr>
          <w:w w:val="99"/>
        </w:rPr>
        <w:t> </w:t>
      </w:r>
      <w:r>
        <w:rPr/>
        <w:t>超过</w:t>
      </w:r>
      <w:r>
        <w:rPr>
          <w:rFonts w:ascii="Arial" w:hAnsi="Arial" w:cs="Arial" w:eastAsia="Arial" w:hint="default"/>
        </w:rPr>
        <w:t>3%</w:t>
      </w:r>
      <w:r>
        <w:rPr/>
        <w:t>的部分实行即征即退的优惠政策。报告期内，增值税即征即退计入其他收益金额为</w:t>
      </w:r>
      <w:r>
        <w:rPr>
          <w:rFonts w:ascii="Arial" w:hAnsi="Arial" w:cs="Arial" w:eastAsia="Arial" w:hint="default"/>
        </w:rPr>
        <w:t>91,967,682.70</w:t>
      </w:r>
      <w:r>
        <w:rPr>
          <w:rFonts w:ascii="Arial" w:hAnsi="Arial" w:cs="Arial" w:eastAsia="Arial" w:hint="default"/>
          <w:w w:val="99"/>
        </w:rPr>
        <w:t> </w:t>
      </w:r>
      <w:r>
        <w:rPr/>
        <w:t>元。</w:t>
      </w:r>
    </w:p>
    <w:p>
      <w:pPr>
        <w:spacing w:after="0" w:line="264" w:lineRule="auto"/>
        <w:jc w:val="both"/>
        <w:sectPr>
          <w:pgSz w:w="11910" w:h="16840"/>
          <w:pgMar w:header="878" w:footer="1016" w:top="1100" w:bottom="1200" w:left="1020" w:right="0"/>
        </w:sectPr>
      </w:pPr>
    </w:p>
    <w:p>
      <w:pPr>
        <w:spacing w:line="240" w:lineRule="auto" w:before="10"/>
        <w:rPr>
          <w:rFonts w:ascii="宋体" w:hAnsi="宋体" w:cs="宋体" w:eastAsia="宋体" w:hint="default"/>
          <w:sz w:val="19"/>
          <w:szCs w:val="19"/>
        </w:rPr>
      </w:pPr>
    </w:p>
    <w:p>
      <w:pPr>
        <w:pStyle w:val="Heading2"/>
        <w:spacing w:line="240" w:lineRule="auto" w:before="26"/>
        <w:ind w:right="996"/>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货币资金" w:id="212"/>
      <w:bookmarkEnd w:id="212"/>
      <w:r>
        <w:rPr>
          <w:b w:val="0"/>
          <w:bCs w:val="0"/>
        </w:rPr>
      </w:r>
      <w:r>
        <w:rPr>
          <w:rFonts w:ascii="Arial" w:hAnsi="Arial" w:cs="Arial" w:eastAsia="Arial" w:hint="default"/>
        </w:rPr>
        <w:t>1</w:t>
      </w:r>
      <w:r>
        <w:rPr/>
        <w:t>、货币资金</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183,016.03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186,352.97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1,909,236,987.57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1,261,034,842.90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447,178,422.52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41,920,851.74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2,356,598,426.12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1,303,142,047.61</w:t>
            </w:r>
          </w:p>
        </w:tc>
      </w:tr>
    </w:tbl>
    <w:p>
      <w:pPr>
        <w:pStyle w:val="BodyText"/>
        <w:spacing w:line="240" w:lineRule="auto" w:before="26"/>
        <w:ind w:right="996"/>
        <w:jc w:val="left"/>
      </w:pPr>
      <w:r>
        <w:rPr/>
        <w:t>其他说明</w:t>
      </w:r>
    </w:p>
    <w:p>
      <w:pPr>
        <w:spacing w:line="240" w:lineRule="auto" w:before="7"/>
        <w:rPr>
          <w:rFonts w:ascii="宋体" w:hAnsi="宋体" w:cs="宋体" w:eastAsia="宋体" w:hint="default"/>
          <w:sz w:val="17"/>
          <w:szCs w:val="17"/>
        </w:rPr>
      </w:pPr>
    </w:p>
    <w:p>
      <w:pPr>
        <w:pStyle w:val="BodyText"/>
        <w:spacing w:line="259" w:lineRule="auto"/>
        <w:ind w:right="1103" w:firstLine="420"/>
        <w:jc w:val="both"/>
      </w:pPr>
      <w:r>
        <w:rPr>
          <w:spacing w:val="19"/>
        </w:rPr>
        <w:t>期末使用受限的款项包括其他货币资金中的银行承兑汇票保证金</w:t>
      </w:r>
      <w:r>
        <w:rPr>
          <w:spacing w:val="-94"/>
        </w:rPr>
        <w:t> </w:t>
      </w:r>
      <w:r>
        <w:rPr>
          <w:rFonts w:ascii="Arial" w:hAnsi="Arial" w:cs="Arial" w:eastAsia="Arial" w:hint="default"/>
        </w:rPr>
        <w:t>3,888,116.13</w:t>
      </w:r>
      <w:r>
        <w:rPr>
          <w:rFonts w:ascii="Arial" w:hAnsi="Arial" w:cs="Arial" w:eastAsia="Arial" w:hint="default"/>
          <w:spacing w:val="-48"/>
        </w:rPr>
        <w:t> </w:t>
      </w:r>
      <w:r>
        <w:rPr>
          <w:spacing w:val="9"/>
        </w:rPr>
        <w:t>元，</w:t>
      </w:r>
      <w:r>
        <w:rPr>
          <w:spacing w:val="-94"/>
        </w:rPr>
        <w:t> </w:t>
      </w:r>
      <w:r>
        <w:rPr>
          <w:spacing w:val="15"/>
        </w:rPr>
        <w:t>保函保证金</w:t>
      </w:r>
      <w:r>
        <w:rPr>
          <w:w w:val="99"/>
        </w:rPr>
        <w:t> </w:t>
      </w:r>
      <w:r>
        <w:rPr>
          <w:rFonts w:ascii="Arial" w:hAnsi="Arial" w:cs="Arial" w:eastAsia="Arial" w:hint="default"/>
          <w:w w:val="95"/>
        </w:rPr>
        <w:t>6,660,052.66</w:t>
      </w:r>
      <w:r>
        <w:rPr>
          <w:w w:val="95"/>
        </w:rPr>
        <w:t>元，履约保证金</w:t>
      </w:r>
      <w:r>
        <w:rPr>
          <w:rFonts w:ascii="Arial" w:hAnsi="Arial" w:cs="Arial" w:eastAsia="Arial" w:hint="default"/>
          <w:w w:val="95"/>
        </w:rPr>
        <w:t>46,469,222.07</w:t>
      </w:r>
      <w:r>
        <w:rPr>
          <w:w w:val="95"/>
        </w:rPr>
        <w:t>元，结构性存款</w:t>
      </w:r>
      <w:r>
        <w:rPr>
          <w:rFonts w:ascii="Arial" w:hAnsi="Arial" w:cs="Arial" w:eastAsia="Arial" w:hint="default"/>
          <w:w w:val="95"/>
        </w:rPr>
        <w:t>390,000,000.00</w:t>
      </w:r>
      <w:r>
        <w:rPr>
          <w:w w:val="95"/>
        </w:rPr>
        <w:t>元；除上述资金外，不存在抵</w:t>
      </w:r>
      <w:r>
        <w:rPr>
          <w:spacing w:val="34"/>
          <w:w w:val="95"/>
        </w:rPr>
        <w:t> </w:t>
      </w:r>
      <w:r>
        <w:rPr>
          <w:spacing w:val="34"/>
          <w:w w:val="95"/>
        </w:rPr>
      </w:r>
      <w:r>
        <w:rPr/>
        <w:t>押、质押或冻结、或存放在境外且资金汇回受到限制的款项。</w:t>
      </w:r>
    </w:p>
    <w:p>
      <w:pPr>
        <w:spacing w:line="240" w:lineRule="auto" w:before="6"/>
        <w:rPr>
          <w:rFonts w:ascii="宋体" w:hAnsi="宋体" w:cs="宋体" w:eastAsia="宋体" w:hint="default"/>
          <w:sz w:val="24"/>
          <w:szCs w:val="24"/>
        </w:rPr>
      </w:pPr>
    </w:p>
    <w:p>
      <w:pPr>
        <w:pStyle w:val="Heading4"/>
        <w:spacing w:line="240" w:lineRule="auto" w:before="0"/>
        <w:ind w:right="996"/>
        <w:jc w:val="left"/>
        <w:rPr>
          <w:b w:val="0"/>
          <w:bCs w:val="0"/>
        </w:rPr>
      </w:pPr>
      <w:bookmarkStart w:name="2、应收票据" w:id="213"/>
      <w:bookmarkEnd w:id="213"/>
      <w:r>
        <w:rPr>
          <w:b w:val="0"/>
          <w:bCs w:val="0"/>
        </w:rPr>
      </w:r>
      <w:r>
        <w:rPr>
          <w:rFonts w:ascii="Arial" w:hAnsi="Arial" w:cs="Arial" w:eastAsia="Arial"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票据分类列示" w:id="214"/>
      <w:bookmarkEnd w:id="214"/>
      <w:r>
        <w:rPr>
          <w:b w:val="0"/>
          <w:bCs w:val="0"/>
        </w:rPr>
      </w:r>
      <w:r>
        <w:rPr/>
        <w:t>（</w:t>
      </w:r>
      <w:r>
        <w:rPr>
          <w:rFonts w:ascii="Arial" w:hAnsi="Arial" w:cs="Arial" w:eastAsia="Arial" w:hint="default"/>
        </w:rPr>
        <w:t>1</w:t>
      </w:r>
      <w:r>
        <w:rPr/>
        <w:t>）应收票据分类列示</w:t>
      </w:r>
      <w:r>
        <w:rPr>
          <w:b w:val="0"/>
          <w:bCs w:val="0"/>
        </w:rPr>
      </w:r>
    </w:p>
    <w:p>
      <w:pPr>
        <w:spacing w:line="240" w:lineRule="auto" w:before="10"/>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3,385,781.54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1,076,700.00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499,356.00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3,385,781.54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1,576,056.00</w:t>
            </w:r>
          </w:p>
        </w:tc>
      </w:tr>
    </w:tbl>
    <w:p>
      <w:pPr>
        <w:spacing w:before="5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930"/>
        <w:gridCol w:w="798"/>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 w:right="0"/>
              <w:jc w:val="left"/>
              <w:rPr>
                <w:rFonts w:ascii="Arial" w:hAnsi="Arial" w:cs="Arial" w:eastAsia="Arial" w:hint="default"/>
                <w:sz w:val="18"/>
                <w:szCs w:val="18"/>
              </w:rPr>
            </w:pPr>
            <w:r>
              <w:rPr>
                <w:rFonts w:ascii="Arial"/>
                <w:sz w:val="18"/>
              </w:rPr>
              <w:t>3,385,78</w:t>
            </w:r>
          </w:p>
          <w:p>
            <w:pPr>
              <w:pStyle w:val="TableParagraph"/>
              <w:spacing w:line="240" w:lineRule="auto" w:before="105"/>
              <w:ind w:left="379" w:right="0"/>
              <w:jc w:val="left"/>
              <w:rPr>
                <w:rFonts w:ascii="Arial" w:hAnsi="Arial" w:cs="Arial" w:eastAsia="Arial" w:hint="default"/>
                <w:sz w:val="18"/>
                <w:szCs w:val="18"/>
              </w:rPr>
            </w:pPr>
            <w:r>
              <w:rPr>
                <w:rFonts w:ascii="Arial"/>
                <w:sz w:val="18"/>
              </w:rPr>
              <w:t>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left"/>
              <w:rPr>
                <w:rFonts w:ascii="Arial" w:hAnsi="Arial" w:cs="Arial" w:eastAsia="Arial" w:hint="default"/>
                <w:sz w:val="18"/>
                <w:szCs w:val="18"/>
              </w:rPr>
            </w:pPr>
            <w:r>
              <w:rPr>
                <w:rFonts w:ascii="Arial"/>
                <w:sz w:val="18"/>
              </w:rPr>
              <w:t>3,385,78</w:t>
            </w:r>
          </w:p>
          <w:p>
            <w:pPr>
              <w:pStyle w:val="TableParagraph"/>
              <w:spacing w:line="240" w:lineRule="auto" w:before="105"/>
              <w:ind w:left="406" w:right="0"/>
              <w:jc w:val="left"/>
              <w:rPr>
                <w:rFonts w:ascii="Arial" w:hAnsi="Arial" w:cs="Arial" w:eastAsia="Arial" w:hint="default"/>
                <w:sz w:val="18"/>
                <w:szCs w:val="18"/>
              </w:rPr>
            </w:pPr>
            <w:r>
              <w:rPr>
                <w:rFonts w:ascii="Arial"/>
                <w:sz w:val="18"/>
              </w:rPr>
              <w:t>1.54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left"/>
              <w:rPr>
                <w:rFonts w:ascii="Arial" w:hAnsi="Arial" w:cs="Arial" w:eastAsia="Arial" w:hint="default"/>
                <w:sz w:val="18"/>
                <w:szCs w:val="18"/>
              </w:rPr>
            </w:pPr>
            <w:r>
              <w:rPr>
                <w:rFonts w:ascii="Arial"/>
                <w:sz w:val="18"/>
              </w:rPr>
              <w:t>1,581,10</w:t>
            </w:r>
          </w:p>
          <w:p>
            <w:pPr>
              <w:pStyle w:val="TableParagraph"/>
              <w:spacing w:line="240" w:lineRule="auto" w:before="105"/>
              <w:ind w:left="392"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0.32%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 w:right="0"/>
              <w:jc w:val="left"/>
              <w:rPr>
                <w:rFonts w:ascii="Arial" w:hAnsi="Arial" w:cs="Arial" w:eastAsia="Arial" w:hint="default"/>
                <w:sz w:val="18"/>
                <w:szCs w:val="18"/>
              </w:rPr>
            </w:pPr>
            <w:r>
              <w:rPr>
                <w:rFonts w:ascii="Arial"/>
                <w:sz w:val="18"/>
              </w:rPr>
              <w:t>1,576,05</w:t>
            </w:r>
          </w:p>
          <w:p>
            <w:pPr>
              <w:pStyle w:val="TableParagraph"/>
              <w:spacing w:line="240" w:lineRule="auto" w:before="105"/>
              <w:ind w:left="408" w:right="0"/>
              <w:jc w:val="left"/>
              <w:rPr>
                <w:rFonts w:ascii="Arial" w:hAnsi="Arial" w:cs="Arial" w:eastAsia="Arial" w:hint="default"/>
                <w:sz w:val="18"/>
                <w:szCs w:val="18"/>
              </w:rPr>
            </w:pPr>
            <w:r>
              <w:rPr>
                <w:rFonts w:ascii="Arial"/>
                <w:sz w:val="18"/>
              </w:rPr>
              <w:t>6.00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其中：无风险银行承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兑票据组合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Arial" w:hAnsi="Arial" w:cs="Arial" w:eastAsia="Arial" w:hint="default"/>
                <w:sz w:val="18"/>
                <w:szCs w:val="18"/>
              </w:rPr>
            </w:pPr>
            <w:r>
              <w:rPr>
                <w:rFonts w:ascii="Arial"/>
                <w:sz w:val="18"/>
              </w:rPr>
              <w:t>3,385,78</w:t>
            </w:r>
          </w:p>
          <w:p>
            <w:pPr>
              <w:pStyle w:val="TableParagraph"/>
              <w:spacing w:line="240" w:lineRule="auto" w:before="105"/>
              <w:ind w:left="379" w:right="0"/>
              <w:jc w:val="left"/>
              <w:rPr>
                <w:rFonts w:ascii="Arial" w:hAnsi="Arial" w:cs="Arial" w:eastAsia="Arial" w:hint="default"/>
                <w:sz w:val="18"/>
                <w:szCs w:val="18"/>
              </w:rPr>
            </w:pPr>
            <w:r>
              <w:rPr>
                <w:rFonts w:ascii="Arial"/>
                <w:sz w:val="18"/>
              </w:rPr>
              <w:t>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left"/>
              <w:rPr>
                <w:rFonts w:ascii="Arial" w:hAnsi="Arial" w:cs="Arial" w:eastAsia="Arial" w:hint="default"/>
                <w:sz w:val="18"/>
                <w:szCs w:val="18"/>
              </w:rPr>
            </w:pPr>
            <w:r>
              <w:rPr>
                <w:rFonts w:ascii="Arial"/>
                <w:sz w:val="18"/>
              </w:rPr>
              <w:t>3,385,78</w:t>
            </w:r>
          </w:p>
          <w:p>
            <w:pPr>
              <w:pStyle w:val="TableParagraph"/>
              <w:spacing w:line="240" w:lineRule="auto" w:before="105"/>
              <w:ind w:left="406" w:right="0"/>
              <w:jc w:val="left"/>
              <w:rPr>
                <w:rFonts w:ascii="Arial" w:hAnsi="Arial" w:cs="Arial" w:eastAsia="Arial" w:hint="default"/>
                <w:sz w:val="18"/>
                <w:szCs w:val="18"/>
              </w:rPr>
            </w:pPr>
            <w:r>
              <w:rPr>
                <w:rFonts w:ascii="Arial"/>
                <w:sz w:val="18"/>
              </w:rPr>
              <w:t>1.54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Arial" w:hAnsi="Arial" w:cs="Arial" w:eastAsia="Arial" w:hint="default"/>
                <w:sz w:val="18"/>
                <w:szCs w:val="18"/>
              </w:rPr>
            </w:pPr>
            <w:r>
              <w:rPr>
                <w:rFonts w:ascii="Arial"/>
                <w:sz w:val="18"/>
              </w:rPr>
              <w:t>1,076,70</w:t>
            </w:r>
          </w:p>
          <w:p>
            <w:pPr>
              <w:pStyle w:val="TableParagraph"/>
              <w:spacing w:line="240" w:lineRule="auto" w:before="105"/>
              <w:ind w:left="392"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68.10%</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left"/>
              <w:rPr>
                <w:rFonts w:ascii="Arial" w:hAnsi="Arial" w:cs="Arial" w:eastAsia="Arial" w:hint="default"/>
                <w:sz w:val="18"/>
                <w:szCs w:val="18"/>
              </w:rPr>
            </w:pPr>
            <w:r>
              <w:rPr>
                <w:rFonts w:ascii="Arial"/>
                <w:sz w:val="18"/>
              </w:rPr>
              <w:t>1,076,70</w:t>
            </w:r>
          </w:p>
          <w:p>
            <w:pPr>
              <w:pStyle w:val="TableParagraph"/>
              <w:spacing w:line="240" w:lineRule="auto" w:before="105"/>
              <w:ind w:left="408" w:right="0"/>
              <w:jc w:val="left"/>
              <w:rPr>
                <w:rFonts w:ascii="Arial" w:hAnsi="Arial" w:cs="Arial" w:eastAsia="Arial" w:hint="default"/>
                <w:sz w:val="18"/>
                <w:szCs w:val="18"/>
              </w:rPr>
            </w:pPr>
            <w:r>
              <w:rPr>
                <w:rFonts w:ascii="Arial"/>
                <w:sz w:val="18"/>
              </w:rPr>
              <w:t>0.00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504,400.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499,356.</w:t>
            </w:r>
          </w:p>
          <w:p>
            <w:pPr>
              <w:pStyle w:val="TableParagraph"/>
              <w:spacing w:line="240" w:lineRule="auto" w:before="105"/>
              <w:ind w:right="19"/>
              <w:jc w:val="right"/>
              <w:rPr>
                <w:rFonts w:ascii="Arial" w:hAnsi="Arial" w:cs="Arial" w:eastAsia="Arial" w:hint="default"/>
                <w:sz w:val="18"/>
                <w:szCs w:val="18"/>
              </w:rPr>
            </w:pPr>
            <w:r>
              <w:rPr>
                <w:rFonts w:ascii="Arial"/>
                <w:w w:val="95"/>
                <w:sz w:val="18"/>
              </w:rPr>
              <w:t>00</w:t>
            </w:r>
            <w:r>
              <w:rPr>
                <w:rFonts w:ascii="Arial"/>
                <w:sz w:val="18"/>
              </w:rPr>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Arial" w:hAnsi="Arial" w:cs="Arial" w:eastAsia="Arial" w:hint="default"/>
                <w:sz w:val="18"/>
                <w:szCs w:val="18"/>
              </w:rPr>
            </w:pPr>
            <w:r>
              <w:rPr>
                <w:rFonts w:ascii="Arial"/>
                <w:sz w:val="18"/>
              </w:rPr>
              <w:t>3,385,78</w:t>
            </w:r>
          </w:p>
          <w:p>
            <w:pPr>
              <w:pStyle w:val="TableParagraph"/>
              <w:spacing w:line="240" w:lineRule="auto" w:before="105"/>
              <w:ind w:left="379" w:right="0"/>
              <w:jc w:val="left"/>
              <w:rPr>
                <w:rFonts w:ascii="Arial" w:hAnsi="Arial" w:cs="Arial" w:eastAsia="Arial" w:hint="default"/>
                <w:sz w:val="18"/>
                <w:szCs w:val="18"/>
              </w:rPr>
            </w:pPr>
            <w:r>
              <w:rPr>
                <w:rFonts w:ascii="Arial"/>
                <w:sz w:val="18"/>
              </w:rPr>
              <w:t>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left"/>
              <w:rPr>
                <w:rFonts w:ascii="Arial" w:hAnsi="Arial" w:cs="Arial" w:eastAsia="Arial" w:hint="default"/>
                <w:sz w:val="18"/>
                <w:szCs w:val="18"/>
              </w:rPr>
            </w:pPr>
            <w:r>
              <w:rPr>
                <w:rFonts w:ascii="Arial"/>
                <w:sz w:val="18"/>
              </w:rPr>
              <w:t>3,385,78</w:t>
            </w:r>
          </w:p>
          <w:p>
            <w:pPr>
              <w:pStyle w:val="TableParagraph"/>
              <w:spacing w:line="240" w:lineRule="auto" w:before="105"/>
              <w:ind w:left="406" w:right="0"/>
              <w:jc w:val="left"/>
              <w:rPr>
                <w:rFonts w:ascii="Arial" w:hAnsi="Arial" w:cs="Arial" w:eastAsia="Arial" w:hint="default"/>
                <w:sz w:val="18"/>
                <w:szCs w:val="18"/>
              </w:rPr>
            </w:pPr>
            <w:r>
              <w:rPr>
                <w:rFonts w:ascii="Arial"/>
                <w:sz w:val="18"/>
              </w:rPr>
              <w:t>1.54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Arial" w:hAnsi="Arial" w:cs="Arial" w:eastAsia="Arial" w:hint="default"/>
                <w:sz w:val="18"/>
                <w:szCs w:val="18"/>
              </w:rPr>
            </w:pPr>
            <w:r>
              <w:rPr>
                <w:rFonts w:ascii="Arial"/>
                <w:sz w:val="18"/>
              </w:rPr>
              <w:t>1,581,10</w:t>
            </w:r>
          </w:p>
          <w:p>
            <w:pPr>
              <w:pStyle w:val="TableParagraph"/>
              <w:spacing w:line="240" w:lineRule="auto" w:before="105"/>
              <w:ind w:left="392" w:right="0"/>
              <w:jc w:val="left"/>
              <w:rPr>
                <w:rFonts w:ascii="Arial" w:hAnsi="Arial" w:cs="Arial" w:eastAsia="Arial" w:hint="default"/>
                <w:sz w:val="18"/>
                <w:szCs w:val="18"/>
              </w:rPr>
            </w:pPr>
            <w:r>
              <w:rPr>
                <w:rFonts w:ascii="Arial"/>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5,044.00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0.32%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left"/>
              <w:rPr>
                <w:rFonts w:ascii="Arial" w:hAnsi="Arial" w:cs="Arial" w:eastAsia="Arial" w:hint="default"/>
                <w:sz w:val="18"/>
                <w:szCs w:val="18"/>
              </w:rPr>
            </w:pPr>
            <w:r>
              <w:rPr>
                <w:rFonts w:ascii="Arial"/>
                <w:sz w:val="18"/>
              </w:rPr>
              <w:t>1,576,05</w:t>
            </w:r>
          </w:p>
          <w:p>
            <w:pPr>
              <w:pStyle w:val="TableParagraph"/>
              <w:spacing w:line="240" w:lineRule="auto" w:before="105"/>
              <w:ind w:left="408" w:right="0"/>
              <w:jc w:val="left"/>
              <w:rPr>
                <w:rFonts w:ascii="Arial" w:hAnsi="Arial" w:cs="Arial" w:eastAsia="Arial" w:hint="default"/>
                <w:sz w:val="18"/>
                <w:szCs w:val="18"/>
              </w:rPr>
            </w:pPr>
            <w:r>
              <w:rPr>
                <w:rFonts w:ascii="Arial"/>
                <w:sz w:val="18"/>
              </w:rPr>
              <w:t>6.00</w:t>
            </w:r>
          </w:p>
        </w:tc>
      </w:tr>
    </w:tbl>
    <w:p>
      <w:pPr>
        <w:spacing w:after="0" w:line="240" w:lineRule="auto"/>
        <w:jc w:val="left"/>
        <w:rPr>
          <w:rFonts w:ascii="Arial" w:hAnsi="Arial" w:cs="Arial" w:eastAsia="Arial"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8" w:footer="1016" w:top="1100" w:bottom="1200" w:left="1020" w:right="0"/>
        </w:sectPr>
      </w:pPr>
    </w:p>
    <w:p>
      <w:pPr>
        <w:pStyle w:val="BodyText"/>
        <w:spacing w:line="240" w:lineRule="auto" w:before="34"/>
        <w:ind w:right="0"/>
        <w:jc w:val="left"/>
      </w:pPr>
      <w:r>
        <w:rPr>
          <w:w w:val="95"/>
        </w:rPr>
        <w:t>按组合计提坏账准备：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无风险银行承兑票据组合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3,385,781.54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3,385,781.54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r>
    </w:tbl>
    <w:p>
      <w:pPr>
        <w:pStyle w:val="BodyText"/>
        <w:spacing w:line="307" w:lineRule="auto" w:before="26"/>
        <w:ind w:left="532" w:right="996" w:hanging="420"/>
        <w:jc w:val="left"/>
      </w:pPr>
      <w:r>
        <w:rPr/>
        <w:t>确定该组合依据的说明：</w:t>
      </w:r>
      <w:r>
        <w:rPr>
          <w:w w:val="99"/>
        </w:rPr>
        <w:t> </w:t>
      </w:r>
      <w:r>
        <w:rPr>
          <w:w w:val="95"/>
        </w:rPr>
        <w:t>本公司认为所持有银行承兑汇票不存在重大的信用风险，不会因银行或其他出票人违约而产生重大损</w:t>
      </w:r>
      <w:r>
        <w:rPr/>
      </w:r>
    </w:p>
    <w:p>
      <w:pPr>
        <w:pStyle w:val="BodyText"/>
        <w:spacing w:line="253" w:lineRule="exact"/>
        <w:ind w:right="996"/>
        <w:jc w:val="left"/>
      </w:pPr>
      <w:r>
        <w:rPr/>
        <w:t>失。</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2）本期计提、收回或转回的坏账准备情况" w:id="215"/>
      <w:bookmarkEnd w:id="215"/>
      <w:r>
        <w:rPr>
          <w:b w:val="0"/>
          <w:bCs w:val="0"/>
        </w:rPr>
      </w:r>
      <w:r>
        <w:rPr/>
        <w:t>（</w:t>
      </w:r>
      <w:r>
        <w:rPr>
          <w:rFonts w:ascii="Arial" w:hAnsi="Arial" w:cs="Arial" w:eastAsia="Arial" w:hint="default"/>
        </w:rPr>
        <w:t>2</w:t>
      </w:r>
      <w:r>
        <w:rPr/>
        <w:t>）本期计提、收回或转回的坏账准备情况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200" w:left="1020" w:right="0"/>
        </w:sectPr>
      </w:pPr>
    </w:p>
    <w:p>
      <w:pPr>
        <w:pStyle w:val="BodyText"/>
        <w:spacing w:line="240" w:lineRule="auto" w:before="34"/>
        <w:ind w:right="0"/>
        <w:jc w:val="left"/>
      </w:pPr>
      <w:r>
        <w:rPr>
          <w:w w:val="95"/>
        </w:rPr>
        <w:t>本期计提坏账准备情况：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422" w:space="6407"/>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5,044.00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5,044.00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5,044.00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5"/>
        <w:ind w:right="996"/>
        <w:jc w:val="left"/>
      </w:pPr>
      <w:r>
        <w:rPr/>
        <w:t>其中本期坏账准备收回或转回金额重要的：</w:t>
      </w:r>
    </w:p>
    <w:p>
      <w:pPr>
        <w:pStyle w:val="BodyText"/>
        <w:spacing w:line="240" w:lineRule="auto" w:before="78"/>
        <w:ind w:right="996"/>
        <w:jc w:val="left"/>
      </w:pPr>
      <w:r>
        <w:rPr>
          <w:rFonts w:ascii="Arial" w:hAnsi="Arial" w:cs="Arial" w:eastAsia="Arial" w:hint="default"/>
        </w:rPr>
        <w:t>□  </w:t>
      </w:r>
      <w:r>
        <w:rPr/>
        <w:t>适用 √</w:t>
      </w:r>
      <w:r>
        <w:rPr>
          <w:spacing w:val="-16"/>
        </w:rPr>
        <w:t> </w:t>
      </w:r>
      <w:r>
        <w:rPr/>
        <w:t>不适用</w:t>
      </w:r>
    </w:p>
    <w:p>
      <w:pPr>
        <w:spacing w:line="240" w:lineRule="auto" w:before="8"/>
        <w:rPr>
          <w:rFonts w:ascii="宋体" w:hAnsi="宋体" w:cs="宋体" w:eastAsia="宋体" w:hint="default"/>
          <w:sz w:val="24"/>
          <w:szCs w:val="24"/>
        </w:rPr>
      </w:pPr>
    </w:p>
    <w:p>
      <w:pPr>
        <w:pStyle w:val="Heading4"/>
        <w:spacing w:line="240" w:lineRule="auto" w:before="0"/>
        <w:ind w:right="996"/>
        <w:jc w:val="left"/>
        <w:rPr>
          <w:b w:val="0"/>
          <w:bCs w:val="0"/>
        </w:rPr>
      </w:pPr>
      <w:bookmarkStart w:name="（3）期末公司已背书或贴现且在资产负债表日尚未到期的应收票据" w:id="216"/>
      <w:bookmarkEnd w:id="216"/>
      <w:r>
        <w:rPr>
          <w:b w:val="0"/>
          <w:bCs w:val="0"/>
        </w:rPr>
      </w:r>
      <w:r>
        <w:rPr/>
        <w:t>（</w:t>
      </w:r>
      <w:r>
        <w:rPr>
          <w:rFonts w:ascii="Arial" w:hAnsi="Arial" w:cs="Arial" w:eastAsia="Arial"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6,892,763.49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6,892,763.49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应收账款" w:id="217"/>
      <w:bookmarkEnd w:id="217"/>
      <w:r>
        <w:rPr>
          <w:b w:val="0"/>
          <w:bCs w:val="0"/>
        </w:rPr>
      </w:r>
      <w:r>
        <w:rPr>
          <w:rFonts w:ascii="Arial" w:hAnsi="Arial" w:cs="Arial" w:eastAsia="Arial"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账款分类披露" w:id="218"/>
      <w:bookmarkEnd w:id="218"/>
      <w:r>
        <w:rPr>
          <w:b w:val="0"/>
          <w:bCs w:val="0"/>
        </w:rPr>
      </w:r>
      <w:r>
        <w:rPr/>
        <w:t>（</w:t>
      </w:r>
      <w:r>
        <w:rPr>
          <w:rFonts w:ascii="Arial" w:hAnsi="Arial" w:cs="Arial" w:eastAsia="Arial" w:hint="default"/>
        </w:rPr>
        <w:t>1</w:t>
      </w:r>
      <w:r>
        <w:rPr/>
        <w:t>）应收账款分类披露</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34"/>
        <w:gridCol w:w="993"/>
        <w:gridCol w:w="708"/>
        <w:gridCol w:w="851"/>
        <w:gridCol w:w="709"/>
        <w:gridCol w:w="992"/>
        <w:gridCol w:w="992"/>
        <w:gridCol w:w="709"/>
        <w:gridCol w:w="850"/>
        <w:gridCol w:w="697"/>
        <w:gridCol w:w="932"/>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right w:val="single" w:sz="4" w:space="0" w:color="000000"/>
            </w:tcBorders>
            <w:shd w:val="clear" w:color="auto" w:fill="D2D2D2"/>
          </w:tcPr>
          <w:p>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3" w:right="16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34"/>
        <w:gridCol w:w="993"/>
        <w:gridCol w:w="708"/>
        <w:gridCol w:w="851"/>
        <w:gridCol w:w="709"/>
        <w:gridCol w:w="992"/>
        <w:gridCol w:w="992"/>
        <w:gridCol w:w="709"/>
        <w:gridCol w:w="850"/>
        <w:gridCol w:w="697"/>
        <w:gridCol w:w="932"/>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0"/>
              <w:jc w:val="both"/>
              <w:rPr>
                <w:rFonts w:ascii="宋体" w:hAnsi="宋体" w:cs="宋体" w:eastAsia="宋体" w:hint="default"/>
                <w:sz w:val="18"/>
                <w:szCs w:val="18"/>
              </w:rPr>
            </w:pPr>
            <w:r>
              <w:rPr>
                <w:rFonts w:ascii="宋体" w:hAnsi="宋体" w:cs="宋体" w:eastAsia="宋体" w:hint="default"/>
                <w:sz w:val="18"/>
                <w:szCs w:val="18"/>
              </w:rPr>
              <w:t>按单项计提 坏账准备的 应收账款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Arial" w:hAnsi="Arial" w:cs="Arial" w:eastAsia="Arial" w:hint="default"/>
                <w:sz w:val="18"/>
                <w:szCs w:val="18"/>
              </w:rPr>
            </w:pPr>
            <w:r>
              <w:rPr>
                <w:rFonts w:ascii="Arial"/>
                <w:sz w:val="18"/>
              </w:rPr>
              <w:t>17,264,5</w:t>
            </w:r>
          </w:p>
          <w:p>
            <w:pPr>
              <w:pStyle w:val="TableParagraph"/>
              <w:spacing w:line="240" w:lineRule="auto" w:before="105"/>
              <w:ind w:left="429" w:right="0"/>
              <w:jc w:val="left"/>
              <w:rPr>
                <w:rFonts w:ascii="Arial" w:hAnsi="Arial" w:cs="Arial" w:eastAsia="Arial" w:hint="default"/>
                <w:sz w:val="18"/>
                <w:szCs w:val="18"/>
              </w:rPr>
            </w:pPr>
            <w:r>
              <w:rPr>
                <w:rFonts w:ascii="Arial"/>
                <w:sz w:val="18"/>
              </w:rPr>
              <w:t>41.06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center"/>
              <w:rPr>
                <w:rFonts w:ascii="Arial" w:hAnsi="Arial" w:cs="Arial" w:eastAsia="Arial" w:hint="default"/>
                <w:sz w:val="18"/>
                <w:szCs w:val="18"/>
              </w:rPr>
            </w:pPr>
            <w:r>
              <w:rPr>
                <w:rFonts w:ascii="Arial"/>
                <w:sz w:val="18"/>
              </w:rPr>
              <w:t>1.44</w:t>
            </w:r>
          </w:p>
          <w:p>
            <w:pPr>
              <w:pStyle w:val="TableParagraph"/>
              <w:spacing w:line="240" w:lineRule="auto" w:before="105"/>
              <w:ind w:left="331" w:right="0"/>
              <w:jc w:val="center"/>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Arial" w:hAnsi="Arial" w:cs="Arial" w:eastAsia="Arial" w:hint="default"/>
                <w:sz w:val="18"/>
                <w:szCs w:val="18"/>
              </w:rPr>
            </w:pPr>
            <w:r>
              <w:rPr>
                <w:rFonts w:ascii="Arial"/>
                <w:sz w:val="18"/>
              </w:rPr>
              <w:t>431,61</w:t>
            </w:r>
          </w:p>
          <w:p>
            <w:pPr>
              <w:pStyle w:val="TableParagraph"/>
              <w:spacing w:line="240" w:lineRule="auto" w:before="105"/>
              <w:ind w:left="284" w:right="0"/>
              <w:jc w:val="center"/>
              <w:rPr>
                <w:rFonts w:ascii="Arial" w:hAnsi="Arial" w:cs="Arial" w:eastAsia="Arial" w:hint="default"/>
                <w:sz w:val="18"/>
                <w:szCs w:val="18"/>
              </w:rPr>
            </w:pPr>
            <w:r>
              <w:rPr>
                <w:rFonts w:ascii="Arial"/>
                <w:sz w:val="18"/>
              </w:rPr>
              <w:t>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center"/>
              <w:rPr>
                <w:rFonts w:ascii="Arial" w:hAnsi="Arial" w:cs="Arial" w:eastAsia="Arial" w:hint="default"/>
                <w:sz w:val="18"/>
                <w:szCs w:val="18"/>
              </w:rPr>
            </w:pPr>
            <w:r>
              <w:rPr>
                <w:rFonts w:ascii="Arial"/>
                <w:sz w:val="18"/>
              </w:rPr>
              <w:t>2.50</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8" w:right="0"/>
              <w:jc w:val="left"/>
              <w:rPr>
                <w:rFonts w:ascii="Arial" w:hAnsi="Arial" w:cs="Arial" w:eastAsia="Arial" w:hint="default"/>
                <w:sz w:val="18"/>
                <w:szCs w:val="18"/>
              </w:rPr>
            </w:pPr>
            <w:r>
              <w:rPr>
                <w:rFonts w:ascii="Arial"/>
                <w:sz w:val="18"/>
              </w:rPr>
              <w:t>16,832,9</w:t>
            </w:r>
          </w:p>
          <w:p>
            <w:pPr>
              <w:pStyle w:val="TableParagraph"/>
              <w:spacing w:line="240" w:lineRule="auto" w:before="105"/>
              <w:ind w:left="430" w:right="0"/>
              <w:jc w:val="left"/>
              <w:rPr>
                <w:rFonts w:ascii="Arial" w:hAnsi="Arial" w:cs="Arial" w:eastAsia="Arial" w:hint="default"/>
                <w:sz w:val="18"/>
                <w:szCs w:val="18"/>
              </w:rPr>
            </w:pPr>
            <w:r>
              <w:rPr>
                <w:rFonts w:ascii="Arial"/>
                <w:sz w:val="18"/>
              </w:rPr>
              <w:t>27.53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9" w:right="0"/>
              <w:jc w:val="left"/>
              <w:rPr>
                <w:rFonts w:ascii="Arial" w:hAnsi="Arial" w:cs="Arial" w:eastAsia="Arial" w:hint="default"/>
                <w:sz w:val="18"/>
                <w:szCs w:val="18"/>
              </w:rPr>
            </w:pPr>
            <w:r>
              <w:rPr>
                <w:rFonts w:ascii="Arial"/>
                <w:sz w:val="18"/>
              </w:rPr>
              <w:t>21,002,8</w:t>
            </w:r>
          </w:p>
          <w:p>
            <w:pPr>
              <w:pStyle w:val="TableParagraph"/>
              <w:spacing w:line="240" w:lineRule="auto" w:before="105"/>
              <w:ind w:left="429" w:right="0"/>
              <w:jc w:val="left"/>
              <w:rPr>
                <w:rFonts w:ascii="Arial" w:hAnsi="Arial" w:cs="Arial" w:eastAsia="Arial" w:hint="default"/>
                <w:sz w:val="18"/>
                <w:szCs w:val="18"/>
              </w:rPr>
            </w:pPr>
            <w:r>
              <w:rPr>
                <w:rFonts w:ascii="Arial"/>
                <w:sz w:val="18"/>
              </w:rPr>
              <w:t>48.68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center"/>
              <w:rPr>
                <w:rFonts w:ascii="Arial" w:hAnsi="Arial" w:cs="Arial" w:eastAsia="Arial" w:hint="default"/>
                <w:sz w:val="18"/>
                <w:szCs w:val="18"/>
              </w:rPr>
            </w:pPr>
            <w:r>
              <w:rPr>
                <w:rFonts w:ascii="Arial"/>
                <w:spacing w:val="-3"/>
                <w:sz w:val="18"/>
              </w:rPr>
              <w:t>2.11</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Arial" w:hAnsi="Arial" w:cs="Arial" w:eastAsia="Arial" w:hint="default"/>
                <w:sz w:val="18"/>
                <w:szCs w:val="18"/>
              </w:rPr>
            </w:pPr>
            <w:r>
              <w:rPr>
                <w:rFonts w:ascii="Arial"/>
                <w:sz w:val="18"/>
              </w:rPr>
              <w:t>525,07</w:t>
            </w:r>
          </w:p>
          <w:p>
            <w:pPr>
              <w:pStyle w:val="TableParagraph"/>
              <w:spacing w:line="240" w:lineRule="auto" w:before="105"/>
              <w:ind w:left="285" w:right="0"/>
              <w:jc w:val="center"/>
              <w:rPr>
                <w:rFonts w:ascii="Arial" w:hAnsi="Arial" w:cs="Arial" w:eastAsia="Arial" w:hint="default"/>
                <w:sz w:val="18"/>
                <w:szCs w:val="18"/>
              </w:rPr>
            </w:pPr>
            <w:r>
              <w:rPr>
                <w:rFonts w:ascii="Arial"/>
                <w:sz w:val="18"/>
              </w:rPr>
              <w:t>1.22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Arial" w:hAnsi="Arial" w:cs="Arial" w:eastAsia="Arial" w:hint="default"/>
                <w:sz w:val="18"/>
                <w:szCs w:val="18"/>
              </w:rPr>
            </w:pPr>
            <w:r>
              <w:rPr>
                <w:rFonts w:ascii="Arial"/>
                <w:sz w:val="18"/>
              </w:rPr>
              <w:t>2.50</w:t>
            </w:r>
          </w:p>
          <w:p>
            <w:pPr>
              <w:pStyle w:val="TableParagraph"/>
              <w:spacing w:line="240" w:lineRule="auto" w:before="105"/>
              <w:ind w:left="322" w:right="0"/>
              <w:jc w:val="center"/>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8" w:right="0"/>
              <w:jc w:val="left"/>
              <w:rPr>
                <w:rFonts w:ascii="Arial" w:hAnsi="Arial" w:cs="Arial" w:eastAsia="Arial" w:hint="default"/>
                <w:sz w:val="18"/>
                <w:szCs w:val="18"/>
              </w:rPr>
            </w:pPr>
            <w:r>
              <w:rPr>
                <w:rFonts w:ascii="Arial"/>
                <w:sz w:val="18"/>
              </w:rPr>
              <w:t>20,477,7</w:t>
            </w:r>
          </w:p>
          <w:p>
            <w:pPr>
              <w:pStyle w:val="TableParagraph"/>
              <w:spacing w:line="240" w:lineRule="auto" w:before="105"/>
              <w:ind w:left="368" w:right="0"/>
              <w:jc w:val="left"/>
              <w:rPr>
                <w:rFonts w:ascii="Arial" w:hAnsi="Arial" w:cs="Arial" w:eastAsia="Arial" w:hint="default"/>
                <w:sz w:val="18"/>
                <w:szCs w:val="18"/>
              </w:rPr>
            </w:pPr>
            <w:r>
              <w:rPr>
                <w:rFonts w:ascii="Arial"/>
                <w:sz w:val="18"/>
              </w:rPr>
              <w:t>77.46</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0"/>
              <w:jc w:val="both"/>
              <w:rPr>
                <w:rFonts w:ascii="宋体" w:hAnsi="宋体" w:cs="宋体" w:eastAsia="宋体" w:hint="default"/>
                <w:sz w:val="18"/>
                <w:szCs w:val="18"/>
              </w:rPr>
            </w:pPr>
            <w:r>
              <w:rPr>
                <w:rFonts w:ascii="宋体" w:hAnsi="宋体" w:cs="宋体" w:eastAsia="宋体" w:hint="default"/>
                <w:sz w:val="18"/>
                <w:szCs w:val="18"/>
              </w:rPr>
              <w:t>按组合计提 坏账准备的 应收账款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Arial" w:hAnsi="Arial" w:cs="Arial" w:eastAsia="Arial" w:hint="default"/>
                <w:sz w:val="18"/>
                <w:szCs w:val="18"/>
              </w:rPr>
            </w:pPr>
            <w:r>
              <w:rPr>
                <w:rFonts w:ascii="Arial"/>
                <w:sz w:val="18"/>
              </w:rPr>
              <w:t>1,178,63</w:t>
            </w:r>
          </w:p>
          <w:p>
            <w:pPr>
              <w:pStyle w:val="TableParagraph"/>
              <w:spacing w:line="240" w:lineRule="auto" w:before="105"/>
              <w:ind w:left="180" w:right="0"/>
              <w:jc w:val="left"/>
              <w:rPr>
                <w:rFonts w:ascii="Arial" w:hAnsi="Arial" w:cs="Arial" w:eastAsia="Arial" w:hint="default"/>
                <w:sz w:val="18"/>
                <w:szCs w:val="18"/>
              </w:rPr>
            </w:pPr>
            <w:r>
              <w:rPr>
                <w:rFonts w:ascii="Arial"/>
                <w:sz w:val="18"/>
              </w:rPr>
              <w:t>1,372.67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Arial" w:hAnsi="Arial" w:cs="Arial" w:eastAsia="Arial" w:hint="default"/>
                <w:sz w:val="18"/>
                <w:szCs w:val="18"/>
              </w:rPr>
            </w:pPr>
            <w:r>
              <w:rPr>
                <w:rFonts w:ascii="Arial"/>
                <w:sz w:val="18"/>
              </w:rPr>
              <w:t>98.56</w:t>
            </w:r>
          </w:p>
          <w:p>
            <w:pPr>
              <w:pStyle w:val="TableParagraph"/>
              <w:spacing w:line="240" w:lineRule="auto" w:before="105"/>
              <w:ind w:left="434"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 w:right="0"/>
              <w:jc w:val="left"/>
              <w:rPr>
                <w:rFonts w:ascii="Arial" w:hAnsi="Arial" w:cs="Arial" w:eastAsia="Arial" w:hint="default"/>
                <w:sz w:val="18"/>
                <w:szCs w:val="18"/>
              </w:rPr>
            </w:pPr>
            <w:r>
              <w:rPr>
                <w:rFonts w:ascii="Arial"/>
                <w:sz w:val="18"/>
              </w:rPr>
              <w:t>92,443,</w:t>
            </w:r>
          </w:p>
          <w:p>
            <w:pPr>
              <w:pStyle w:val="TableParagraph"/>
              <w:spacing w:line="240" w:lineRule="auto" w:before="105"/>
              <w:ind w:left="187" w:right="0"/>
              <w:jc w:val="left"/>
              <w:rPr>
                <w:rFonts w:ascii="Arial" w:hAnsi="Arial" w:cs="Arial" w:eastAsia="Arial" w:hint="default"/>
                <w:sz w:val="18"/>
                <w:szCs w:val="18"/>
              </w:rPr>
            </w:pPr>
            <w:r>
              <w:rPr>
                <w:rFonts w:ascii="Arial"/>
                <w:sz w:val="18"/>
              </w:rPr>
              <w:t>397.74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center"/>
              <w:rPr>
                <w:rFonts w:ascii="Arial" w:hAnsi="Arial" w:cs="Arial" w:eastAsia="Arial" w:hint="default"/>
                <w:sz w:val="18"/>
                <w:szCs w:val="18"/>
              </w:rPr>
            </w:pPr>
            <w:r>
              <w:rPr>
                <w:rFonts w:ascii="Arial"/>
                <w:sz w:val="18"/>
              </w:rPr>
              <w:t>7.84</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1,086,18</w:t>
            </w:r>
          </w:p>
          <w:p>
            <w:pPr>
              <w:pStyle w:val="TableParagraph"/>
              <w:spacing w:line="240" w:lineRule="auto" w:before="105"/>
              <w:ind w:left="178" w:right="0"/>
              <w:jc w:val="left"/>
              <w:rPr>
                <w:rFonts w:ascii="Arial" w:hAnsi="Arial" w:cs="Arial" w:eastAsia="Arial" w:hint="default"/>
                <w:sz w:val="18"/>
                <w:szCs w:val="18"/>
              </w:rPr>
            </w:pPr>
            <w:r>
              <w:rPr>
                <w:rFonts w:ascii="Arial"/>
                <w:sz w:val="18"/>
              </w:rPr>
              <w:t>7,974.93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Arial" w:hAnsi="Arial" w:cs="Arial" w:eastAsia="Arial" w:hint="default"/>
                <w:sz w:val="18"/>
                <w:szCs w:val="18"/>
              </w:rPr>
            </w:pPr>
            <w:r>
              <w:rPr>
                <w:rFonts w:ascii="Arial"/>
                <w:sz w:val="18"/>
              </w:rPr>
              <w:t>973,160,</w:t>
            </w:r>
          </w:p>
          <w:p>
            <w:pPr>
              <w:pStyle w:val="TableParagraph"/>
              <w:spacing w:line="240" w:lineRule="auto" w:before="105"/>
              <w:ind w:left="226" w:right="0"/>
              <w:jc w:val="center"/>
              <w:rPr>
                <w:rFonts w:ascii="Arial" w:hAnsi="Arial" w:cs="Arial" w:eastAsia="Arial" w:hint="default"/>
                <w:sz w:val="18"/>
                <w:szCs w:val="18"/>
              </w:rPr>
            </w:pPr>
            <w:r>
              <w:rPr>
                <w:rFonts w:ascii="Arial"/>
                <w:sz w:val="18"/>
              </w:rPr>
              <w:t>595.29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Arial" w:hAnsi="Arial" w:cs="Arial" w:eastAsia="Arial" w:hint="default"/>
                <w:sz w:val="18"/>
                <w:szCs w:val="18"/>
              </w:rPr>
            </w:pPr>
            <w:r>
              <w:rPr>
                <w:rFonts w:ascii="Arial"/>
                <w:sz w:val="18"/>
              </w:rPr>
              <w:t>97.89</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 w:right="0"/>
              <w:jc w:val="left"/>
              <w:rPr>
                <w:rFonts w:ascii="Arial" w:hAnsi="Arial" w:cs="Arial" w:eastAsia="Arial" w:hint="default"/>
                <w:sz w:val="18"/>
                <w:szCs w:val="18"/>
              </w:rPr>
            </w:pPr>
            <w:r>
              <w:rPr>
                <w:rFonts w:ascii="Arial"/>
                <w:sz w:val="18"/>
              </w:rPr>
              <w:t>71,435,</w:t>
            </w:r>
          </w:p>
          <w:p>
            <w:pPr>
              <w:pStyle w:val="TableParagraph"/>
              <w:spacing w:line="240" w:lineRule="auto" w:before="105"/>
              <w:ind w:left="187" w:right="0"/>
              <w:jc w:val="left"/>
              <w:rPr>
                <w:rFonts w:ascii="Arial" w:hAnsi="Arial" w:cs="Arial" w:eastAsia="Arial" w:hint="default"/>
                <w:sz w:val="18"/>
                <w:szCs w:val="18"/>
              </w:rPr>
            </w:pPr>
            <w:r>
              <w:rPr>
                <w:rFonts w:ascii="Arial"/>
                <w:sz w:val="18"/>
              </w:rPr>
              <w:t>300.32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 w:right="0"/>
              <w:jc w:val="center"/>
              <w:rPr>
                <w:rFonts w:ascii="Arial" w:hAnsi="Arial" w:cs="Arial" w:eastAsia="Arial" w:hint="default"/>
                <w:sz w:val="18"/>
                <w:szCs w:val="18"/>
              </w:rPr>
            </w:pPr>
            <w:r>
              <w:rPr>
                <w:rFonts w:ascii="Arial"/>
                <w:sz w:val="18"/>
              </w:rPr>
              <w:t>7.34</w:t>
            </w:r>
          </w:p>
          <w:p>
            <w:pPr>
              <w:pStyle w:val="TableParagraph"/>
              <w:spacing w:line="240" w:lineRule="auto" w:before="105"/>
              <w:ind w:left="322" w:right="0"/>
              <w:jc w:val="center"/>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center"/>
              <w:rPr>
                <w:rFonts w:ascii="Arial" w:hAnsi="Arial" w:cs="Arial" w:eastAsia="Arial" w:hint="default"/>
                <w:sz w:val="18"/>
                <w:szCs w:val="18"/>
              </w:rPr>
            </w:pPr>
            <w:r>
              <w:rPr>
                <w:rFonts w:ascii="Arial"/>
                <w:sz w:val="18"/>
              </w:rPr>
              <w:t>901,725,</w:t>
            </w:r>
          </w:p>
          <w:p>
            <w:pPr>
              <w:pStyle w:val="TableParagraph"/>
              <w:spacing w:line="240" w:lineRule="auto" w:before="105"/>
              <w:ind w:left="169" w:right="0"/>
              <w:jc w:val="center"/>
              <w:rPr>
                <w:rFonts w:ascii="Arial" w:hAnsi="Arial" w:cs="Arial" w:eastAsia="Arial" w:hint="default"/>
                <w:sz w:val="18"/>
                <w:szCs w:val="18"/>
              </w:rPr>
            </w:pPr>
            <w:r>
              <w:rPr>
                <w:rFonts w:ascii="Arial"/>
                <w:sz w:val="18"/>
              </w:rPr>
              <w:t>294.97</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left"/>
              <w:rPr>
                <w:rFonts w:ascii="宋体" w:hAnsi="宋体" w:cs="宋体" w:eastAsia="宋体" w:hint="default"/>
                <w:sz w:val="18"/>
                <w:szCs w:val="18"/>
              </w:rPr>
            </w:pPr>
            <w:r>
              <w:rPr>
                <w:rFonts w:ascii="宋体" w:hAnsi="宋体" w:cs="宋体" w:eastAsia="宋体" w:hint="default"/>
                <w:sz w:val="18"/>
                <w:szCs w:val="18"/>
              </w:rPr>
              <w:t>其中：政府 客户组合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Arial" w:hAnsi="Arial" w:cs="Arial" w:eastAsia="Arial" w:hint="default"/>
                <w:sz w:val="18"/>
                <w:szCs w:val="18"/>
              </w:rPr>
            </w:pPr>
            <w:r>
              <w:rPr>
                <w:rFonts w:ascii="Arial"/>
                <w:sz w:val="18"/>
              </w:rPr>
              <w:t>853,319,</w:t>
            </w:r>
          </w:p>
          <w:p>
            <w:pPr>
              <w:pStyle w:val="TableParagraph"/>
              <w:spacing w:line="240" w:lineRule="auto" w:before="105"/>
              <w:ind w:left="230" w:right="0"/>
              <w:jc w:val="center"/>
              <w:rPr>
                <w:rFonts w:ascii="Arial" w:hAnsi="Arial" w:cs="Arial" w:eastAsia="Arial" w:hint="default"/>
                <w:sz w:val="18"/>
                <w:szCs w:val="18"/>
              </w:rPr>
            </w:pPr>
            <w:r>
              <w:rPr>
                <w:rFonts w:ascii="Arial"/>
                <w:sz w:val="18"/>
              </w:rPr>
              <w:t>821.47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Arial" w:hAnsi="Arial" w:cs="Arial" w:eastAsia="Arial" w:hint="default"/>
                <w:sz w:val="18"/>
                <w:szCs w:val="18"/>
              </w:rPr>
            </w:pPr>
            <w:r>
              <w:rPr>
                <w:rFonts w:ascii="Arial"/>
                <w:sz w:val="18"/>
              </w:rPr>
              <w:t>71.35</w:t>
            </w:r>
          </w:p>
          <w:p>
            <w:pPr>
              <w:pStyle w:val="TableParagraph"/>
              <w:spacing w:line="240" w:lineRule="auto" w:before="105"/>
              <w:ind w:left="434"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61,614,</w:t>
            </w:r>
          </w:p>
          <w:p>
            <w:pPr>
              <w:pStyle w:val="TableParagraph"/>
              <w:spacing w:line="240" w:lineRule="auto" w:before="105"/>
              <w:ind w:left="187" w:right="0"/>
              <w:jc w:val="left"/>
              <w:rPr>
                <w:rFonts w:ascii="Arial" w:hAnsi="Arial" w:cs="Arial" w:eastAsia="Arial" w:hint="default"/>
                <w:sz w:val="18"/>
                <w:szCs w:val="18"/>
              </w:rPr>
            </w:pPr>
            <w:r>
              <w:rPr>
                <w:rFonts w:ascii="Arial"/>
                <w:sz w:val="18"/>
              </w:rPr>
              <w:t>970.03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center"/>
              <w:rPr>
                <w:rFonts w:ascii="Arial" w:hAnsi="Arial" w:cs="Arial" w:eastAsia="Arial" w:hint="default"/>
                <w:sz w:val="18"/>
                <w:szCs w:val="18"/>
              </w:rPr>
            </w:pPr>
            <w:r>
              <w:rPr>
                <w:rFonts w:ascii="Arial"/>
                <w:sz w:val="18"/>
              </w:rPr>
              <w:t>7.22</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Arial" w:hAnsi="Arial" w:cs="Arial" w:eastAsia="Arial" w:hint="default"/>
                <w:sz w:val="18"/>
                <w:szCs w:val="18"/>
              </w:rPr>
            </w:pPr>
            <w:r>
              <w:rPr>
                <w:rFonts w:ascii="Arial"/>
                <w:sz w:val="18"/>
              </w:rPr>
              <w:t>791,704,</w:t>
            </w:r>
          </w:p>
          <w:p>
            <w:pPr>
              <w:pStyle w:val="TableParagraph"/>
              <w:spacing w:line="240" w:lineRule="auto" w:before="105"/>
              <w:ind w:left="227" w:right="0"/>
              <w:jc w:val="center"/>
              <w:rPr>
                <w:rFonts w:ascii="Arial" w:hAnsi="Arial" w:cs="Arial" w:eastAsia="Arial" w:hint="default"/>
                <w:sz w:val="18"/>
                <w:szCs w:val="18"/>
              </w:rPr>
            </w:pPr>
            <w:r>
              <w:rPr>
                <w:rFonts w:ascii="Arial"/>
                <w:sz w:val="18"/>
              </w:rPr>
              <w:t>851.44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Arial" w:hAnsi="Arial" w:cs="Arial" w:eastAsia="Arial" w:hint="default"/>
                <w:sz w:val="18"/>
                <w:szCs w:val="18"/>
              </w:rPr>
            </w:pPr>
            <w:r>
              <w:rPr>
                <w:rFonts w:ascii="Arial"/>
                <w:sz w:val="18"/>
              </w:rPr>
              <w:t>735,425,</w:t>
            </w:r>
          </w:p>
          <w:p>
            <w:pPr>
              <w:pStyle w:val="TableParagraph"/>
              <w:spacing w:line="240" w:lineRule="auto" w:before="105"/>
              <w:ind w:left="226" w:right="0"/>
              <w:jc w:val="center"/>
              <w:rPr>
                <w:rFonts w:ascii="Arial" w:hAnsi="Arial" w:cs="Arial" w:eastAsia="Arial" w:hint="default"/>
                <w:sz w:val="18"/>
                <w:szCs w:val="18"/>
              </w:rPr>
            </w:pPr>
            <w:r>
              <w:rPr>
                <w:rFonts w:ascii="Arial"/>
                <w:sz w:val="18"/>
              </w:rPr>
              <w:t>902.58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Arial" w:hAnsi="Arial" w:cs="Arial" w:eastAsia="Arial" w:hint="default"/>
                <w:sz w:val="18"/>
                <w:szCs w:val="18"/>
              </w:rPr>
            </w:pPr>
            <w:r>
              <w:rPr>
                <w:rFonts w:ascii="Arial"/>
                <w:sz w:val="18"/>
              </w:rPr>
              <w:t>73.97</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46,141,</w:t>
            </w:r>
          </w:p>
          <w:p>
            <w:pPr>
              <w:pStyle w:val="TableParagraph"/>
              <w:spacing w:line="240" w:lineRule="auto" w:before="105"/>
              <w:ind w:left="187" w:right="0"/>
              <w:jc w:val="left"/>
              <w:rPr>
                <w:rFonts w:ascii="Arial" w:hAnsi="Arial" w:cs="Arial" w:eastAsia="Arial" w:hint="default"/>
                <w:sz w:val="18"/>
                <w:szCs w:val="18"/>
              </w:rPr>
            </w:pPr>
            <w:r>
              <w:rPr>
                <w:rFonts w:ascii="Arial"/>
                <w:sz w:val="18"/>
              </w:rPr>
              <w:t>371.19</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center"/>
              <w:rPr>
                <w:rFonts w:ascii="Arial" w:hAnsi="Arial" w:cs="Arial" w:eastAsia="Arial" w:hint="default"/>
                <w:sz w:val="18"/>
                <w:szCs w:val="18"/>
              </w:rPr>
            </w:pPr>
            <w:r>
              <w:rPr>
                <w:rFonts w:ascii="Arial"/>
                <w:sz w:val="18"/>
              </w:rPr>
              <w:t>6.27</w:t>
            </w:r>
          </w:p>
          <w:p>
            <w:pPr>
              <w:pStyle w:val="TableParagraph"/>
              <w:spacing w:line="240" w:lineRule="auto" w:before="105"/>
              <w:ind w:left="322" w:right="0"/>
              <w:jc w:val="center"/>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Arial" w:hAnsi="Arial" w:cs="Arial" w:eastAsia="Arial" w:hint="default"/>
                <w:sz w:val="18"/>
                <w:szCs w:val="18"/>
              </w:rPr>
            </w:pPr>
            <w:r>
              <w:rPr>
                <w:rFonts w:ascii="Arial"/>
                <w:sz w:val="18"/>
              </w:rPr>
              <w:t>689,284,</w:t>
            </w:r>
          </w:p>
          <w:p>
            <w:pPr>
              <w:pStyle w:val="TableParagraph"/>
              <w:spacing w:line="240" w:lineRule="auto" w:before="105"/>
              <w:ind w:left="169" w:right="0"/>
              <w:jc w:val="center"/>
              <w:rPr>
                <w:rFonts w:ascii="Arial" w:hAnsi="Arial" w:cs="Arial" w:eastAsia="Arial" w:hint="default"/>
                <w:sz w:val="18"/>
                <w:szCs w:val="18"/>
              </w:rPr>
            </w:pPr>
            <w:r>
              <w:rPr>
                <w:rFonts w:ascii="Arial"/>
                <w:sz w:val="18"/>
              </w:rPr>
              <w:t>531.39</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firstLine="360"/>
              <w:jc w:val="left"/>
              <w:rPr>
                <w:rFonts w:ascii="宋体" w:hAnsi="宋体" w:cs="宋体" w:eastAsia="宋体" w:hint="default"/>
                <w:sz w:val="18"/>
                <w:szCs w:val="18"/>
              </w:rPr>
            </w:pPr>
            <w:r>
              <w:rPr>
                <w:rFonts w:ascii="宋体" w:hAnsi="宋体" w:cs="宋体" w:eastAsia="宋体" w:hint="default"/>
                <w:sz w:val="18"/>
                <w:szCs w:val="18"/>
              </w:rPr>
              <w:t>其他客 户组合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Arial" w:hAnsi="Arial" w:cs="Arial" w:eastAsia="Arial" w:hint="default"/>
                <w:sz w:val="18"/>
                <w:szCs w:val="18"/>
              </w:rPr>
            </w:pPr>
            <w:r>
              <w:rPr>
                <w:rFonts w:ascii="Arial"/>
                <w:sz w:val="18"/>
              </w:rPr>
              <w:t>325,311,</w:t>
            </w:r>
          </w:p>
          <w:p>
            <w:pPr>
              <w:pStyle w:val="TableParagraph"/>
              <w:spacing w:line="240" w:lineRule="auto" w:before="105"/>
              <w:ind w:left="230" w:right="0"/>
              <w:jc w:val="center"/>
              <w:rPr>
                <w:rFonts w:ascii="Arial" w:hAnsi="Arial" w:cs="Arial" w:eastAsia="Arial" w:hint="default"/>
                <w:sz w:val="18"/>
                <w:szCs w:val="18"/>
              </w:rPr>
            </w:pPr>
            <w:r>
              <w:rPr>
                <w:rFonts w:ascii="Arial"/>
                <w:sz w:val="18"/>
              </w:rPr>
              <w:t>551.20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Arial" w:hAnsi="Arial" w:cs="Arial" w:eastAsia="Arial" w:hint="default"/>
                <w:sz w:val="18"/>
                <w:szCs w:val="18"/>
              </w:rPr>
            </w:pPr>
            <w:r>
              <w:rPr>
                <w:rFonts w:ascii="Arial"/>
                <w:sz w:val="18"/>
              </w:rPr>
              <w:t>27.21</w:t>
            </w:r>
          </w:p>
          <w:p>
            <w:pPr>
              <w:pStyle w:val="TableParagraph"/>
              <w:spacing w:line="240" w:lineRule="auto" w:before="105"/>
              <w:ind w:left="434"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Arial" w:hAnsi="Arial" w:cs="Arial" w:eastAsia="Arial" w:hint="default"/>
                <w:sz w:val="18"/>
                <w:szCs w:val="18"/>
              </w:rPr>
            </w:pPr>
            <w:r>
              <w:rPr>
                <w:rFonts w:ascii="Arial"/>
                <w:sz w:val="18"/>
              </w:rPr>
              <w:t>30,828,</w:t>
            </w:r>
          </w:p>
          <w:p>
            <w:pPr>
              <w:pStyle w:val="TableParagraph"/>
              <w:spacing w:line="240" w:lineRule="auto" w:before="105"/>
              <w:ind w:left="187" w:right="0"/>
              <w:jc w:val="left"/>
              <w:rPr>
                <w:rFonts w:ascii="Arial" w:hAnsi="Arial" w:cs="Arial" w:eastAsia="Arial" w:hint="default"/>
                <w:sz w:val="18"/>
                <w:szCs w:val="18"/>
              </w:rPr>
            </w:pPr>
            <w:r>
              <w:rPr>
                <w:rFonts w:ascii="Arial"/>
                <w:sz w:val="18"/>
              </w:rPr>
              <w:t>427.71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center"/>
              <w:rPr>
                <w:rFonts w:ascii="Arial" w:hAnsi="Arial" w:cs="Arial" w:eastAsia="Arial" w:hint="default"/>
                <w:sz w:val="18"/>
                <w:szCs w:val="18"/>
              </w:rPr>
            </w:pPr>
            <w:r>
              <w:rPr>
                <w:rFonts w:ascii="Arial"/>
                <w:sz w:val="18"/>
              </w:rPr>
              <w:t>9.48</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Arial" w:hAnsi="Arial" w:cs="Arial" w:eastAsia="Arial" w:hint="default"/>
                <w:sz w:val="18"/>
                <w:szCs w:val="18"/>
              </w:rPr>
            </w:pPr>
            <w:r>
              <w:rPr>
                <w:rFonts w:ascii="Arial"/>
                <w:sz w:val="18"/>
              </w:rPr>
              <w:t>294,483,</w:t>
            </w:r>
          </w:p>
          <w:p>
            <w:pPr>
              <w:pStyle w:val="TableParagraph"/>
              <w:spacing w:line="240" w:lineRule="auto" w:before="105"/>
              <w:ind w:left="227" w:right="0"/>
              <w:jc w:val="center"/>
              <w:rPr>
                <w:rFonts w:ascii="Arial" w:hAnsi="Arial" w:cs="Arial" w:eastAsia="Arial" w:hint="default"/>
                <w:sz w:val="18"/>
                <w:szCs w:val="18"/>
              </w:rPr>
            </w:pPr>
            <w:r>
              <w:rPr>
                <w:rFonts w:ascii="Arial"/>
                <w:sz w:val="18"/>
              </w:rPr>
              <w:t>123.49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Arial" w:hAnsi="Arial" w:cs="Arial" w:eastAsia="Arial" w:hint="default"/>
                <w:sz w:val="18"/>
                <w:szCs w:val="18"/>
              </w:rPr>
            </w:pPr>
            <w:r>
              <w:rPr>
                <w:rFonts w:ascii="Arial"/>
                <w:sz w:val="18"/>
              </w:rPr>
              <w:t>237,734,</w:t>
            </w:r>
          </w:p>
          <w:p>
            <w:pPr>
              <w:pStyle w:val="TableParagraph"/>
              <w:spacing w:line="240" w:lineRule="auto" w:before="105"/>
              <w:ind w:left="226" w:right="0"/>
              <w:jc w:val="center"/>
              <w:rPr>
                <w:rFonts w:ascii="Arial" w:hAnsi="Arial" w:cs="Arial" w:eastAsia="Arial" w:hint="default"/>
                <w:sz w:val="18"/>
                <w:szCs w:val="18"/>
              </w:rPr>
            </w:pPr>
            <w:r>
              <w:rPr>
                <w:rFonts w:ascii="Arial"/>
                <w:sz w:val="18"/>
              </w:rPr>
              <w:t>692.71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Arial" w:hAnsi="Arial" w:cs="Arial" w:eastAsia="Arial" w:hint="default"/>
                <w:sz w:val="18"/>
                <w:szCs w:val="18"/>
              </w:rPr>
            </w:pPr>
            <w:r>
              <w:rPr>
                <w:rFonts w:ascii="Arial"/>
                <w:sz w:val="18"/>
              </w:rPr>
              <w:t>23.92</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 w:right="0"/>
              <w:jc w:val="left"/>
              <w:rPr>
                <w:rFonts w:ascii="Arial" w:hAnsi="Arial" w:cs="Arial" w:eastAsia="Arial" w:hint="default"/>
                <w:sz w:val="18"/>
                <w:szCs w:val="18"/>
              </w:rPr>
            </w:pPr>
            <w:r>
              <w:rPr>
                <w:rFonts w:ascii="Arial"/>
                <w:sz w:val="18"/>
              </w:rPr>
              <w:t>25,293,</w:t>
            </w:r>
          </w:p>
          <w:p>
            <w:pPr>
              <w:pStyle w:val="TableParagraph"/>
              <w:spacing w:line="240" w:lineRule="auto" w:before="105"/>
              <w:ind w:left="187" w:right="0"/>
              <w:jc w:val="left"/>
              <w:rPr>
                <w:rFonts w:ascii="Arial" w:hAnsi="Arial" w:cs="Arial" w:eastAsia="Arial" w:hint="default"/>
                <w:sz w:val="18"/>
                <w:szCs w:val="18"/>
              </w:rPr>
            </w:pPr>
            <w:r>
              <w:rPr>
                <w:rFonts w:ascii="Arial"/>
                <w:sz w:val="18"/>
              </w:rPr>
              <w:t>929.13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Arial" w:hAnsi="Arial" w:cs="Arial" w:eastAsia="Arial" w:hint="default"/>
                <w:sz w:val="18"/>
                <w:szCs w:val="18"/>
              </w:rPr>
            </w:pPr>
            <w:r>
              <w:rPr>
                <w:rFonts w:ascii="Arial"/>
                <w:sz w:val="18"/>
              </w:rPr>
              <w:t>10.64</w:t>
            </w:r>
          </w:p>
          <w:p>
            <w:pPr>
              <w:pStyle w:val="TableParagraph"/>
              <w:spacing w:line="240" w:lineRule="auto" w:before="105"/>
              <w:ind w:left="424" w:right="0"/>
              <w:jc w:val="left"/>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Arial" w:hAnsi="Arial" w:cs="Arial" w:eastAsia="Arial" w:hint="default"/>
                <w:sz w:val="18"/>
                <w:szCs w:val="18"/>
              </w:rPr>
            </w:pPr>
            <w:r>
              <w:rPr>
                <w:rFonts w:ascii="Arial"/>
                <w:sz w:val="18"/>
              </w:rPr>
              <w:t>212,440,</w:t>
            </w:r>
          </w:p>
          <w:p>
            <w:pPr>
              <w:pStyle w:val="TableParagraph"/>
              <w:spacing w:line="240" w:lineRule="auto" w:before="105"/>
              <w:ind w:left="169" w:right="0"/>
              <w:jc w:val="center"/>
              <w:rPr>
                <w:rFonts w:ascii="Arial" w:hAnsi="Arial" w:cs="Arial" w:eastAsia="Arial" w:hint="default"/>
                <w:sz w:val="18"/>
                <w:szCs w:val="18"/>
              </w:rPr>
            </w:pPr>
            <w:r>
              <w:rPr>
                <w:rFonts w:ascii="Arial"/>
                <w:sz w:val="18"/>
              </w:rPr>
              <w:t>763.58</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Arial" w:hAnsi="Arial" w:cs="Arial" w:eastAsia="Arial" w:hint="default"/>
                <w:sz w:val="18"/>
                <w:szCs w:val="18"/>
              </w:rPr>
            </w:pPr>
            <w:r>
              <w:rPr>
                <w:rFonts w:ascii="Arial"/>
                <w:sz w:val="18"/>
              </w:rPr>
              <w:t>1,195,89</w:t>
            </w:r>
          </w:p>
          <w:p>
            <w:pPr>
              <w:pStyle w:val="TableParagraph"/>
              <w:spacing w:line="240" w:lineRule="auto" w:before="105"/>
              <w:ind w:left="180" w:right="0"/>
              <w:jc w:val="left"/>
              <w:rPr>
                <w:rFonts w:ascii="Arial" w:hAnsi="Arial" w:cs="Arial" w:eastAsia="Arial" w:hint="default"/>
                <w:sz w:val="18"/>
                <w:szCs w:val="18"/>
              </w:rPr>
            </w:pPr>
            <w:r>
              <w:rPr>
                <w:rFonts w:ascii="Arial"/>
                <w:sz w:val="18"/>
              </w:rPr>
              <w:t>5,913.73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Arial" w:hAnsi="Arial" w:cs="Arial" w:eastAsia="Arial" w:hint="default"/>
                <w:sz w:val="18"/>
                <w:szCs w:val="18"/>
              </w:rPr>
            </w:pPr>
            <w:r>
              <w:rPr>
                <w:rFonts w:ascii="Arial"/>
                <w:sz w:val="18"/>
              </w:rPr>
              <w:t>100.0</w:t>
            </w:r>
          </w:p>
          <w:p>
            <w:pPr>
              <w:pStyle w:val="TableParagraph"/>
              <w:spacing w:line="240" w:lineRule="auto" w:before="105"/>
              <w:ind w:left="230" w:right="0"/>
              <w:jc w:val="center"/>
              <w:rPr>
                <w:rFonts w:ascii="Arial" w:hAnsi="Arial" w:cs="Arial" w:eastAsia="Arial" w:hint="default"/>
                <w:sz w:val="18"/>
                <w:szCs w:val="18"/>
              </w:rPr>
            </w:pPr>
            <w:r>
              <w:rPr>
                <w:rFonts w:ascii="Arial"/>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92,875,</w:t>
            </w:r>
          </w:p>
          <w:p>
            <w:pPr>
              <w:pStyle w:val="TableParagraph"/>
              <w:spacing w:line="240" w:lineRule="auto" w:before="105"/>
              <w:ind w:left="202" w:right="0"/>
              <w:jc w:val="left"/>
              <w:rPr>
                <w:rFonts w:ascii="Arial" w:hAnsi="Arial" w:cs="Arial" w:eastAsia="Arial" w:hint="default"/>
                <w:sz w:val="18"/>
                <w:szCs w:val="18"/>
              </w:rPr>
            </w:pPr>
            <w:r>
              <w:rPr>
                <w:rFonts w:ascii="Arial"/>
                <w:spacing w:val="-3"/>
                <w:sz w:val="18"/>
              </w:rPr>
              <w:t>011.27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center"/>
              <w:rPr>
                <w:rFonts w:ascii="Arial" w:hAnsi="Arial" w:cs="Arial" w:eastAsia="Arial" w:hint="default"/>
                <w:sz w:val="18"/>
                <w:szCs w:val="18"/>
              </w:rPr>
            </w:pPr>
            <w:r>
              <w:rPr>
                <w:rFonts w:ascii="Arial"/>
                <w:sz w:val="18"/>
              </w:rPr>
              <w:t>7.77</w:t>
            </w:r>
          </w:p>
          <w:p>
            <w:pPr>
              <w:pStyle w:val="TableParagraph"/>
              <w:spacing w:line="240" w:lineRule="auto" w:before="105"/>
              <w:ind w:left="332"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 w:right="0"/>
              <w:jc w:val="left"/>
              <w:rPr>
                <w:rFonts w:ascii="Arial" w:hAnsi="Arial" w:cs="Arial" w:eastAsia="Arial" w:hint="default"/>
                <w:sz w:val="18"/>
                <w:szCs w:val="18"/>
              </w:rPr>
            </w:pPr>
            <w:r>
              <w:rPr>
                <w:rFonts w:ascii="Arial"/>
                <w:sz w:val="18"/>
              </w:rPr>
              <w:t>1,103,02</w:t>
            </w:r>
          </w:p>
          <w:p>
            <w:pPr>
              <w:pStyle w:val="TableParagraph"/>
              <w:spacing w:line="240" w:lineRule="auto" w:before="105"/>
              <w:ind w:left="178" w:right="0"/>
              <w:jc w:val="left"/>
              <w:rPr>
                <w:rFonts w:ascii="Arial" w:hAnsi="Arial" w:cs="Arial" w:eastAsia="Arial" w:hint="default"/>
                <w:sz w:val="18"/>
                <w:szCs w:val="18"/>
              </w:rPr>
            </w:pPr>
            <w:r>
              <w:rPr>
                <w:rFonts w:ascii="Arial"/>
                <w:sz w:val="18"/>
              </w:rPr>
              <w:t>0,902.46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Arial" w:hAnsi="Arial" w:cs="Arial" w:eastAsia="Arial" w:hint="default"/>
                <w:sz w:val="18"/>
                <w:szCs w:val="18"/>
              </w:rPr>
            </w:pPr>
            <w:r>
              <w:rPr>
                <w:rFonts w:ascii="Arial"/>
                <w:sz w:val="18"/>
              </w:rPr>
              <w:t>994,163,</w:t>
            </w:r>
          </w:p>
          <w:p>
            <w:pPr>
              <w:pStyle w:val="TableParagraph"/>
              <w:spacing w:line="240" w:lineRule="auto" w:before="105"/>
              <w:ind w:left="226" w:right="0"/>
              <w:jc w:val="center"/>
              <w:rPr>
                <w:rFonts w:ascii="Arial" w:hAnsi="Arial" w:cs="Arial" w:eastAsia="Arial" w:hint="default"/>
                <w:sz w:val="18"/>
                <w:szCs w:val="18"/>
              </w:rPr>
            </w:pPr>
            <w:r>
              <w:rPr>
                <w:rFonts w:ascii="Arial"/>
                <w:sz w:val="18"/>
              </w:rPr>
              <w:t>443.97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Arial" w:hAnsi="Arial" w:cs="Arial" w:eastAsia="Arial" w:hint="default"/>
                <w:sz w:val="18"/>
                <w:szCs w:val="18"/>
              </w:rPr>
            </w:pPr>
            <w:r>
              <w:rPr>
                <w:rFonts w:ascii="Arial"/>
                <w:sz w:val="18"/>
              </w:rPr>
              <w:t>100.0</w:t>
            </w:r>
          </w:p>
          <w:p>
            <w:pPr>
              <w:pStyle w:val="TableParagraph"/>
              <w:spacing w:line="240" w:lineRule="auto" w:before="105"/>
              <w:ind w:left="231" w:right="0"/>
              <w:jc w:val="center"/>
              <w:rPr>
                <w:rFonts w:ascii="Arial" w:hAnsi="Arial" w:cs="Arial" w:eastAsia="Arial" w:hint="default"/>
                <w:sz w:val="18"/>
                <w:szCs w:val="18"/>
              </w:rPr>
            </w:pPr>
            <w:r>
              <w:rPr>
                <w:rFonts w:ascii="Arial"/>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71,960,</w:t>
            </w:r>
          </w:p>
          <w:p>
            <w:pPr>
              <w:pStyle w:val="TableParagraph"/>
              <w:spacing w:line="240" w:lineRule="auto" w:before="105"/>
              <w:ind w:left="187" w:right="0"/>
              <w:jc w:val="left"/>
              <w:rPr>
                <w:rFonts w:ascii="Arial" w:hAnsi="Arial" w:cs="Arial" w:eastAsia="Arial" w:hint="default"/>
                <w:sz w:val="18"/>
                <w:szCs w:val="18"/>
              </w:rPr>
            </w:pPr>
            <w:r>
              <w:rPr>
                <w:rFonts w:ascii="Arial"/>
                <w:sz w:val="18"/>
              </w:rPr>
              <w:t>371.54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center"/>
              <w:rPr>
                <w:rFonts w:ascii="Arial" w:hAnsi="Arial" w:cs="Arial" w:eastAsia="Arial" w:hint="default"/>
                <w:sz w:val="18"/>
                <w:szCs w:val="18"/>
              </w:rPr>
            </w:pPr>
            <w:r>
              <w:rPr>
                <w:rFonts w:ascii="Arial"/>
                <w:sz w:val="18"/>
              </w:rPr>
              <w:t>7.24</w:t>
            </w:r>
          </w:p>
          <w:p>
            <w:pPr>
              <w:pStyle w:val="TableParagraph"/>
              <w:spacing w:line="240" w:lineRule="auto" w:before="105"/>
              <w:ind w:left="322" w:right="0"/>
              <w:jc w:val="center"/>
              <w:rPr>
                <w:rFonts w:ascii="Arial" w:hAnsi="Arial" w:cs="Arial" w:eastAsia="Arial" w:hint="default"/>
                <w:sz w:val="18"/>
                <w:szCs w:val="18"/>
              </w:rPr>
            </w:pPr>
            <w:r>
              <w:rPr>
                <w:rFonts w:ascii="Arial"/>
                <w:w w:val="99"/>
                <w:sz w:val="18"/>
              </w:rPr>
              <w:t>%</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Arial" w:hAnsi="Arial" w:cs="Arial" w:eastAsia="Arial" w:hint="default"/>
                <w:sz w:val="18"/>
                <w:szCs w:val="18"/>
              </w:rPr>
            </w:pPr>
            <w:r>
              <w:rPr>
                <w:rFonts w:ascii="Arial"/>
                <w:sz w:val="18"/>
              </w:rPr>
              <w:t>922,203,</w:t>
            </w:r>
          </w:p>
          <w:p>
            <w:pPr>
              <w:pStyle w:val="TableParagraph"/>
              <w:spacing w:line="240" w:lineRule="auto" w:before="105"/>
              <w:ind w:left="169" w:right="0"/>
              <w:jc w:val="center"/>
              <w:rPr>
                <w:rFonts w:ascii="Arial" w:hAnsi="Arial" w:cs="Arial" w:eastAsia="Arial" w:hint="default"/>
                <w:sz w:val="18"/>
                <w:szCs w:val="18"/>
              </w:rPr>
            </w:pPr>
            <w:r>
              <w:rPr>
                <w:rFonts w:ascii="Arial"/>
                <w:sz w:val="18"/>
              </w:rPr>
              <w:t>072.43</w:t>
            </w:r>
          </w:p>
        </w:tc>
      </w:tr>
    </w:tbl>
    <w:p>
      <w:pPr>
        <w:spacing w:after="0" w:line="240" w:lineRule="auto"/>
        <w:jc w:val="center"/>
        <w:rPr>
          <w:rFonts w:ascii="Arial" w:hAnsi="Arial" w:cs="Arial" w:eastAsia="Arial" w:hint="default"/>
          <w:sz w:val="18"/>
          <w:szCs w:val="18"/>
        </w:rPr>
        <w:sectPr>
          <w:footerReference w:type="default" r:id="rId40"/>
          <w:pgSz w:w="11910" w:h="16840"/>
          <w:pgMar w:footer="1016" w:header="878" w:top="1100" w:bottom="1200" w:left="1020" w:right="0"/>
          <w:pgNumType w:start="160"/>
        </w:sectPr>
      </w:pPr>
    </w:p>
    <w:p>
      <w:pPr>
        <w:pStyle w:val="BodyText"/>
        <w:spacing w:line="240" w:lineRule="auto" w:before="25"/>
        <w:ind w:right="0"/>
        <w:jc w:val="left"/>
      </w:pPr>
      <w:r>
        <w:rPr>
          <w:w w:val="95"/>
        </w:rPr>
        <w:t>按单项计提坏账准备：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1" w:right="0"/>
              <w:jc w:val="left"/>
              <w:rPr>
                <w:rFonts w:ascii="Arial" w:hAnsi="Arial" w:cs="Arial" w:eastAsia="Arial" w:hint="default"/>
                <w:sz w:val="18"/>
                <w:szCs w:val="18"/>
              </w:rPr>
            </w:pPr>
            <w:r>
              <w:rPr>
                <w:rFonts w:ascii="Arial"/>
                <w:sz w:val="18"/>
              </w:rPr>
              <w:t>17,264,541.06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431,613.53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按预期损失率计提</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1" w:right="0"/>
              <w:jc w:val="left"/>
              <w:rPr>
                <w:rFonts w:ascii="Arial" w:hAnsi="Arial" w:cs="Arial" w:eastAsia="Arial" w:hint="default"/>
                <w:sz w:val="18"/>
                <w:szCs w:val="18"/>
              </w:rPr>
            </w:pPr>
            <w:r>
              <w:rPr>
                <w:rFonts w:ascii="Arial"/>
                <w:sz w:val="18"/>
              </w:rPr>
              <w:t>17,264,541.06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431,613.53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200" w:left="1020" w:right="0"/>
        </w:sectPr>
      </w:pPr>
    </w:p>
    <w:p>
      <w:pPr>
        <w:pStyle w:val="BodyText"/>
        <w:spacing w:line="240" w:lineRule="auto" w:before="25"/>
        <w:ind w:right="0"/>
        <w:jc w:val="left"/>
      </w:pPr>
      <w:r>
        <w:rPr>
          <w:w w:val="95"/>
        </w:rPr>
        <w:t>政府客户组合计提坏账准备：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842" w:space="598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542,871,932.23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1,085,743.86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0.20%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166,991,631.43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8,349,581.58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62,841,536.91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6,284,153.69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35,681,381.67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10,704,414.50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16,656,879.73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8,328,439.87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28,276,459.50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26,862,636.53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853,319,821.47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61,614,970.03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200" w:left="1020" w:right="0"/>
        </w:sectPr>
      </w:pPr>
    </w:p>
    <w:p>
      <w:pPr>
        <w:pStyle w:val="BodyText"/>
        <w:spacing w:line="240" w:lineRule="auto" w:before="26"/>
        <w:ind w:right="0"/>
        <w:jc w:val="left"/>
      </w:pPr>
      <w:r>
        <w:rPr>
          <w:w w:val="95"/>
        </w:rPr>
        <w:t>其他客户组合计提坏账准备：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842" w:space="5987"/>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195,454,616.47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1,954,546.18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80,760,068.90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4,038,003.44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17,642,034.26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1,764,203.43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10.00%</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9,408,035.15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2,822,410.55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3,595,064.64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1,797,532.33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18,451,731.78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18,451,731.78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325,311,551.20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30,828,427.71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878" w:footer="1016" w:top="1100" w:bottom="1200" w:left="1020" w:right="0"/>
        </w:sectPr>
      </w:pPr>
    </w:p>
    <w:p>
      <w:pPr>
        <w:pStyle w:val="BodyText"/>
        <w:spacing w:line="240" w:lineRule="auto" w:before="27"/>
        <w:ind w:right="0"/>
        <w:jc w:val="left"/>
      </w:pPr>
      <w:r>
        <w:rPr>
          <w:w w:val="95"/>
        </w:rPr>
        <w:t>按账龄披露</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162" w:space="766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738,340,801.08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247,751,700.33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80,483,571.17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48,841,976.82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20,251,944.37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60,225,919.96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1"/>
                <w:sz w:val="18"/>
              </w:rPr>
              <w:t>1,195,895,913.73</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2）本期计提、收回或转回的坏账准备情况" w:id="219"/>
      <w:bookmarkEnd w:id="219"/>
      <w:r>
        <w:rPr>
          <w:b w:val="0"/>
          <w:bCs w:val="0"/>
        </w:rPr>
      </w:r>
      <w:r>
        <w:rPr/>
        <w:t>（</w:t>
      </w:r>
      <w:r>
        <w:rPr>
          <w:rFonts w:ascii="Arial" w:hAnsi="Arial" w:cs="Arial" w:eastAsia="Arial"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71,960,371.54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26,261,080.63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486,054.45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4,860,386.45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92,875,011.27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71,960,371.54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26,261,080.63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486,054.45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4,860,386.45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2"/>
                <w:sz w:val="18"/>
              </w:rPr>
              <w:t>92,875,011.27</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3）本期实际核销的应收账款情况" w:id="220"/>
      <w:bookmarkEnd w:id="220"/>
      <w:r>
        <w:rPr>
          <w:b w:val="0"/>
          <w:bCs w:val="0"/>
        </w:rPr>
      </w:r>
      <w:r>
        <w:rPr/>
        <w:t>（</w:t>
      </w:r>
      <w:r>
        <w:rPr>
          <w:rFonts w:ascii="Arial" w:hAnsi="Arial" w:cs="Arial" w:eastAsia="Arial"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实际核销的坏账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4,860,386.45</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按欠款方归集的期末余额前五名的应收账款情况" w:id="221"/>
      <w:bookmarkEnd w:id="221"/>
      <w:r>
        <w:rPr>
          <w:b w:val="0"/>
          <w:bCs w:val="0"/>
        </w:rPr>
      </w:r>
      <w:r>
        <w:rPr/>
        <w:t>（</w:t>
      </w:r>
      <w:r>
        <w:rPr>
          <w:rFonts w:ascii="Arial" w:hAnsi="Arial" w:cs="Arial" w:eastAsia="Arial"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02"/>
        <w:gridCol w:w="1701"/>
        <w:gridCol w:w="1936"/>
        <w:gridCol w:w="2528"/>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2" w:right="150" w:hanging="269"/>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30,298,031.56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2.53%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1,168,453.40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广西壮族自治区高级人民法院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27,006,241.32</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516,383.88</w:t>
            </w:r>
          </w:p>
        </w:tc>
      </w:tr>
      <w:tr>
        <w:trPr>
          <w:trHeight w:val="4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2"/>
                <w:sz w:val="18"/>
              </w:rPr>
              <w:t>20,511,166.30</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1.72%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806,026.44</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02"/>
        <w:gridCol w:w="1701"/>
        <w:gridCol w:w="1936"/>
        <w:gridCol w:w="2528"/>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中国建设银行股份有限公司大连市分行</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20,219,952.65</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1.69%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687,805.53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17,264,541.06</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431,613.53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115,299,932.89</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9.64%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4、预付款项" w:id="222"/>
      <w:bookmarkEnd w:id="222"/>
      <w:r>
        <w:rPr>
          <w:b w:val="0"/>
          <w:bCs w:val="0"/>
        </w:rPr>
      </w:r>
      <w:r>
        <w:rPr>
          <w:rFonts w:ascii="Arial" w:hAnsi="Arial" w:cs="Arial" w:eastAsia="Arial"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预付款项按账龄列示" w:id="223"/>
      <w:bookmarkEnd w:id="223"/>
      <w:r>
        <w:rPr>
          <w:b w:val="0"/>
          <w:bCs w:val="0"/>
        </w:rPr>
      </w:r>
      <w:r>
        <w:rPr/>
        <w:t>（</w:t>
      </w:r>
      <w:r>
        <w:rPr>
          <w:rFonts w:ascii="Arial" w:hAnsi="Arial" w:cs="Arial" w:eastAsia="Arial" w:hint="default"/>
        </w:rPr>
        <w:t>1</w:t>
      </w:r>
      <w:r>
        <w:rPr/>
        <w:t>）预付款项按账龄列示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13,454,175.70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38,142,117.15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96.07%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1,699,982.61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1,313,128.79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1,138,127.91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129,314.91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94,662.41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118,100.00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0.30%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16,386,948.63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39,702,660.85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按预付对象归集的期末余额前五名的预付款情况" w:id="224"/>
      <w:bookmarkEnd w:id="224"/>
      <w:r>
        <w:rPr>
          <w:b w:val="0"/>
          <w:bCs w:val="0"/>
        </w:rPr>
      </w:r>
      <w:r>
        <w:rPr/>
        <w:t>（</w:t>
      </w:r>
      <w:r>
        <w:rPr>
          <w:rFonts w:ascii="Arial" w:hAnsi="Arial" w:cs="Arial" w:eastAsia="Arial"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4"/>
          <w:szCs w:val="24"/>
        </w:rPr>
      </w:pPr>
    </w:p>
    <w:p>
      <w:pPr>
        <w:pStyle w:val="BodyText"/>
        <w:spacing w:line="259" w:lineRule="auto"/>
        <w:ind w:right="996" w:firstLine="420"/>
        <w:jc w:val="left"/>
      </w:pPr>
      <w:r>
        <w:rPr>
          <w:w w:val="95"/>
        </w:rPr>
        <w:t>本期按预付对象归集的期末余额前五名预付款项汇总金额</w:t>
      </w:r>
      <w:r>
        <w:rPr>
          <w:rFonts w:ascii="Arial" w:hAnsi="Arial" w:cs="Arial" w:eastAsia="Arial" w:hint="default"/>
          <w:w w:val="95"/>
        </w:rPr>
        <w:t>5,236,041.51</w:t>
      </w:r>
      <w:r>
        <w:rPr>
          <w:w w:val="95"/>
        </w:rPr>
        <w:t>元，占预付款项期末余额合计</w:t>
      </w:r>
      <w:r>
        <w:rPr>
          <w:spacing w:val="-82"/>
          <w:w w:val="95"/>
        </w:rPr>
        <w:t> </w:t>
      </w:r>
      <w:r>
        <w:rPr>
          <w:spacing w:val="-82"/>
          <w:w w:val="95"/>
        </w:rPr>
      </w:r>
      <w:r>
        <w:rPr/>
        <w:t>数的比例</w:t>
      </w:r>
      <w:r>
        <w:rPr>
          <w:rFonts w:ascii="Arial" w:hAnsi="Arial" w:cs="Arial" w:eastAsia="Arial" w:hint="default"/>
        </w:rPr>
        <w:t>31.95%</w:t>
      </w:r>
      <w:r>
        <w:rPr/>
        <w:t>。</w:t>
      </w:r>
    </w:p>
    <w:p>
      <w:pPr>
        <w:spacing w:line="240" w:lineRule="auto" w:before="2"/>
        <w:rPr>
          <w:rFonts w:ascii="宋体" w:hAnsi="宋体" w:cs="宋体" w:eastAsia="宋体" w:hint="default"/>
          <w:sz w:val="23"/>
          <w:szCs w:val="23"/>
        </w:rPr>
      </w:pPr>
    </w:p>
    <w:p>
      <w:pPr>
        <w:pStyle w:val="Heading4"/>
        <w:spacing w:line="240" w:lineRule="auto" w:before="0"/>
        <w:ind w:right="996"/>
        <w:jc w:val="left"/>
        <w:rPr>
          <w:b w:val="0"/>
          <w:bCs w:val="0"/>
        </w:rPr>
      </w:pPr>
      <w:bookmarkStart w:name="5、其他应收款" w:id="225"/>
      <w:bookmarkEnd w:id="225"/>
      <w:r>
        <w:rPr>
          <w:b w:val="0"/>
          <w:bCs w:val="0"/>
        </w:rPr>
      </w:r>
      <w:r>
        <w:rPr>
          <w:rFonts w:ascii="Arial" w:hAnsi="Arial" w:cs="Arial" w:eastAsia="Arial" w:hint="default"/>
        </w:rPr>
        <w:t>5</w:t>
      </w:r>
      <w:r>
        <w:rPr/>
        <w:t>、其他应收款</w:t>
      </w:r>
      <w:r>
        <w:rPr>
          <w:b w:val="0"/>
          <w:bCs w:val="0"/>
        </w:rPr>
      </w:r>
    </w:p>
    <w:p>
      <w:pPr>
        <w:spacing w:line="240" w:lineRule="auto" w:before="10"/>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1,044,938.00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278,672,774.43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281,917,747.22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278,672,774.43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282,962,685.22</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应收利息" w:id="226"/>
      <w:bookmarkEnd w:id="226"/>
      <w:r>
        <w:rPr>
          <w:b w:val="0"/>
          <w:bCs w:val="0"/>
        </w:rPr>
      </w:r>
      <w:r>
        <w:rPr/>
        <w:t>（</w:t>
      </w:r>
      <w:r>
        <w:rPr>
          <w:rFonts w:ascii="Arial" w:hAnsi="Arial" w:cs="Arial" w:eastAsia="Arial" w:hint="default"/>
        </w:rPr>
        <w:t>1</w:t>
      </w:r>
      <w:r>
        <w:rPr/>
        <w:t>）应收利息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利息分类" w:id="227"/>
      <w:bookmarkEnd w:id="227"/>
      <w:r>
        <w:rPr>
          <w:b w:val="0"/>
          <w:bCs w:val="0"/>
        </w:rPr>
      </w:r>
      <w:r>
        <w:rPr>
          <w:rFonts w:ascii="Arial" w:hAnsi="Arial" w:cs="Arial" w:eastAsia="Arial"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1,044,938.00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1,044,938.00</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其他应收款" w:id="228"/>
      <w:bookmarkEnd w:id="228"/>
      <w:r>
        <w:rPr>
          <w:b w:val="0"/>
          <w:bCs w:val="0"/>
        </w:rPr>
      </w:r>
      <w:r>
        <w:rPr/>
        <w:t>（</w:t>
      </w:r>
      <w:r>
        <w:rPr>
          <w:rFonts w:ascii="Arial" w:hAnsi="Arial" w:cs="Arial" w:eastAsia="Arial" w:hint="default"/>
        </w:rPr>
        <w:t>2</w:t>
      </w:r>
      <w:r>
        <w:rPr/>
        <w:t>）其他应收款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其他应收款按款项性质分类情况" w:id="229"/>
      <w:bookmarkEnd w:id="229"/>
      <w:r>
        <w:rPr>
          <w:b w:val="0"/>
          <w:bCs w:val="0"/>
        </w:rPr>
      </w:r>
      <w:r>
        <w:rPr>
          <w:rFonts w:ascii="Arial" w:hAnsi="Arial" w:cs="Arial" w:eastAsia="Arial" w:hint="default"/>
        </w:rPr>
        <w:t>1</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216,967,889.27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197,760,178.65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18,339,512.63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sz w:val="18"/>
              </w:rPr>
              <w:t>39,459,556.00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35,158,052.21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44,047,248.64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18,876,003.66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9,445,221.13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15,048,827.37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10,195,304.16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304,390,285.14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300,907,508.58</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2）坏账准备计提情况" w:id="230"/>
      <w:bookmarkEnd w:id="230"/>
      <w:r>
        <w:rPr>
          <w:b w:val="0"/>
          <w:bCs w:val="0"/>
        </w:rPr>
      </w:r>
      <w:r>
        <w:rPr>
          <w:rFonts w:ascii="Arial" w:hAnsi="Arial" w:cs="Arial" w:eastAsia="Arial"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461" w:right="133" w:hanging="32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5" w:right="144" w:hanging="123"/>
              <w:jc w:val="left"/>
              <w:rPr>
                <w:rFonts w:ascii="Arial" w:hAnsi="Arial" w:cs="Arial" w:eastAsia="Arial" w:hint="default"/>
                <w:sz w:val="18"/>
                <w:szCs w:val="18"/>
              </w:rPr>
            </w:pPr>
            <w:r>
              <w:rPr>
                <w:rFonts w:ascii="宋体" w:hAnsi="宋体" w:cs="宋体" w:eastAsia="宋体" w:hint="default"/>
                <w:sz w:val="18"/>
                <w:szCs w:val="18"/>
              </w:rPr>
              <w:t>整个存续期预期信用损 失</w:t>
            </w: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 w:right="143" w:hanging="120"/>
              <w:jc w:val="left"/>
              <w:rPr>
                <w:rFonts w:ascii="Arial" w:hAnsi="Arial" w:cs="Arial" w:eastAsia="Arial" w:hint="default"/>
                <w:sz w:val="18"/>
                <w:szCs w:val="18"/>
              </w:rPr>
            </w:pPr>
            <w:r>
              <w:rPr>
                <w:rFonts w:ascii="宋体" w:hAnsi="宋体" w:cs="宋体" w:eastAsia="宋体" w:hint="default"/>
                <w:sz w:val="18"/>
                <w:szCs w:val="18"/>
              </w:rPr>
              <w:t>整个存续期预期信用损 失</w:t>
            </w: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15,560,515.13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3,429,246.23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18,989,761.36</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9"/>
              <w:ind w:left="101" w:right="10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6,840,295.00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6,840,295.00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-112,545.65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-112,545.65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101" w:right="10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31</w:t>
            </w:r>
            <w:r>
              <w:rPr>
                <w:rFonts w:ascii="Arial" w:hAnsi="Arial" w:cs="Arial" w:eastAsia="Arial" w:hint="default"/>
                <w:spacing w:val="-15"/>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22,288,264.48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3,429,246.23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25,717,510.71</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pStyle w:val="BodyText"/>
        <w:spacing w:line="240" w:lineRule="auto" w:before="24"/>
        <w:ind w:right="0"/>
        <w:jc w:val="left"/>
      </w:pPr>
      <w:r>
        <w:rPr>
          <w:w w:val="95"/>
        </w:rPr>
        <w:t>损失准备本期变动金额重大的账面余额变动情况</w:t>
      </w:r>
      <w:r>
        <w:rPr/>
      </w:r>
    </w:p>
    <w:p>
      <w:pPr>
        <w:pStyle w:val="BodyText"/>
        <w:spacing w:line="307" w:lineRule="auto" w:before="78"/>
        <w:ind w:right="2607"/>
        <w:jc w:val="left"/>
      </w:pPr>
      <w:r>
        <w:rPr/>
        <w:t>□ 适用 √</w:t>
      </w:r>
      <w:r>
        <w:rPr>
          <w:spacing w:val="-3"/>
        </w:rPr>
        <w:t> </w:t>
      </w:r>
      <w:r>
        <w:rPr/>
        <w:t>不适用</w:t>
      </w:r>
      <w:r>
        <w:rPr>
          <w:w w:val="99"/>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4522" w:space="4307"/>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132,103,807.44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92,390,798.12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40,905,580.85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20,513,220.65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10,541,605.91</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7,935,272.17</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16;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794;top:10;width:4784;height:402" type="#_x0000_t202" filled="false" stroked="false">
                <v:textbox inset="0,0,0,0">
                  <w:txbxContent>
                    <w:p>
                      <w:pPr>
                        <w:spacing w:before="98"/>
                        <w:ind w:left="0" w:right="104" w:firstLine="0"/>
                        <w:jc w:val="right"/>
                        <w:rPr>
                          <w:rFonts w:ascii="Arial" w:hAnsi="Arial" w:cs="Arial" w:eastAsia="Arial" w:hint="default"/>
                          <w:sz w:val="18"/>
                          <w:szCs w:val="18"/>
                        </w:rPr>
                      </w:pPr>
                      <w:r>
                        <w:rPr>
                          <w:rFonts w:ascii="Arial"/>
                          <w:spacing w:val="-1"/>
                          <w:sz w:val="18"/>
                        </w:rPr>
                        <w:t>304,390,285.14</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3）本期计提、收回或转回的坏账准备情况" w:id="231"/>
      <w:bookmarkEnd w:id="231"/>
      <w:r>
        <w:rPr>
          <w:b w:val="0"/>
          <w:bCs w:val="0"/>
        </w:rPr>
      </w:r>
      <w:r>
        <w:rPr>
          <w:rFonts w:ascii="Arial" w:hAnsi="Arial" w:cs="Arial" w:eastAsia="Arial"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20"/>
        <w:gridCol w:w="1541"/>
        <w:gridCol w:w="1417"/>
        <w:gridCol w:w="1434"/>
        <w:gridCol w:w="1335"/>
        <w:gridCol w:w="2121"/>
      </w:tblGrid>
      <w:tr>
        <w:trPr>
          <w:trHeight w:val="402" w:hRule="exact"/>
        </w:trPr>
        <w:tc>
          <w:tcPr>
            <w:tcW w:w="1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1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20" w:type="dxa"/>
            <w:vMerge/>
            <w:tcBorders>
              <w:left w:val="single" w:sz="4" w:space="0" w:color="000000"/>
              <w:bottom w:val="single" w:sz="4" w:space="0" w:color="000000"/>
              <w:right w:val="single" w:sz="4" w:space="0" w:color="000000"/>
            </w:tcBorders>
            <w:shd w:val="clear" w:color="auto" w:fill="D2D2D2"/>
          </w:tcPr>
          <w:p>
            <w:pPr/>
          </w:p>
        </w:tc>
        <w:tc>
          <w:tcPr>
            <w:tcW w:w="154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212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18,989,761.36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6,840,295.00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2"/>
                <w:sz w:val="18"/>
              </w:rPr>
              <w:t>112,545.65</w:t>
            </w:r>
          </w:p>
        </w:tc>
        <w:tc>
          <w:tcPr>
            <w:tcW w:w="1335"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25,717,510.71</w:t>
            </w:r>
          </w:p>
        </w:tc>
      </w:tr>
      <w:tr>
        <w:trPr>
          <w:trHeight w:val="402"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18,989,761.36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6,840,295.00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112,545.65</w:t>
            </w:r>
          </w:p>
        </w:tc>
        <w:tc>
          <w:tcPr>
            <w:tcW w:w="1335" w:type="dxa"/>
            <w:tcBorders>
              <w:top w:val="single" w:sz="4" w:space="0" w:color="000000"/>
              <w:left w:val="single" w:sz="4" w:space="0" w:color="000000"/>
              <w:bottom w:val="single" w:sz="4" w:space="0" w:color="000000"/>
              <w:right w:val="single" w:sz="4" w:space="0" w:color="000000"/>
            </w:tcBorders>
          </w:tcPr>
          <w:p>
            <w:pP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25,717,510.71</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4）按欠款方归集的期末余额前五名的其他应收款情况" w:id="232"/>
      <w:bookmarkEnd w:id="232"/>
      <w:r>
        <w:rPr>
          <w:b w:val="0"/>
          <w:bCs w:val="0"/>
        </w:rPr>
      </w:r>
      <w:r>
        <w:rPr>
          <w:rFonts w:ascii="Arial" w:hAnsi="Arial" w:cs="Arial" w:eastAsia="Arial"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701"/>
        <w:gridCol w:w="1559"/>
        <w:gridCol w:w="993"/>
        <w:gridCol w:w="1308"/>
        <w:gridCol w:w="1595"/>
      </w:tblGrid>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7"/>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内蒙古自治区高级人民法院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21,071,700.00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2,385,510.00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20,960,084.50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905,800.42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北京市海淀区国家税务局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Arial" w:hAnsi="Arial" w:cs="Arial" w:eastAsia="Arial" w:hint="default"/>
                <w:sz w:val="18"/>
                <w:szCs w:val="18"/>
              </w:rPr>
            </w:pPr>
            <w:r>
              <w:rPr>
                <w:rFonts w:ascii="Arial"/>
                <w:spacing w:val="-2"/>
                <w:sz w:val="18"/>
              </w:rPr>
              <w:t>11,695,902.96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3.84%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9,351,825.00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143,361.63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Arial" w:hAnsi="Arial" w:cs="Arial" w:eastAsia="Arial" w:hint="default"/>
                <w:sz w:val="18"/>
                <w:szCs w:val="18"/>
              </w:rPr>
              <w:t>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7,865,240.00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39,326.20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70,944,752.46</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3,473,998.25</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5）涉及政府补助的应收款项" w:id="233"/>
      <w:bookmarkEnd w:id="233"/>
      <w:r>
        <w:rPr>
          <w:b w:val="0"/>
          <w:bCs w:val="0"/>
        </w:rPr>
      </w:r>
      <w:r>
        <w:rPr>
          <w:rFonts w:ascii="Arial" w:hAnsi="Arial" w:cs="Arial" w:eastAsia="Arial" w:hint="default"/>
        </w:rPr>
        <w:t>5</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701"/>
        <w:gridCol w:w="1629"/>
        <w:gridCol w:w="1914"/>
        <w:gridCol w:w="1916"/>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北京市海淀区国家税务局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11,695,902.96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0"/>
                <w:sz w:val="18"/>
                <w:szCs w:val="18"/>
              </w:rPr>
              <w:t> </w:t>
            </w:r>
            <w:r>
              <w:rPr>
                <w:rFonts w:ascii="宋体" w:hAnsi="宋体" w:cs="宋体" w:eastAsia="宋体" w:hint="default"/>
                <w:sz w:val="18"/>
                <w:szCs w:val="18"/>
              </w:rPr>
              <w:t>年</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大连市甘井子区国家税务局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1,150,348.83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0"/>
                <w:sz w:val="18"/>
                <w:szCs w:val="18"/>
              </w:rPr>
              <w:t> </w:t>
            </w:r>
            <w:r>
              <w:rPr>
                <w:rFonts w:ascii="宋体" w:hAnsi="宋体" w:cs="宋体" w:eastAsia="宋体" w:hint="default"/>
                <w:sz w:val="18"/>
                <w:szCs w:val="18"/>
              </w:rPr>
              <w:t>年</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上海市浦东新区税务局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745,722.88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0"/>
                <w:sz w:val="18"/>
                <w:szCs w:val="18"/>
              </w:rPr>
              <w:t> </w:t>
            </w:r>
            <w:r>
              <w:rPr>
                <w:rFonts w:ascii="宋体" w:hAnsi="宋体" w:cs="宋体" w:eastAsia="宋体" w:hint="default"/>
                <w:sz w:val="18"/>
                <w:szCs w:val="18"/>
              </w:rPr>
              <w:t>年</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广州市天河区国家税务局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5,284,028.99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0"/>
                <w:sz w:val="18"/>
                <w:szCs w:val="18"/>
              </w:rPr>
              <w:t> </w:t>
            </w:r>
            <w:r>
              <w:rPr>
                <w:rFonts w:ascii="宋体" w:hAnsi="宋体" w:cs="宋体" w:eastAsia="宋体" w:hint="default"/>
                <w:sz w:val="18"/>
                <w:szCs w:val="18"/>
              </w:rPr>
              <w:t>年</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6、存货" w:id="234"/>
      <w:bookmarkEnd w:id="234"/>
      <w:r>
        <w:rPr>
          <w:b w:val="0"/>
          <w:bCs w:val="0"/>
        </w:rPr>
      </w:r>
      <w:r>
        <w:rPr>
          <w:rFonts w:ascii="Arial" w:hAnsi="Arial" w:cs="Arial" w:eastAsia="Arial"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6"/>
        <w:jc w:val="left"/>
      </w:pPr>
      <w:r>
        <w:rPr/>
        <w:t>是否已执行新收入准则</w:t>
      </w:r>
    </w:p>
    <w:p>
      <w:pPr>
        <w:pStyle w:val="BodyText"/>
        <w:spacing w:line="240" w:lineRule="auto" w:before="78"/>
        <w:ind w:right="996"/>
        <w:jc w:val="left"/>
      </w:pPr>
      <w:r>
        <w:rPr>
          <w:rFonts w:ascii="Arial" w:hAnsi="Arial" w:cs="Arial" w:eastAsia="Arial" w:hint="default"/>
        </w:rPr>
        <w:t>□  </w:t>
      </w:r>
      <w:r>
        <w:rPr/>
        <w:t>是 √</w:t>
      </w:r>
      <w:r>
        <w:rPr>
          <w:spacing w:val="-15"/>
        </w:rPr>
        <w:t> </w:t>
      </w:r>
      <w:r>
        <w:rPr/>
        <w:t>否</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1）存货分类" w:id="235"/>
      <w:bookmarkEnd w:id="235"/>
      <w:r>
        <w:rPr>
          <w:b w:val="0"/>
          <w:bCs w:val="0"/>
        </w:rPr>
      </w:r>
      <w:r>
        <w:rPr/>
        <w:t>（</w:t>
      </w:r>
      <w:r>
        <w:rPr>
          <w:rFonts w:ascii="Arial" w:hAnsi="Arial" w:cs="Arial" w:eastAsia="Arial" w:hint="default"/>
        </w:rPr>
        <w:t>1</w:t>
      </w:r>
      <w:r>
        <w:rPr/>
        <w:t>）存货分类</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609"/>
        <w:gridCol w:w="992"/>
        <w:gridCol w:w="1501"/>
        <w:gridCol w:w="1476"/>
        <w:gridCol w:w="1134"/>
        <w:gridCol w:w="149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230,097.18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230,097.18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213,078,185.64</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213,078,185.64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151,451,476.32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151,451,476.32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51,730,555.77</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51,730,555.77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37,812,001.76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37,812,001.76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443,040,288.86</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443,040,288.86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481,081,410.82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481,081,410.82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12,436,241.48</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12,436,241.48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6,507,583.84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6,507,583.84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720,285,271.75</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720,285,271.75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677,082,569.92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677,082,569.92</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7、其他流动资产" w:id="236"/>
      <w:bookmarkEnd w:id="236"/>
      <w:r>
        <w:rPr>
          <w:b w:val="0"/>
          <w:bCs w:val="0"/>
        </w:rPr>
      </w:r>
      <w:r>
        <w:rPr>
          <w:rFonts w:ascii="Arial" w:hAnsi="Arial" w:cs="Arial" w:eastAsia="Arial" w:hint="default"/>
        </w:rPr>
        <w:t>7</w:t>
      </w:r>
      <w:r>
        <w:rPr/>
        <w:t>、其他流动资产</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0"/>
        <w:jc w:val="left"/>
      </w:pPr>
      <w:r>
        <w:rPr>
          <w:w w:val="95"/>
        </w:rPr>
        <w:t>是否已执行新收入准则</w:t>
      </w:r>
      <w:r>
        <w:rPr/>
      </w:r>
    </w:p>
    <w:p>
      <w:pPr>
        <w:pStyle w:val="BodyText"/>
        <w:spacing w:line="240" w:lineRule="auto" w:before="78"/>
        <w:ind w:right="0"/>
        <w:jc w:val="left"/>
      </w:pPr>
      <w:r>
        <w:rPr>
          <w:rFonts w:ascii="Arial" w:hAnsi="Arial" w:cs="Arial" w:eastAsia="Arial" w:hint="default"/>
        </w:rPr>
        <w:t>□  </w:t>
      </w:r>
      <w:r>
        <w:rPr/>
        <w:t>是 √</w:t>
      </w:r>
      <w:r>
        <w:rPr>
          <w:spacing w:val="-15"/>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3,115,626.45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7,415,512.66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以抵销后净额列示的所得税预缴税额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116,131.34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3,160,707.45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3,231,757.79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Arial" w:hAnsi="Arial" w:cs="Arial" w:eastAsia="Arial" w:hint="default"/>
                <w:sz w:val="18"/>
                <w:szCs w:val="18"/>
              </w:rPr>
            </w:pPr>
            <w:r>
              <w:rPr>
                <w:rFonts w:ascii="Arial"/>
                <w:spacing w:val="-2"/>
                <w:sz w:val="18"/>
              </w:rPr>
              <w:t>10,576,220.11</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8、长期股权投资" w:id="237"/>
      <w:bookmarkEnd w:id="237"/>
      <w:r>
        <w:rPr>
          <w:b w:val="0"/>
          <w:bCs w:val="0"/>
        </w:rPr>
      </w:r>
      <w:r>
        <w:rPr>
          <w:rFonts w:ascii="Arial" w:hAnsi="Arial" w:cs="Arial" w:eastAsia="Arial" w:hint="default"/>
        </w:rPr>
        <w:t>8</w:t>
      </w:r>
      <w:r>
        <w:rPr/>
        <w:t>、长期股权投资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567"/>
        <w:gridCol w:w="1275"/>
        <w:gridCol w:w="353"/>
        <w:gridCol w:w="1065"/>
        <w:gridCol w:w="709"/>
        <w:gridCol w:w="708"/>
        <w:gridCol w:w="851"/>
        <w:gridCol w:w="657"/>
        <w:gridCol w:w="477"/>
        <w:gridCol w:w="1276"/>
        <w:gridCol w:w="641"/>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02" w:right="130"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60" w:right="155" w:firstLine="28"/>
              <w:jc w:val="both"/>
              <w:rPr>
                <w:rFonts w:ascii="Arial" w:hAnsi="Arial" w:cs="Arial" w:eastAsia="Arial" w:hint="default"/>
                <w:sz w:val="18"/>
                <w:szCs w:val="18"/>
              </w:rPr>
            </w:pPr>
            <w:r>
              <w:rPr>
                <w:rFonts w:ascii="宋体" w:hAnsi="宋体" w:cs="宋体" w:eastAsia="宋体" w:hint="default"/>
                <w:sz w:val="18"/>
                <w:szCs w:val="18"/>
              </w:rPr>
              <w:t>期 初 余 额 </w:t>
            </w:r>
            <w:r>
              <w:rPr>
                <w:rFonts w:ascii="Arial" w:hAnsi="Arial" w:cs="Arial" w:eastAsia="Arial" w:hint="default"/>
                <w:sz w:val="18"/>
                <w:szCs w:val="18"/>
              </w:rPr>
              <w:t>(</w:t>
            </w:r>
            <w:r>
              <w:rPr>
                <w:rFonts w:ascii="宋体" w:hAnsi="宋体" w:cs="宋体" w:eastAsia="宋体" w:hint="default"/>
                <w:sz w:val="18"/>
                <w:szCs w:val="18"/>
              </w:rPr>
              <w:t>账 面 价 值</w:t>
            </w:r>
            <w:r>
              <w:rPr>
                <w:rFonts w:ascii="Arial" w:hAnsi="Arial" w:cs="Arial" w:eastAsia="Arial" w:hint="default"/>
                <w:sz w:val="18"/>
                <w:szCs w:val="18"/>
              </w:rPr>
              <w:t>)</w:t>
            </w:r>
          </w:p>
        </w:tc>
        <w:tc>
          <w:tcPr>
            <w:tcW w:w="609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2" w:lineRule="auto"/>
              <w:ind w:left="333" w:right="153" w:hanging="180"/>
              <w:jc w:val="left"/>
              <w:rPr>
                <w:rFonts w:ascii="Arial" w:hAnsi="Arial" w:cs="Arial" w:eastAsia="Arial"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账 面价值</w:t>
            </w:r>
            <w:r>
              <w:rPr>
                <w:rFonts w:ascii="Arial" w:hAnsi="Arial" w:cs="Arial" w:eastAsia="Arial" w:hint="default"/>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5" w:right="134"/>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218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57"/>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65" w:right="167"/>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67"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51" w:right="14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42" w:right="142"/>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143" w:right="142"/>
              <w:jc w:val="left"/>
              <w:rPr>
                <w:rFonts w:ascii="宋体" w:hAnsi="宋体" w:cs="宋体" w:eastAsia="宋体" w:hint="default"/>
                <w:sz w:val="18"/>
                <w:szCs w:val="18"/>
              </w:rPr>
            </w:pPr>
            <w:r>
              <w:rPr>
                <w:rFonts w:ascii="宋体" w:hAnsi="宋体" w:cs="宋体" w:eastAsia="宋体" w:hint="default"/>
                <w:sz w:val="18"/>
                <w:szCs w:val="18"/>
              </w:rPr>
              <w:t>其 他</w:t>
            </w:r>
          </w:p>
        </w:tc>
        <w:tc>
          <w:tcPr>
            <w:tcW w:w="1276"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59"/>
              <w:jc w:val="both"/>
              <w:rPr>
                <w:rFonts w:ascii="宋体" w:hAnsi="宋体" w:cs="宋体" w:eastAsia="宋体" w:hint="default"/>
                <w:sz w:val="18"/>
                <w:szCs w:val="18"/>
              </w:rPr>
            </w:pPr>
            <w:r>
              <w:rPr>
                <w:rFonts w:ascii="宋体" w:hAnsi="宋体" w:cs="宋体" w:eastAsia="宋体" w:hint="default"/>
                <w:sz w:val="18"/>
                <w:szCs w:val="18"/>
              </w:rPr>
              <w:t>四川数字 金沙科技 有限公司</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Arial" w:hAnsi="Arial" w:cs="Arial" w:eastAsia="Arial" w:hint="default"/>
                <w:sz w:val="18"/>
                <w:szCs w:val="18"/>
              </w:rPr>
            </w:pPr>
            <w:r>
              <w:rPr>
                <w:rFonts w:ascii="Arial"/>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Arial" w:hAnsi="Arial" w:cs="Arial" w:eastAsia="Arial" w:hint="default"/>
                <w:sz w:val="18"/>
                <w:szCs w:val="18"/>
              </w:rPr>
            </w:pPr>
            <w:r>
              <w:rPr>
                <w:rFonts w:ascii="Arial"/>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4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Arial" w:hAnsi="Arial" w:cs="Arial" w:eastAsia="Arial" w:hint="default"/>
                <w:sz w:val="18"/>
                <w:szCs w:val="18"/>
              </w:rPr>
            </w:pPr>
            <w:r>
              <w:rPr>
                <w:rFonts w:ascii="Arial"/>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9、其他权益工具投资" w:id="238"/>
      <w:bookmarkEnd w:id="238"/>
      <w:r>
        <w:rPr>
          <w:b w:val="0"/>
          <w:bCs w:val="0"/>
        </w:rPr>
      </w:r>
      <w:r>
        <w:rPr>
          <w:rFonts w:ascii="Arial" w:hAnsi="Arial" w:cs="Arial" w:eastAsia="Arial" w:hint="default"/>
        </w:rPr>
        <w:t>9</w:t>
      </w:r>
      <w:r>
        <w:rPr/>
        <w:t>、其他权益工具投资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28"/>
        <w:gridCol w:w="2870"/>
        <w:gridCol w:w="2871"/>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72,000,000.00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72,000,000.00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中国司法大数据研究院有限公司</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8,340,000.00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5,000,000.00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80,340,000.00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77,000,000.00</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10、其他非流动金融资产" w:id="239"/>
      <w:bookmarkEnd w:id="239"/>
      <w:r>
        <w:rPr>
          <w:b w:val="0"/>
          <w:bCs w:val="0"/>
        </w:rPr>
      </w:r>
      <w:r>
        <w:rPr>
          <w:rFonts w:ascii="Arial" w:hAnsi="Arial" w:cs="Arial" w:eastAsia="Arial" w:hint="default"/>
        </w:rPr>
        <w:t>10</w:t>
      </w:r>
      <w:r>
        <w:rPr/>
        <w:t>、其他非流动金融资产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28"/>
        <w:gridCol w:w="2870"/>
        <w:gridCol w:w="2871"/>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广州华宇科创股权投资合伙企业（有限合伙）</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25,000,000.00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北京华宇科创产业投资中心（有限合伙）</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29,000,000.00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29,000,000.00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129,000,000.00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54,000,000.00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1、固定资产" w:id="240"/>
      <w:bookmarkEnd w:id="240"/>
      <w:r>
        <w:rPr>
          <w:b w:val="0"/>
          <w:bCs w:val="0"/>
        </w:rPr>
      </w:r>
      <w:r>
        <w:rPr>
          <w:rFonts w:ascii="Arial" w:hAnsi="Arial" w:cs="Arial" w:eastAsia="Arial" w:hint="default"/>
        </w:rPr>
        <w:t>11</w:t>
      </w:r>
      <w:r>
        <w:rPr/>
        <w:t>、固定资产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257,598,303.83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252,901,655.59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257,598,303.83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252,901,655.59</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1）固定资产情况" w:id="241"/>
      <w:bookmarkEnd w:id="241"/>
      <w:r>
        <w:rPr>
          <w:b w:val="0"/>
          <w:bCs w:val="0"/>
        </w:rPr>
      </w:r>
      <w:r>
        <w:rPr/>
        <w:t>（</w:t>
      </w:r>
      <w:r>
        <w:rPr>
          <w:rFonts w:ascii="Arial" w:hAnsi="Arial" w:cs="Arial" w:eastAsia="Arial" w:hint="default"/>
        </w:rPr>
        <w:t>1</w:t>
      </w:r>
      <w:r>
        <w:rPr/>
        <w:t>）固定资产情况</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27"/>
        <w:gridCol w:w="1559"/>
        <w:gridCol w:w="1559"/>
        <w:gridCol w:w="1418"/>
        <w:gridCol w:w="1417"/>
        <w:gridCol w:w="148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4" w:right="0"/>
              <w:jc w:val="left"/>
              <w:rPr>
                <w:rFonts w:ascii="Arial" w:hAnsi="Arial" w:cs="Arial" w:eastAsia="Arial" w:hint="default"/>
                <w:sz w:val="18"/>
                <w:szCs w:val="18"/>
              </w:rPr>
            </w:pPr>
            <w:r>
              <w:rPr>
                <w:rFonts w:ascii="Arial"/>
                <w:sz w:val="18"/>
              </w:rPr>
              <w:t>214,254,356.81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2"/>
                <w:sz w:val="18"/>
              </w:rPr>
              <w:t>82,960,113.56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18,674,280.05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26,184,860.88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2"/>
                <w:sz w:val="18"/>
              </w:rPr>
              <w:t>342,073,611.30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34,169,270.65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1,272,918.74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336,157.63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35,778,347.02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23,750,128.95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1,272,918.74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336,157.63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25,359,205.32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）在建工程转入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10,419,141.70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10,673,168.90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1,172,060.49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12,022,499.44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23,867,728.83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6,871,255.48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742,060.49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11,642,905.73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19,256,221.70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）处置子公司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3,801,913.42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379,593.71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2"/>
                <w:sz w:val="18"/>
              </w:rPr>
              <w:t>4,611,507.13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Arial" w:hAnsi="Arial" w:cs="Arial" w:eastAsia="Arial" w:hint="default"/>
                <w:sz w:val="18"/>
                <w:szCs w:val="18"/>
              </w:rPr>
            </w:pPr>
            <w:r>
              <w:rPr>
                <w:rFonts w:ascii="Arial"/>
                <w:sz w:val="18"/>
              </w:rPr>
              <w:t>214,254,356.81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106,456,215.31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18,775,138.30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14,498,519.07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353,984,229.49</w:t>
            </w:r>
          </w:p>
        </w:tc>
      </w:tr>
      <w:tr>
        <w:trPr>
          <w:trHeight w:val="40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27"/>
        <w:gridCol w:w="1559"/>
        <w:gridCol w:w="1559"/>
        <w:gridCol w:w="1418"/>
        <w:gridCol w:w="1417"/>
        <w:gridCol w:w="148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Arial" w:hAnsi="Arial" w:cs="Arial" w:eastAsia="Arial" w:hint="default"/>
                <w:sz w:val="18"/>
                <w:szCs w:val="18"/>
              </w:rPr>
            </w:pPr>
            <w:r>
              <w:rPr>
                <w:rFonts w:ascii="Arial"/>
                <w:spacing w:val="-2"/>
                <w:sz w:val="18"/>
              </w:rPr>
              <w:t>22,495,264.11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37,996,957.45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2"/>
                <w:sz w:val="18"/>
              </w:rPr>
              <w:t>11,524,718.16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17,155,015.99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Arial" w:hAnsi="Arial" w:cs="Arial" w:eastAsia="Arial" w:hint="default"/>
                <w:sz w:val="18"/>
                <w:szCs w:val="18"/>
              </w:rPr>
            </w:pPr>
            <w:r>
              <w:rPr>
                <w:rFonts w:ascii="Arial"/>
                <w:sz w:val="18"/>
              </w:rPr>
              <w:t>89,171,955.71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4,807,878.93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16,687,118.49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1,920,837.37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3,589,461.52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center"/>
              <w:rPr>
                <w:rFonts w:ascii="Arial" w:hAnsi="Arial" w:cs="Arial" w:eastAsia="Arial" w:hint="default"/>
                <w:sz w:val="18"/>
                <w:szCs w:val="18"/>
              </w:rPr>
            </w:pPr>
            <w:r>
              <w:rPr>
                <w:rFonts w:ascii="Arial"/>
                <w:sz w:val="18"/>
              </w:rPr>
              <w:t>27,005,296.31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4,807,878.93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16,687,118.49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1,920,837.37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3,589,461.52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Arial" w:hAnsi="Arial" w:cs="Arial" w:eastAsia="Arial" w:hint="default"/>
                <w:sz w:val="18"/>
                <w:szCs w:val="18"/>
              </w:rPr>
            </w:pPr>
            <w:r>
              <w:rPr>
                <w:rFonts w:ascii="Arial"/>
                <w:sz w:val="18"/>
              </w:rPr>
              <w:t>27,005,296.31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7,978,614.15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661,087.51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11,151,624.70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center"/>
              <w:rPr>
                <w:rFonts w:ascii="Arial" w:hAnsi="Arial" w:cs="Arial" w:eastAsia="Arial" w:hint="default"/>
                <w:sz w:val="18"/>
                <w:szCs w:val="18"/>
              </w:rPr>
            </w:pPr>
            <w:r>
              <w:rPr>
                <w:rFonts w:ascii="Arial"/>
                <w:sz w:val="18"/>
              </w:rPr>
              <w:t>19,791,326.36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6,514,343.63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388,755.74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11,060,760.40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Arial" w:hAnsi="Arial" w:cs="Arial" w:eastAsia="Arial" w:hint="default"/>
                <w:sz w:val="18"/>
                <w:szCs w:val="18"/>
              </w:rPr>
            </w:pPr>
            <w:r>
              <w:rPr>
                <w:rFonts w:ascii="Arial"/>
                <w:sz w:val="18"/>
              </w:rPr>
              <w:t>17,963,859.77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）处置子公司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1,464,270.52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272,331.77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90,864.30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0" w:right="0"/>
              <w:jc w:val="center"/>
              <w:rPr>
                <w:rFonts w:ascii="Arial" w:hAnsi="Arial" w:cs="Arial" w:eastAsia="Arial" w:hint="default"/>
                <w:sz w:val="18"/>
                <w:szCs w:val="18"/>
              </w:rPr>
            </w:pPr>
            <w:r>
              <w:rPr>
                <w:rFonts w:ascii="Arial"/>
                <w:sz w:val="18"/>
              </w:rPr>
              <w:t>1,827,466.59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27,303,143.04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46,705,461.79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12,784,468.02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9,592,852.81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Arial" w:hAnsi="Arial" w:cs="Arial" w:eastAsia="Arial" w:hint="default"/>
                <w:sz w:val="18"/>
                <w:szCs w:val="18"/>
              </w:rPr>
            </w:pPr>
            <w:r>
              <w:rPr>
                <w:rFonts w:ascii="Arial"/>
                <w:sz w:val="18"/>
              </w:rPr>
              <w:t>96,385,925.66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186,951,213.77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59,750,753.52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5,990,670.28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4,905,666.26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Arial" w:hAnsi="Arial" w:cs="Arial" w:eastAsia="Arial" w:hint="default"/>
                <w:sz w:val="18"/>
                <w:szCs w:val="18"/>
              </w:rPr>
            </w:pPr>
            <w:r>
              <w:rPr>
                <w:rFonts w:ascii="Arial"/>
                <w:sz w:val="18"/>
              </w:rPr>
              <w:t>257,598,303.83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191,759,092.70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Arial" w:hAnsi="Arial" w:cs="Arial" w:eastAsia="Arial" w:hint="default"/>
                <w:sz w:val="18"/>
                <w:szCs w:val="18"/>
              </w:rPr>
            </w:pPr>
            <w:r>
              <w:rPr>
                <w:rFonts w:ascii="Arial"/>
                <w:spacing w:val="-2"/>
                <w:sz w:val="18"/>
              </w:rPr>
              <w:t>44,963,156.11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7,149,561.89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9,029,844.89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Arial" w:hAnsi="Arial" w:cs="Arial" w:eastAsia="Arial" w:hint="default"/>
                <w:sz w:val="18"/>
                <w:szCs w:val="18"/>
              </w:rPr>
            </w:pPr>
            <w:r>
              <w:rPr>
                <w:rFonts w:ascii="Arial"/>
                <w:sz w:val="18"/>
              </w:rPr>
              <w:t>252,901,655.59</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未办妥产权证书的固定资产情况" w:id="242"/>
      <w:bookmarkEnd w:id="242"/>
      <w:r>
        <w:rPr>
          <w:b w:val="0"/>
          <w:bCs w:val="0"/>
        </w:rPr>
      </w:r>
      <w:r>
        <w:rPr/>
        <w:t>（</w:t>
      </w:r>
      <w:r>
        <w:rPr>
          <w:rFonts w:ascii="Arial" w:hAnsi="Arial" w:cs="Arial" w:eastAsia="Arial" w:hint="default"/>
        </w:rPr>
        <w:t>2</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8" w:right="0"/>
              <w:jc w:val="left"/>
              <w:rPr>
                <w:rFonts w:ascii="Arial" w:hAnsi="Arial" w:cs="Arial" w:eastAsia="Arial" w:hint="default"/>
                <w:sz w:val="18"/>
                <w:szCs w:val="18"/>
              </w:rPr>
            </w:pPr>
            <w:r>
              <w:rPr>
                <w:rFonts w:ascii="Arial"/>
                <w:spacing w:val="-3"/>
                <w:sz w:val="18"/>
              </w:rPr>
              <w:t>111,452,222.39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2、在建工程" w:id="243"/>
      <w:bookmarkEnd w:id="243"/>
      <w:r>
        <w:rPr>
          <w:b w:val="0"/>
          <w:bCs w:val="0"/>
        </w:rPr>
      </w:r>
      <w:r>
        <w:rPr>
          <w:rFonts w:ascii="Arial" w:hAnsi="Arial" w:cs="Arial" w:eastAsia="Arial" w:hint="default"/>
        </w:rPr>
        <w:t>12</w:t>
      </w:r>
      <w:r>
        <w:rPr/>
        <w:t>、在建工程</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3,155,416.39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3,155,416.39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1）在建工程情况" w:id="244"/>
      <w:bookmarkEnd w:id="244"/>
      <w:r>
        <w:rPr>
          <w:b w:val="0"/>
          <w:bCs w:val="0"/>
        </w:rPr>
      </w:r>
      <w:r>
        <w:rPr/>
        <w:t>（</w:t>
      </w:r>
      <w:r>
        <w:rPr>
          <w:rFonts w:ascii="Arial" w:hAnsi="Arial" w:cs="Arial" w:eastAsia="Arial"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私有云项目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center"/>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Arial" w:hAnsi="Arial" w:cs="Arial" w:eastAsia="Arial" w:hint="default"/>
                <w:sz w:val="18"/>
                <w:szCs w:val="18"/>
              </w:rPr>
            </w:pPr>
            <w:r>
              <w:rPr>
                <w:rFonts w:ascii="Arial"/>
                <w:sz w:val="18"/>
              </w:rPr>
              <w:t>3,155,416.39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Arial" w:hAnsi="Arial" w:cs="Arial" w:eastAsia="Arial" w:hint="default"/>
                <w:sz w:val="18"/>
                <w:szCs w:val="18"/>
              </w:rPr>
            </w:pPr>
            <w:r>
              <w:rPr>
                <w:rFonts w:ascii="Arial"/>
                <w:sz w:val="18"/>
              </w:rPr>
              <w:t>3,155,416.39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重要在建工程项目本期变动情况" w:id="245"/>
      <w:bookmarkEnd w:id="245"/>
      <w:r>
        <w:rPr>
          <w:b w:val="0"/>
          <w:bCs w:val="0"/>
        </w:rPr>
      </w:r>
      <w:r>
        <w:rPr/>
        <w:t>（</w:t>
      </w:r>
      <w:r>
        <w:rPr>
          <w:rFonts w:ascii="Arial" w:hAnsi="Arial" w:cs="Arial" w:eastAsia="Arial"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私有云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left"/>
              <w:rPr>
                <w:rFonts w:ascii="Times New Roman" w:hAnsi="Times New Roman" w:cs="Times New Roman" w:eastAsia="Times New Roman" w:hint="default"/>
                <w:sz w:val="18"/>
                <w:szCs w:val="18"/>
              </w:rPr>
            </w:pPr>
            <w:r>
              <w:rPr>
                <w:rFonts w:ascii="Times New Roman"/>
                <w:sz w:val="18"/>
              </w:rPr>
              <w:t>11,606,1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3,155,41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7,263,72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10,419,1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59"/>
              <w:jc w:val="left"/>
              <w:rPr>
                <w:rFonts w:ascii="宋体" w:hAnsi="宋体" w:cs="宋体" w:eastAsia="宋体" w:hint="default"/>
                <w:sz w:val="18"/>
                <w:szCs w:val="18"/>
              </w:rPr>
            </w:pPr>
            <w:r>
              <w:rPr>
                <w:rFonts w:ascii="宋体" w:hAnsi="宋体" w:cs="宋体" w:eastAsia="宋体" w:hint="default"/>
                <w:sz w:val="18"/>
                <w:szCs w:val="18"/>
              </w:rPr>
              <w:t>自筹</w:t>
            </w:r>
            <w:r>
              <w:rPr>
                <w:rFonts w:ascii="Times New Roman" w:hAnsi="Times New Roman" w:cs="Times New Roman" w:eastAsia="Times New Roman" w:hint="default"/>
                <w:sz w:val="18"/>
                <w:szCs w:val="18"/>
              </w:rPr>
              <w:t>+</w:t>
            </w:r>
            <w:r>
              <w:rPr>
                <w:rFonts w:ascii="宋体" w:hAnsi="宋体" w:cs="宋体" w:eastAsia="宋体" w:hint="default"/>
                <w:sz w:val="18"/>
                <w:szCs w:val="18"/>
              </w:rPr>
              <w:t>课 题拨款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11,606,1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3,155,41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7,263,72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10,419,1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3、无形资产" w:id="246"/>
      <w:bookmarkEnd w:id="246"/>
      <w:r>
        <w:rPr>
          <w:b w:val="0"/>
          <w:bCs w:val="0"/>
        </w:rPr>
      </w:r>
      <w:r>
        <w:rPr>
          <w:rFonts w:ascii="Arial" w:hAnsi="Arial" w:cs="Arial" w:eastAsia="Arial"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无形资产情况" w:id="247"/>
      <w:bookmarkEnd w:id="247"/>
      <w:r>
        <w:rPr>
          <w:b w:val="0"/>
          <w:bCs w:val="0"/>
        </w:rPr>
      </w:r>
      <w:r>
        <w:rPr/>
        <w:t>（</w:t>
      </w:r>
      <w:r>
        <w:rPr>
          <w:rFonts w:ascii="Arial" w:hAnsi="Arial" w:cs="Arial" w:eastAsia="Arial"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275"/>
        <w:gridCol w:w="1418"/>
        <w:gridCol w:w="1559"/>
        <w:gridCol w:w="148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14,880,800.00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6,800,000.00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589,033,449.33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616,714,249.33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3"/>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193,630,256.32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193,630,256.32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10,694,516.60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10,694,516.60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182,935,739.72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182,935,739.72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27,444,414.09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27,444,414.09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21,744,414.09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21,744,414.09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3"/>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w:t>
            </w:r>
            <w:r>
              <w:rPr>
                <w:rFonts w:ascii="宋体" w:hAnsi="宋体" w:cs="宋体" w:eastAsia="宋体" w:hint="default"/>
                <w:w w:val="95"/>
                <w:sz w:val="18"/>
                <w:szCs w:val="18"/>
              </w:rPr>
              <w:t>）处置子公司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5,700,000.00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5,700,000.00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14,880,800.00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6,800,000.00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755,219,291.56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782,900,091.56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1,736,093.10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1,766,233.60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323,853,106.15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328,255,432.85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3"/>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297,615.96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529,870.08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105,126,749.82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106,554,235.86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297,615.96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529,870.08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105,126,749.82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106,554,235.86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3"/>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23,612,578.64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23,612,578.64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21,744,414.09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21,744,414.09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3"/>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w:t>
            </w:r>
            <w:r>
              <w:rPr>
                <w:rFonts w:ascii="宋体" w:hAnsi="宋体" w:cs="宋体" w:eastAsia="宋体" w:hint="default"/>
                <w:w w:val="95"/>
                <w:sz w:val="18"/>
                <w:szCs w:val="18"/>
              </w:rPr>
              <w:t>）处置子公司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1,868,164.55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1,868,164.55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2,033,709.06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2,296,103.68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405,367,277.33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411,197,090.07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3"/>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期末账面价值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12,847,090.94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4,503,896.32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349,852,014.23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371,703,001.49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3"/>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期初账面价值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13,144,706.90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5,033,766.40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5,100,000.00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265,180,343.18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288,458,816.48</w:t>
            </w:r>
          </w:p>
        </w:tc>
      </w:tr>
    </w:tbl>
    <w:p>
      <w:pPr>
        <w:pStyle w:val="BodyText"/>
        <w:spacing w:line="240" w:lineRule="auto" w:before="25"/>
        <w:ind w:left="532" w:right="996"/>
        <w:jc w:val="left"/>
      </w:pPr>
      <w:r>
        <w:rPr/>
        <w:t>本期末通过公司内部研发形成的无形资产占无形资产余额的比例</w:t>
      </w:r>
      <w:r>
        <w:rPr>
          <w:spacing w:val="-76"/>
        </w:rPr>
        <w:t> </w:t>
      </w:r>
      <w:r>
        <w:rPr>
          <w:spacing w:val="-4"/>
        </w:rPr>
        <w:t>85.50%，不存在抵押、担保和未办妥</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产权证书的土地使用权。</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14、开发支出" w:id="248"/>
      <w:bookmarkEnd w:id="248"/>
      <w:r>
        <w:rPr>
          <w:b w:val="0"/>
          <w:bCs w:val="0"/>
        </w:rPr>
      </w:r>
      <w:r>
        <w:rPr>
          <w:rFonts w:ascii="Arial" w:hAnsi="Arial" w:cs="Arial" w:eastAsia="Arial" w:hint="default"/>
        </w:rPr>
        <w:t>14</w:t>
      </w:r>
      <w:r>
        <w:rPr/>
        <w:t>、开发支出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4"/>
        <w:gridCol w:w="1559"/>
        <w:gridCol w:w="1560"/>
        <w:gridCol w:w="1559"/>
        <w:gridCol w:w="1559"/>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新一代法律</w:t>
            </w:r>
            <w:r>
              <w:rPr>
                <w:rFonts w:ascii="宋体" w:hAnsi="宋体" w:cs="宋体" w:eastAsia="宋体" w:hint="default"/>
                <w:spacing w:val="-46"/>
                <w:sz w:val="18"/>
                <w:szCs w:val="18"/>
              </w:rPr>
              <w:t> </w:t>
            </w:r>
            <w:r>
              <w:rPr>
                <w:rFonts w:ascii="Arial" w:hAnsi="Arial" w:cs="Arial" w:eastAsia="Arial" w:hint="default"/>
                <w:sz w:val="18"/>
                <w:szCs w:val="18"/>
              </w:rPr>
              <w:t>AI</w:t>
            </w:r>
            <w:r>
              <w:rPr>
                <w:rFonts w:ascii="Arial" w:hAnsi="Arial" w:cs="Arial" w:eastAsia="Arial" w:hint="default"/>
                <w:spacing w:val="-8"/>
                <w:sz w:val="18"/>
                <w:szCs w:val="18"/>
              </w:rPr>
              <w:t> </w:t>
            </w:r>
            <w:r>
              <w:rPr>
                <w:rFonts w:ascii="宋体" w:hAnsi="宋体" w:cs="宋体" w:eastAsia="宋体" w:hint="default"/>
                <w:sz w:val="18"/>
                <w:szCs w:val="18"/>
              </w:rPr>
              <w:t>平台建设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30,900,387.47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88,634,049.79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119,534,437.26</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1" w:right="219"/>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安全可靠软件适配研发及集成测试中心 建设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2"/>
                <w:sz w:val="18"/>
              </w:rPr>
              <w:t>11,525,691.29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29,975,056.14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41,500,747.43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3.ABI</w:t>
            </w:r>
            <w:r>
              <w:rPr>
                <w:rFonts w:ascii="Arial" w:hAnsi="Arial" w:cs="Arial" w:eastAsia="Arial" w:hint="default"/>
                <w:spacing w:val="-5"/>
                <w:sz w:val="18"/>
                <w:szCs w:val="18"/>
              </w:rPr>
              <w:t> </w:t>
            </w:r>
            <w:r>
              <w:rPr>
                <w:rFonts w:ascii="宋体" w:hAnsi="宋体" w:cs="宋体" w:eastAsia="宋体" w:hint="default"/>
                <w:sz w:val="18"/>
                <w:szCs w:val="18"/>
              </w:rPr>
              <w:t>一站式数据分析平台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5,083,096.50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7,595,381.68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12,678,478.18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法检行业支撑平台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2"/>
                <w:sz w:val="18"/>
              </w:rPr>
              <w:t>12,401,112.84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12,401,112.84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基于数据驱动的智慧市场监管平台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1,595,739.27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9,876,933.08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11,472,672.35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智能数据管理及治理平台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4,712,605.08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6,593,514.13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3"/>
                <w:sz w:val="18"/>
              </w:rPr>
              <w:t>11,306,119.21</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海事案件智能辅助办案系统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7,857,463.44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7,857,463.44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法律智能检索与办案一体化平台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5,446,947.65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5,446,947.65</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国产化政务办公系统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3,436,725.10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3,436,725.10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门户引擎平台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1,755,122.14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1,755,122.14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数据共享交换中心</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917,349.17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917,349.17</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万户政务协同管理平台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8,993,736.53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5,679,358.42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14,673,094.95</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13.</w:t>
            </w:r>
            <w:r>
              <w:rPr>
                <w:rFonts w:ascii="宋体" w:hAnsi="宋体" w:cs="宋体" w:eastAsia="宋体" w:hint="default"/>
                <w:sz w:val="18"/>
                <w:szCs w:val="18"/>
              </w:rPr>
              <w:t>联奕高校智慧应用与事务审计管理平台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6,960,434.38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6,045,366.59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13,005,800.97</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联奕智慧校园应用支撑与安全保障平台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4,978,220.20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6,023,637.70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11,001,857.90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流程引擎平台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3,303,189.76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4,589,882.19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7,893,071.95</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联奕智慧校园应用支撑平台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6,001,362.69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6,001,362.69</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第三代智能审判系统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2"/>
                <w:sz w:val="18"/>
              </w:rPr>
              <w:t>62,114,660.72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6,423,333.01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68,537,993.73</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18.</w:t>
            </w:r>
            <w:r>
              <w:rPr>
                <w:rFonts w:ascii="宋体" w:hAnsi="宋体" w:cs="宋体" w:eastAsia="宋体" w:hint="default"/>
                <w:sz w:val="18"/>
                <w:szCs w:val="18"/>
              </w:rPr>
              <w:t>法律智能平台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15,813,342.62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989,952.62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16,803,295.24</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19.</w:t>
            </w:r>
            <w:r>
              <w:rPr>
                <w:rFonts w:ascii="宋体" w:hAnsi="宋体" w:cs="宋体" w:eastAsia="宋体" w:hint="default"/>
                <w:sz w:val="18"/>
                <w:szCs w:val="18"/>
              </w:rPr>
              <w:t>市场监管相关行业大数据分析平台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9,885,131.38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51,353.70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9,936,485.08</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20.</w:t>
            </w:r>
            <w:r>
              <w:rPr>
                <w:rFonts w:ascii="宋体" w:hAnsi="宋体" w:cs="宋体" w:eastAsia="宋体" w:hint="default"/>
                <w:sz w:val="18"/>
                <w:szCs w:val="18"/>
              </w:rPr>
              <w:t>市场综合监管一体化平台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21,703,823.52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148,442.57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21,852,266.09</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21.EsenFace</w:t>
            </w:r>
            <w:r>
              <w:rPr>
                <w:rFonts w:ascii="Arial" w:hAnsi="Arial" w:cs="Arial" w:eastAsia="Arial" w:hint="default"/>
                <w:spacing w:val="-11"/>
                <w:sz w:val="18"/>
                <w:szCs w:val="18"/>
              </w:rPr>
              <w:t> </w:t>
            </w:r>
            <w:r>
              <w:rPr>
                <w:rFonts w:ascii="宋体" w:hAnsi="宋体" w:cs="宋体" w:eastAsia="宋体" w:hint="default"/>
                <w:sz w:val="18"/>
                <w:szCs w:val="18"/>
              </w:rPr>
              <w:t>公共研发平台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5,003,954.18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5,003,954.18</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22.BI@Report</w:t>
            </w:r>
            <w:r>
              <w:rPr>
                <w:rFonts w:ascii="Arial" w:hAnsi="Arial" w:cs="Arial" w:eastAsia="Arial" w:hint="default"/>
                <w:spacing w:val="-12"/>
                <w:sz w:val="18"/>
                <w:szCs w:val="18"/>
              </w:rPr>
              <w:t> </w:t>
            </w:r>
            <w:r>
              <w:rPr>
                <w:rFonts w:ascii="宋体" w:hAnsi="宋体" w:cs="宋体" w:eastAsia="宋体" w:hint="default"/>
                <w:sz w:val="18"/>
                <w:szCs w:val="18"/>
              </w:rPr>
              <w:t>数据分析展示平台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8,226,556.94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8,226,556.94</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200,800,569.84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210,442,344.65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182,935,739.72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228,307,174.77</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5、商誉" w:id="249"/>
      <w:bookmarkEnd w:id="249"/>
      <w:r>
        <w:rPr>
          <w:b w:val="0"/>
          <w:bCs w:val="0"/>
        </w:rPr>
      </w:r>
      <w:r>
        <w:rPr>
          <w:rFonts w:ascii="Arial" w:hAnsi="Arial" w:cs="Arial" w:eastAsia="Arial"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商誉账面原值" w:id="250"/>
      <w:bookmarkEnd w:id="250"/>
      <w:r>
        <w:rPr>
          <w:b w:val="0"/>
          <w:bCs w:val="0"/>
        </w:rPr>
      </w:r>
      <w:r>
        <w:rPr/>
        <w:t>（</w:t>
      </w:r>
      <w:r>
        <w:rPr>
          <w:rFonts w:ascii="Arial" w:hAnsi="Arial" w:cs="Arial" w:eastAsia="Arial" w:hint="default"/>
        </w:rPr>
        <w:t>1</w:t>
      </w:r>
      <w:r>
        <w:rPr/>
        <w:t>）商誉账面原值</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02"/>
        <w:gridCol w:w="1843"/>
        <w:gridCol w:w="1559"/>
        <w:gridCol w:w="993"/>
        <w:gridCol w:w="1842"/>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8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85,361,143.21</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85,361,143.21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276,527,261.46</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276,527,261.46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1,299,177,651.14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1,299,177,651.14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1,661,066,055.81</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1,661,066,055.81</w:t>
            </w:r>
          </w:p>
        </w:tc>
      </w:tr>
    </w:tbl>
    <w:p>
      <w:pPr>
        <w:spacing w:line="240" w:lineRule="auto" w:before="3"/>
        <w:rPr>
          <w:rFonts w:ascii="宋体" w:hAnsi="宋体" w:cs="宋体" w:eastAsia="宋体" w:hint="default"/>
          <w:sz w:val="19"/>
          <w:szCs w:val="19"/>
        </w:rPr>
      </w:pPr>
    </w:p>
    <w:p>
      <w:pPr>
        <w:spacing w:line="506" w:lineRule="auto" w:before="34"/>
        <w:ind w:left="112" w:right="8444" w:firstLine="0"/>
        <w:jc w:val="left"/>
        <w:rPr>
          <w:rFonts w:ascii="宋体" w:hAnsi="宋体" w:cs="宋体" w:eastAsia="宋体" w:hint="default"/>
          <w:sz w:val="21"/>
          <w:szCs w:val="21"/>
        </w:rPr>
      </w:pPr>
      <w:r>
        <w:rPr/>
        <w:pict>
          <v:shape style="position:absolute;margin-left:56.34pt;margin-top:50.663673pt;width:483.05pt;height:229.8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1842"/>
                    <w:gridCol w:w="1560"/>
                    <w:gridCol w:w="1842"/>
                  </w:tblGrid>
                  <w:tr>
                    <w:trPr>
                      <w:trHeight w:val="739"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552" w:right="14" w:hanging="540"/>
                          <w:jc w:val="left"/>
                          <w:rPr>
                            <w:rFonts w:ascii="宋体" w:hAnsi="宋体" w:cs="宋体" w:eastAsia="宋体" w:hint="default"/>
                            <w:sz w:val="18"/>
                            <w:szCs w:val="18"/>
                          </w:rPr>
                        </w:pPr>
                        <w:r>
                          <w:rPr>
                            <w:rFonts w:ascii="宋体" w:hAnsi="宋体" w:cs="宋体" w:eastAsia="宋体" w:hint="default"/>
                            <w:sz w:val="18"/>
                            <w:szCs w:val="18"/>
                          </w:rPr>
                          <w:t>上海浦东华宇信息技术 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12" w:right="51" w:hanging="360"/>
                          <w:jc w:val="left"/>
                          <w:rPr>
                            <w:rFonts w:ascii="宋体" w:hAnsi="宋体" w:cs="宋体" w:eastAsia="宋体" w:hint="default"/>
                            <w:sz w:val="18"/>
                            <w:szCs w:val="18"/>
                          </w:rPr>
                        </w:pPr>
                        <w:r>
                          <w:rPr>
                            <w:rFonts w:ascii="宋体" w:hAnsi="宋体" w:cs="宋体" w:eastAsia="宋体" w:hint="default"/>
                            <w:sz w:val="18"/>
                            <w:szCs w:val="18"/>
                          </w:rPr>
                          <w:t>北京万户网络技术 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商誉账面原值①</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85,361,143.21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276,527,261.46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1,299,177,651.14</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8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商誉的账面余额③</w:t>
                        </w:r>
                        <w:r>
                          <w:rPr>
                            <w:rFonts w:ascii="Arial" w:hAnsi="Arial" w:cs="Arial" w:eastAsia="Arial" w:hint="default"/>
                            <w:sz w:val="18"/>
                            <w:szCs w:val="18"/>
                          </w:rPr>
                          <w:t>=</w:t>
                        </w:r>
                        <w:r>
                          <w:rPr>
                            <w:rFonts w:ascii="宋体" w:hAnsi="宋体" w:cs="宋体" w:eastAsia="宋体" w:hint="default"/>
                            <w:sz w:val="18"/>
                            <w:szCs w:val="18"/>
                          </w:rPr>
                          <w:t>①</w:t>
                        </w:r>
                        <w:r>
                          <w:rPr>
                            <w:rFonts w:ascii="Arial" w:hAnsi="Arial" w:cs="Arial" w:eastAsia="Arial" w:hint="default"/>
                            <w:sz w:val="18"/>
                            <w:szCs w:val="18"/>
                          </w:rPr>
                          <w:t>-</w:t>
                        </w:r>
                        <w:r>
                          <w:rPr>
                            <w:rFonts w:ascii="宋体" w:hAnsi="宋体" w:cs="宋体" w:eastAsia="宋体" w:hint="default"/>
                            <w:sz w:val="18"/>
                            <w:szCs w:val="18"/>
                          </w:rPr>
                          <w:t>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85,361,143.21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276,527,261.46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1,299,177,651.14</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18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Arial" w:hAnsi="Arial" w:cs="Arial" w:eastAsia="Arial" w:hint="default"/>
                            <w:sz w:val="18"/>
                            <w:szCs w:val="18"/>
                          </w:rPr>
                          <w:t>=</w:t>
                        </w:r>
                        <w:r>
                          <w:rPr>
                            <w:rFonts w:ascii="宋体" w:hAnsi="宋体" w:cs="宋体" w:eastAsia="宋体" w:hint="default"/>
                            <w:sz w:val="18"/>
                            <w:szCs w:val="18"/>
                          </w:rPr>
                          <w:t>③</w:t>
                        </w:r>
                        <w:r>
                          <w:rPr>
                            <w:rFonts w:ascii="Arial" w:hAnsi="Arial" w:cs="Arial" w:eastAsia="Arial" w:hint="default"/>
                            <w:sz w:val="18"/>
                            <w:szCs w:val="18"/>
                          </w:rPr>
                          <w:t>+</w:t>
                        </w:r>
                        <w:r>
                          <w:rPr>
                            <w:rFonts w:ascii="宋体" w:hAnsi="宋体" w:cs="宋体" w:eastAsia="宋体" w:hint="default"/>
                            <w:sz w:val="18"/>
                            <w:szCs w:val="18"/>
                          </w:rPr>
                          <w:t>④</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85,361,143.21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276,527,261.46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1,299,177,651.14</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不含商誉的资产组账面价值⑥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13,419,640.65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37,758,095.06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77,490,316.67</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包含整体商誉的资产组的账面价值⑦</w:t>
                        </w:r>
                        <w:r>
                          <w:rPr>
                            <w:rFonts w:ascii="Arial" w:hAnsi="Arial" w:cs="Arial" w:eastAsia="Arial" w:hint="default"/>
                            <w:sz w:val="18"/>
                            <w:szCs w:val="18"/>
                          </w:rPr>
                          <w:t>=</w:t>
                        </w:r>
                        <w:r>
                          <w:rPr>
                            <w:rFonts w:ascii="宋体" w:hAnsi="宋体" w:cs="宋体" w:eastAsia="宋体" w:hint="default"/>
                            <w:sz w:val="18"/>
                            <w:szCs w:val="18"/>
                          </w:rPr>
                          <w:t>⑤</w:t>
                        </w:r>
                        <w:r>
                          <w:rPr>
                            <w:rFonts w:ascii="Arial" w:hAnsi="Arial" w:cs="Arial" w:eastAsia="Arial" w:hint="default"/>
                            <w:sz w:val="18"/>
                            <w:szCs w:val="18"/>
                          </w:rPr>
                          <w:t>+</w:t>
                        </w:r>
                        <w:r>
                          <w:rPr>
                            <w:rFonts w:ascii="宋体" w:hAnsi="宋体" w:cs="宋体" w:eastAsia="宋体" w:hint="default"/>
                            <w:sz w:val="18"/>
                            <w:szCs w:val="18"/>
                          </w:rPr>
                          <w:t>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98,780,783.86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314,285,356.52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1,376,667,967.81</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资产组预计未来现金流量的现值（可收回金额）⑧</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386,000,000.00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sz w:val="18"/>
                          </w:rPr>
                          <w:t>322,000,000.00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1,413,000,000.00</w:t>
                        </w:r>
                      </w:p>
                    </w:tc>
                  </w:tr>
                  <w:tr>
                    <w:trPr>
                      <w:trHeight w:val="427" w:hRule="exact"/>
                    </w:trPr>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Arial" w:hAnsi="Arial" w:cs="Arial" w:eastAsia="Arial" w:hint="default"/>
                            <w:sz w:val="18"/>
                            <w:szCs w:val="18"/>
                          </w:rPr>
                          <w:t>0</w:t>
                        </w:r>
                        <w:r>
                          <w:rPr>
                            <w:rFonts w:ascii="宋体" w:hAnsi="宋体" w:cs="宋体" w:eastAsia="宋体" w:hint="default"/>
                            <w:sz w:val="18"/>
                            <w:szCs w:val="18"/>
                          </w:rPr>
                          <w:t>时，以商誉减至</w:t>
                        </w:r>
                        <w:r>
                          <w:rPr>
                            <w:rFonts w:ascii="Arial" w:hAnsi="Arial" w:cs="Arial" w:eastAsia="Arial" w:hint="default"/>
                            <w:sz w:val="18"/>
                            <w:szCs w:val="18"/>
                          </w:rPr>
                          <w:t>0</w:t>
                        </w:r>
                        <w:r>
                          <w:rPr>
                            <w:rFonts w:ascii="宋体" w:hAnsi="宋体" w:cs="宋体" w:eastAsia="宋体" w:hint="default"/>
                            <w:sz w:val="18"/>
                            <w:szCs w:val="18"/>
                          </w:rPr>
                          <w:t>为限）⑨</w:t>
                        </w:r>
                        <w:r>
                          <w:rPr>
                            <w:rFonts w:ascii="Arial" w:hAnsi="Arial" w:cs="Arial" w:eastAsia="Arial" w:hint="default"/>
                            <w:sz w:val="18"/>
                            <w:szCs w:val="18"/>
                          </w:rPr>
                          <w:t>=</w:t>
                        </w:r>
                        <w:r>
                          <w:rPr>
                            <w:rFonts w:ascii="宋体" w:hAnsi="宋体" w:cs="宋体" w:eastAsia="宋体" w:hint="default"/>
                            <w:sz w:val="18"/>
                            <w:szCs w:val="18"/>
                          </w:rPr>
                          <w:t>⑦</w:t>
                        </w:r>
                        <w:r>
                          <w:rPr>
                            <w:rFonts w:ascii="Arial" w:hAnsi="Arial" w:cs="Arial" w:eastAsia="Arial" w:hint="default"/>
                            <w:sz w:val="18"/>
                            <w:szCs w:val="18"/>
                          </w:rPr>
                          <w:t>-</w:t>
                        </w:r>
                        <w:r>
                          <w:rPr>
                            <w:rFonts w:ascii="宋体" w:hAnsi="宋体" w:cs="宋体" w:eastAsia="宋体" w:hint="default"/>
                            <w:sz w:val="18"/>
                            <w:szCs w:val="18"/>
                          </w:rPr>
                          <w:t>⑧</w:t>
                        </w:r>
                      </w:p>
                    </w:tc>
                    <w:tc>
                      <w:tcPr>
                        <w:tcW w:w="18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bookmarkStart w:name="（2）商誉减值准备" w:id="251"/>
      <w:bookmarkEnd w:id="251"/>
      <w:r>
        <w:rPr/>
      </w: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t>商誉减值测试情况如下：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24" w:lineRule="auto" w:before="34"/>
        <w:ind w:left="532" w:right="1119" w:hanging="420"/>
        <w:jc w:val="left"/>
      </w:pPr>
      <w:r>
        <w:rPr/>
        <w:t>商誉所在资产组或资产组组合的相关信息</w:t>
      </w:r>
      <w:r>
        <w:rPr>
          <w:w w:val="99"/>
        </w:rPr>
        <w:t> </w:t>
      </w:r>
      <w:r>
        <w:rPr>
          <w:w w:val="95"/>
        </w:rPr>
        <w:t>上述公司商誉减值测试涉及的资产组或资产组组合的构成情况如下：</w:t>
      </w:r>
      <w:r>
        <w:rPr/>
      </w:r>
    </w:p>
    <w:p>
      <w:pPr>
        <w:pStyle w:val="BodyText"/>
        <w:spacing w:line="266" w:lineRule="auto" w:before="23"/>
        <w:ind w:right="1130" w:firstLine="420"/>
        <w:jc w:val="both"/>
      </w:pPr>
      <w:r>
        <w:rPr>
          <w:spacing w:val="2"/>
          <w:w w:val="95"/>
        </w:rPr>
        <w:t>（</w:t>
      </w:r>
      <w:r>
        <w:rPr>
          <w:rFonts w:ascii="Arial" w:hAnsi="Arial" w:cs="Arial" w:eastAsia="Arial" w:hint="default"/>
          <w:spacing w:val="2"/>
          <w:w w:val="95"/>
        </w:rPr>
        <w:t>1</w:t>
      </w:r>
      <w:r>
        <w:rPr>
          <w:spacing w:val="2"/>
          <w:w w:val="95"/>
        </w:rPr>
        <w:t>）上海浦东华宇信息技术有限公司（以下简称浦东华宇）：资产负债表日的测试范围为与商誉相</w:t>
      </w:r>
      <w:r>
        <w:rPr>
          <w:spacing w:val="-92"/>
          <w:w w:val="95"/>
        </w:rPr>
        <w:t> </w:t>
      </w:r>
      <w:r>
        <w:rPr>
          <w:spacing w:val="-92"/>
          <w:w w:val="95"/>
        </w:rPr>
      </w:r>
      <w:r>
        <w:rPr>
          <w:w w:val="95"/>
        </w:rPr>
        <w:t>关的最小资产组所涉及的资产及负债，具体包括固定资产、无形资产、开发支出、长期待摊费用，该资产</w:t>
      </w:r>
      <w:r>
        <w:rPr>
          <w:spacing w:val="45"/>
          <w:w w:val="95"/>
        </w:rPr>
        <w:t> </w:t>
      </w:r>
      <w:r>
        <w:rPr>
          <w:spacing w:val="45"/>
          <w:w w:val="95"/>
        </w:rPr>
      </w:r>
      <w:r>
        <w:rPr/>
        <w:t>组与购买日及以前年度商誉减值测试时所确定的资产组或资产组组合一致。</w:t>
      </w:r>
    </w:p>
    <w:p>
      <w:pPr>
        <w:pStyle w:val="BodyText"/>
        <w:spacing w:line="266" w:lineRule="auto" w:before="74"/>
        <w:ind w:right="1130" w:firstLine="420"/>
        <w:jc w:val="both"/>
      </w:pPr>
      <w:r>
        <w:rPr>
          <w:spacing w:val="2"/>
          <w:w w:val="95"/>
        </w:rPr>
        <w:t>（</w:t>
      </w:r>
      <w:r>
        <w:rPr>
          <w:rFonts w:ascii="Arial" w:hAnsi="Arial" w:cs="Arial" w:eastAsia="Arial" w:hint="default"/>
          <w:spacing w:val="2"/>
          <w:w w:val="95"/>
        </w:rPr>
        <w:t>2</w:t>
      </w:r>
      <w:r>
        <w:rPr>
          <w:spacing w:val="2"/>
          <w:w w:val="95"/>
        </w:rPr>
        <w:t>）北京万户网络技术有限公司（以下简称北京万户）：资产负债表日的测试范围为与商誉相关的</w:t>
      </w:r>
      <w:r>
        <w:rPr>
          <w:spacing w:val="-92"/>
          <w:w w:val="95"/>
        </w:rPr>
        <w:t> </w:t>
      </w:r>
      <w:r>
        <w:rPr>
          <w:spacing w:val="-92"/>
          <w:w w:val="95"/>
        </w:rPr>
      </w:r>
      <w:r>
        <w:rPr>
          <w:w w:val="95"/>
        </w:rPr>
        <w:t>最小资产组所涉及的资产及负债，具体包括固定资产、无形资产、开发支出、长期待摊费用，该资产组与</w:t>
      </w:r>
      <w:r>
        <w:rPr>
          <w:spacing w:val="44"/>
          <w:w w:val="95"/>
        </w:rPr>
        <w:t> </w:t>
      </w:r>
      <w:r>
        <w:rPr>
          <w:spacing w:val="44"/>
          <w:w w:val="95"/>
        </w:rPr>
      </w:r>
      <w:r>
        <w:rPr/>
        <w:t>购买日及以前年度商誉减值测试时所确定的资产组或资产组组合一致。</w:t>
      </w:r>
    </w:p>
    <w:p>
      <w:pPr>
        <w:pStyle w:val="BodyText"/>
        <w:spacing w:line="266" w:lineRule="auto" w:before="74"/>
        <w:ind w:right="1130" w:firstLine="420"/>
        <w:jc w:val="both"/>
      </w:pPr>
      <w:r>
        <w:rPr>
          <w:spacing w:val="2"/>
          <w:w w:val="95"/>
        </w:rPr>
        <w:t>（</w:t>
      </w:r>
      <w:r>
        <w:rPr>
          <w:rFonts w:ascii="Arial" w:hAnsi="Arial" w:cs="Arial" w:eastAsia="Arial" w:hint="default"/>
          <w:spacing w:val="2"/>
          <w:w w:val="95"/>
        </w:rPr>
        <w:t>3</w:t>
      </w:r>
      <w:r>
        <w:rPr>
          <w:spacing w:val="2"/>
          <w:w w:val="95"/>
        </w:rPr>
        <w:t>）联奕科技有限公司（以下简称联奕科技）：资产负债表日的测试范围为与商誉相关的最小资产</w:t>
      </w:r>
      <w:r>
        <w:rPr>
          <w:spacing w:val="-92"/>
          <w:w w:val="95"/>
        </w:rPr>
        <w:t> </w:t>
      </w:r>
      <w:r>
        <w:rPr>
          <w:spacing w:val="-92"/>
          <w:w w:val="95"/>
        </w:rPr>
      </w:r>
      <w:r>
        <w:rPr>
          <w:w w:val="95"/>
        </w:rPr>
        <w:t>组所涉及的资产及负债，具体包括固定资产、无形资产、开发支出、长期待摊费用，该资产组与购买日及</w:t>
      </w:r>
      <w:r>
        <w:rPr>
          <w:spacing w:val="42"/>
          <w:w w:val="95"/>
        </w:rPr>
        <w:t> </w:t>
      </w:r>
      <w:r>
        <w:rPr>
          <w:spacing w:val="42"/>
          <w:w w:val="95"/>
        </w:rPr>
      </w:r>
      <w:r>
        <w:rPr/>
        <w:t>以前年度商誉减值测试时所确定的资产组或资产组组合一致。</w:t>
      </w:r>
    </w:p>
    <w:p>
      <w:pPr>
        <w:pStyle w:val="BodyText"/>
        <w:spacing w:line="307" w:lineRule="auto" w:before="74"/>
        <w:ind w:left="532" w:right="996"/>
        <w:jc w:val="left"/>
      </w:pPr>
      <w:r>
        <w:rPr>
          <w:rFonts w:ascii="Arial" w:hAnsi="Arial" w:cs="Arial" w:eastAsia="Arial" w:hint="default"/>
        </w:rPr>
        <w:t>1</w:t>
      </w:r>
      <w:r>
        <w:rPr/>
        <w:t>、可收回金额方法的确定</w:t>
      </w:r>
      <w:r>
        <w:rPr>
          <w:w w:val="99"/>
        </w:rPr>
        <w:t> </w:t>
      </w:r>
      <w:r>
        <w:rPr>
          <w:w w:val="95"/>
        </w:rPr>
        <w:t>根据《会计准则第</w:t>
      </w:r>
      <w:r>
        <w:rPr>
          <w:rFonts w:ascii="Arial" w:hAnsi="Arial" w:cs="Arial" w:eastAsia="Arial" w:hint="default"/>
          <w:w w:val="95"/>
        </w:rPr>
        <w:t>8</w:t>
      </w:r>
      <w:r>
        <w:rPr>
          <w:w w:val="95"/>
        </w:rPr>
        <w:t>号</w:t>
      </w:r>
      <w:r>
        <w:rPr>
          <w:rFonts w:ascii="Times New Roman" w:hAnsi="Times New Roman" w:cs="Times New Roman" w:eastAsia="Times New Roman" w:hint="default"/>
          <w:w w:val="95"/>
        </w:rPr>
        <w:t>—</w:t>
      </w:r>
      <w:r>
        <w:rPr>
          <w:w w:val="95"/>
        </w:rPr>
        <w:t>资产减值》的相关规定，可收回金额是公允价值减去处置费用后的净额与资</w:t>
      </w:r>
      <w:r>
        <w:rPr/>
      </w:r>
    </w:p>
    <w:p>
      <w:pPr>
        <w:pStyle w:val="BodyText"/>
        <w:spacing w:line="230" w:lineRule="exact"/>
        <w:ind w:right="996"/>
        <w:jc w:val="left"/>
      </w:pPr>
      <w:r>
        <w:rPr/>
        <w:t>产预计未来现金流量的现值两者之间较高者，即：</w:t>
      </w:r>
    </w:p>
    <w:p>
      <w:pPr>
        <w:pStyle w:val="BodyText"/>
        <w:spacing w:line="307" w:lineRule="auto" w:before="97"/>
        <w:ind w:left="532" w:right="996"/>
        <w:jc w:val="left"/>
      </w:pPr>
      <w:r>
        <w:rPr/>
        <w:t>可收回金额</w:t>
      </w:r>
      <w:r>
        <w:rPr>
          <w:rFonts w:ascii="Arial" w:hAnsi="Arial" w:cs="Arial" w:eastAsia="Arial" w:hint="default"/>
        </w:rPr>
        <w:t>=Max</w:t>
      </w:r>
      <w:r>
        <w:rPr/>
        <w:t>（公允价值</w:t>
      </w:r>
      <w:r>
        <w:rPr>
          <w:rFonts w:ascii="Arial" w:hAnsi="Arial" w:cs="Arial" w:eastAsia="Arial" w:hint="default"/>
        </w:rPr>
        <w:t>-</w:t>
      </w:r>
      <w:r>
        <w:rPr/>
        <w:t>处置费用，预计未来现金流量的现值）</w:t>
      </w:r>
      <w:r>
        <w:rPr>
          <w:w w:val="99"/>
        </w:rPr>
        <w:t> </w:t>
      </w:r>
      <w:r>
        <w:rPr>
          <w:spacing w:val="-1"/>
          <w:w w:val="95"/>
        </w:rPr>
        <w:t>预计未来现金流量的现值（在用价值），是指资产组（</w:t>
      </w:r>
      <w:r>
        <w:rPr>
          <w:rFonts w:ascii="Arial" w:hAnsi="Arial" w:cs="Arial" w:eastAsia="Arial" w:hint="default"/>
          <w:spacing w:val="-1"/>
          <w:w w:val="95"/>
        </w:rPr>
        <w:t>CGU</w:t>
      </w:r>
      <w:r>
        <w:rPr>
          <w:spacing w:val="-1"/>
          <w:w w:val="95"/>
        </w:rPr>
        <w:t>）在现有会计主体，按照现有的经营模式</w:t>
      </w:r>
      <w:r>
        <w:rPr>
          <w:spacing w:val="-1"/>
        </w:rPr>
      </w:r>
    </w:p>
    <w:p>
      <w:pPr>
        <w:spacing w:after="0" w:line="307" w:lineRule="auto"/>
        <w:jc w:val="left"/>
        <w:sectPr>
          <w:footerReference w:type="default" r:id="rId41"/>
          <w:pgSz w:w="11910" w:h="16840"/>
          <w:pgMar w:footer="1016" w:header="878" w:top="1100" w:bottom="1200" w:left="1020" w:right="0"/>
          <w:pgNumType w:start="170"/>
        </w:sectPr>
      </w:pPr>
    </w:p>
    <w:p>
      <w:pPr>
        <w:spacing w:line="240" w:lineRule="auto" w:before="12"/>
        <w:rPr>
          <w:rFonts w:ascii="宋体" w:hAnsi="宋体" w:cs="宋体" w:eastAsia="宋体" w:hint="default"/>
          <w:sz w:val="20"/>
          <w:szCs w:val="20"/>
        </w:rPr>
      </w:pPr>
    </w:p>
    <w:p>
      <w:pPr>
        <w:pStyle w:val="BodyText"/>
        <w:spacing w:line="324" w:lineRule="auto" w:before="34"/>
        <w:ind w:left="532" w:right="996" w:hanging="420"/>
        <w:jc w:val="left"/>
      </w:pPr>
      <w:r>
        <w:rPr/>
        <w:t>持续经营该资产组的前提下未来现金流的现值。</w:t>
      </w:r>
      <w:r>
        <w:rPr>
          <w:w w:val="99"/>
        </w:rPr>
        <w:t> </w:t>
      </w:r>
      <w:r>
        <w:rPr>
          <w:w w:val="95"/>
        </w:rPr>
        <w:t>资产的公允价值减去处置费用后的净额，应当根据公平交易中销售协议价格减去可直接归属于该资产</w:t>
      </w:r>
      <w:r>
        <w:rPr/>
      </w:r>
    </w:p>
    <w:p>
      <w:pPr>
        <w:pStyle w:val="BodyText"/>
        <w:spacing w:line="238" w:lineRule="exact"/>
        <w:ind w:right="996"/>
        <w:jc w:val="left"/>
      </w:pPr>
      <w:r>
        <w:rPr/>
        <w:t>处置费用的金额确定。</w:t>
      </w:r>
    </w:p>
    <w:p>
      <w:pPr>
        <w:pStyle w:val="BodyText"/>
        <w:spacing w:line="264" w:lineRule="auto" w:before="97"/>
        <w:ind w:right="996" w:firstLine="420"/>
        <w:jc w:val="left"/>
      </w:pPr>
      <w:r>
        <w:rPr/>
        <w:t>经综合分析，按照《会计准则第</w:t>
      </w:r>
      <w:r>
        <w:rPr>
          <w:rFonts w:ascii="Arial" w:hAnsi="Arial" w:cs="Arial" w:eastAsia="Arial" w:hint="default"/>
        </w:rPr>
        <w:t>8</w:t>
      </w:r>
      <w:r>
        <w:rPr/>
        <w:t>号</w:t>
      </w:r>
      <w:r>
        <w:rPr>
          <w:rFonts w:ascii="Times New Roman" w:hAnsi="Times New Roman" w:cs="Times New Roman" w:eastAsia="Times New Roman" w:hint="default"/>
        </w:rPr>
        <w:t>—</w:t>
      </w:r>
      <w:r>
        <w:rPr/>
        <w:t>资产减值》的相关规定，无法可靠估计资产的公允价值减去处</w:t>
      </w:r>
      <w:r>
        <w:rPr>
          <w:w w:val="99"/>
        </w:rPr>
        <w:t> </w:t>
      </w:r>
      <w:r>
        <w:rPr>
          <w:w w:val="95"/>
        </w:rPr>
        <w:t>置费用后的净额，因此确定采用收益途径评估与商誉相关的资产组预计未来下金流量的现值作为其可收回  </w:t>
      </w:r>
      <w:r>
        <w:rPr>
          <w:spacing w:val="37"/>
          <w:w w:val="95"/>
        </w:rPr>
        <w:t> </w:t>
      </w:r>
      <w:r>
        <w:rPr>
          <w:spacing w:val="37"/>
          <w:w w:val="95"/>
        </w:rPr>
      </w:r>
      <w:r>
        <w:rPr/>
        <w:t>金额。</w:t>
      </w:r>
    </w:p>
    <w:p>
      <w:pPr>
        <w:pStyle w:val="BodyText"/>
        <w:spacing w:line="240" w:lineRule="auto" w:before="76"/>
        <w:ind w:left="532" w:right="996"/>
        <w:jc w:val="left"/>
      </w:pPr>
      <w:r>
        <w:rPr>
          <w:rFonts w:ascii="Arial" w:hAnsi="Arial" w:cs="Arial" w:eastAsia="Arial" w:hint="default"/>
        </w:rPr>
        <w:t>2</w:t>
      </w:r>
      <w:r>
        <w:rPr/>
        <w:t>、重要假设及依据</w:t>
      </w:r>
    </w:p>
    <w:p>
      <w:pPr>
        <w:pStyle w:val="BodyText"/>
        <w:spacing w:line="240" w:lineRule="auto" w:before="82"/>
        <w:ind w:left="532" w:right="996"/>
        <w:jc w:val="left"/>
      </w:pPr>
      <w:r>
        <w:rPr>
          <w:rFonts w:ascii="Arial" w:hAnsi="Arial" w:cs="Arial" w:eastAsia="Arial" w:hint="default"/>
        </w:rPr>
        <w:t>1</w:t>
      </w:r>
      <w:r>
        <w:rPr/>
        <w:t>）国家现行的宏观经济不发生重大变化。</w:t>
      </w:r>
    </w:p>
    <w:p>
      <w:pPr>
        <w:pStyle w:val="BodyText"/>
        <w:spacing w:line="240" w:lineRule="auto" w:before="82"/>
        <w:ind w:left="532" w:right="996"/>
        <w:jc w:val="left"/>
      </w:pPr>
      <w:r>
        <w:rPr>
          <w:rFonts w:ascii="Arial" w:hAnsi="Arial" w:cs="Arial" w:eastAsia="Arial" w:hint="default"/>
        </w:rPr>
        <w:t>2</w:t>
      </w:r>
      <w:r>
        <w:rPr/>
        <w:t>）被评估单位所处的社会经济环境以及所执行的税赋、税率等政策无重大变化。</w:t>
      </w:r>
    </w:p>
    <w:p>
      <w:pPr>
        <w:pStyle w:val="BodyText"/>
        <w:spacing w:line="240" w:lineRule="auto" w:before="82"/>
        <w:ind w:left="532" w:right="996"/>
        <w:jc w:val="left"/>
      </w:pPr>
      <w:r>
        <w:rPr>
          <w:rFonts w:ascii="Arial" w:hAnsi="Arial" w:cs="Arial" w:eastAsia="Arial" w:hint="default"/>
        </w:rPr>
        <w:t>3</w:t>
      </w:r>
      <w:r>
        <w:rPr/>
        <w:t>）</w:t>
      </w:r>
      <w:r>
        <w:rPr>
          <w:spacing w:val="-20"/>
        </w:rPr>
        <w:t> </w:t>
      </w:r>
      <w:r>
        <w:rPr/>
        <w:t>假设企业的经营管理人员能恪尽职守，企业继续保持现有的经营管理模式持续经营。</w:t>
      </w:r>
    </w:p>
    <w:p>
      <w:pPr>
        <w:pStyle w:val="BodyText"/>
        <w:spacing w:line="240" w:lineRule="auto" w:before="82"/>
        <w:ind w:left="532" w:right="996"/>
        <w:jc w:val="left"/>
      </w:pPr>
      <w:r>
        <w:rPr>
          <w:rFonts w:ascii="Arial" w:hAnsi="Arial" w:cs="Arial" w:eastAsia="Arial" w:hint="default"/>
        </w:rPr>
        <w:t>4</w:t>
      </w:r>
      <w:r>
        <w:rPr/>
        <w:t>）本次评估测算的各项参数取值是按照不变价格体系确定的，不考虑通货膨胀因素的影响。</w:t>
      </w:r>
    </w:p>
    <w:p>
      <w:pPr>
        <w:pStyle w:val="BodyText"/>
        <w:spacing w:line="240" w:lineRule="auto" w:before="82"/>
        <w:ind w:left="532" w:right="996"/>
        <w:jc w:val="left"/>
      </w:pPr>
      <w:r>
        <w:rPr>
          <w:rFonts w:ascii="Arial" w:hAnsi="Arial" w:cs="Arial" w:eastAsia="Arial" w:hint="default"/>
        </w:rPr>
        <w:t>3</w:t>
      </w:r>
      <w:r>
        <w:rPr/>
        <w:t>、关键参数</w:t>
      </w:r>
    </w:p>
    <w:p>
      <w:pPr>
        <w:spacing w:line="240" w:lineRule="auto" w:before="5"/>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410"/>
        <w:gridCol w:w="1701"/>
        <w:gridCol w:w="992"/>
        <w:gridCol w:w="1418"/>
        <w:gridCol w:w="1384"/>
        <w:gridCol w:w="1734"/>
      </w:tblGrid>
      <w:tr>
        <w:trPr>
          <w:trHeight w:val="467" w:hRule="exact"/>
        </w:trPr>
        <w:tc>
          <w:tcPr>
            <w:tcW w:w="241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1018" w:right="2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72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839" w:hRule="exact"/>
        </w:trPr>
        <w:tc>
          <w:tcPr>
            <w:tcW w:w="2410" w:type="dxa"/>
            <w:vMerge/>
            <w:tcBorders>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79" w:lineRule="auto" w:before="82"/>
              <w:ind w:left="219" w:right="215"/>
              <w:jc w:val="left"/>
              <w:rPr>
                <w:rFonts w:ascii="宋体" w:hAnsi="宋体" w:cs="宋体" w:eastAsia="宋体" w:hint="default"/>
                <w:sz w:val="18"/>
                <w:szCs w:val="18"/>
              </w:rPr>
            </w:pPr>
            <w:r>
              <w:rPr>
                <w:rFonts w:ascii="宋体" w:hAnsi="宋体" w:cs="宋体" w:eastAsia="宋体" w:hint="default"/>
                <w:sz w:val="18"/>
                <w:szCs w:val="18"/>
              </w:rPr>
              <w:t>预测期 增长率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229" w:right="1" w:hanging="228"/>
              <w:jc w:val="left"/>
              <w:rPr>
                <w:rFonts w:ascii="宋体" w:hAnsi="宋体" w:cs="宋体" w:eastAsia="宋体" w:hint="default"/>
                <w:sz w:val="18"/>
                <w:szCs w:val="18"/>
              </w:rPr>
            </w:pPr>
            <w:r>
              <w:rPr>
                <w:rFonts w:ascii="宋体" w:hAnsi="宋体" w:cs="宋体" w:eastAsia="宋体" w:hint="default"/>
                <w:spacing w:val="-9"/>
                <w:sz w:val="18"/>
                <w:szCs w:val="18"/>
              </w:rPr>
              <w:t>折现率（税前总资本加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权平均回报率）</w:t>
            </w:r>
          </w:p>
        </w:tc>
      </w:tr>
      <w:tr>
        <w:trPr>
          <w:trHeight w:val="8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2"/>
              <w:ind w:left="1107" w:right="27" w:hanging="1080"/>
              <w:jc w:val="left"/>
              <w:rPr>
                <w:rFonts w:ascii="宋体" w:hAnsi="宋体" w:cs="宋体" w:eastAsia="宋体" w:hint="default"/>
                <w:sz w:val="18"/>
                <w:szCs w:val="18"/>
              </w:rPr>
            </w:pPr>
            <w:r>
              <w:rPr>
                <w:rFonts w:ascii="宋体" w:hAnsi="宋体" w:cs="宋体" w:eastAsia="宋体" w:hint="default"/>
                <w:sz w:val="18"/>
                <w:szCs w:val="18"/>
              </w:rPr>
              <w:t>上海浦东华宇信息技术有限公 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宋体" w:hAnsi="宋体" w:cs="宋体" w:eastAsia="宋体" w:hint="default"/>
                <w:sz w:val="18"/>
                <w:szCs w:val="18"/>
              </w:rPr>
              <w:t>年</w:t>
            </w:r>
            <w:r>
              <w:rPr>
                <w:rFonts w:ascii="Arial" w:hAnsi="Arial" w:cs="Arial" w:eastAsia="Arial" w:hint="default"/>
                <w:sz w:val="18"/>
                <w:szCs w:val="18"/>
              </w:rPr>
              <w:t>-2024</w:t>
            </w:r>
            <w:r>
              <w:rPr>
                <w:rFonts w:ascii="宋体" w:hAnsi="宋体" w:cs="宋体" w:eastAsia="宋体" w:hint="default"/>
                <w:sz w:val="18"/>
                <w:szCs w:val="18"/>
              </w:rPr>
              <w:t>年</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98"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12"/>
              <w:ind w:left="432" w:right="48" w:hanging="382"/>
              <w:jc w:val="left"/>
              <w:rPr>
                <w:rFonts w:ascii="宋体" w:hAnsi="宋体" w:cs="宋体" w:eastAsia="宋体" w:hint="default"/>
                <w:sz w:val="18"/>
                <w:szCs w:val="18"/>
              </w:rPr>
            </w:pPr>
            <w:r>
              <w:rPr>
                <w:rFonts w:ascii="宋体" w:hAnsi="宋体" w:cs="宋体" w:eastAsia="宋体" w:hint="default"/>
                <w:sz w:val="18"/>
                <w:szCs w:val="18"/>
              </w:rPr>
              <w:t>与预测期末</w:t>
            </w:r>
            <w:r>
              <w:rPr>
                <w:rFonts w:ascii="Arial" w:hAnsi="Arial" w:cs="Arial" w:eastAsia="Arial" w:hint="default"/>
                <w:sz w:val="18"/>
                <w:szCs w:val="18"/>
              </w:rPr>
              <w:t>2024</w:t>
            </w:r>
            <w:r>
              <w:rPr>
                <w:rFonts w:ascii="Arial" w:hAnsi="Arial" w:cs="Arial" w:eastAsia="Arial" w:hint="default"/>
                <w:w w:val="99"/>
                <w:sz w:val="18"/>
                <w:szCs w:val="18"/>
              </w:rPr>
              <w:t> </w:t>
            </w:r>
            <w:r>
              <w:rPr>
                <w:rFonts w:ascii="宋体" w:hAnsi="宋体" w:cs="宋体" w:eastAsia="宋体" w:hint="default"/>
                <w:sz w:val="18"/>
                <w:szCs w:val="18"/>
              </w:rPr>
              <w:t>年持平</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2"/>
              <w:ind w:left="53" w:right="53" w:hanging="51"/>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112"/>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553" w:right="0"/>
              <w:jc w:val="left"/>
              <w:rPr>
                <w:rFonts w:ascii="Arial" w:hAnsi="Arial" w:cs="Arial" w:eastAsia="Arial" w:hint="default"/>
                <w:sz w:val="18"/>
                <w:szCs w:val="18"/>
              </w:rPr>
            </w:pPr>
            <w:r>
              <w:rPr>
                <w:rFonts w:ascii="Arial"/>
                <w:sz w:val="18"/>
              </w:rPr>
              <w:t>12.77%</w:t>
            </w:r>
          </w:p>
        </w:tc>
      </w:tr>
      <w:tr>
        <w:trPr>
          <w:trHeight w:val="8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宋体" w:hAnsi="宋体" w:cs="宋体" w:eastAsia="宋体" w:hint="default"/>
                <w:sz w:val="18"/>
                <w:szCs w:val="18"/>
              </w:rPr>
              <w:t>年</w:t>
            </w:r>
            <w:r>
              <w:rPr>
                <w:rFonts w:ascii="Arial" w:hAnsi="Arial" w:cs="Arial" w:eastAsia="Arial" w:hint="default"/>
                <w:sz w:val="18"/>
                <w:szCs w:val="18"/>
              </w:rPr>
              <w:t>-2026</w:t>
            </w:r>
            <w:r>
              <w:rPr>
                <w:rFonts w:ascii="宋体" w:hAnsi="宋体" w:cs="宋体" w:eastAsia="宋体" w:hint="default"/>
                <w:sz w:val="18"/>
                <w:szCs w:val="18"/>
              </w:rPr>
              <w:t>年</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98"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10"/>
              <w:ind w:left="432" w:right="50" w:hanging="382"/>
              <w:jc w:val="left"/>
              <w:rPr>
                <w:rFonts w:ascii="宋体" w:hAnsi="宋体" w:cs="宋体" w:eastAsia="宋体" w:hint="default"/>
                <w:sz w:val="18"/>
                <w:szCs w:val="18"/>
              </w:rPr>
            </w:pPr>
            <w:r>
              <w:rPr>
                <w:rFonts w:ascii="宋体" w:hAnsi="宋体" w:cs="宋体" w:eastAsia="宋体" w:hint="default"/>
                <w:sz w:val="18"/>
                <w:szCs w:val="18"/>
              </w:rPr>
              <w:t>与预测期末</w:t>
            </w:r>
            <w:r>
              <w:rPr>
                <w:rFonts w:ascii="Arial" w:hAnsi="Arial" w:cs="Arial" w:eastAsia="Arial" w:hint="default"/>
                <w:sz w:val="18"/>
                <w:szCs w:val="18"/>
              </w:rPr>
              <w:t>2026</w:t>
            </w:r>
            <w:r>
              <w:rPr>
                <w:rFonts w:ascii="Arial" w:hAnsi="Arial" w:cs="Arial" w:eastAsia="Arial" w:hint="default"/>
                <w:w w:val="99"/>
                <w:sz w:val="18"/>
                <w:szCs w:val="18"/>
              </w:rPr>
              <w:t> </w:t>
            </w:r>
            <w:r>
              <w:rPr>
                <w:rFonts w:ascii="宋体" w:hAnsi="宋体" w:cs="宋体" w:eastAsia="宋体" w:hint="default"/>
                <w:sz w:val="18"/>
                <w:szCs w:val="18"/>
              </w:rPr>
              <w:t>年持平</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0"/>
              <w:ind w:left="53" w:right="53" w:hanging="51"/>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10"/>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9" w:lineRule="exact"/>
              <w:ind w:left="553" w:right="0"/>
              <w:jc w:val="left"/>
              <w:rPr>
                <w:rFonts w:ascii="Arial" w:hAnsi="Arial" w:cs="Arial" w:eastAsia="Arial" w:hint="default"/>
                <w:sz w:val="18"/>
                <w:szCs w:val="18"/>
              </w:rPr>
            </w:pPr>
            <w:r>
              <w:rPr>
                <w:rFonts w:ascii="Arial"/>
                <w:sz w:val="18"/>
              </w:rPr>
              <w:t>12.99%</w:t>
            </w:r>
          </w:p>
        </w:tc>
      </w:tr>
      <w:tr>
        <w:trPr>
          <w:trHeight w:val="83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宋体" w:hAnsi="宋体" w:cs="宋体" w:eastAsia="宋体" w:hint="default"/>
                <w:sz w:val="18"/>
                <w:szCs w:val="18"/>
              </w:rPr>
              <w:t>年</w:t>
            </w:r>
            <w:r>
              <w:rPr>
                <w:rFonts w:ascii="Arial" w:hAnsi="Arial" w:cs="Arial" w:eastAsia="Arial" w:hint="default"/>
                <w:sz w:val="18"/>
                <w:szCs w:val="18"/>
              </w:rPr>
              <w:t>-2027</w:t>
            </w:r>
            <w:r>
              <w:rPr>
                <w:rFonts w:ascii="宋体" w:hAnsi="宋体" w:cs="宋体" w:eastAsia="宋体" w:hint="default"/>
                <w:sz w:val="18"/>
                <w:szCs w:val="18"/>
              </w:rPr>
              <w:t>年</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（后续为稳定期）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98"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11"/>
              <w:ind w:left="432" w:right="50" w:hanging="382"/>
              <w:jc w:val="left"/>
              <w:rPr>
                <w:rFonts w:ascii="宋体" w:hAnsi="宋体" w:cs="宋体" w:eastAsia="宋体" w:hint="default"/>
                <w:sz w:val="18"/>
                <w:szCs w:val="18"/>
              </w:rPr>
            </w:pPr>
            <w:r>
              <w:rPr>
                <w:rFonts w:ascii="宋体" w:hAnsi="宋体" w:cs="宋体" w:eastAsia="宋体" w:hint="default"/>
                <w:sz w:val="18"/>
                <w:szCs w:val="18"/>
              </w:rPr>
              <w:t>与预测期末</w:t>
            </w:r>
            <w:r>
              <w:rPr>
                <w:rFonts w:ascii="Arial" w:hAnsi="Arial" w:cs="Arial" w:eastAsia="Arial" w:hint="default"/>
                <w:sz w:val="18"/>
                <w:szCs w:val="18"/>
              </w:rPr>
              <w:t>2027</w:t>
            </w:r>
            <w:r>
              <w:rPr>
                <w:rFonts w:ascii="Arial" w:hAnsi="Arial" w:cs="Arial" w:eastAsia="Arial" w:hint="default"/>
                <w:w w:val="99"/>
                <w:sz w:val="18"/>
                <w:szCs w:val="18"/>
              </w:rPr>
              <w:t> </w:t>
            </w:r>
            <w:r>
              <w:rPr>
                <w:rFonts w:ascii="宋体" w:hAnsi="宋体" w:cs="宋体" w:eastAsia="宋体" w:hint="default"/>
                <w:sz w:val="18"/>
                <w:szCs w:val="18"/>
              </w:rPr>
              <w:t>年持平</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1"/>
              <w:ind w:left="53" w:right="53" w:hanging="51"/>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111"/>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553" w:right="0"/>
              <w:jc w:val="left"/>
              <w:rPr>
                <w:rFonts w:ascii="Arial" w:hAnsi="Arial" w:cs="Arial" w:eastAsia="Arial" w:hint="default"/>
                <w:sz w:val="18"/>
                <w:szCs w:val="18"/>
              </w:rPr>
            </w:pPr>
            <w:r>
              <w:rPr>
                <w:rFonts w:ascii="Arial"/>
                <w:sz w:val="18"/>
              </w:rPr>
              <w:t>13.82%</w:t>
            </w:r>
          </w:p>
        </w:tc>
      </w:tr>
    </w:tbl>
    <w:p>
      <w:pPr>
        <w:spacing w:line="240" w:lineRule="auto" w:before="4"/>
        <w:rPr>
          <w:rFonts w:ascii="宋体" w:hAnsi="宋体" w:cs="宋体" w:eastAsia="宋体" w:hint="default"/>
          <w:sz w:val="29"/>
          <w:szCs w:val="29"/>
        </w:rPr>
      </w:pPr>
    </w:p>
    <w:p>
      <w:pPr>
        <w:pStyle w:val="BodyText"/>
        <w:spacing w:line="264" w:lineRule="auto" w:before="34"/>
        <w:ind w:right="996" w:firstLine="420"/>
        <w:jc w:val="left"/>
      </w:pPr>
      <w:r>
        <w:rPr/>
        <w:t>注</w:t>
      </w:r>
      <w:r>
        <w:rPr>
          <w:rFonts w:ascii="Arial" w:hAnsi="Arial" w:cs="Arial" w:eastAsia="Arial" w:hint="default"/>
        </w:rPr>
        <w:t>1</w:t>
      </w:r>
      <w:r>
        <w:rPr/>
        <w:t>：浦东华宇的主营业务主要来自于法律科技等领域的系统集成、应用软件及运维服务的收入。随</w:t>
      </w:r>
      <w:r>
        <w:rPr>
          <w:w w:val="99"/>
        </w:rPr>
        <w:t> </w:t>
      </w:r>
      <w:r>
        <w:rPr>
          <w:w w:val="95"/>
        </w:rPr>
        <w:t>着近年来法院办案信息化建设的步伐加快，智能辅助系统、智能分析平台、大数据分析系统等项目的推广</w:t>
      </w:r>
      <w:r>
        <w:rPr>
          <w:spacing w:val="37"/>
          <w:w w:val="95"/>
        </w:rPr>
        <w:t> </w:t>
      </w:r>
      <w:r>
        <w:rPr>
          <w:spacing w:val="37"/>
          <w:w w:val="95"/>
        </w:rPr>
      </w:r>
      <w:r>
        <w:rPr>
          <w:spacing w:val="-1"/>
          <w:w w:val="95"/>
        </w:rPr>
        <w:t>及落地，浦东华宇的业绩保持着稳定增长，且在华东地区保持着较高占有率和竞争优势；</w:t>
      </w:r>
      <w:r>
        <w:rPr>
          <w:rFonts w:ascii="Arial" w:hAnsi="Arial" w:cs="Arial" w:eastAsia="Arial" w:hint="default"/>
          <w:spacing w:val="-1"/>
          <w:w w:val="95"/>
        </w:rPr>
        <w:t>2020</w:t>
      </w:r>
      <w:r>
        <w:rPr>
          <w:spacing w:val="-1"/>
          <w:w w:val="95"/>
        </w:rPr>
        <w:t>年随着法院</w:t>
      </w:r>
      <w:r>
        <w:rPr>
          <w:spacing w:val="43"/>
          <w:w w:val="95"/>
        </w:rPr>
        <w:t> </w:t>
      </w:r>
      <w:r>
        <w:rPr>
          <w:spacing w:val="43"/>
          <w:w w:val="95"/>
        </w:rPr>
      </w:r>
      <w:r>
        <w:rPr>
          <w:w w:val="95"/>
        </w:rPr>
        <w:t>信创业务的落地，浦东华宇凭借行业经验积累优势业绩增长幅度会特别显著，之后几年业绩将持续稳定的</w:t>
      </w:r>
      <w:r>
        <w:rPr>
          <w:spacing w:val="38"/>
          <w:w w:val="95"/>
        </w:rPr>
        <w:t> </w:t>
      </w:r>
      <w:r>
        <w:rPr>
          <w:spacing w:val="38"/>
          <w:w w:val="95"/>
        </w:rPr>
      </w:r>
      <w:r>
        <w:rPr/>
        <w:t>增长趋势。根据在手合同和未来业务的预测，</w:t>
      </w:r>
      <w:r>
        <w:rPr>
          <w:rFonts w:ascii="Arial" w:hAnsi="Arial" w:cs="Arial" w:eastAsia="Arial" w:hint="default"/>
        </w:rPr>
        <w:t>2020</w:t>
      </w:r>
      <w:r>
        <w:rPr/>
        <w:t>年至</w:t>
      </w:r>
      <w:r>
        <w:rPr>
          <w:rFonts w:ascii="Arial" w:hAnsi="Arial" w:cs="Arial" w:eastAsia="Arial" w:hint="default"/>
        </w:rPr>
        <w:t>2024</w:t>
      </w:r>
      <w:r>
        <w:rPr/>
        <w:t>年销售收入增长率分别为</w:t>
      </w:r>
      <w:r>
        <w:rPr>
          <w:rFonts w:ascii="Arial" w:hAnsi="Arial" w:cs="Arial" w:eastAsia="Arial" w:hint="default"/>
        </w:rPr>
        <w:t>19.38%</w:t>
      </w:r>
      <w:r>
        <w:rPr/>
        <w:t>、</w:t>
      </w:r>
      <w:r>
        <w:rPr>
          <w:rFonts w:ascii="Arial" w:hAnsi="Arial" w:cs="Arial" w:eastAsia="Arial" w:hint="default"/>
        </w:rPr>
        <w:t>5.00%</w:t>
      </w:r>
      <w:r>
        <w:rPr/>
        <w:t>、</w:t>
      </w:r>
      <w:r>
        <w:rPr>
          <w:w w:val="99"/>
        </w:rPr>
        <w:t> </w:t>
      </w:r>
      <w:r>
        <w:rPr>
          <w:rFonts w:ascii="Arial" w:hAnsi="Arial" w:cs="Arial" w:eastAsia="Arial" w:hint="default"/>
        </w:rPr>
        <w:t>5.00%</w:t>
      </w:r>
      <w:r>
        <w:rPr/>
        <w:t>、</w:t>
      </w:r>
      <w:r>
        <w:rPr>
          <w:rFonts w:ascii="Arial" w:hAnsi="Arial" w:cs="Arial" w:eastAsia="Arial" w:hint="default"/>
        </w:rPr>
        <w:t>5.00%</w:t>
      </w:r>
      <w:r>
        <w:rPr/>
        <w:t>、</w:t>
      </w:r>
      <w:r>
        <w:rPr>
          <w:rFonts w:ascii="Arial" w:hAnsi="Arial" w:cs="Arial" w:eastAsia="Arial" w:hint="default"/>
        </w:rPr>
        <w:t>5.00%</w:t>
      </w:r>
      <w:r>
        <w:rPr/>
        <w:t>。</w:t>
      </w:r>
    </w:p>
    <w:p>
      <w:pPr>
        <w:pStyle w:val="BodyText"/>
        <w:spacing w:line="259" w:lineRule="auto" w:before="58"/>
        <w:ind w:right="996" w:firstLine="420"/>
        <w:jc w:val="left"/>
      </w:pPr>
      <w:r>
        <w:rPr/>
        <w:t>注</w:t>
      </w:r>
      <w:r>
        <w:rPr>
          <w:rFonts w:ascii="Arial" w:hAnsi="Arial" w:cs="Arial" w:eastAsia="Arial" w:hint="default"/>
        </w:rPr>
        <w:t>2</w:t>
      </w:r>
      <w:r>
        <w:rPr/>
        <w:t>：北京万户的主营业务主要来自于协同管理软件的行业应用软件和运维服务的收入。北京万户坚</w:t>
      </w:r>
      <w:r>
        <w:rPr>
          <w:w w:val="99"/>
        </w:rPr>
        <w:t> </w:t>
      </w:r>
      <w:r>
        <w:rPr>
          <w:spacing w:val="-1"/>
          <w:w w:val="95"/>
        </w:rPr>
        <w:t>持产品化发展思路，基于新技术架构</w:t>
      </w:r>
      <w:r>
        <w:rPr>
          <w:rFonts w:ascii="Arial" w:hAnsi="Arial" w:cs="Arial" w:eastAsia="Arial" w:hint="default"/>
          <w:spacing w:val="-1"/>
          <w:w w:val="95"/>
        </w:rPr>
        <w:t>flxbase</w:t>
      </w:r>
      <w:r>
        <w:rPr>
          <w:spacing w:val="-1"/>
          <w:w w:val="95"/>
        </w:rPr>
        <w:t>新平台的行业应用模块的不断优化适配，门户产品及移动端产</w:t>
      </w:r>
      <w:r>
        <w:rPr>
          <w:spacing w:val="56"/>
          <w:w w:val="95"/>
        </w:rPr>
        <w:t> </w:t>
      </w:r>
      <w:r>
        <w:rPr>
          <w:spacing w:val="56"/>
          <w:w w:val="95"/>
        </w:rPr>
      </w:r>
      <w:r>
        <w:rPr>
          <w:spacing w:val="-1"/>
          <w:w w:val="95"/>
        </w:rPr>
        <w:t>品在政府政务、大型集团、医院等客户等保持着较好的竞争优势，</w:t>
      </w:r>
      <w:r>
        <w:rPr>
          <w:rFonts w:ascii="Arial" w:hAnsi="Arial" w:cs="Arial" w:eastAsia="Arial" w:hint="default"/>
          <w:spacing w:val="-1"/>
          <w:w w:val="95"/>
        </w:rPr>
        <w:t>2020</w:t>
      </w:r>
      <w:r>
        <w:rPr>
          <w:spacing w:val="-1"/>
          <w:w w:val="95"/>
        </w:rPr>
        <w:t>年随着行业信创业务的落地，万户</w:t>
      </w:r>
      <w:r>
        <w:rPr>
          <w:spacing w:val="41"/>
          <w:w w:val="95"/>
        </w:rPr>
        <w:t> </w:t>
      </w:r>
      <w:r>
        <w:rPr>
          <w:spacing w:val="41"/>
          <w:w w:val="95"/>
        </w:rPr>
      </w:r>
      <w:r>
        <w:rPr/>
        <w:t>网络会推动优势行业中产品的信创应用，收入将较快增长。根据在手合同和未来业务的预测，</w:t>
      </w:r>
      <w:r>
        <w:rPr>
          <w:spacing w:val="-14"/>
        </w:rPr>
        <w:t> </w:t>
      </w:r>
      <w:r>
        <w:rPr>
          <w:rFonts w:ascii="Arial" w:hAnsi="Arial" w:cs="Arial" w:eastAsia="Arial" w:hint="default"/>
        </w:rPr>
        <w:t>2020</w:t>
      </w:r>
      <w:r>
        <w:rPr/>
        <w:t>年至</w:t>
      </w:r>
      <w:r>
        <w:rPr>
          <w:w w:val="99"/>
        </w:rPr>
        <w:t> </w:t>
      </w:r>
      <w:r>
        <w:rPr>
          <w:rFonts w:ascii="Arial" w:hAnsi="Arial" w:cs="Arial" w:eastAsia="Arial" w:hint="default"/>
        </w:rPr>
        <w:t>2024</w:t>
      </w:r>
      <w:r>
        <w:rPr/>
        <w:t>年销售收入增长率分别为</w:t>
      </w:r>
      <w:r>
        <w:rPr>
          <w:rFonts w:ascii="Arial" w:hAnsi="Arial" w:cs="Arial" w:eastAsia="Arial" w:hint="default"/>
        </w:rPr>
        <w:t>31.44%</w:t>
      </w:r>
      <w:r>
        <w:rPr/>
        <w:t>、</w:t>
      </w:r>
      <w:r>
        <w:rPr>
          <w:rFonts w:ascii="Arial" w:hAnsi="Arial" w:cs="Arial" w:eastAsia="Arial" w:hint="default"/>
        </w:rPr>
        <w:t>12.00%</w:t>
      </w:r>
      <w:r>
        <w:rPr/>
        <w:t>、</w:t>
      </w:r>
      <w:r>
        <w:rPr>
          <w:rFonts w:ascii="Arial" w:hAnsi="Arial" w:cs="Arial" w:eastAsia="Arial" w:hint="default"/>
        </w:rPr>
        <w:t>8.00%</w:t>
      </w:r>
      <w:r>
        <w:rPr/>
        <w:t>、</w:t>
      </w:r>
      <w:r>
        <w:rPr>
          <w:rFonts w:ascii="Arial" w:hAnsi="Arial" w:cs="Arial" w:eastAsia="Arial" w:hint="default"/>
        </w:rPr>
        <w:t>5.00%</w:t>
      </w:r>
      <w:r>
        <w:rPr/>
        <w:t>、</w:t>
      </w:r>
      <w:r>
        <w:rPr>
          <w:rFonts w:ascii="Arial" w:hAnsi="Arial" w:cs="Arial" w:eastAsia="Arial" w:hint="default"/>
        </w:rPr>
        <w:t>5.00%</w:t>
      </w:r>
      <w:r>
        <w:rPr/>
        <w:t>。</w:t>
      </w:r>
    </w:p>
    <w:p>
      <w:pPr>
        <w:pStyle w:val="BodyText"/>
        <w:spacing w:line="268" w:lineRule="auto" w:before="63"/>
        <w:ind w:right="996" w:firstLine="420"/>
        <w:jc w:val="left"/>
      </w:pPr>
      <w:r>
        <w:rPr/>
        <w:t>注</w:t>
      </w:r>
      <w:r>
        <w:rPr>
          <w:rFonts w:ascii="Arial" w:hAnsi="Arial" w:cs="Arial" w:eastAsia="Arial" w:hint="default"/>
        </w:rPr>
        <w:t>3</w:t>
      </w:r>
      <w:r>
        <w:rPr/>
        <w:t>：联奕科技的的主营业务主要来自于教育领域的系统集成、应用软件及运维服务的收入。随着近</w:t>
      </w:r>
      <w:r>
        <w:rPr>
          <w:w w:val="99"/>
        </w:rPr>
        <w:t> </w:t>
      </w:r>
      <w:r>
        <w:rPr>
          <w:w w:val="95"/>
        </w:rPr>
        <w:t>年来教育信息化建设的投入持续加大，联奕客户智慧校园系列产品及服务在全国范围内推广和落地成果显</w:t>
      </w:r>
      <w:r>
        <w:rPr>
          <w:spacing w:val="39"/>
          <w:w w:val="95"/>
        </w:rPr>
        <w:t> </w:t>
      </w:r>
      <w:r>
        <w:rPr>
          <w:spacing w:val="39"/>
          <w:w w:val="95"/>
        </w:rPr>
      </w:r>
      <w:r>
        <w:rPr>
          <w:w w:val="95"/>
        </w:rPr>
        <w:t>著，公司在教育领域保持着较高的竞争力，经营业绩保持着较快幅度增长。根据联奕科技企业历史年度经</w:t>
      </w:r>
      <w:r>
        <w:rPr>
          <w:spacing w:val="37"/>
          <w:w w:val="95"/>
        </w:rPr>
        <w:t> </w:t>
      </w:r>
      <w:r>
        <w:rPr>
          <w:spacing w:val="37"/>
          <w:w w:val="95"/>
        </w:rPr>
      </w:r>
      <w:r>
        <w:rPr>
          <w:w w:val="95"/>
        </w:rPr>
        <w:t>营状况分析和未来年度加快建设智慧校园战略任务的积极产业政策的判断，根据在手合同和未来业务的预</w:t>
      </w:r>
      <w:r>
        <w:rPr>
          <w:spacing w:val="39"/>
          <w:w w:val="95"/>
        </w:rPr>
        <w:t> </w:t>
      </w:r>
      <w:r>
        <w:rPr>
          <w:spacing w:val="39"/>
          <w:w w:val="95"/>
        </w:rPr>
      </w:r>
      <w:r>
        <w:rPr/>
        <w:t>测，</w:t>
      </w:r>
      <w:r>
        <w:rPr>
          <w:rFonts w:ascii="Arial" w:hAnsi="Arial" w:cs="Arial" w:eastAsia="Arial" w:hint="default"/>
        </w:rPr>
        <w:t>2020</w:t>
      </w:r>
      <w:r>
        <w:rPr/>
        <w:t>年至</w:t>
      </w:r>
      <w:r>
        <w:rPr>
          <w:rFonts w:ascii="Arial" w:hAnsi="Arial" w:cs="Arial" w:eastAsia="Arial" w:hint="default"/>
        </w:rPr>
        <w:t>2024</w:t>
      </w:r>
      <w:r>
        <w:rPr/>
        <w:t>年销售收入增长率分别为</w:t>
      </w:r>
      <w:r>
        <w:rPr>
          <w:rFonts w:ascii="Arial" w:hAnsi="Arial" w:cs="Arial" w:eastAsia="Arial" w:hint="default"/>
        </w:rPr>
        <w:t>10.31%</w:t>
      </w:r>
      <w:r>
        <w:rPr/>
        <w:t>、</w:t>
      </w:r>
      <w:r>
        <w:rPr>
          <w:rFonts w:ascii="Arial" w:hAnsi="Arial" w:cs="Arial" w:eastAsia="Arial" w:hint="default"/>
        </w:rPr>
        <w:t>8.60%</w:t>
      </w:r>
      <w:r>
        <w:rPr/>
        <w:t>、</w:t>
      </w:r>
      <w:r>
        <w:rPr>
          <w:rFonts w:ascii="Arial" w:hAnsi="Arial" w:cs="Arial" w:eastAsia="Arial" w:hint="default"/>
        </w:rPr>
        <w:t>8.23%</w:t>
      </w:r>
      <w:r>
        <w:rPr/>
        <w:t>、</w:t>
      </w:r>
      <w:r>
        <w:rPr>
          <w:rFonts w:ascii="Arial" w:hAnsi="Arial" w:cs="Arial" w:eastAsia="Arial" w:hint="default"/>
        </w:rPr>
        <w:t>8.37%</w:t>
      </w:r>
      <w:r>
        <w:rPr/>
        <w:t>、</w:t>
      </w:r>
      <w:r>
        <w:rPr>
          <w:rFonts w:ascii="Arial" w:hAnsi="Arial" w:cs="Arial" w:eastAsia="Arial" w:hint="default"/>
        </w:rPr>
        <w:t>4.87%</w:t>
      </w:r>
      <w:r>
        <w:rPr/>
        <w:t>。</w:t>
      </w:r>
    </w:p>
    <w:p>
      <w:pPr>
        <w:spacing w:after="0" w:line="268"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16、长期待摊费用" w:id="252"/>
      <w:bookmarkEnd w:id="252"/>
      <w:r>
        <w:rPr>
          <w:b w:val="0"/>
          <w:bCs w:val="0"/>
        </w:rPr>
      </w:r>
      <w:r>
        <w:rPr>
          <w:rFonts w:ascii="Arial" w:hAnsi="Arial" w:cs="Arial" w:eastAsia="Arial" w:hint="default"/>
        </w:rPr>
        <w:t>16</w:t>
      </w:r>
      <w:r>
        <w:rPr/>
        <w:t>、长期待摊费用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8,568,876.43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4,163,064.67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4,160,958.89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1,056,545.24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7,514,436.97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0"/>
              <w:jc w:val="left"/>
              <w:rPr>
                <w:rFonts w:ascii="宋体" w:hAnsi="宋体" w:cs="宋体" w:eastAsia="宋体" w:hint="default"/>
                <w:sz w:val="18"/>
                <w:szCs w:val="18"/>
              </w:rPr>
            </w:pPr>
            <w:r>
              <w:rPr>
                <w:rFonts w:ascii="宋体" w:hAnsi="宋体" w:cs="宋体" w:eastAsia="宋体" w:hint="default"/>
                <w:spacing w:val="-8"/>
                <w:sz w:val="18"/>
                <w:szCs w:val="18"/>
              </w:rPr>
              <w:t>华宇（大连）研发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基地绿地工程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1,573,247.14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608,998.92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964,248.22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10,142,123.57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4,163,064.67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4,769,957.81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1,056,545.24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8,478,685.19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17、递延所得税资产/递延所得税负债" w:id="253"/>
      <w:bookmarkEnd w:id="253"/>
      <w:r>
        <w:rPr>
          <w:b w:val="0"/>
          <w:bCs w:val="0"/>
        </w:rPr>
      </w:r>
      <w:r>
        <w:rPr>
          <w:rFonts w:ascii="Arial" w:hAnsi="Arial" w:cs="Arial" w:eastAsia="Arial" w:hint="default"/>
        </w:rPr>
        <w:t>17</w:t>
      </w:r>
      <w:r>
        <w:rPr/>
        <w:t>、递延所得税资产</w:t>
      </w:r>
      <w:r>
        <w:rPr>
          <w:rFonts w:ascii="Arial" w:hAnsi="Arial" w:cs="Arial" w:eastAsia="Arial"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未经抵销的递延所得税资产" w:id="254"/>
      <w:bookmarkEnd w:id="254"/>
      <w:r>
        <w:rPr>
          <w:b w:val="0"/>
          <w:bCs w:val="0"/>
        </w:rPr>
      </w:r>
      <w:r>
        <w:rPr/>
        <w:t>（</w:t>
      </w:r>
      <w:r>
        <w:rPr>
          <w:rFonts w:ascii="Arial" w:hAnsi="Arial" w:cs="Arial" w:eastAsia="Arial"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118,254,480.94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14,202,792.58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90,753,498.84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11,388,478.62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54,602,810.84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5,562,098.77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42,799,973.93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4,400,075.09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99,312,435.39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15,087,596.85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50,779,696.12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8,565,404.15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未行权股权激励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269,259,075.20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31,323,011.35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10,541,486.93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1,581,223.04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165,269,082.41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4"/>
              <w:jc w:val="right"/>
              <w:rPr>
                <w:rFonts w:ascii="Arial" w:hAnsi="Arial" w:cs="Arial" w:eastAsia="Arial" w:hint="default"/>
                <w:sz w:val="18"/>
                <w:szCs w:val="18"/>
              </w:rPr>
            </w:pPr>
            <w:r>
              <w:rPr>
                <w:rFonts w:ascii="Arial"/>
                <w:spacing w:val="-2"/>
                <w:sz w:val="18"/>
              </w:rPr>
              <w:t>20,170,022.11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134,092,486.15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16,417,958.40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10,503,815.98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1,524,222.19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9,985,494.22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1,467,974.42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717,201,700.76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87,869,743.85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338,952,636.19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43,821,113.72</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未经抵销的递延所得税负债" w:id="255"/>
      <w:bookmarkEnd w:id="255"/>
      <w:r>
        <w:rPr>
          <w:b w:val="0"/>
          <w:bCs w:val="0"/>
        </w:rPr>
      </w:r>
      <w:r>
        <w:rPr/>
        <w:t>（</w:t>
      </w:r>
      <w:r>
        <w:rPr>
          <w:rFonts w:ascii="Arial" w:hAnsi="Arial" w:cs="Arial" w:eastAsia="Arial"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23,388,548.44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2,374,581.10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33,677,257.26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3,489,194.98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23,388,548.44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2,374,581.10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33,677,257.26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3,489,194.98</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以抵销后净额列示的递延所得税资产或负债" w:id="256"/>
      <w:bookmarkEnd w:id="256"/>
      <w:r>
        <w:rPr>
          <w:b w:val="0"/>
          <w:bCs w:val="0"/>
        </w:rPr>
      </w:r>
      <w:r>
        <w:rPr/>
        <w:t>（</w:t>
      </w:r>
      <w:r>
        <w:rPr>
          <w:rFonts w:ascii="Arial" w:hAnsi="Arial" w:cs="Arial" w:eastAsia="Arial"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bl>
    <w:p>
      <w:pPr>
        <w:spacing w:after="0" w:line="316"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87,869,743.85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43,821,113.72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2,374,581.10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3,489,194.98</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未确认递延所得税资产明细" w:id="257"/>
      <w:bookmarkEnd w:id="257"/>
      <w:r>
        <w:rPr>
          <w:b w:val="0"/>
          <w:bCs w:val="0"/>
        </w:rPr>
      </w:r>
      <w:r>
        <w:rPr/>
        <w:t>（</w:t>
      </w:r>
      <w:r>
        <w:rPr>
          <w:rFonts w:ascii="Arial" w:hAnsi="Arial" w:cs="Arial" w:eastAsia="Arial"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338,041.04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201,678.06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32,958,553.84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36,320,259.94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33,296,594.88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8"/>
                <w:szCs w:val="18"/>
              </w:rPr>
            </w:pPr>
            <w:r>
              <w:rPr>
                <w:rFonts w:ascii="Arial"/>
                <w:spacing w:val="-1"/>
                <w:sz w:val="18"/>
              </w:rPr>
              <w:t>36,521,938.00</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5）未确认递延所得税资产的可抵扣亏损将于以下年度到期" w:id="258"/>
      <w:bookmarkEnd w:id="258"/>
      <w:r>
        <w:rPr>
          <w:b w:val="0"/>
          <w:bCs w:val="0"/>
        </w:rPr>
      </w:r>
      <w:r>
        <w:rPr/>
        <w:t>（</w:t>
      </w:r>
      <w:r>
        <w:rPr>
          <w:rFonts w:ascii="Arial" w:hAnsi="Arial" w:cs="Arial" w:eastAsia="Arial" w:hint="default"/>
        </w:rPr>
        <w:t>5</w:t>
      </w:r>
      <w:r>
        <w:rPr/>
        <w:t>）未确认递延所得税资产的可抵扣亏损将于以下年度到期</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4,746,998.98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9,389,466.03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9,389,466.03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6,675,008.06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6,675,008.06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2"/>
                <w:sz w:val="18"/>
              </w:rPr>
              <w:t>7,575,116.32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7,576,215.12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7,930,696.65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7,932,571.75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2024</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1,388,266.78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32,958,553.84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36,320,259.94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18、短期借款" w:id="259"/>
      <w:bookmarkEnd w:id="259"/>
      <w:r>
        <w:rPr>
          <w:b w:val="0"/>
          <w:bCs w:val="0"/>
        </w:rPr>
      </w:r>
      <w:r>
        <w:rPr>
          <w:rFonts w:ascii="Arial" w:hAnsi="Arial" w:cs="Arial" w:eastAsia="Arial"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短期借款分类" w:id="260"/>
      <w:bookmarkEnd w:id="260"/>
      <w:r>
        <w:rPr>
          <w:b w:val="0"/>
          <w:bCs w:val="0"/>
        </w:rPr>
      </w:r>
      <w:r>
        <w:rPr/>
        <w:t>（</w:t>
      </w:r>
      <w:r>
        <w:rPr>
          <w:rFonts w:ascii="Arial" w:hAnsi="Arial" w:cs="Arial" w:eastAsia="Arial" w:hint="default"/>
        </w:rPr>
        <w:t>1</w:t>
      </w:r>
      <w:r>
        <w:rPr/>
        <w:t>）短期借款分类</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39,000,000.00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9、应付票据" w:id="261"/>
      <w:bookmarkEnd w:id="261"/>
      <w:r>
        <w:rPr>
          <w:b w:val="0"/>
          <w:bCs w:val="0"/>
        </w:rPr>
      </w:r>
      <w:r>
        <w:rPr>
          <w:rFonts w:ascii="Arial" w:hAnsi="Arial" w:cs="Arial" w:eastAsia="Arial" w:hint="default"/>
        </w:rPr>
        <w:t>19</w:t>
      </w:r>
      <w:r>
        <w:rPr/>
        <w:t>、应付票据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9" w:right="0"/>
              <w:jc w:val="left"/>
              <w:rPr>
                <w:rFonts w:ascii="Arial" w:hAnsi="Arial" w:cs="Arial" w:eastAsia="Arial" w:hint="default"/>
                <w:sz w:val="18"/>
                <w:szCs w:val="18"/>
              </w:rPr>
            </w:pPr>
            <w:r>
              <w:rPr>
                <w:rFonts w:ascii="Arial"/>
                <w:sz w:val="18"/>
              </w:rPr>
              <w:t>9,552,801.00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9" w:right="0"/>
              <w:jc w:val="left"/>
              <w:rPr>
                <w:rFonts w:ascii="Arial" w:hAnsi="Arial" w:cs="Arial" w:eastAsia="Arial" w:hint="default"/>
                <w:sz w:val="18"/>
                <w:szCs w:val="18"/>
              </w:rPr>
            </w:pPr>
            <w:r>
              <w:rPr>
                <w:rFonts w:ascii="Arial"/>
                <w:sz w:val="18"/>
              </w:rPr>
              <w:t>9,552,801.00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0、应付账款" w:id="262"/>
      <w:bookmarkEnd w:id="262"/>
      <w:r>
        <w:rPr>
          <w:b w:val="0"/>
          <w:bCs w:val="0"/>
        </w:rPr>
      </w:r>
      <w:r>
        <w:rPr>
          <w:rFonts w:ascii="Arial" w:hAnsi="Arial" w:cs="Arial" w:eastAsia="Arial" w:hint="default"/>
        </w:rPr>
        <w:t>20</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付账款列示" w:id="263"/>
      <w:bookmarkEnd w:id="263"/>
      <w:r>
        <w:rPr>
          <w:b w:val="0"/>
          <w:bCs w:val="0"/>
        </w:rPr>
      </w:r>
      <w:r>
        <w:rPr/>
        <w:t>（</w:t>
      </w:r>
      <w:r>
        <w:rPr>
          <w:rFonts w:ascii="Arial" w:hAnsi="Arial" w:cs="Arial" w:eastAsia="Arial"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495,555,938.90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416,112,151.00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设备款等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10,975,999.95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15,324,277.16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506,531,938.85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431,436,428.16</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账龄超过1年的重要应付账款" w:id="264"/>
      <w:bookmarkEnd w:id="264"/>
      <w:r>
        <w:rPr>
          <w:b w:val="0"/>
          <w:bCs w:val="0"/>
        </w:rPr>
      </w:r>
      <w:r>
        <w:rPr/>
        <w:t>（</w:t>
      </w:r>
      <w:r>
        <w:rPr>
          <w:rFonts w:ascii="Arial" w:hAnsi="Arial" w:cs="Arial" w:eastAsia="Arial" w:hint="default"/>
        </w:rPr>
        <w:t>2</w:t>
      </w:r>
      <w:r>
        <w:rPr/>
        <w:t>）账龄超过</w:t>
      </w:r>
      <w:r>
        <w:rPr>
          <w:spacing w:val="-55"/>
        </w:rPr>
        <w:t> </w:t>
      </w:r>
      <w:r>
        <w:rPr>
          <w:rFonts w:ascii="Arial" w:hAnsi="Arial" w:cs="Arial" w:eastAsia="Arial" w:hint="default"/>
        </w:rPr>
        <w:t>1</w:t>
      </w:r>
      <w:r>
        <w:rPr>
          <w:rFonts w:ascii="Arial" w:hAnsi="Arial" w:cs="Arial" w:eastAsia="Arial" w:hint="default"/>
          <w:spacing w:val="-11"/>
        </w:rPr>
        <w:t> </w:t>
      </w:r>
      <w:r>
        <w:rPr/>
        <w:t>年的重要应付账款</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上海信息安全工程技术研究中心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4,496,940.00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大连大工信息技术有限公司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4,185,243.81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3,773,584.91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普天信息工程设计服务有限公司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3,745,634.44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浙江天猫技术有限公司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3,614,029.17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19,815,432.33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21、预收款项" w:id="265"/>
      <w:bookmarkEnd w:id="265"/>
      <w:r>
        <w:rPr>
          <w:b w:val="0"/>
          <w:bCs w:val="0"/>
        </w:rPr>
      </w:r>
      <w:r>
        <w:rPr>
          <w:rFonts w:ascii="Arial" w:hAnsi="Arial" w:cs="Arial" w:eastAsia="Arial" w:hint="default"/>
        </w:rPr>
        <w:t>21</w:t>
      </w:r>
      <w:r>
        <w:rPr/>
        <w:t>、预收款项</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996"/>
        <w:jc w:val="left"/>
      </w:pPr>
      <w:r>
        <w:rPr/>
        <w:t>是否已执行新收入准则</w:t>
      </w:r>
    </w:p>
    <w:p>
      <w:pPr>
        <w:pStyle w:val="BodyText"/>
        <w:spacing w:line="240" w:lineRule="auto" w:before="75"/>
        <w:ind w:right="996"/>
        <w:jc w:val="left"/>
      </w:pPr>
      <w:r>
        <w:rPr/>
        <w:t>□ 是 √</w:t>
      </w:r>
      <w:r>
        <w:rPr>
          <w:spacing w:val="-2"/>
        </w:rPr>
        <w:t> </w:t>
      </w:r>
      <w:r>
        <w:rPr/>
        <w:t>否</w:t>
      </w:r>
    </w:p>
    <w:p>
      <w:pPr>
        <w:spacing w:line="240" w:lineRule="auto" w:before="12"/>
        <w:rPr>
          <w:rFonts w:ascii="宋体" w:hAnsi="宋体" w:cs="宋体" w:eastAsia="宋体" w:hint="default"/>
          <w:sz w:val="25"/>
          <w:szCs w:val="25"/>
        </w:rPr>
      </w:pPr>
    </w:p>
    <w:p>
      <w:pPr>
        <w:pStyle w:val="Heading4"/>
        <w:spacing w:line="240" w:lineRule="auto" w:before="0"/>
        <w:ind w:right="996"/>
        <w:jc w:val="left"/>
        <w:rPr>
          <w:b w:val="0"/>
          <w:bCs w:val="0"/>
        </w:rPr>
      </w:pPr>
      <w:bookmarkStart w:name="（1）预收款项列示" w:id="266"/>
      <w:bookmarkEnd w:id="266"/>
      <w:r>
        <w:rPr>
          <w:b w:val="0"/>
          <w:bCs w:val="0"/>
        </w:rPr>
      </w:r>
      <w:r>
        <w:rPr/>
        <w:t>（</w:t>
      </w:r>
      <w:r>
        <w:rPr>
          <w:rFonts w:ascii="Arial" w:hAnsi="Arial" w:cs="Arial" w:eastAsia="Arial"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545,724,164.45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695,363,183.24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545,724,164.45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695,363,183.24</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账龄超过1年的重要预收款项" w:id="267"/>
      <w:bookmarkEnd w:id="267"/>
      <w:r>
        <w:rPr>
          <w:b w:val="0"/>
          <w:bCs w:val="0"/>
        </w:rPr>
      </w:r>
      <w:r>
        <w:rPr/>
        <w:t>（</w:t>
      </w:r>
      <w:r>
        <w:rPr>
          <w:rFonts w:ascii="Arial" w:hAnsi="Arial" w:cs="Arial" w:eastAsia="Arial" w:hint="default"/>
        </w:rPr>
        <w:t>2</w:t>
      </w:r>
      <w:r>
        <w:rPr/>
        <w:t>）账龄超过</w:t>
      </w:r>
      <w:r>
        <w:rPr>
          <w:spacing w:val="-55"/>
        </w:rPr>
        <w:t> </w:t>
      </w:r>
      <w:r>
        <w:rPr>
          <w:rFonts w:ascii="Arial" w:hAnsi="Arial" w:cs="Arial" w:eastAsia="Arial" w:hint="default"/>
        </w:rPr>
        <w:t>1</w:t>
      </w:r>
      <w:r>
        <w:rPr>
          <w:rFonts w:ascii="Arial" w:hAnsi="Arial" w:cs="Arial" w:eastAsia="Arial" w:hint="default"/>
          <w:spacing w:val="-11"/>
        </w:rPr>
        <w:t> </w:t>
      </w:r>
      <w:r>
        <w:rPr/>
        <w:t>年的重要预收款项</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17,715,069.05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广州市南沙区教育局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16,144,412.45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10,034,107.80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北京市朝阳区人民法院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7,349,169.84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呼和浩特市中级人民法院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4,050,376.00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项目尚未完工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55,293,135.14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2、应付职工薪酬" w:id="268"/>
      <w:bookmarkEnd w:id="268"/>
      <w:r>
        <w:rPr>
          <w:b w:val="0"/>
          <w:bCs w:val="0"/>
        </w:rPr>
      </w:r>
      <w:r>
        <w:rPr>
          <w:rFonts w:ascii="Arial" w:hAnsi="Arial" w:cs="Arial" w:eastAsia="Arial" w:hint="default"/>
        </w:rPr>
        <w:t>22</w:t>
      </w:r>
      <w:r>
        <w:rPr/>
        <w:t>、应付职工薪酬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付职工薪酬列示" w:id="269"/>
      <w:bookmarkEnd w:id="269"/>
      <w:r>
        <w:rPr>
          <w:b w:val="0"/>
          <w:bCs w:val="0"/>
        </w:rPr>
      </w:r>
      <w:r>
        <w:rPr/>
        <w:t>（</w:t>
      </w:r>
      <w:r>
        <w:rPr>
          <w:rFonts w:ascii="Arial" w:hAnsi="Arial" w:cs="Arial" w:eastAsia="Arial"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16,269,435.34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1,087,303,551.52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1,086,209,259.12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17,363,727.74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设定提存计划</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3,734,632.45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82,788,154.72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82,582,105.08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3,940,682.09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1,524,635.69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1,524,635.69</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20,004,067.79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1,171,616,341.93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1,170,315,999.89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21,304,409.83</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短期薪酬列示" w:id="270"/>
      <w:bookmarkEnd w:id="270"/>
      <w:r>
        <w:rPr>
          <w:b w:val="0"/>
          <w:bCs w:val="0"/>
        </w:rPr>
      </w:r>
      <w:r>
        <w:rPr/>
        <w:t>（</w:t>
      </w:r>
      <w:r>
        <w:rPr>
          <w:rFonts w:ascii="Arial" w:hAnsi="Arial" w:cs="Arial" w:eastAsia="Arial"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、工资、奖金、津贴和补贴</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14,270,408.56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929,451,487.92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928,975,551.14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14,746,345.34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37,054,407.20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37,054,407.20</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1,895,544.79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54,222,742.10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53,658,456.61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2,459,830.28</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1,894,945.88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45,063,168.52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44,500,330.48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2,457,783.92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3"/>
                <w:sz w:val="18"/>
              </w:rPr>
              <w:t>112.66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1,538,020.15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1,537,820.25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312.56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486.25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2"/>
                <w:sz w:val="18"/>
              </w:rPr>
              <w:t>4,011,006.19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4,009,758.64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1,733.80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3,610,547.24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3,610,547.24</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61,088,177.95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61,057,360.95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30,817.00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、工会经费和职工教育经费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103,481.99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5,486,736.35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5,463,483.22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126,735.12</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16,269,435.34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1,087,303,551.52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1,086,209,259.12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17,363,727.74</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3）设定提存计划列示" w:id="271"/>
      <w:bookmarkEnd w:id="271"/>
      <w:r>
        <w:rPr>
          <w:b w:val="0"/>
          <w:bCs w:val="0"/>
        </w:rPr>
      </w:r>
      <w:r>
        <w:rPr/>
        <w:t>（</w:t>
      </w:r>
      <w:r>
        <w:rPr>
          <w:rFonts w:ascii="Arial" w:hAnsi="Arial" w:cs="Arial" w:eastAsia="Arial" w:hint="default"/>
        </w:rPr>
        <w:t>3</w:t>
      </w:r>
      <w:r>
        <w:rPr/>
        <w:t>）设定提存计划列示</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3,529,356.51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79,515,947.42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79,320,470.30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3,724,833.63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205,275.94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3,099,782.68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3,089,210.16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215,848.46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172,424.62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172,424.62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3,734,632.45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82,788,154.72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82,582,105.08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3,940,682.09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3、应交税费" w:id="272"/>
      <w:bookmarkEnd w:id="272"/>
      <w:r>
        <w:rPr>
          <w:b w:val="0"/>
          <w:bCs w:val="0"/>
        </w:rPr>
      </w:r>
      <w:r>
        <w:rPr>
          <w:rFonts w:ascii="Arial" w:hAnsi="Arial" w:cs="Arial" w:eastAsia="Arial" w:hint="default"/>
        </w:rPr>
        <w:t>23</w:t>
      </w:r>
      <w:r>
        <w:rPr/>
        <w:t>、应交税费</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64,724,536.01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8"/>
                <w:szCs w:val="18"/>
              </w:rPr>
            </w:pPr>
            <w:r>
              <w:rPr>
                <w:rFonts w:ascii="Arial"/>
                <w:spacing w:val="-1"/>
                <w:sz w:val="18"/>
              </w:rPr>
              <w:t>50,810,966.79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21,055,548.18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19,438,284.34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2,176,216.23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1,670,272.74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4,311,910.98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3,966,824.10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3,626,019.02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3,049,614.97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95,894,230.42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78,935,962.94</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4、其他应付款" w:id="273"/>
      <w:bookmarkEnd w:id="273"/>
      <w:r>
        <w:rPr>
          <w:b w:val="0"/>
          <w:bCs w:val="0"/>
        </w:rPr>
      </w:r>
      <w:r>
        <w:rPr>
          <w:rFonts w:ascii="Arial" w:hAnsi="Arial" w:cs="Arial" w:eastAsia="Arial" w:hint="default"/>
        </w:rPr>
        <w:t>24</w:t>
      </w:r>
      <w:r>
        <w:rPr/>
        <w:t>、其他应付款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231,125.00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115,518,966.80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196,802,202.33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2"/>
                <w:sz w:val="18"/>
              </w:rPr>
              <w:t>115,518,966.80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197,033,327.33</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1）应付利息" w:id="274"/>
      <w:bookmarkEnd w:id="274"/>
      <w:r>
        <w:rPr>
          <w:b w:val="0"/>
          <w:bCs w:val="0"/>
        </w:rPr>
      </w:r>
      <w:r>
        <w:rPr/>
        <w:t>（</w:t>
      </w:r>
      <w:r>
        <w:rPr>
          <w:rFonts w:ascii="Arial" w:hAnsi="Arial" w:cs="Arial" w:eastAsia="Arial"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191,250.00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39,875.00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231,125.00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其他应付款" w:id="275"/>
      <w:bookmarkEnd w:id="275"/>
      <w:r>
        <w:rPr>
          <w:b w:val="0"/>
          <w:bCs w:val="0"/>
        </w:rPr>
      </w:r>
      <w:r>
        <w:rPr/>
        <w:t>（</w:t>
      </w:r>
      <w:r>
        <w:rPr>
          <w:rFonts w:ascii="Arial" w:hAnsi="Arial" w:cs="Arial" w:eastAsia="Arial" w:hint="default"/>
        </w:rPr>
        <w:t>2</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按款项性质列示其他应付款" w:id="276"/>
      <w:bookmarkEnd w:id="276"/>
      <w:r>
        <w:rPr>
          <w:b w:val="0"/>
          <w:bCs w:val="0"/>
        </w:rPr>
      </w:r>
      <w:r>
        <w:rPr>
          <w:rFonts w:ascii="Arial" w:hAnsi="Arial" w:cs="Arial" w:eastAsia="Arial"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3,699,170.80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24,532,918.83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76,282,839.13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144,378,708.91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35,536,956.87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27,890,574.59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115,518,966.80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196,802,202.33</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账龄超过1年的重要其他应付款" w:id="277"/>
      <w:bookmarkEnd w:id="277"/>
      <w:r>
        <w:rPr>
          <w:b w:val="0"/>
          <w:bCs w:val="0"/>
        </w:rPr>
      </w:r>
      <w:r>
        <w:rPr>
          <w:rFonts w:ascii="Arial" w:hAnsi="Arial" w:cs="Arial" w:eastAsia="Arial" w:hint="default"/>
        </w:rPr>
        <w:t>2</w:t>
      </w:r>
      <w:r>
        <w:rPr/>
        <w:t>）账龄超过</w:t>
      </w:r>
      <w:r>
        <w:rPr>
          <w:spacing w:val="-55"/>
        </w:rPr>
        <w:t> </w:t>
      </w:r>
      <w:r>
        <w:rPr>
          <w:rFonts w:ascii="Arial" w:hAnsi="Arial" w:cs="Arial" w:eastAsia="Arial" w:hint="default"/>
        </w:rPr>
        <w:t>1</w:t>
      </w:r>
      <w:r>
        <w:rPr>
          <w:rFonts w:ascii="Arial" w:hAnsi="Arial" w:cs="Arial" w:eastAsia="Arial" w:hint="default"/>
          <w:spacing w:val="-11"/>
        </w:rPr>
        <w:t> </w:t>
      </w:r>
      <w:r>
        <w:rPr/>
        <w:t>年的重要其他应付款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76,282,839.13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未达到解锁条件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3,699,170.80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79,982,009.93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25、一年内到期的非流动负债" w:id="278"/>
      <w:bookmarkEnd w:id="278"/>
      <w:r>
        <w:rPr>
          <w:b w:val="0"/>
          <w:bCs w:val="0"/>
        </w:rPr>
      </w:r>
      <w:r>
        <w:rPr>
          <w:rFonts w:ascii="Arial" w:hAnsi="Arial" w:cs="Arial" w:eastAsia="Arial" w:hint="default"/>
        </w:rPr>
        <w:t>25</w:t>
      </w:r>
      <w:r>
        <w:rPr/>
        <w:t>、一年内到期的非流动负债</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sz w:val="18"/>
              </w:rPr>
              <w:t>27,000,000.00</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26、递延收益" w:id="279"/>
      <w:bookmarkEnd w:id="279"/>
      <w:r>
        <w:rPr>
          <w:b w:val="0"/>
          <w:bCs w:val="0"/>
        </w:rPr>
      </w:r>
      <w:r>
        <w:rPr>
          <w:rFonts w:ascii="Arial" w:hAnsi="Arial" w:cs="Arial" w:eastAsia="Arial" w:hint="default"/>
        </w:rPr>
        <w:t>26</w:t>
      </w:r>
      <w:r>
        <w:rPr/>
        <w:t>、递延收益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21,408,680.00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23,315,750.00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26,729,614.57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17,994,815.43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21,408,680.00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23,315,750.00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26,729,614.57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17,994,815.43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878" w:footer="1016" w:top="1100" w:bottom="1200" w:left="1020" w:right="0"/>
        </w:sectPr>
      </w:pPr>
    </w:p>
    <w:p>
      <w:pPr>
        <w:pStyle w:val="BodyText"/>
        <w:spacing w:line="240" w:lineRule="auto" w:before="24"/>
        <w:ind w:right="0"/>
        <w:jc w:val="left"/>
      </w:pPr>
      <w:r>
        <w:rPr>
          <w:w w:val="95"/>
        </w:rPr>
        <w:t>涉及政府补助的项目：</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34"/>
        <w:gridCol w:w="1418"/>
        <w:gridCol w:w="1417"/>
        <w:gridCol w:w="851"/>
        <w:gridCol w:w="1417"/>
        <w:gridCol w:w="851"/>
        <w:gridCol w:w="283"/>
        <w:gridCol w:w="1418"/>
        <w:gridCol w:w="780"/>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3" w:right="161"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0" w:right="148"/>
              <w:jc w:val="both"/>
              <w:rPr>
                <w:rFonts w:ascii="宋体" w:hAnsi="宋体" w:cs="宋体" w:eastAsia="宋体" w:hint="default"/>
                <w:sz w:val="18"/>
                <w:szCs w:val="18"/>
              </w:rPr>
            </w:pPr>
            <w:r>
              <w:rPr>
                <w:rFonts w:ascii="宋体" w:hAnsi="宋体" w:cs="宋体" w:eastAsia="宋体" w:hint="default"/>
                <w:sz w:val="18"/>
                <w:szCs w:val="18"/>
              </w:rPr>
              <w:t>本期计 入营业 外收入 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3" w:right="161"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0" w:right="148"/>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16" w:right="112"/>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与收益 相关</w:t>
            </w:r>
          </w:p>
        </w:tc>
      </w:tr>
      <w:tr>
        <w:trPr>
          <w:trHeight w:val="164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both"/>
              <w:rPr>
                <w:rFonts w:ascii="宋体" w:hAnsi="宋体" w:cs="宋体" w:eastAsia="宋体" w:hint="default"/>
                <w:sz w:val="18"/>
                <w:szCs w:val="18"/>
              </w:rPr>
            </w:pPr>
            <w:r>
              <w:rPr>
                <w:rFonts w:ascii="宋体" w:hAnsi="宋体" w:cs="宋体" w:eastAsia="宋体" w:hint="default"/>
                <w:sz w:val="18"/>
                <w:szCs w:val="18"/>
              </w:rPr>
              <w:t>中关村科技 园区海淀园 管委会研发 中心研发投 入补贴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77,280.00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56,436.97</w:t>
            </w: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4" w:right="0"/>
              <w:jc w:val="left"/>
              <w:rPr>
                <w:rFonts w:ascii="Arial" w:hAnsi="Arial" w:cs="Arial" w:eastAsia="Arial" w:hint="default"/>
                <w:sz w:val="18"/>
                <w:szCs w:val="18"/>
              </w:rPr>
            </w:pPr>
            <w:r>
              <w:rPr>
                <w:rFonts w:ascii="Arial"/>
                <w:sz w:val="18"/>
              </w:rPr>
              <w:t>20,843.03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4" w:right="124"/>
              <w:jc w:val="left"/>
              <w:rPr>
                <w:rFonts w:ascii="宋体" w:hAnsi="宋体" w:cs="宋体" w:eastAsia="宋体" w:hint="default"/>
                <w:sz w:val="18"/>
                <w:szCs w:val="18"/>
              </w:rPr>
            </w:pPr>
            <w:r>
              <w:rPr>
                <w:rFonts w:ascii="宋体" w:hAnsi="宋体" w:cs="宋体" w:eastAsia="宋体" w:hint="default"/>
                <w:sz w:val="18"/>
                <w:szCs w:val="18"/>
              </w:rPr>
              <w:t>与资产 相关</w:t>
            </w:r>
          </w:p>
        </w:tc>
      </w:tr>
    </w:tbl>
    <w:p>
      <w:pPr>
        <w:spacing w:after="0" w:line="316" w:lineRule="auto"/>
        <w:jc w:val="left"/>
        <w:rPr>
          <w:rFonts w:ascii="宋体" w:hAnsi="宋体" w:cs="宋体" w:eastAsia="宋体" w:hint="default"/>
          <w:sz w:val="18"/>
          <w:szCs w:val="18"/>
        </w:rPr>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34"/>
        <w:gridCol w:w="1418"/>
        <w:gridCol w:w="1417"/>
        <w:gridCol w:w="851"/>
        <w:gridCol w:w="1417"/>
        <w:gridCol w:w="851"/>
        <w:gridCol w:w="283"/>
        <w:gridCol w:w="1418"/>
        <w:gridCol w:w="780"/>
      </w:tblGrid>
      <w:tr>
        <w:trPr>
          <w:trHeight w:val="356"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京津翼主要</w:t>
            </w:r>
          </w:p>
        </w:tc>
        <w:tc>
          <w:tcPr>
            <w:tcW w:w="1418" w:type="dxa"/>
            <w:tcBorders>
              <w:top w:val="single" w:sz="4" w:space="0" w:color="000000"/>
              <w:left w:val="single" w:sz="4" w:space="0" w:color="000000"/>
              <w:bottom w:val="nil" w:sz="6" w:space="0" w:color="auto"/>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0"/>
              <w:jc w:val="both"/>
              <w:rPr>
                <w:rFonts w:ascii="宋体" w:hAnsi="宋体" w:cs="宋体" w:eastAsia="宋体" w:hint="default"/>
                <w:sz w:val="18"/>
                <w:szCs w:val="18"/>
              </w:rPr>
            </w:pPr>
            <w:r>
              <w:rPr>
                <w:rFonts w:ascii="宋体" w:hAnsi="宋体" w:cs="宋体" w:eastAsia="宋体" w:hint="default"/>
                <w:sz w:val="18"/>
                <w:szCs w:val="18"/>
              </w:rPr>
              <w:t>食品的区域 一体化信息 互认体系建</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Arial" w:hAnsi="Arial" w:cs="Arial" w:eastAsia="Arial" w:hint="default"/>
                <w:sz w:val="18"/>
                <w:szCs w:val="18"/>
              </w:rPr>
            </w:pPr>
            <w:r>
              <w:rPr>
                <w:rFonts w:ascii="Arial"/>
                <w:spacing w:val="-1"/>
                <w:sz w:val="18"/>
              </w:rPr>
              <w:t>1,613,400.00</w:t>
            </w:r>
          </w:p>
        </w:tc>
        <w:tc>
          <w:tcPr>
            <w:tcW w:w="141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Arial" w:hAnsi="Arial" w:cs="Arial" w:eastAsia="Arial" w:hint="default"/>
                <w:sz w:val="18"/>
                <w:szCs w:val="18"/>
              </w:rPr>
            </w:pPr>
            <w:r>
              <w:rPr>
                <w:rFonts w:ascii="Arial"/>
                <w:spacing w:val="-1"/>
                <w:sz w:val="18"/>
              </w:rPr>
              <w:t>518,000.00</w:t>
            </w: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Arial" w:hAnsi="Arial" w:cs="Arial" w:eastAsia="Arial" w:hint="default"/>
                <w:sz w:val="18"/>
                <w:szCs w:val="18"/>
              </w:rPr>
            </w:pPr>
            <w:r>
              <w:rPr>
                <w:rFonts w:ascii="Arial"/>
                <w:spacing w:val="-1"/>
                <w:sz w:val="18"/>
              </w:rPr>
              <w:t>1,095,400.00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4" w:right="124"/>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358"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w:t>
            </w:r>
          </w:p>
        </w:tc>
        <w:tc>
          <w:tcPr>
            <w:tcW w:w="1418"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互联网食品</w:t>
            </w:r>
          </w:p>
        </w:tc>
        <w:tc>
          <w:tcPr>
            <w:tcW w:w="1418" w:type="dxa"/>
            <w:tcBorders>
              <w:top w:val="single" w:sz="4" w:space="0" w:color="000000"/>
              <w:left w:val="single" w:sz="4" w:space="0" w:color="000000"/>
              <w:bottom w:val="nil" w:sz="6" w:space="0" w:color="auto"/>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0"/>
              <w:jc w:val="left"/>
              <w:rPr>
                <w:rFonts w:ascii="宋体" w:hAnsi="宋体" w:cs="宋体" w:eastAsia="宋体" w:hint="default"/>
                <w:sz w:val="18"/>
                <w:szCs w:val="18"/>
              </w:rPr>
            </w:pPr>
            <w:r>
              <w:rPr>
                <w:rFonts w:ascii="宋体" w:hAnsi="宋体" w:cs="宋体" w:eastAsia="宋体" w:hint="default"/>
                <w:sz w:val="18"/>
                <w:szCs w:val="18"/>
              </w:rPr>
              <w:t>安全风险监 控预警体系</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3,172,400.00</w:t>
            </w:r>
          </w:p>
        </w:tc>
        <w:tc>
          <w:tcPr>
            <w:tcW w:w="141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827,600.00</w:t>
            </w: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2,344,800.00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124"/>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1418"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both"/>
              <w:rPr>
                <w:rFonts w:ascii="宋体" w:hAnsi="宋体" w:cs="宋体" w:eastAsia="宋体" w:hint="default"/>
                <w:sz w:val="18"/>
                <w:szCs w:val="18"/>
              </w:rPr>
            </w:pPr>
            <w:r>
              <w:rPr>
                <w:rFonts w:ascii="宋体" w:hAnsi="宋体" w:cs="宋体" w:eastAsia="宋体" w:hint="default"/>
                <w:sz w:val="18"/>
                <w:szCs w:val="18"/>
              </w:rPr>
              <w:t>面向司法领 域的课题研 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15,845,600.00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53" w:right="0"/>
              <w:jc w:val="left"/>
              <w:rPr>
                <w:rFonts w:ascii="Arial" w:hAnsi="Arial" w:cs="Arial" w:eastAsia="Arial" w:hint="default"/>
                <w:sz w:val="18"/>
                <w:szCs w:val="18"/>
              </w:rPr>
            </w:pPr>
            <w:r>
              <w:rPr>
                <w:rFonts w:ascii="Arial"/>
                <w:sz w:val="18"/>
              </w:rPr>
              <w:t>23,315,750.00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24,627,577.60</w:t>
            </w: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14,533,772.40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4" w:right="124"/>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促进产学研 合作专项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700,000.00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24"/>
              <w:jc w:val="left"/>
              <w:rPr>
                <w:rFonts w:ascii="宋体" w:hAnsi="宋体" w:cs="宋体" w:eastAsia="宋体" w:hint="default"/>
                <w:sz w:val="18"/>
                <w:szCs w:val="18"/>
              </w:rPr>
            </w:pPr>
            <w:r>
              <w:rPr>
                <w:rFonts w:ascii="宋体" w:hAnsi="宋体" w:cs="宋体" w:eastAsia="宋体" w:hint="default"/>
                <w:sz w:val="18"/>
                <w:szCs w:val="18"/>
              </w:rPr>
              <w:t>与资产 相关</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7、股本" w:id="280"/>
      <w:bookmarkEnd w:id="280"/>
      <w:r>
        <w:rPr>
          <w:b w:val="0"/>
          <w:bCs w:val="0"/>
        </w:rPr>
      </w:r>
      <w:r>
        <w:rPr>
          <w:rFonts w:ascii="Arial" w:hAnsi="Arial" w:cs="Arial" w:eastAsia="Arial" w:hint="default"/>
        </w:rPr>
        <w:t>27</w:t>
      </w:r>
      <w:r>
        <w:rPr/>
        <w:t>、股本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1559"/>
        <w:gridCol w:w="1417"/>
        <w:gridCol w:w="709"/>
        <w:gridCol w:w="1134"/>
        <w:gridCol w:w="1364"/>
        <w:gridCol w:w="1196"/>
        <w:gridCol w:w="1196"/>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6" w:right="0"/>
              <w:jc w:val="left"/>
              <w:rPr>
                <w:rFonts w:ascii="Arial" w:hAnsi="Arial" w:cs="Arial" w:eastAsia="Arial" w:hint="default"/>
                <w:sz w:val="18"/>
                <w:szCs w:val="18"/>
              </w:rPr>
            </w:pPr>
            <w:r>
              <w:rPr>
                <w:rFonts w:ascii="Arial"/>
                <w:sz w:val="18"/>
              </w:rPr>
              <w:t>754,491,460.00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Arial" w:hAnsi="Arial" w:cs="Arial" w:eastAsia="Arial" w:hint="default"/>
                <w:sz w:val="18"/>
                <w:szCs w:val="18"/>
              </w:rPr>
            </w:pPr>
            <w:r>
              <w:rPr>
                <w:rFonts w:ascii="Arial"/>
                <w:sz w:val="18"/>
              </w:rPr>
              <w:t>55,938,493.00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center"/>
              <w:rPr>
                <w:rFonts w:ascii="Arial" w:hAnsi="Arial" w:cs="Arial" w:eastAsia="Arial" w:hint="default"/>
                <w:sz w:val="18"/>
                <w:szCs w:val="18"/>
              </w:rPr>
            </w:pPr>
            <w:r>
              <w:rPr>
                <w:rFonts w:ascii="Arial"/>
                <w:sz w:val="18"/>
              </w:rPr>
              <w:t>-1,039,230.00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54,899,263.</w:t>
            </w:r>
          </w:p>
          <w:p>
            <w:pPr>
              <w:pStyle w:val="TableParagraph"/>
              <w:spacing w:line="240" w:lineRule="auto" w:before="105"/>
              <w:ind w:right="101"/>
              <w:jc w:val="right"/>
              <w:rPr>
                <w:rFonts w:ascii="Arial" w:hAnsi="Arial" w:cs="Arial" w:eastAsia="Arial" w:hint="default"/>
                <w:sz w:val="18"/>
                <w:szCs w:val="18"/>
              </w:rPr>
            </w:pPr>
            <w:r>
              <w:rPr>
                <w:rFonts w:ascii="Arial"/>
                <w:w w:val="95"/>
                <w:sz w:val="18"/>
              </w:rPr>
              <w:t>00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Arial" w:hAnsi="Arial" w:cs="Arial" w:eastAsia="Arial" w:hint="default"/>
                <w:sz w:val="18"/>
                <w:szCs w:val="18"/>
              </w:rPr>
            </w:pPr>
            <w:r>
              <w:rPr>
                <w:rFonts w:ascii="Arial"/>
                <w:sz w:val="18"/>
              </w:rPr>
              <w:t>809,390,72</w:t>
            </w:r>
          </w:p>
          <w:p>
            <w:pPr>
              <w:pStyle w:val="TableParagraph"/>
              <w:spacing w:line="240" w:lineRule="auto" w:before="105"/>
              <w:ind w:left="732" w:right="0"/>
              <w:jc w:val="left"/>
              <w:rPr>
                <w:rFonts w:ascii="Arial" w:hAnsi="Arial" w:cs="Arial" w:eastAsia="Arial" w:hint="default"/>
                <w:sz w:val="18"/>
                <w:szCs w:val="18"/>
              </w:rPr>
            </w:pPr>
            <w:r>
              <w:rPr>
                <w:rFonts w:ascii="Arial"/>
                <w:sz w:val="18"/>
              </w:rPr>
              <w:t>3.00</w:t>
            </w:r>
          </w:p>
        </w:tc>
      </w:tr>
    </w:tbl>
    <w:p>
      <w:pPr>
        <w:pStyle w:val="BodyText"/>
        <w:spacing w:line="240" w:lineRule="auto" w:before="25"/>
        <w:ind w:right="996"/>
        <w:jc w:val="left"/>
      </w:pPr>
      <w:r>
        <w:rPr/>
        <w:t>其他说明：</w:t>
      </w:r>
    </w:p>
    <w:p>
      <w:pPr>
        <w:pStyle w:val="BodyText"/>
        <w:spacing w:line="259" w:lineRule="auto" w:before="78"/>
        <w:ind w:right="1105" w:firstLine="420"/>
        <w:jc w:val="both"/>
      </w:pPr>
      <w:r>
        <w:rPr>
          <w:w w:val="95"/>
        </w:rPr>
        <w:t>（</w:t>
      </w:r>
      <w:r>
        <w:rPr>
          <w:rFonts w:ascii="Arial" w:hAnsi="Arial" w:cs="Arial" w:eastAsia="Arial" w:hint="default"/>
          <w:w w:val="95"/>
        </w:rPr>
        <w:t>1</w:t>
      </w:r>
      <w:r>
        <w:rPr>
          <w:w w:val="95"/>
        </w:rPr>
        <w:t>）</w:t>
      </w:r>
      <w:r>
        <w:rPr>
          <w:rFonts w:ascii="Arial" w:hAnsi="Arial" w:cs="Arial" w:eastAsia="Arial" w:hint="default"/>
          <w:w w:val="95"/>
        </w:rPr>
        <w:t>2019</w:t>
      </w:r>
      <w:r>
        <w:rPr>
          <w:w w:val="95"/>
        </w:rPr>
        <w:t>年，公司非公开发行人民币普通股</w:t>
      </w:r>
      <w:r>
        <w:rPr>
          <w:rFonts w:ascii="Arial" w:hAnsi="Arial" w:cs="Arial" w:eastAsia="Arial" w:hint="default"/>
          <w:w w:val="95"/>
        </w:rPr>
        <w:t>(A</w:t>
      </w:r>
      <w:r>
        <w:rPr>
          <w:w w:val="95"/>
        </w:rPr>
        <w:t>股</w:t>
      </w:r>
      <w:r>
        <w:rPr>
          <w:rFonts w:ascii="Arial" w:hAnsi="Arial" w:cs="Arial" w:eastAsia="Arial" w:hint="default"/>
          <w:w w:val="95"/>
        </w:rPr>
        <w:t>)55,938,493</w:t>
      </w:r>
      <w:r>
        <w:rPr>
          <w:w w:val="95"/>
        </w:rPr>
        <w:t>股，每股面值人民币</w:t>
      </w:r>
      <w:r>
        <w:rPr>
          <w:rFonts w:ascii="Arial" w:hAnsi="Arial" w:cs="Arial" w:eastAsia="Arial" w:hint="default"/>
          <w:w w:val="95"/>
        </w:rPr>
        <w:t>1.00</w:t>
      </w:r>
      <w:r>
        <w:rPr>
          <w:w w:val="95"/>
        </w:rPr>
        <w:t>元，每股发行</w:t>
      </w:r>
      <w:r>
        <w:rPr>
          <w:spacing w:val="-97"/>
          <w:w w:val="95"/>
        </w:rPr>
        <w:t> </w:t>
      </w:r>
      <w:r>
        <w:rPr>
          <w:spacing w:val="-97"/>
          <w:w w:val="95"/>
        </w:rPr>
      </w:r>
      <w:r>
        <w:rPr/>
        <w:t>认</w:t>
      </w:r>
      <w:r>
        <w:rPr>
          <w:spacing w:val="-76"/>
        </w:rPr>
        <w:t> </w:t>
      </w:r>
      <w:r>
        <w:rPr/>
        <w:t>购</w:t>
      </w:r>
      <w:r>
        <w:rPr>
          <w:spacing w:val="-74"/>
        </w:rPr>
        <w:t> </w:t>
      </w:r>
      <w:r>
        <w:rPr/>
        <w:t>价</w:t>
      </w:r>
      <w:r>
        <w:rPr>
          <w:spacing w:val="-76"/>
        </w:rPr>
        <w:t> </w:t>
      </w:r>
      <w:r>
        <w:rPr/>
        <w:t>格</w:t>
      </w:r>
      <w:r>
        <w:rPr>
          <w:spacing w:val="-76"/>
        </w:rPr>
        <w:t> </w:t>
      </w:r>
      <w:r>
        <w:rPr/>
        <w:t>为</w:t>
      </w:r>
      <w:r>
        <w:rPr>
          <w:spacing w:val="-76"/>
        </w:rPr>
        <w:t> </w:t>
      </w:r>
      <w:r>
        <w:rPr/>
        <w:t>人</w:t>
      </w:r>
      <w:r>
        <w:rPr>
          <w:spacing w:val="-74"/>
        </w:rPr>
        <w:t> </w:t>
      </w:r>
      <w:r>
        <w:rPr/>
        <w:t>民</w:t>
      </w:r>
      <w:r>
        <w:rPr>
          <w:spacing w:val="-76"/>
        </w:rPr>
        <w:t> </w:t>
      </w:r>
      <w:r>
        <w:rPr/>
        <w:t>币</w:t>
      </w:r>
      <w:r>
        <w:rPr>
          <w:spacing w:val="-74"/>
        </w:rPr>
        <w:t> </w:t>
      </w:r>
      <w:r>
        <w:rPr>
          <w:rFonts w:ascii="Arial" w:hAnsi="Arial" w:cs="Arial" w:eastAsia="Arial" w:hint="default"/>
        </w:rPr>
        <w:t>18.86</w:t>
      </w:r>
      <w:r>
        <w:rPr>
          <w:rFonts w:ascii="Arial" w:hAnsi="Arial" w:cs="Arial" w:eastAsia="Arial" w:hint="default"/>
          <w:spacing w:val="-28"/>
        </w:rPr>
        <w:t> </w:t>
      </w:r>
      <w:r>
        <w:rPr/>
        <w:t>元</w:t>
      </w:r>
      <w:r>
        <w:rPr>
          <w:spacing w:val="-76"/>
        </w:rPr>
        <w:t> </w:t>
      </w:r>
      <w:r>
        <w:rPr/>
        <w:t>，</w:t>
      </w:r>
      <w:r>
        <w:rPr>
          <w:spacing w:val="-74"/>
        </w:rPr>
        <w:t> </w:t>
      </w:r>
      <w:r>
        <w:rPr/>
        <w:t>共</w:t>
      </w:r>
      <w:r>
        <w:rPr>
          <w:spacing w:val="-76"/>
        </w:rPr>
        <w:t> </w:t>
      </w:r>
      <w:r>
        <w:rPr/>
        <w:t>计</w:t>
      </w:r>
      <w:r>
        <w:rPr>
          <w:spacing w:val="-76"/>
        </w:rPr>
        <w:t> </w:t>
      </w:r>
      <w:r>
        <w:rPr/>
        <w:t>募</w:t>
      </w:r>
      <w:r>
        <w:rPr>
          <w:spacing w:val="-76"/>
        </w:rPr>
        <w:t> </w:t>
      </w:r>
      <w:r>
        <w:rPr/>
        <w:t>集</w:t>
      </w:r>
      <w:r>
        <w:rPr>
          <w:spacing w:val="-74"/>
        </w:rPr>
        <w:t> </w:t>
      </w:r>
      <w:r>
        <w:rPr/>
        <w:t>人</w:t>
      </w:r>
      <w:r>
        <w:rPr>
          <w:spacing w:val="-76"/>
        </w:rPr>
        <w:t> </w:t>
      </w:r>
      <w:r>
        <w:rPr/>
        <w:t>民</w:t>
      </w:r>
      <w:r>
        <w:rPr>
          <w:spacing w:val="-76"/>
        </w:rPr>
        <w:t> </w:t>
      </w:r>
      <w:r>
        <w:rPr/>
        <w:t>币</w:t>
      </w:r>
      <w:r>
        <w:rPr>
          <w:spacing w:val="-74"/>
        </w:rPr>
        <w:t> </w:t>
      </w:r>
      <w:r>
        <w:rPr>
          <w:rFonts w:ascii="Arial" w:hAnsi="Arial" w:cs="Arial" w:eastAsia="Arial" w:hint="default"/>
        </w:rPr>
        <w:t>1,054,999,977.98</w:t>
      </w:r>
      <w:r>
        <w:rPr>
          <w:rFonts w:ascii="Arial" w:hAnsi="Arial" w:cs="Arial" w:eastAsia="Arial" w:hint="default"/>
          <w:spacing w:val="-28"/>
        </w:rPr>
        <w:t> </w:t>
      </w:r>
      <w:r>
        <w:rPr/>
        <w:t>元</w:t>
      </w:r>
      <w:r>
        <w:rPr>
          <w:spacing w:val="-76"/>
        </w:rPr>
        <w:t> </w:t>
      </w:r>
      <w:r>
        <w:rPr/>
        <w:t>。</w:t>
      </w:r>
      <w:r>
        <w:rPr>
          <w:spacing w:val="-74"/>
        </w:rPr>
        <w:t> </w:t>
      </w:r>
      <w:r>
        <w:rPr/>
        <w:t>扣</w:t>
      </w:r>
      <w:r>
        <w:rPr>
          <w:spacing w:val="-76"/>
        </w:rPr>
        <w:t> </w:t>
      </w:r>
      <w:r>
        <w:rPr/>
        <w:t>除</w:t>
      </w:r>
      <w:r>
        <w:rPr>
          <w:spacing w:val="-76"/>
        </w:rPr>
        <w:t> </w:t>
      </w:r>
      <w:r>
        <w:rPr/>
        <w:t>承</w:t>
      </w:r>
      <w:r>
        <w:rPr>
          <w:spacing w:val="-76"/>
        </w:rPr>
        <w:t> </w:t>
      </w:r>
      <w:r>
        <w:rPr/>
        <w:t>销</w:t>
      </w:r>
      <w:r>
        <w:rPr>
          <w:spacing w:val="-74"/>
        </w:rPr>
        <w:t> </w:t>
      </w:r>
      <w:r>
        <w:rPr/>
        <w:t>及</w:t>
      </w:r>
      <w:r>
        <w:rPr>
          <w:spacing w:val="-76"/>
        </w:rPr>
        <w:t> </w:t>
      </w:r>
      <w:r>
        <w:rPr/>
        <w:t>保</w:t>
      </w:r>
      <w:r>
        <w:rPr>
          <w:spacing w:val="-76"/>
        </w:rPr>
        <w:t> </w:t>
      </w:r>
      <w:r>
        <w:rPr/>
        <w:t>荐</w:t>
      </w:r>
      <w:r>
        <w:rPr>
          <w:spacing w:val="-74"/>
        </w:rPr>
        <w:t> </w:t>
      </w:r>
      <w:r>
        <w:rPr/>
        <w:t>费</w:t>
      </w:r>
      <w:r>
        <w:rPr>
          <w:spacing w:val="-76"/>
        </w:rPr>
        <w:t> </w:t>
      </w:r>
      <w:r>
        <w:rPr/>
        <w:t>用</w:t>
      </w:r>
      <w:r>
        <w:rPr>
          <w:spacing w:val="-76"/>
        </w:rPr>
        <w:t> </w:t>
      </w:r>
      <w:r>
        <w:rPr/>
        <w:t>人</w:t>
      </w:r>
      <w:r>
        <w:rPr>
          <w:spacing w:val="-76"/>
        </w:rPr>
        <w:t> </w:t>
      </w:r>
      <w:r>
        <w:rPr/>
        <w:t>民</w:t>
      </w:r>
      <w:r>
        <w:rPr>
          <w:spacing w:val="-74"/>
        </w:rPr>
        <w:t> </w:t>
      </w:r>
      <w:r>
        <w:rPr/>
        <w:t>币</w:t>
      </w:r>
      <w:r>
        <w:rPr>
          <w:w w:val="99"/>
        </w:rPr>
        <w:t> </w:t>
      </w:r>
      <w:r>
        <w:rPr>
          <w:rFonts w:ascii="Arial" w:hAnsi="Arial" w:cs="Arial" w:eastAsia="Arial" w:hint="default"/>
          <w:spacing w:val="-2"/>
        </w:rPr>
        <w:t>12,026,999.75</w:t>
      </w:r>
      <w:r>
        <w:rPr>
          <w:spacing w:val="-2"/>
        </w:rPr>
        <w:t>元，实际募集资金净额人民币</w:t>
      </w:r>
      <w:r>
        <w:rPr>
          <w:rFonts w:ascii="Arial" w:hAnsi="Arial" w:cs="Arial" w:eastAsia="Arial" w:hint="default"/>
          <w:spacing w:val="-2"/>
        </w:rPr>
        <w:t>1,042,972,978.23</w:t>
      </w:r>
      <w:r>
        <w:rPr>
          <w:spacing w:val="-2"/>
        </w:rPr>
        <w:t>元，其中计入“股本”人民币</w:t>
      </w:r>
      <w:r>
        <w:rPr>
          <w:rFonts w:ascii="Arial" w:hAnsi="Arial" w:cs="Arial" w:eastAsia="Arial" w:hint="default"/>
          <w:spacing w:val="-2"/>
        </w:rPr>
        <w:t>55,938,493.00</w:t>
      </w:r>
      <w:r>
        <w:rPr>
          <w:rFonts w:ascii="Arial" w:hAnsi="Arial" w:cs="Arial" w:eastAsia="Arial" w:hint="default"/>
          <w:w w:val="99"/>
        </w:rPr>
        <w:t> </w:t>
      </w:r>
      <w:r>
        <w:rPr/>
        <w:t>元。</w:t>
      </w:r>
    </w:p>
    <w:p>
      <w:pPr>
        <w:pStyle w:val="BodyText"/>
        <w:spacing w:line="240" w:lineRule="auto" w:before="20"/>
        <w:ind w:left="532" w:right="996"/>
        <w:jc w:val="left"/>
      </w:pPr>
      <w:r>
        <w:rPr/>
        <w:t>（</w:t>
      </w:r>
      <w:r>
        <w:rPr>
          <w:rFonts w:ascii="Arial" w:hAnsi="Arial" w:cs="Arial" w:eastAsia="Arial" w:hint="default"/>
        </w:rPr>
        <w:t>2</w:t>
      </w:r>
      <w:r>
        <w:rPr/>
        <w:t>）公司及子公司限制性股票激励对象离职回购限制性股票相应减少股本</w:t>
      </w:r>
      <w:r>
        <w:rPr>
          <w:rFonts w:ascii="Arial" w:hAnsi="Arial" w:cs="Arial" w:eastAsia="Arial" w:hint="default"/>
        </w:rPr>
        <w:t>1,039,230.00</w:t>
      </w:r>
      <w:r>
        <w:rPr/>
        <w:t>元。</w:t>
      </w:r>
    </w:p>
    <w:p>
      <w:pPr>
        <w:spacing w:line="240" w:lineRule="auto" w:before="8"/>
        <w:rPr>
          <w:rFonts w:ascii="宋体" w:hAnsi="宋体" w:cs="宋体" w:eastAsia="宋体" w:hint="default"/>
          <w:sz w:val="24"/>
          <w:szCs w:val="24"/>
        </w:rPr>
      </w:pPr>
    </w:p>
    <w:p>
      <w:pPr>
        <w:pStyle w:val="Heading4"/>
        <w:spacing w:line="240" w:lineRule="auto" w:before="0"/>
        <w:ind w:right="996"/>
        <w:jc w:val="left"/>
        <w:rPr>
          <w:b w:val="0"/>
          <w:bCs w:val="0"/>
        </w:rPr>
      </w:pPr>
      <w:bookmarkStart w:name="28、资本公积" w:id="281"/>
      <w:bookmarkEnd w:id="281"/>
      <w:r>
        <w:rPr>
          <w:b w:val="0"/>
          <w:bCs w:val="0"/>
        </w:rPr>
      </w:r>
      <w:r>
        <w:rPr>
          <w:rFonts w:ascii="Arial" w:hAnsi="Arial" w:cs="Arial" w:eastAsia="Arial" w:hint="default"/>
        </w:rPr>
        <w:t>28</w:t>
      </w:r>
      <w:r>
        <w:rPr/>
        <w:t>、资本公积</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1,878,400,966.51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993,675,863.85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9,292,208.98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2,862,784,621.38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20,944,587.31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2"/>
                <w:sz w:val="18"/>
              </w:rPr>
              <w:t>69,311,501.43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16,716,764.93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73,539,323.81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1,900,345,553.82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1,062,987,365.28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26,008,973.91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2,937,323,945.19</w:t>
            </w:r>
          </w:p>
        </w:tc>
      </w:tr>
    </w:tbl>
    <w:p>
      <w:pPr>
        <w:pStyle w:val="BodyText"/>
        <w:spacing w:line="240" w:lineRule="auto" w:before="24"/>
        <w:ind w:right="996"/>
        <w:jc w:val="left"/>
      </w:pPr>
      <w:r>
        <w:rPr/>
        <w:t>其他说明，包括本期增减变动情况、变动原因说明：</w:t>
      </w:r>
    </w:p>
    <w:p>
      <w:pPr>
        <w:pStyle w:val="BodyText"/>
        <w:spacing w:line="240" w:lineRule="auto" w:before="97"/>
        <w:ind w:left="532" w:right="996"/>
        <w:jc w:val="left"/>
      </w:pPr>
      <w:r>
        <w:rPr/>
        <w:t>（</w:t>
      </w:r>
      <w:r>
        <w:rPr>
          <w:rFonts w:ascii="Arial" w:hAnsi="Arial" w:cs="Arial" w:eastAsia="Arial" w:hint="default"/>
        </w:rPr>
        <w:t>1</w:t>
      </w:r>
      <w:r>
        <w:rPr/>
        <w:t>）股本溢价的变动说明：</w:t>
      </w:r>
    </w:p>
    <w:p>
      <w:pPr>
        <w:pStyle w:val="BodyText"/>
        <w:spacing w:line="240" w:lineRule="auto" w:before="82"/>
        <w:ind w:left="532" w:right="996"/>
        <w:jc w:val="left"/>
      </w:pPr>
      <w:r>
        <w:rPr/>
        <w:t>①公司以</w:t>
      </w:r>
      <w:r>
        <w:rPr>
          <w:rFonts w:ascii="Arial" w:hAnsi="Arial" w:cs="Arial" w:eastAsia="Arial" w:hint="default"/>
        </w:rPr>
        <w:t>18.86</w:t>
      </w:r>
      <w:r>
        <w:rPr/>
        <w:t>元</w:t>
      </w:r>
      <w:r>
        <w:rPr>
          <w:rFonts w:ascii="Arial" w:hAnsi="Arial" w:cs="Arial" w:eastAsia="Arial" w:hint="default"/>
        </w:rPr>
        <w:t>/</w:t>
      </w:r>
      <w:r>
        <w:rPr/>
        <w:t>股的价格发行非公开发行股票</w:t>
      </w:r>
      <w:r>
        <w:rPr>
          <w:rFonts w:ascii="Arial" w:hAnsi="Arial" w:cs="Arial" w:eastAsia="Arial" w:hint="default"/>
        </w:rPr>
        <w:t>55,938,493</w:t>
      </w:r>
      <w:r>
        <w:rPr/>
        <w:t>股，增加股本</w:t>
      </w:r>
      <w:r>
        <w:rPr>
          <w:rFonts w:ascii="Arial" w:hAnsi="Arial" w:cs="Arial" w:eastAsia="Arial" w:hint="default"/>
        </w:rPr>
        <w:t>55,938,493.00</w:t>
      </w:r>
      <w:r>
        <w:rPr/>
        <w:t>元，扣除相关</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BodyText"/>
        <w:spacing w:line="240" w:lineRule="auto" w:before="34"/>
        <w:ind w:right="996"/>
        <w:jc w:val="left"/>
      </w:pPr>
      <w:r>
        <w:rPr/>
        <w:t>发行费用</w:t>
      </w:r>
      <w:r>
        <w:rPr>
          <w:rFonts w:ascii="Arial" w:hAnsi="Arial" w:cs="Arial" w:eastAsia="Arial" w:hint="default"/>
        </w:rPr>
        <w:t>12,021,639.83</w:t>
      </w:r>
      <w:r>
        <w:rPr/>
        <w:t>元，增加股本溢价</w:t>
      </w:r>
      <w:r>
        <w:rPr>
          <w:rFonts w:ascii="Arial" w:hAnsi="Arial" w:cs="Arial" w:eastAsia="Arial" w:hint="default"/>
        </w:rPr>
        <w:t>987,039,845.15</w:t>
      </w:r>
      <w:r>
        <w:rPr/>
        <w:t>元；</w:t>
      </w:r>
    </w:p>
    <w:p>
      <w:pPr>
        <w:pStyle w:val="BodyText"/>
        <w:spacing w:line="273" w:lineRule="auto" w:before="82"/>
        <w:ind w:right="996" w:firstLine="420"/>
        <w:jc w:val="left"/>
      </w:pPr>
      <w:r>
        <w:rPr>
          <w:w w:val="95"/>
        </w:rPr>
        <w:t>②公司及子公司限制性股票激励对象本期解锁对应的费用，从其他资本公积转入股本溢价，增加股本</w:t>
      </w:r>
      <w:r>
        <w:rPr>
          <w:w w:val="99"/>
        </w:rPr>
        <w:t> </w:t>
      </w:r>
      <w:r>
        <w:rPr/>
        <w:t>溢价</w:t>
      </w:r>
      <w:r>
        <w:rPr>
          <w:rFonts w:ascii="Arial" w:hAnsi="Arial" w:cs="Arial" w:eastAsia="Arial" w:hint="default"/>
        </w:rPr>
        <w:t>5,897,684.84</w:t>
      </w:r>
      <w:r>
        <w:rPr/>
        <w:t>元；</w:t>
      </w:r>
    </w:p>
    <w:p>
      <w:pPr>
        <w:pStyle w:val="BodyText"/>
        <w:spacing w:line="240" w:lineRule="auto" w:before="49"/>
        <w:ind w:left="532" w:right="996"/>
        <w:jc w:val="left"/>
      </w:pPr>
      <w:r>
        <w:rPr/>
        <w:t>③公司及集团内公司限制性股票激励对象未达到解锁条件，回购限制性股票相应减少股本</w:t>
      </w:r>
    </w:p>
    <w:p>
      <w:pPr>
        <w:pStyle w:val="BodyText"/>
        <w:spacing w:line="240" w:lineRule="auto" w:before="37"/>
        <w:ind w:right="996"/>
        <w:jc w:val="left"/>
      </w:pPr>
      <w:r>
        <w:rPr>
          <w:rFonts w:ascii="Arial" w:hAnsi="Arial" w:cs="Arial" w:eastAsia="Arial" w:hint="default"/>
        </w:rPr>
        <w:t>1,039,230.00</w:t>
      </w:r>
      <w:r>
        <w:rPr/>
        <w:t>元，减少股本溢价</w:t>
      </w:r>
      <w:r>
        <w:rPr>
          <w:rFonts w:ascii="Arial" w:hAnsi="Arial" w:cs="Arial" w:eastAsia="Arial" w:hint="default"/>
        </w:rPr>
        <w:t>9,292,208.98</w:t>
      </w:r>
      <w:r>
        <w:rPr/>
        <w:t>元；</w:t>
      </w:r>
    </w:p>
    <w:p>
      <w:pPr>
        <w:pStyle w:val="BodyText"/>
        <w:spacing w:line="240" w:lineRule="auto" w:before="82"/>
        <w:ind w:left="532" w:right="996"/>
        <w:jc w:val="left"/>
      </w:pPr>
      <w:r>
        <w:rPr/>
        <w:t>④子公司北京华宇元典信息服务有限公司少数股东增资，导致公司持股比例变化，增加股本溢价</w:t>
      </w:r>
    </w:p>
    <w:p>
      <w:pPr>
        <w:pStyle w:val="BodyText"/>
        <w:spacing w:line="240" w:lineRule="auto" w:before="37"/>
        <w:ind w:right="996"/>
        <w:jc w:val="left"/>
      </w:pPr>
      <w:r>
        <w:rPr>
          <w:rFonts w:ascii="Arial" w:hAnsi="Arial" w:cs="Arial" w:eastAsia="Arial" w:hint="default"/>
        </w:rPr>
        <w:t>738,333.86</w:t>
      </w:r>
      <w:r>
        <w:rPr/>
        <w:t>元。</w:t>
      </w:r>
    </w:p>
    <w:p>
      <w:pPr>
        <w:pStyle w:val="BodyText"/>
        <w:spacing w:line="240" w:lineRule="auto" w:before="82"/>
        <w:ind w:left="532" w:right="996"/>
        <w:jc w:val="left"/>
      </w:pPr>
      <w:r>
        <w:rPr/>
        <w:t>（</w:t>
      </w:r>
      <w:r>
        <w:rPr>
          <w:rFonts w:ascii="Arial" w:hAnsi="Arial" w:cs="Arial" w:eastAsia="Arial" w:hint="default"/>
        </w:rPr>
        <w:t>2</w:t>
      </w:r>
      <w:r>
        <w:rPr/>
        <w:t>）其他资本公积的变动说明：</w:t>
      </w:r>
    </w:p>
    <w:p>
      <w:pPr>
        <w:pStyle w:val="BodyText"/>
        <w:spacing w:line="273" w:lineRule="auto" w:before="82"/>
        <w:ind w:right="996" w:firstLine="420"/>
        <w:jc w:val="left"/>
      </w:pPr>
      <w:r>
        <w:rPr>
          <w:w w:val="95"/>
        </w:rPr>
        <w:t>①本公司及集团内公司根据权益工具的公允价值和预计可行权数量（含限制性股票及期权），确认成</w:t>
      </w:r>
      <w:r>
        <w:rPr>
          <w:w w:val="99"/>
        </w:rPr>
        <w:t> </w:t>
      </w:r>
      <w:r>
        <w:rPr/>
        <w:t>本费用</w:t>
      </w:r>
      <w:r>
        <w:rPr>
          <w:rFonts w:ascii="Arial" w:hAnsi="Arial" w:cs="Arial" w:eastAsia="Arial" w:hint="default"/>
        </w:rPr>
        <w:t>39,855,829.28</w:t>
      </w:r>
      <w:r>
        <w:rPr/>
        <w:t>元，扣除少数股东权益影响，增加其他资本公积</w:t>
      </w:r>
      <w:r>
        <w:rPr>
          <w:rFonts w:ascii="Arial" w:hAnsi="Arial" w:cs="Arial" w:eastAsia="Arial" w:hint="default"/>
        </w:rPr>
        <w:t>39,223,965.95</w:t>
      </w:r>
      <w:r>
        <w:rPr/>
        <w:t>元；</w:t>
      </w:r>
    </w:p>
    <w:p>
      <w:pPr>
        <w:pStyle w:val="BodyText"/>
        <w:spacing w:line="273" w:lineRule="auto" w:before="49"/>
        <w:ind w:right="996" w:firstLine="420"/>
        <w:jc w:val="left"/>
      </w:pPr>
      <w:r>
        <w:rPr>
          <w:w w:val="95"/>
        </w:rPr>
        <w:t>②公司及子公司按照期权行权和限制性股票解锁实际税前抵扣金额超出相应费用部分对应的所得税</w:t>
      </w:r>
      <w:r>
        <w:rPr>
          <w:spacing w:val="-91"/>
          <w:w w:val="95"/>
        </w:rPr>
        <w:t> </w:t>
      </w:r>
      <w:r>
        <w:rPr>
          <w:spacing w:val="-91"/>
          <w:w w:val="95"/>
        </w:rPr>
      </w:r>
      <w:r>
        <w:rPr/>
        <w:t>金额，扣除少数股东权益影响，增加其他资本公积</w:t>
      </w:r>
      <w:r>
        <w:rPr>
          <w:rFonts w:ascii="Arial" w:hAnsi="Arial" w:cs="Arial" w:eastAsia="Arial" w:hint="default"/>
        </w:rPr>
        <w:t>5,496,283.46</w:t>
      </w:r>
      <w:r>
        <w:rPr/>
        <w:t>元；</w:t>
      </w:r>
    </w:p>
    <w:p>
      <w:pPr>
        <w:pStyle w:val="BodyText"/>
        <w:spacing w:line="273" w:lineRule="auto" w:before="49"/>
        <w:ind w:right="996" w:firstLine="420"/>
        <w:jc w:val="left"/>
      </w:pPr>
      <w:r>
        <w:rPr>
          <w:w w:val="95"/>
        </w:rPr>
        <w:t>③公司及子公司按照预计未来期间税前可扣除的金额确认相关股票期权和限制性股票相关递延所得</w:t>
      </w:r>
      <w:r>
        <w:rPr>
          <w:spacing w:val="-91"/>
          <w:w w:val="95"/>
        </w:rPr>
        <w:t> </w:t>
      </w:r>
      <w:r>
        <w:rPr>
          <w:spacing w:val="-91"/>
          <w:w w:val="95"/>
        </w:rPr>
      </w:r>
      <w:r>
        <w:rPr/>
        <w:t>税，扣除少数股东权益影响，增加其他资本公积</w:t>
      </w:r>
      <w:r>
        <w:rPr>
          <w:rFonts w:ascii="Arial" w:hAnsi="Arial" w:cs="Arial" w:eastAsia="Arial" w:hint="default"/>
        </w:rPr>
        <w:t>24,591,252.02</w:t>
      </w:r>
      <w:r>
        <w:rPr/>
        <w:t>元；</w:t>
      </w:r>
    </w:p>
    <w:p>
      <w:pPr>
        <w:pStyle w:val="BodyText"/>
        <w:spacing w:line="273" w:lineRule="auto" w:before="49"/>
        <w:ind w:right="996" w:firstLine="420"/>
        <w:jc w:val="left"/>
      </w:pPr>
      <w:r>
        <w:rPr>
          <w:w w:val="95"/>
        </w:rPr>
        <w:t>④公司及子公司股票期权激励对象本期行权和限制性股票激励对象本期解锁对应的费用，从其他资本</w:t>
      </w:r>
      <w:r>
        <w:rPr>
          <w:w w:val="99"/>
        </w:rPr>
        <w:t> </w:t>
      </w:r>
      <w:r>
        <w:rPr/>
        <w:t>公积转入股本溢价，减少其他资本公积</w:t>
      </w:r>
      <w:r>
        <w:rPr>
          <w:rFonts w:ascii="Arial" w:hAnsi="Arial" w:cs="Arial" w:eastAsia="Arial" w:hint="default"/>
        </w:rPr>
        <w:t>5,897,684.84</w:t>
      </w:r>
      <w:r>
        <w:rPr/>
        <w:t>元；</w:t>
      </w:r>
    </w:p>
    <w:p>
      <w:pPr>
        <w:pStyle w:val="BodyText"/>
        <w:spacing w:line="240" w:lineRule="auto" w:before="49"/>
        <w:ind w:left="532" w:right="996"/>
        <w:jc w:val="left"/>
      </w:pPr>
      <w:r>
        <w:rPr/>
        <w:t>⑤公司处置持有广州数字方舟信息技术股份有限公司股权，减少其他资本公积</w:t>
      </w:r>
      <w:r>
        <w:rPr>
          <w:rFonts w:ascii="Arial" w:hAnsi="Arial" w:cs="Arial" w:eastAsia="Arial" w:hint="default"/>
        </w:rPr>
        <w:t>10,819,080.09</w:t>
      </w:r>
      <w:r>
        <w:rPr/>
        <w:t>元。</w:t>
      </w:r>
    </w:p>
    <w:p>
      <w:pPr>
        <w:spacing w:line="240" w:lineRule="auto" w:before="8"/>
        <w:rPr>
          <w:rFonts w:ascii="宋体" w:hAnsi="宋体" w:cs="宋体" w:eastAsia="宋体" w:hint="default"/>
          <w:sz w:val="24"/>
          <w:szCs w:val="24"/>
        </w:rPr>
      </w:pPr>
    </w:p>
    <w:p>
      <w:pPr>
        <w:pStyle w:val="Heading4"/>
        <w:spacing w:line="240" w:lineRule="auto" w:before="0"/>
        <w:ind w:right="996"/>
        <w:jc w:val="left"/>
        <w:rPr>
          <w:b w:val="0"/>
          <w:bCs w:val="0"/>
        </w:rPr>
      </w:pPr>
      <w:bookmarkStart w:name="29、库存股" w:id="282"/>
      <w:bookmarkEnd w:id="282"/>
      <w:r>
        <w:rPr>
          <w:b w:val="0"/>
          <w:bCs w:val="0"/>
        </w:rPr>
      </w:r>
      <w:r>
        <w:rPr>
          <w:rFonts w:ascii="Arial" w:hAnsi="Arial" w:cs="Arial" w:eastAsia="Arial" w:hint="default"/>
        </w:rPr>
        <w:t>29</w:t>
      </w:r>
      <w:r>
        <w:rPr/>
        <w:t>、库存股</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3" w:right="0"/>
              <w:jc w:val="left"/>
              <w:rPr>
                <w:rFonts w:ascii="Arial" w:hAnsi="Arial" w:cs="Arial" w:eastAsia="Arial" w:hint="default"/>
                <w:sz w:val="18"/>
                <w:szCs w:val="18"/>
              </w:rPr>
            </w:pPr>
            <w:r>
              <w:rPr>
                <w:rFonts w:ascii="Arial"/>
                <w:sz w:val="18"/>
              </w:rPr>
              <w:t>144,387,030.64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68,104,191.51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76,282,839.13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Arial" w:hAnsi="Arial" w:cs="Arial" w:eastAsia="Arial" w:hint="default"/>
                <w:sz w:val="18"/>
                <w:szCs w:val="18"/>
              </w:rPr>
            </w:pPr>
            <w:r>
              <w:rPr>
                <w:rFonts w:ascii="Arial"/>
                <w:sz w:val="18"/>
              </w:rPr>
              <w:t>144,387,030.64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68,104,191.51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76,282,839.13</w:t>
            </w:r>
          </w:p>
        </w:tc>
      </w:tr>
    </w:tbl>
    <w:p>
      <w:pPr>
        <w:pStyle w:val="BodyText"/>
        <w:spacing w:line="240" w:lineRule="auto" w:before="25"/>
        <w:ind w:right="996"/>
        <w:jc w:val="left"/>
      </w:pPr>
      <w:r>
        <w:rPr/>
        <w:t>其他说明，包括本期增减变动情况、变动原因说明：</w:t>
      </w:r>
    </w:p>
    <w:p>
      <w:pPr>
        <w:pStyle w:val="BodyText"/>
        <w:spacing w:line="240" w:lineRule="auto" w:before="97"/>
        <w:ind w:left="532" w:right="996"/>
        <w:jc w:val="left"/>
      </w:pPr>
      <w:r>
        <w:rPr/>
        <w:t>（1）公司发行的限售性股票解锁影响致库存股减少57,299,833.52元。</w:t>
      </w:r>
    </w:p>
    <w:p>
      <w:pPr>
        <w:pStyle w:val="BodyText"/>
        <w:spacing w:line="240" w:lineRule="auto" w:before="97"/>
        <w:ind w:left="532" w:right="996"/>
        <w:jc w:val="left"/>
      </w:pPr>
      <w:r>
        <w:rPr/>
        <w:t>（2）公司发行的限售性股票回购影响致库存股减少10,329,478.17元。</w:t>
      </w:r>
    </w:p>
    <w:p>
      <w:pPr>
        <w:pStyle w:val="BodyText"/>
        <w:spacing w:line="240" w:lineRule="auto" w:before="97"/>
        <w:ind w:left="532" w:right="996"/>
        <w:jc w:val="left"/>
      </w:pPr>
      <w:r>
        <w:rPr/>
        <w:t>（3）公司发行的限售性股票解锁股份对应的分红因素影响致库存股减少474,879.82元。</w:t>
      </w:r>
    </w:p>
    <w:p>
      <w:pPr>
        <w:spacing w:line="240" w:lineRule="auto" w:before="12"/>
        <w:rPr>
          <w:rFonts w:ascii="宋体" w:hAnsi="宋体" w:cs="宋体" w:eastAsia="宋体" w:hint="default"/>
          <w:sz w:val="25"/>
          <w:szCs w:val="25"/>
        </w:rPr>
      </w:pPr>
    </w:p>
    <w:p>
      <w:pPr>
        <w:pStyle w:val="Heading4"/>
        <w:spacing w:line="240" w:lineRule="auto" w:before="0"/>
        <w:ind w:right="996"/>
        <w:jc w:val="left"/>
        <w:rPr>
          <w:b w:val="0"/>
          <w:bCs w:val="0"/>
        </w:rPr>
      </w:pPr>
      <w:bookmarkStart w:name="30、盈余公积" w:id="283"/>
      <w:bookmarkEnd w:id="283"/>
      <w:r>
        <w:rPr>
          <w:b w:val="0"/>
          <w:bCs w:val="0"/>
        </w:rPr>
      </w:r>
      <w:r>
        <w:rPr>
          <w:rFonts w:ascii="Arial" w:hAnsi="Arial" w:cs="Arial" w:eastAsia="Arial" w:hint="default"/>
        </w:rPr>
        <w:t>30</w:t>
      </w:r>
      <w:r>
        <w:rPr/>
        <w:t>、盈余公积</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2" w:right="0"/>
              <w:jc w:val="left"/>
              <w:rPr>
                <w:rFonts w:ascii="Arial" w:hAnsi="Arial" w:cs="Arial" w:eastAsia="Arial" w:hint="default"/>
                <w:sz w:val="18"/>
                <w:szCs w:val="18"/>
              </w:rPr>
            </w:pPr>
            <w:r>
              <w:rPr>
                <w:rFonts w:ascii="Arial"/>
                <w:sz w:val="18"/>
              </w:rPr>
              <w:t>64,062,935.93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2,874,996.54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66,937,932.47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2" w:right="0"/>
              <w:jc w:val="left"/>
              <w:rPr>
                <w:rFonts w:ascii="Arial" w:hAnsi="Arial" w:cs="Arial" w:eastAsia="Arial" w:hint="default"/>
                <w:sz w:val="18"/>
                <w:szCs w:val="18"/>
              </w:rPr>
            </w:pPr>
            <w:r>
              <w:rPr>
                <w:rFonts w:ascii="Arial"/>
                <w:sz w:val="18"/>
              </w:rPr>
              <w:t>64,062,935.93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2,874,996.54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66,937,932.47</w:t>
            </w:r>
          </w:p>
        </w:tc>
      </w:tr>
    </w:tbl>
    <w:p>
      <w:pPr>
        <w:pStyle w:val="BodyText"/>
        <w:spacing w:line="307" w:lineRule="auto" w:before="26"/>
        <w:ind w:left="532" w:right="5714" w:hanging="420"/>
        <w:jc w:val="left"/>
      </w:pPr>
      <w:r>
        <w:rPr>
          <w:w w:val="95"/>
        </w:rPr>
        <w:t>盈余公积说明，包括本期增减变动情况、变动原因说明：</w:t>
      </w:r>
      <w:r>
        <w:rPr>
          <w:spacing w:val="49"/>
          <w:w w:val="95"/>
        </w:rPr>
        <w:t> </w:t>
      </w:r>
      <w:r>
        <w:rPr>
          <w:spacing w:val="49"/>
          <w:w w:val="95"/>
        </w:rPr>
      </w:r>
      <w:r>
        <w:rPr/>
        <w:t>根据公司章程，按税后利润</w:t>
      </w:r>
      <w:r>
        <w:rPr>
          <w:rFonts w:ascii="Arial" w:hAnsi="Arial" w:cs="Arial" w:eastAsia="Arial" w:hint="default"/>
        </w:rPr>
        <w:t>10%</w:t>
      </w:r>
      <w:r>
        <w:rPr/>
        <w:t>计提盈余公积。</w:t>
      </w:r>
    </w:p>
    <w:p>
      <w:pPr>
        <w:spacing w:after="0" w:line="307"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31、未分配利润" w:id="284"/>
      <w:bookmarkEnd w:id="284"/>
      <w:r>
        <w:rPr>
          <w:b w:val="0"/>
          <w:bCs w:val="0"/>
        </w:rPr>
      </w:r>
      <w:r>
        <w:rPr>
          <w:rFonts w:ascii="Arial" w:hAnsi="Arial" w:cs="Arial" w:eastAsia="Arial" w:hint="default"/>
        </w:rPr>
        <w:t>31</w:t>
      </w:r>
      <w:r>
        <w:rPr/>
        <w:t>、未分配利润</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1,673,697,359.82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1,230,662,871.24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Arial" w:hAnsi="Arial" w:cs="Arial" w:eastAsia="Arial" w:hint="default"/>
                <w:sz w:val="18"/>
                <w:szCs w:val="18"/>
              </w:rPr>
              <w:t>+</w:t>
            </w:r>
            <w:r>
              <w:rPr>
                <w:rFonts w:ascii="宋体" w:hAnsi="宋体" w:cs="宋体" w:eastAsia="宋体" w:hint="default"/>
                <w:sz w:val="18"/>
                <w:szCs w:val="18"/>
              </w:rPr>
              <w:t>，调减</w:t>
            </w:r>
            <w:r>
              <w:rPr>
                <w:rFonts w:ascii="Arial" w:hAnsi="Arial" w:cs="Arial" w:eastAsia="Arial"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-2,164,443.62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1,671,532,916.20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1,230,662,871.24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580,389,850.75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497,708,243.20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2,874,996.54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16,744,444.73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49,732,435.61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37,929,309.89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2,199,315,334.80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1,673,697,359.82</w:t>
            </w:r>
          </w:p>
        </w:tc>
      </w:tr>
    </w:tbl>
    <w:p>
      <w:pPr>
        <w:pStyle w:val="BodyText"/>
        <w:spacing w:line="307" w:lineRule="auto" w:before="26"/>
        <w:ind w:left="532" w:right="4804" w:hanging="420"/>
        <w:jc w:val="left"/>
      </w:pPr>
      <w:r>
        <w:rPr/>
        <w:t>调整期初未分配利润明细：</w:t>
      </w:r>
      <w:r>
        <w:rPr>
          <w:w w:val="99"/>
        </w:rPr>
        <w:t> </w:t>
      </w:r>
      <w:r>
        <w:rPr/>
        <w:t>由于会计政策变更，影响期初未分配利润</w:t>
      </w:r>
      <w:r>
        <w:rPr>
          <w:rFonts w:ascii="Arial" w:hAnsi="Arial" w:cs="Arial" w:eastAsia="Arial" w:hint="default"/>
        </w:rPr>
        <w:t>-2,164,443.62</w:t>
      </w:r>
      <w:r>
        <w:rPr>
          <w:rFonts w:ascii="Arial" w:hAnsi="Arial" w:cs="Arial" w:eastAsia="Arial" w:hint="default"/>
          <w:spacing w:val="-23"/>
        </w:rPr>
        <w:t> </w:t>
      </w:r>
      <w:r>
        <w:rPr/>
        <w:t>元。</w:t>
      </w:r>
    </w:p>
    <w:p>
      <w:pPr>
        <w:spacing w:line="240" w:lineRule="auto" w:before="10"/>
        <w:rPr>
          <w:rFonts w:ascii="宋体" w:hAnsi="宋体" w:cs="宋体" w:eastAsia="宋体" w:hint="default"/>
          <w:sz w:val="19"/>
          <w:szCs w:val="19"/>
        </w:rPr>
      </w:pPr>
    </w:p>
    <w:p>
      <w:pPr>
        <w:pStyle w:val="Heading4"/>
        <w:spacing w:line="240" w:lineRule="auto" w:before="0"/>
        <w:ind w:right="996"/>
        <w:jc w:val="left"/>
        <w:rPr>
          <w:b w:val="0"/>
          <w:bCs w:val="0"/>
        </w:rPr>
      </w:pPr>
      <w:bookmarkStart w:name="32、营业收入和营业成本" w:id="285"/>
      <w:bookmarkEnd w:id="285"/>
      <w:r>
        <w:rPr>
          <w:b w:val="0"/>
          <w:bCs w:val="0"/>
        </w:rPr>
      </w:r>
      <w:r>
        <w:rPr>
          <w:rFonts w:ascii="Arial" w:hAnsi="Arial" w:cs="Arial" w:eastAsia="Arial" w:hint="default"/>
        </w:rPr>
        <w:t>32</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3,510,147,949.37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2,081,652,152.40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2,708,496,168.56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1,532,347,397.66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3,510,147,949.37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2,081,652,152.40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2,708,496,168.56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1,532,347,397.66</w:t>
            </w:r>
          </w:p>
        </w:tc>
      </w:tr>
    </w:tbl>
    <w:p>
      <w:pPr>
        <w:pStyle w:val="BodyText"/>
        <w:spacing w:line="240" w:lineRule="auto" w:before="24"/>
        <w:ind w:right="996"/>
        <w:jc w:val="left"/>
      </w:pPr>
      <w:r>
        <w:rPr/>
        <w:t>是否已执行新收入准则</w:t>
      </w:r>
    </w:p>
    <w:p>
      <w:pPr>
        <w:pStyle w:val="BodyText"/>
        <w:spacing w:line="240" w:lineRule="auto" w:before="78"/>
        <w:ind w:right="996"/>
        <w:jc w:val="left"/>
      </w:pPr>
      <w:r>
        <w:rPr/>
        <w:t>□ 是 √</w:t>
      </w:r>
      <w:r>
        <w:rPr>
          <w:spacing w:val="-2"/>
        </w:rPr>
        <w:t> </w:t>
      </w:r>
      <w:r>
        <w:rPr/>
        <w:t>否</w:t>
      </w:r>
    </w:p>
    <w:p>
      <w:pPr>
        <w:spacing w:line="240" w:lineRule="auto" w:before="10"/>
        <w:rPr>
          <w:rFonts w:ascii="宋体" w:hAnsi="宋体" w:cs="宋体" w:eastAsia="宋体" w:hint="default"/>
          <w:sz w:val="25"/>
          <w:szCs w:val="25"/>
        </w:rPr>
      </w:pPr>
    </w:p>
    <w:p>
      <w:pPr>
        <w:pStyle w:val="Heading4"/>
        <w:spacing w:line="240" w:lineRule="auto" w:before="0"/>
        <w:ind w:right="996"/>
        <w:jc w:val="left"/>
        <w:rPr>
          <w:b w:val="0"/>
          <w:bCs w:val="0"/>
        </w:rPr>
      </w:pPr>
      <w:bookmarkStart w:name="33、税金及附加" w:id="286"/>
      <w:bookmarkEnd w:id="286"/>
      <w:r>
        <w:rPr>
          <w:b w:val="0"/>
          <w:bCs w:val="0"/>
        </w:rPr>
      </w:r>
      <w:r>
        <w:rPr>
          <w:rFonts w:ascii="Arial" w:hAnsi="Arial" w:cs="Arial" w:eastAsia="Arial" w:hint="default"/>
        </w:rPr>
        <w:t>33</w:t>
      </w:r>
      <w:r>
        <w:rPr/>
        <w:t>、税金及附加</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12,152,875.27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12,561,307.48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8,983,152.48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9,206,949.44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1,816,567.76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1,808,481.67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73,123.72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74,349.84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36,050.00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38,210.00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2,308,208.39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2,058,046.55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32,099.34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29,557.35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25,402,076.96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25,776,902.33</w:t>
            </w:r>
          </w:p>
        </w:tc>
      </w:tr>
    </w:tbl>
    <w:p>
      <w:pPr>
        <w:spacing w:after="0" w:line="240" w:lineRule="auto"/>
        <w:jc w:val="right"/>
        <w:rPr>
          <w:rFonts w:ascii="Arial" w:hAnsi="Arial" w:cs="Arial" w:eastAsia="Arial" w:hint="default"/>
          <w:sz w:val="18"/>
          <w:szCs w:val="18"/>
        </w:rPr>
        <w:sectPr>
          <w:footerReference w:type="default" r:id="rId42"/>
          <w:pgSz w:w="11910" w:h="16840"/>
          <w:pgMar w:footer="1016" w:header="878" w:top="1100" w:bottom="1200" w:left="1020" w:right="0"/>
          <w:pgNumType w:start="18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34、销售费用" w:id="287"/>
      <w:bookmarkEnd w:id="287"/>
      <w:r>
        <w:rPr>
          <w:b w:val="0"/>
          <w:bCs w:val="0"/>
        </w:rPr>
      </w:r>
      <w:r>
        <w:rPr>
          <w:rFonts w:ascii="Arial" w:hAnsi="Arial" w:cs="Arial" w:eastAsia="Arial" w:hint="default"/>
        </w:rPr>
        <w:t>34</w:t>
      </w:r>
      <w:r>
        <w:rPr/>
        <w:t>、销售费用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129,918,827.91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92,400,854.02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7,872,537.70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7,901,339.36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1,530,767.15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1,359,089.54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45,842,684.77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35,618,190.12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17,448,260.00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15,846,341.88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35,410,192.67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27,305,034.59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4,798,389.26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6,812,116.44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11,744,684.92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11,692,547.61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254,566,344.38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198,935,513.56</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5、管理费用" w:id="288"/>
      <w:bookmarkEnd w:id="288"/>
      <w:r>
        <w:rPr>
          <w:b w:val="0"/>
          <w:bCs w:val="0"/>
        </w:rPr>
      </w:r>
      <w:r>
        <w:rPr>
          <w:rFonts w:ascii="Arial" w:hAnsi="Arial" w:cs="Arial" w:eastAsia="Arial" w:hint="default"/>
        </w:rPr>
        <w:t>35</w:t>
      </w:r>
      <w:r>
        <w:rPr/>
        <w:t>、管理费用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118,824,627.08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95,648,112.51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14,048,749.96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15,645,621.64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17,158,493.76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77,758,549.71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18,983,632.20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20,146,026.68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21,267,307.88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20,279,156.62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18,644,985.68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18,617,429.95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11,423,689.48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12,006,921.97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21,476,266.32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41,888,039.80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39,855,829.28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3,400,654.41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281,683,581.64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305,390,513.29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6、研发费用" w:id="289"/>
      <w:bookmarkEnd w:id="289"/>
      <w:r>
        <w:rPr>
          <w:b w:val="0"/>
          <w:bCs w:val="0"/>
        </w:rPr>
      </w:r>
      <w:r>
        <w:rPr>
          <w:rFonts w:ascii="Arial" w:hAnsi="Arial" w:cs="Arial" w:eastAsia="Arial" w:hint="default"/>
        </w:rPr>
        <w:t>36</w:t>
      </w:r>
      <w:r>
        <w:rPr/>
        <w:t>、研发费用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2"/>
                <w:sz w:val="18"/>
              </w:rPr>
              <w:t>180,738,118.39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155,983,826.56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10,899,090.70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2"/>
                <w:sz w:val="18"/>
              </w:rPr>
              <w:t>11,231,820.01</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100,556,547.91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sz w:val="18"/>
              </w:rPr>
              <w:t>10,182,753.78</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40,979,187.28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8"/>
                <w:szCs w:val="18"/>
              </w:rPr>
            </w:pPr>
            <w:r>
              <w:rPr>
                <w:rFonts w:ascii="Arial"/>
                <w:spacing w:val="-1"/>
                <w:sz w:val="18"/>
              </w:rPr>
              <w:t>44,018,887.65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14,347,925.29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13,560,507.85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1,407,694.81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1,012,893.82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348,928,564.38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235,990,689.67</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7、财务费用" w:id="290"/>
      <w:bookmarkEnd w:id="290"/>
      <w:r>
        <w:rPr>
          <w:b w:val="0"/>
          <w:bCs w:val="0"/>
        </w:rPr>
      </w:r>
      <w:r>
        <w:rPr>
          <w:rFonts w:ascii="Arial" w:hAnsi="Arial" w:cs="Arial" w:eastAsia="Arial" w:hint="default"/>
        </w:rPr>
        <w:t>37</w:t>
      </w:r>
      <w:r>
        <w:rPr/>
        <w:t>、财务费用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1,913,520.84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1,965,030.19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21,019,475.23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9,051,244.54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397,146.29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473,132.64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-18,708,808.10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-6,613,081.71</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38、其他收益" w:id="291"/>
      <w:bookmarkEnd w:id="291"/>
      <w:r>
        <w:rPr>
          <w:b w:val="0"/>
          <w:bCs w:val="0"/>
        </w:rPr>
      </w:r>
      <w:r>
        <w:rPr>
          <w:rFonts w:ascii="Arial" w:hAnsi="Arial" w:cs="Arial" w:eastAsia="Arial" w:hint="default"/>
        </w:rPr>
        <w:t>38</w:t>
      </w:r>
      <w:r>
        <w:rPr/>
        <w:t>、其他收益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91,967,682.70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sz w:val="18"/>
              </w:rPr>
              <w:t>95,290,037.54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38,076,396.54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14,201,747.37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1,251,719.80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50,228.74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787,304.33</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9、投资收益" w:id="292"/>
      <w:bookmarkEnd w:id="292"/>
      <w:r>
        <w:rPr>
          <w:b w:val="0"/>
          <w:bCs w:val="0"/>
        </w:rPr>
      </w:r>
      <w:r>
        <w:rPr>
          <w:rFonts w:ascii="Arial" w:hAnsi="Arial" w:cs="Arial" w:eastAsia="Arial" w:hint="default"/>
        </w:rPr>
        <w:t>39</w:t>
      </w:r>
      <w:r>
        <w:rPr/>
        <w:t>、投资收益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6"/>
        <w:gridCol w:w="2516"/>
        <w:gridCol w:w="2516"/>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31,484.32</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-2,392,479.08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620,541.49</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交易性金融资产持有期间的投资收益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213,235.29</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长期股权投资转为可供出售金融资产产生的投资收益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38,834,507.09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865,261.10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36,442,028.01</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0、信用减值损失" w:id="293"/>
      <w:bookmarkEnd w:id="293"/>
      <w:r>
        <w:rPr>
          <w:b w:val="0"/>
          <w:bCs w:val="0"/>
        </w:rPr>
      </w:r>
      <w:r>
        <w:rPr>
          <w:rFonts w:ascii="Arial" w:hAnsi="Arial" w:cs="Arial" w:eastAsia="Arial" w:hint="default"/>
        </w:rPr>
        <w:t>40</w:t>
      </w:r>
      <w:r>
        <w:rPr/>
        <w:t>、信用减值损失</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55"/>
              <w:jc w:val="righ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67" w:right="0"/>
              <w:jc w:val="left"/>
              <w:rPr>
                <w:rFonts w:ascii="Arial" w:hAnsi="Arial" w:cs="Arial" w:eastAsia="Arial" w:hint="default"/>
                <w:sz w:val="18"/>
                <w:szCs w:val="18"/>
              </w:rPr>
            </w:pPr>
            <w:r>
              <w:rPr>
                <w:rFonts w:ascii="Arial"/>
                <w:sz w:val="18"/>
              </w:rPr>
              <w:t>-6,840,295.00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-26,167,266.63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应收票据信用减值损失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5,044.00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-33,002,517.63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41、资产减值损失" w:id="294"/>
      <w:bookmarkEnd w:id="294"/>
      <w:r>
        <w:rPr>
          <w:b w:val="0"/>
          <w:bCs w:val="0"/>
        </w:rPr>
      </w:r>
      <w:r>
        <w:rPr>
          <w:rFonts w:ascii="Arial" w:hAnsi="Arial" w:cs="Arial" w:eastAsia="Arial" w:hint="default"/>
        </w:rPr>
        <w:t>41</w:t>
      </w:r>
      <w:r>
        <w:rPr/>
        <w:t>、资产减值损失</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0"/>
        <w:jc w:val="left"/>
      </w:pPr>
      <w:r>
        <w:rPr>
          <w:w w:val="95"/>
        </w:rPr>
        <w:t>是否已执行新收入准则</w:t>
      </w:r>
      <w:r>
        <w:rPr/>
      </w:r>
    </w:p>
    <w:p>
      <w:pPr>
        <w:pStyle w:val="BodyText"/>
        <w:spacing w:line="240" w:lineRule="auto" w:before="78"/>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-21,286,419.77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-21,286,419.77</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42、资产处置收益" w:id="295"/>
      <w:bookmarkEnd w:id="295"/>
      <w:r>
        <w:rPr>
          <w:b w:val="0"/>
          <w:bCs w:val="0"/>
        </w:rPr>
      </w:r>
      <w:r>
        <w:rPr>
          <w:rFonts w:ascii="Arial" w:hAnsi="Arial" w:cs="Arial" w:eastAsia="Arial" w:hint="default"/>
        </w:rPr>
        <w:t>42</w:t>
      </w:r>
      <w:r>
        <w:rPr/>
        <w:t>、资产处置收益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8" w:right="0"/>
              <w:jc w:val="left"/>
              <w:rPr>
                <w:rFonts w:ascii="Arial" w:hAnsi="Arial" w:cs="Arial" w:eastAsia="Arial" w:hint="default"/>
                <w:sz w:val="18"/>
                <w:szCs w:val="18"/>
              </w:rPr>
            </w:pPr>
            <w:r>
              <w:rPr>
                <w:rFonts w:ascii="Arial"/>
                <w:sz w:val="18"/>
              </w:rPr>
              <w:t>-352,513.73</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3、营业外收入" w:id="296"/>
      <w:bookmarkEnd w:id="296"/>
      <w:r>
        <w:rPr>
          <w:b w:val="0"/>
          <w:bCs w:val="0"/>
        </w:rPr>
      </w:r>
      <w:r>
        <w:rPr>
          <w:rFonts w:ascii="Arial" w:hAnsi="Arial" w:cs="Arial" w:eastAsia="Arial" w:hint="default"/>
        </w:rPr>
        <w:t>43</w:t>
      </w:r>
      <w:r>
        <w:rPr/>
        <w:t>、营业外收入</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278"/>
        <w:gridCol w:w="2279"/>
        <w:gridCol w:w="262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零星收入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10,471.36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216,509.70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10,471.36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10,471.36</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216,509.70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10,471.36</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4、营业外支出" w:id="297"/>
      <w:bookmarkEnd w:id="297"/>
      <w:r>
        <w:rPr>
          <w:b w:val="0"/>
          <w:bCs w:val="0"/>
        </w:rPr>
      </w:r>
      <w:r>
        <w:rPr>
          <w:rFonts w:ascii="Arial" w:hAnsi="Arial" w:cs="Arial" w:eastAsia="Arial" w:hint="default"/>
        </w:rPr>
        <w:t>44</w:t>
      </w:r>
      <w:r>
        <w:rPr/>
        <w:t>、营业外支出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207"/>
        <w:gridCol w:w="2208"/>
        <w:gridCol w:w="2764"/>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2"/>
                <w:sz w:val="18"/>
              </w:rPr>
              <w:t>11,208,308.00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9,619,273.49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2"/>
                <w:sz w:val="18"/>
              </w:rPr>
              <w:t>11,208,308.00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非流动资产报废、毁损损失</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933,405.50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328,596.71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933,405.50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421,437.59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1,266,447.61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421,437.59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12,563,151.09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2"/>
                <w:sz w:val="18"/>
              </w:rPr>
              <w:t>11,214,317.81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12,563,151.09</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45、所得税费用" w:id="298"/>
      <w:bookmarkEnd w:id="298"/>
      <w:r>
        <w:rPr>
          <w:b w:val="0"/>
          <w:bCs w:val="0"/>
        </w:rPr>
      </w:r>
      <w:r>
        <w:rPr>
          <w:rFonts w:ascii="Arial" w:hAnsi="Arial" w:cs="Arial" w:eastAsia="Arial" w:hint="default"/>
        </w:rPr>
        <w:t>45</w:t>
      </w:r>
      <w:r>
        <w:rPr/>
        <w:t>、所得税费用</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所得税费用表" w:id="299"/>
      <w:bookmarkEnd w:id="299"/>
      <w:r>
        <w:rPr>
          <w:b w:val="0"/>
          <w:bCs w:val="0"/>
        </w:rPr>
      </w:r>
      <w:r>
        <w:rPr/>
        <w:t>（</w:t>
      </w:r>
      <w:r>
        <w:rPr>
          <w:rFonts w:ascii="Arial" w:hAnsi="Arial" w:cs="Arial" w:eastAsia="Arial" w:hint="default"/>
        </w:rPr>
        <w:t>1</w:t>
      </w:r>
      <w:r>
        <w:rPr/>
        <w:t>）所得税费用表</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63,754,624.66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42,073,068.67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-22,421,365.45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-77,622.56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41,333,259.21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Arial" w:hAnsi="Arial" w:cs="Arial" w:eastAsia="Arial" w:hint="default"/>
                <w:sz w:val="18"/>
                <w:szCs w:val="18"/>
              </w:rPr>
            </w:pPr>
            <w:r>
              <w:rPr>
                <w:rFonts w:ascii="Arial"/>
                <w:spacing w:val="-2"/>
                <w:sz w:val="18"/>
              </w:rPr>
              <w:t>41,995,446.11</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2）会计利润与所得税费用调整过程" w:id="300"/>
      <w:bookmarkEnd w:id="300"/>
      <w:r>
        <w:rPr>
          <w:b w:val="0"/>
          <w:bCs w:val="0"/>
        </w:rPr>
      </w:r>
      <w:r>
        <w:rPr/>
        <w:t>（</w:t>
      </w:r>
      <w:r>
        <w:rPr>
          <w:rFonts w:ascii="Arial" w:hAnsi="Arial" w:cs="Arial" w:eastAsia="Arial"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812"/>
        <w:gridCol w:w="3756"/>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623,280,681.79</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93,492,102.27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-30,453,929.93</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-6,487,895.86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-40,883.74</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5,727,354.56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347,440.45</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-21,250,928.54</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41,333,259.21</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6、现金流量表项目" w:id="301"/>
      <w:bookmarkEnd w:id="301"/>
      <w:r>
        <w:rPr>
          <w:b w:val="0"/>
          <w:bCs w:val="0"/>
        </w:rPr>
      </w:r>
      <w:r>
        <w:rPr>
          <w:rFonts w:ascii="Arial" w:hAnsi="Arial" w:cs="Arial" w:eastAsia="Arial" w:hint="default"/>
        </w:rPr>
        <w:t>46</w:t>
      </w:r>
      <w:r>
        <w:rPr/>
        <w:t>、现金流量表项目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收到的其他与经营活动有关的现金" w:id="302"/>
      <w:bookmarkEnd w:id="302"/>
      <w:r>
        <w:rPr>
          <w:b w:val="0"/>
          <w:bCs w:val="0"/>
        </w:rPr>
      </w:r>
      <w:r>
        <w:rPr/>
        <w:t>（</w:t>
      </w:r>
      <w:r>
        <w:rPr>
          <w:rFonts w:ascii="Arial" w:hAnsi="Arial" w:cs="Arial" w:eastAsia="Arial"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退回的保证金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208,431,167.18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152,842,243.86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22,064,413.23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8,964,414.54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34,662,531.97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25,543,077.04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8,265,673.14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8,282,931.82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273,423,785.52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195,632,667.26</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支付的其他与经营活动有关的现金" w:id="303"/>
      <w:bookmarkEnd w:id="303"/>
      <w:r>
        <w:rPr>
          <w:b w:val="0"/>
          <w:bCs w:val="0"/>
        </w:rPr>
      </w:r>
      <w:r>
        <w:rPr/>
        <w:t>（</w:t>
      </w:r>
      <w:r>
        <w:rPr>
          <w:rFonts w:ascii="Arial" w:hAnsi="Arial" w:cs="Arial" w:eastAsia="Arial"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364,271,838.06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340,721,234.25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222,898,402.20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242,214,612.32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27,484,065.66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22,395,619.14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614,654,305.92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605,331,465.71</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3）收到的其他与投资活动有关的现金" w:id="304"/>
      <w:bookmarkEnd w:id="304"/>
      <w:r>
        <w:rPr>
          <w:b w:val="0"/>
          <w:bCs w:val="0"/>
        </w:rPr>
      </w:r>
      <w:r>
        <w:rPr/>
        <w:t>（</w:t>
      </w:r>
      <w:r>
        <w:rPr>
          <w:rFonts w:ascii="Arial" w:hAnsi="Arial" w:cs="Arial" w:eastAsia="Arial"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收到业绩补偿款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390,000,000.00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391,500,000.00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500,000.00</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支付的其他与投资活动有关的现金" w:id="305"/>
      <w:bookmarkEnd w:id="305"/>
      <w:r>
        <w:rPr>
          <w:b w:val="0"/>
          <w:bCs w:val="0"/>
        </w:rPr>
      </w:r>
      <w:r>
        <w:rPr/>
        <w:t>（</w:t>
      </w:r>
      <w:r>
        <w:rPr>
          <w:rFonts w:ascii="Arial" w:hAnsi="Arial" w:cs="Arial" w:eastAsia="Arial"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处置数字方舟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14,066,695.84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794,066,695.84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5）收到的其他与筹资活动有关的现金" w:id="306"/>
      <w:bookmarkEnd w:id="306"/>
      <w:r>
        <w:rPr>
          <w:b w:val="0"/>
          <w:bCs w:val="0"/>
        </w:rPr>
      </w:r>
      <w:r>
        <w:rPr/>
        <w:t>（</w:t>
      </w:r>
      <w:r>
        <w:rPr>
          <w:rFonts w:ascii="Arial" w:hAnsi="Arial" w:cs="Arial" w:eastAsia="Arial" w:hint="default"/>
        </w:rPr>
        <w:t>5</w:t>
      </w:r>
      <w:r>
        <w:rPr/>
        <w:t>）收到的其他与筹资活动有关的现金</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行权款利息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470.06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代收限制性股票个税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453.06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493,708.97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回购股票对应的分红款退回</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500,220.10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453.06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994,399.13</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6）支付的其他与筹资活动有关的现金" w:id="307"/>
      <w:bookmarkEnd w:id="307"/>
      <w:r>
        <w:rPr>
          <w:b w:val="0"/>
          <w:bCs w:val="0"/>
        </w:rPr>
      </w:r>
      <w:r>
        <w:rPr/>
        <w:t>（</w:t>
      </w:r>
      <w:r>
        <w:rPr>
          <w:rFonts w:ascii="Arial" w:hAnsi="Arial" w:cs="Arial" w:eastAsia="Arial" w:hint="default"/>
        </w:rPr>
        <w:t>6</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验资及登记费用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781,871.83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6,450.20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股票回购款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10,257,301.56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15,846,466.26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代付限制性股票个税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493,708.97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11,532,882.36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15,852,916.46</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7、现金流量表补充资料" w:id="308"/>
      <w:bookmarkEnd w:id="308"/>
      <w:r>
        <w:rPr>
          <w:b w:val="0"/>
          <w:bCs w:val="0"/>
        </w:rPr>
      </w:r>
      <w:r>
        <w:rPr>
          <w:rFonts w:ascii="Arial" w:hAnsi="Arial" w:cs="Arial" w:eastAsia="Arial" w:hint="default"/>
        </w:rPr>
        <w:t>47</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现金流量表补充资料" w:id="309"/>
      <w:bookmarkEnd w:id="309"/>
      <w:r>
        <w:rPr>
          <w:b w:val="0"/>
          <w:bCs w:val="0"/>
        </w:rPr>
      </w:r>
      <w:r>
        <w:rPr/>
        <w:t>（</w:t>
      </w:r>
      <w:r>
        <w:rPr>
          <w:rFonts w:ascii="Arial" w:hAnsi="Arial" w:cs="Arial" w:eastAsia="Arial"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954"/>
        <w:gridCol w:w="1807"/>
        <w:gridCol w:w="1807"/>
      </w:tblGrid>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581,947,422.58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488,757,163.29</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33,002,517.63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21,286,419.77</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24,511,333.57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23,892,766.53</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106,327,386.57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74,794,339.90</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4,716,357.80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4,989,163.39</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-552.56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352,513.73</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933,405.50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328,596.71</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1,913,520.84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1,965,030.19</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-865,261.10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-36,442,028.01</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-21,306,751.57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1,036,991.32</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-1,114,613.88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-1,114,613.88</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-50,975,908.88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-161,071,287.57</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-208,668,085.06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-396,490,254.42</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-37,168,915.19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306,782,027.40</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39,855,829.28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-8,905,518.77</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473,107,685.53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320,161,309.58</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1,909,581,035.26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1,261,271,687.09</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1,261,271,687.09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1,267,769,932.45</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648,309,348.17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1"/>
                <w:sz w:val="18"/>
              </w:rPr>
              <w:t>-6,498,245.36</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本期支付的取得子公司的现金净额" w:id="310"/>
      <w:bookmarkEnd w:id="310"/>
      <w:r>
        <w:rPr>
          <w:b w:val="0"/>
          <w:bCs w:val="0"/>
        </w:rPr>
      </w:r>
      <w:r>
        <w:rPr/>
        <w:t>（</w:t>
      </w:r>
      <w:r>
        <w:rPr>
          <w:rFonts w:ascii="Arial" w:hAnsi="Arial" w:cs="Arial" w:eastAsia="Arial" w:hint="default"/>
        </w:rPr>
        <w:t>2</w:t>
      </w:r>
      <w:r>
        <w:rPr/>
        <w:t>）本期支付的取得子公司的现金净额</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7"/>
                <w:sz w:val="18"/>
                <w:szCs w:val="18"/>
              </w:rPr>
              <w:t>：</w:t>
            </w:r>
            <w:r>
              <w:rPr>
                <w:rFonts w:ascii="宋体" w:hAnsi="宋体" w:cs="宋体" w:eastAsia="宋体" w:hint="default"/>
                <w:sz w:val="18"/>
                <w:szCs w:val="18"/>
              </w:rPr>
              <w:t>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20,833,748.03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20,833,748.03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20,833,748.03</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3）本期收到的处置子公司的现金净额" w:id="311"/>
      <w:bookmarkEnd w:id="311"/>
      <w:r>
        <w:rPr>
          <w:b w:val="0"/>
          <w:bCs w:val="0"/>
        </w:rPr>
      </w:r>
      <w:r>
        <w:rPr/>
        <w:t>（</w:t>
      </w:r>
      <w:r>
        <w:rPr>
          <w:rFonts w:ascii="Arial" w:hAnsi="Arial" w:cs="Arial" w:eastAsia="Arial" w:hint="default"/>
        </w:rPr>
        <w:t>3</w:t>
      </w:r>
      <w:r>
        <w:rPr/>
        <w:t>）本期收到的处置子公司的现金净额</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广州数字方舟信息技术股份有限公司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6,000,000.00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20,066,695.84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广州数字方舟信息技术股份有限公司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20,066,695.84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-14,066,695.84</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4）现金和现金等价物的构成" w:id="312"/>
      <w:bookmarkEnd w:id="312"/>
      <w:r>
        <w:rPr>
          <w:b w:val="0"/>
          <w:bCs w:val="0"/>
        </w:rPr>
      </w:r>
      <w:r>
        <w:rPr/>
        <w:t>（</w:t>
      </w:r>
      <w:r>
        <w:rPr>
          <w:rFonts w:ascii="Arial" w:hAnsi="Arial" w:cs="Arial" w:eastAsia="Arial"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1,909,581,035.26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1,261,271,687.09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183,016.03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186,352.97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1,909,236,987.57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1,261,034,842.90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161,031.66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50,491.22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1,909,581,035.26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Arial" w:hAnsi="Arial" w:cs="Arial" w:eastAsia="Arial" w:hint="default"/>
                <w:sz w:val="18"/>
                <w:szCs w:val="18"/>
              </w:rPr>
            </w:pPr>
            <w:r>
              <w:rPr>
                <w:rFonts w:ascii="Arial"/>
                <w:spacing w:val="-1"/>
                <w:sz w:val="18"/>
              </w:rPr>
              <w:t>1,261,271,687.09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8、所有权或使用权受到限制的资产" w:id="313"/>
      <w:bookmarkEnd w:id="313"/>
      <w:r>
        <w:rPr>
          <w:b w:val="0"/>
          <w:bCs w:val="0"/>
        </w:rPr>
      </w:r>
      <w:r>
        <w:rPr>
          <w:rFonts w:ascii="Arial" w:hAnsi="Arial" w:cs="Arial" w:eastAsia="Arial" w:hint="default"/>
        </w:rPr>
        <w:t>48</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447,017,390.86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结构性存款及保证金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447,017,390.86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49、政府补助" w:id="314"/>
      <w:bookmarkEnd w:id="314"/>
      <w:r>
        <w:rPr>
          <w:b w:val="0"/>
          <w:bCs w:val="0"/>
        </w:rPr>
      </w:r>
      <w:r>
        <w:rPr>
          <w:rFonts w:ascii="Arial" w:hAnsi="Arial" w:cs="Arial" w:eastAsia="Arial" w:hint="default"/>
        </w:rPr>
        <w:t>49</w:t>
      </w:r>
      <w:r>
        <w:rPr/>
        <w:t>、政府补助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政府补助基本情况" w:id="315"/>
      <w:bookmarkEnd w:id="315"/>
      <w:r>
        <w:rPr>
          <w:b w:val="0"/>
          <w:bCs w:val="0"/>
        </w:rPr>
      </w:r>
      <w:r>
        <w:rPr/>
        <w:t>（</w:t>
      </w:r>
      <w:r>
        <w:rPr>
          <w:rFonts w:ascii="Arial" w:hAnsi="Arial" w:cs="Arial" w:eastAsia="Arial" w:hint="default"/>
        </w:rPr>
        <w:t>1</w:t>
      </w:r>
      <w:r>
        <w:rPr/>
        <w:t>）政府补助基本情况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91,967,682.70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91,967,682.70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26,729,614.57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研发补助递延收益结转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26,729,614.57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3,839,580.00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3,839,580.00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企业贡献奖励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1,750,000.00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1,502,800.00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科技创新奖励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1,502,800.00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960,231.97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960,231.97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高新认证奖励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894,170.00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企业经营补贴等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894,170.00</w:t>
            </w:r>
          </w:p>
        </w:tc>
      </w:tr>
    </w:tbl>
    <w:p>
      <w:pPr>
        <w:spacing w:line="240" w:lineRule="auto" w:before="12"/>
        <w:rPr>
          <w:rFonts w:ascii="宋体" w:hAnsi="宋体" w:cs="宋体" w:eastAsia="宋体" w:hint="default"/>
          <w:sz w:val="17"/>
          <w:szCs w:val="17"/>
        </w:rPr>
      </w:pPr>
    </w:p>
    <w:p>
      <w:pPr>
        <w:pStyle w:val="Heading2"/>
        <w:spacing w:line="240" w:lineRule="auto" w:before="26"/>
        <w:ind w:right="996"/>
        <w:jc w:val="left"/>
        <w:rPr>
          <w:b w:val="0"/>
          <w:bCs w:val="0"/>
        </w:rPr>
      </w:pPr>
      <w:bookmarkStart w:name="八、合并范围的变更" w:id="316"/>
      <w:bookmarkEnd w:id="31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处置子公司" w:id="317"/>
      <w:bookmarkEnd w:id="317"/>
      <w:r>
        <w:rPr>
          <w:b w:val="0"/>
          <w:bCs w:val="0"/>
        </w:rPr>
      </w:r>
      <w:r>
        <w:rPr>
          <w:rFonts w:ascii="Arial" w:hAnsi="Arial" w:cs="Arial" w:eastAsia="Arial" w:hint="default"/>
        </w:rPr>
        <w:t>1</w:t>
      </w:r>
      <w:r>
        <w:rPr/>
        <w:t>、处置子公司</w:t>
      </w:r>
      <w:r>
        <w:rPr>
          <w:b w:val="0"/>
          <w:bCs w:val="0"/>
        </w:rPr>
      </w:r>
    </w:p>
    <w:p>
      <w:pPr>
        <w:spacing w:line="240" w:lineRule="auto" w:before="5"/>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93"/>
        <w:gridCol w:w="992"/>
        <w:gridCol w:w="709"/>
        <w:gridCol w:w="425"/>
        <w:gridCol w:w="709"/>
        <w:gridCol w:w="708"/>
        <w:gridCol w:w="1134"/>
        <w:gridCol w:w="426"/>
        <w:gridCol w:w="708"/>
        <w:gridCol w:w="709"/>
        <w:gridCol w:w="851"/>
        <w:gridCol w:w="580"/>
        <w:gridCol w:w="633"/>
      </w:tblGrid>
      <w:tr>
        <w:trPr>
          <w:trHeight w:val="445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402" w:right="130"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311" w:right="129" w:hanging="180"/>
              <w:jc w:val="left"/>
              <w:rPr>
                <w:rFonts w:ascii="宋体" w:hAnsi="宋体" w:cs="宋体" w:eastAsia="宋体" w:hint="default"/>
                <w:sz w:val="18"/>
                <w:szCs w:val="18"/>
              </w:rPr>
            </w:pPr>
            <w:r>
              <w:rPr>
                <w:rFonts w:ascii="宋体" w:hAnsi="宋体" w:cs="宋体" w:eastAsia="宋体" w:hint="default"/>
                <w:sz w:val="18"/>
                <w:szCs w:val="18"/>
              </w:rPr>
              <w:t>股权处置 价款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68" w:right="168"/>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17" w:right="115"/>
              <w:jc w:val="both"/>
              <w:rPr>
                <w:rFonts w:ascii="宋体" w:hAnsi="宋体" w:cs="宋体" w:eastAsia="宋体" w:hint="default"/>
                <w:sz w:val="18"/>
                <w:szCs w:val="18"/>
              </w:rPr>
            </w:pPr>
            <w:r>
              <w:rPr>
                <w:rFonts w:ascii="宋体" w:hAnsi="宋体" w:cs="宋体" w:eastAsia="宋体" w:hint="default"/>
                <w:sz w:val="18"/>
                <w:szCs w:val="18"/>
              </w:rPr>
              <w:t>股 权 处 置 方 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70" w:right="167"/>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69" w:right="167"/>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7" w:right="116"/>
              <w:jc w:val="both"/>
              <w:rPr>
                <w:rFonts w:ascii="宋体" w:hAnsi="宋体" w:cs="宋体" w:eastAsia="宋体" w:hint="default"/>
                <w:sz w:val="18"/>
                <w:szCs w:val="18"/>
              </w:rPr>
            </w:pPr>
            <w:r>
              <w:rPr>
                <w:rFonts w:ascii="宋体" w:hAnsi="宋体" w:cs="宋体" w:eastAsia="宋体" w:hint="default"/>
                <w:sz w:val="18"/>
                <w:szCs w:val="18"/>
              </w:rPr>
              <w:t>丧 失 控 制 权 之 日 剩 余 股 权 的 比 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69" w:right="167"/>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69" w:right="168"/>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48" w:right="150"/>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4"/>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1" w:right="129"/>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59"/>
              <w:jc w:val="both"/>
              <w:rPr>
                <w:rFonts w:ascii="宋体" w:hAnsi="宋体" w:cs="宋体" w:eastAsia="宋体" w:hint="default"/>
                <w:sz w:val="18"/>
                <w:szCs w:val="18"/>
              </w:rPr>
            </w:pPr>
            <w:r>
              <w:rPr>
                <w:rFonts w:ascii="宋体" w:hAnsi="宋体" w:cs="宋体" w:eastAsia="宋体" w:hint="default"/>
                <w:sz w:val="18"/>
                <w:szCs w:val="18"/>
              </w:rPr>
              <w:t>广州数字 方舟信息 技术股份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9" w:right="0"/>
              <w:jc w:val="left"/>
              <w:rPr>
                <w:rFonts w:ascii="Arial" w:hAnsi="Arial" w:cs="Arial" w:eastAsia="Arial" w:hint="default"/>
                <w:sz w:val="18"/>
                <w:szCs w:val="18"/>
              </w:rPr>
            </w:pPr>
            <w:r>
              <w:rPr>
                <w:rFonts w:ascii="Arial"/>
                <w:sz w:val="18"/>
              </w:rPr>
              <w:t>12,321,1</w:t>
            </w:r>
          </w:p>
          <w:p>
            <w:pPr>
              <w:pStyle w:val="TableParagraph"/>
              <w:spacing w:line="240" w:lineRule="auto" w:before="105"/>
              <w:ind w:left="429" w:right="0"/>
              <w:jc w:val="left"/>
              <w:rPr>
                <w:rFonts w:ascii="Arial" w:hAnsi="Arial" w:cs="Arial" w:eastAsia="Arial" w:hint="default"/>
                <w:sz w:val="18"/>
                <w:szCs w:val="18"/>
              </w:rPr>
            </w:pPr>
            <w:r>
              <w:rPr>
                <w:rFonts w:ascii="Arial"/>
                <w:sz w:val="18"/>
              </w:rPr>
              <w:t>72.22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48.00</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0"/>
              <w:jc w:val="both"/>
              <w:rPr>
                <w:rFonts w:ascii="宋体" w:hAnsi="宋体" w:cs="宋体" w:eastAsia="宋体" w:hint="default"/>
                <w:sz w:val="18"/>
                <w:szCs w:val="18"/>
              </w:rPr>
            </w:pPr>
            <w:r>
              <w:rPr>
                <w:rFonts w:ascii="宋体" w:hAnsi="宋体" w:cs="宋体" w:eastAsia="宋体" w:hint="default"/>
                <w:sz w:val="18"/>
                <w:szCs w:val="18"/>
              </w:rPr>
              <w:t>减 资 退 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Arial" w:hAnsi="Arial" w:cs="Arial" w:eastAsia="Arial" w:hint="default"/>
                <w:sz w:val="18"/>
                <w:szCs w:val="18"/>
              </w:rPr>
            </w:pPr>
            <w:r>
              <w:rPr>
                <w:rFonts w:ascii="Arial"/>
                <w:sz w:val="18"/>
              </w:rPr>
              <w:t>2019</w:t>
            </w:r>
          </w:p>
          <w:p>
            <w:pPr>
              <w:pStyle w:val="TableParagraph"/>
              <w:spacing w:line="240" w:lineRule="auto" w:before="63"/>
              <w:ind w:left="10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p>
          <w:p>
            <w:pPr>
              <w:pStyle w:val="TableParagraph"/>
              <w:spacing w:line="240" w:lineRule="auto" w:before="63"/>
              <w:ind w:left="10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34"/>
              <w:jc w:val="both"/>
              <w:rPr>
                <w:rFonts w:ascii="宋体" w:hAnsi="宋体" w:cs="宋体" w:eastAsia="宋体" w:hint="default"/>
                <w:sz w:val="18"/>
                <w:szCs w:val="18"/>
              </w:rPr>
            </w:pPr>
            <w:r>
              <w:rPr>
                <w:rFonts w:ascii="宋体" w:hAnsi="宋体" w:cs="宋体" w:eastAsia="宋体" w:hint="default"/>
                <w:sz w:val="18"/>
                <w:szCs w:val="18"/>
              </w:rPr>
              <w:t>完成 工商 登记 变更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1" w:right="0"/>
              <w:jc w:val="left"/>
              <w:rPr>
                <w:rFonts w:ascii="Arial" w:hAnsi="Arial" w:cs="Arial" w:eastAsia="Arial" w:hint="default"/>
                <w:sz w:val="18"/>
                <w:szCs w:val="18"/>
              </w:rPr>
            </w:pPr>
            <w:r>
              <w:rPr>
                <w:rFonts w:ascii="Arial"/>
                <w:sz w:val="18"/>
              </w:rPr>
              <w:t>620,541.49</w:t>
            </w: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2、其他原因的合并范围变动" w:id="318"/>
      <w:bookmarkEnd w:id="318"/>
      <w:r>
        <w:rPr>
          <w:b w:val="0"/>
          <w:bCs w:val="0"/>
        </w:rPr>
      </w:r>
      <w:r>
        <w:rPr>
          <w:rFonts w:ascii="Arial" w:hAnsi="Arial" w:cs="Arial" w:eastAsia="Arial" w:hint="default"/>
        </w:rPr>
        <w:t>2</w:t>
      </w:r>
      <w:r>
        <w:rPr/>
        <w:t>、其他原因的合并范围变动</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996" w:firstLine="420"/>
        <w:jc w:val="left"/>
      </w:pPr>
      <w:r>
        <w:rPr>
          <w:w w:val="95"/>
        </w:rPr>
        <w:t>本公司根据经营需要，新设上海华宇九政科技有限公司、四川华宇九政科技有限公司、湖北华宇九政</w:t>
      </w:r>
      <w:r>
        <w:rPr>
          <w:spacing w:val="-97"/>
          <w:w w:val="95"/>
        </w:rPr>
        <w:t> </w:t>
      </w:r>
      <w:r>
        <w:rPr>
          <w:spacing w:val="-97"/>
          <w:w w:val="95"/>
        </w:rPr>
      </w:r>
      <w:r>
        <w:rPr/>
        <w:t>科技有限公司、华宇万户医疗科技（上海）有限公司、上海殊创数据技术有限责任公司。</w:t>
      </w:r>
    </w:p>
    <w:p>
      <w:pPr>
        <w:spacing w:line="240" w:lineRule="auto" w:before="10"/>
        <w:rPr>
          <w:rFonts w:ascii="宋体" w:hAnsi="宋体" w:cs="宋体" w:eastAsia="宋体" w:hint="default"/>
          <w:sz w:val="21"/>
          <w:szCs w:val="21"/>
        </w:rPr>
      </w:pPr>
    </w:p>
    <w:p>
      <w:pPr>
        <w:pStyle w:val="Heading2"/>
        <w:spacing w:line="240" w:lineRule="auto"/>
        <w:ind w:right="996"/>
        <w:jc w:val="left"/>
        <w:rPr>
          <w:b w:val="0"/>
          <w:bCs w:val="0"/>
        </w:rPr>
      </w:pPr>
      <w:bookmarkStart w:name="九、在其他主体中的权益" w:id="319"/>
      <w:bookmarkEnd w:id="319"/>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在子公司中的权益" w:id="320"/>
      <w:bookmarkEnd w:id="320"/>
      <w:r>
        <w:rPr>
          <w:b w:val="0"/>
          <w:bCs w:val="0"/>
        </w:rPr>
      </w:r>
      <w:r>
        <w:rPr>
          <w:rFonts w:ascii="Arial" w:hAnsi="Arial" w:cs="Arial" w:eastAsia="Arial"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企业集团的构成" w:id="321"/>
      <w:bookmarkEnd w:id="321"/>
      <w:r>
        <w:rPr>
          <w:b w:val="0"/>
          <w:bCs w:val="0"/>
        </w:rPr>
      </w:r>
      <w:r>
        <w:rPr/>
        <w:t>（</w:t>
      </w:r>
      <w:r>
        <w:rPr>
          <w:rFonts w:ascii="Arial" w:hAnsi="Arial" w:cs="Arial" w:eastAsia="Arial"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35"/>
        <w:gridCol w:w="993"/>
        <w:gridCol w:w="1134"/>
        <w:gridCol w:w="1134"/>
        <w:gridCol w:w="1134"/>
        <w:gridCol w:w="975"/>
        <w:gridCol w:w="1366"/>
      </w:tblGrid>
      <w:tr>
        <w:trPr>
          <w:trHeight w:val="402"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01" w:right="131"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80.00%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广州市海 珠区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广州市海珠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大连市甘 井子区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大连市甘井 子区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技术开发与 咨询、服务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51.00%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7"/>
              <w:jc w:val="left"/>
              <w:rPr>
                <w:rFonts w:ascii="宋体" w:hAnsi="宋体" w:cs="宋体" w:eastAsia="宋体" w:hint="default"/>
                <w:sz w:val="18"/>
                <w:szCs w:val="18"/>
              </w:rPr>
            </w:pPr>
            <w:r>
              <w:rPr>
                <w:rFonts w:ascii="宋体" w:hAnsi="宋体" w:cs="宋体" w:eastAsia="宋体" w:hint="default"/>
                <w:sz w:val="18"/>
                <w:szCs w:val="18"/>
              </w:rPr>
              <w:t>上海市浦 东新区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0"/>
              <w:jc w:val="left"/>
              <w:rPr>
                <w:rFonts w:ascii="宋体" w:hAnsi="宋体" w:cs="宋体" w:eastAsia="宋体" w:hint="default"/>
                <w:sz w:val="18"/>
                <w:szCs w:val="18"/>
              </w:rPr>
            </w:pPr>
            <w:r>
              <w:rPr>
                <w:rFonts w:ascii="宋体" w:hAnsi="宋体" w:cs="宋体" w:eastAsia="宋体" w:hint="default"/>
                <w:sz w:val="18"/>
                <w:szCs w:val="18"/>
              </w:rPr>
              <w:t>上海市浦东 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软件开发与 销售、技术 咨询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6"/>
                <w:sz w:val="18"/>
                <w:szCs w:val="18"/>
              </w:rPr>
              <w:t>溯源云（北京）科技服务有限公司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技术开发与 咨询、服务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45.00%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57"/>
              <w:jc w:val="left"/>
              <w:rPr>
                <w:rFonts w:ascii="宋体" w:hAnsi="宋体" w:cs="宋体" w:eastAsia="宋体" w:hint="default"/>
                <w:sz w:val="18"/>
                <w:szCs w:val="18"/>
              </w:rPr>
            </w:pPr>
            <w:r>
              <w:rPr>
                <w:rFonts w:ascii="宋体" w:hAnsi="宋体" w:cs="宋体" w:eastAsia="宋体" w:hint="default"/>
                <w:sz w:val="18"/>
                <w:szCs w:val="18"/>
              </w:rPr>
              <w:t>广州市天 河区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1" w:right="120"/>
              <w:jc w:val="left"/>
              <w:rPr>
                <w:rFonts w:ascii="宋体" w:hAnsi="宋体" w:cs="宋体" w:eastAsia="宋体" w:hint="default"/>
                <w:sz w:val="18"/>
                <w:szCs w:val="18"/>
              </w:rPr>
            </w:pPr>
            <w:r>
              <w:rPr>
                <w:rFonts w:ascii="宋体" w:hAnsi="宋体" w:cs="宋体" w:eastAsia="宋体" w:hint="default"/>
                <w:sz w:val="18"/>
                <w:szCs w:val="18"/>
              </w:rPr>
              <w:t>广州市天河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软件开发与 销售、技术 咨询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北京华宇九品科技有限公司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北京市海 淀区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北京市海淀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2" w:right="0"/>
              <w:jc w:val="left"/>
              <w:rPr>
                <w:rFonts w:ascii="Arial" w:hAnsi="Arial" w:cs="Arial" w:eastAsia="Arial" w:hint="default"/>
                <w:sz w:val="18"/>
                <w:szCs w:val="18"/>
              </w:rPr>
            </w:pPr>
            <w:r>
              <w:rPr>
                <w:rFonts w:ascii="Arial"/>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835"/>
        <w:gridCol w:w="993"/>
        <w:gridCol w:w="1134"/>
        <w:gridCol w:w="1134"/>
        <w:gridCol w:w="1134"/>
        <w:gridCol w:w="975"/>
        <w:gridCol w:w="1366"/>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上海华宇九政科技有限公司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57"/>
              <w:jc w:val="left"/>
              <w:rPr>
                <w:rFonts w:ascii="宋体" w:hAnsi="宋体" w:cs="宋体" w:eastAsia="宋体" w:hint="default"/>
                <w:sz w:val="18"/>
                <w:szCs w:val="18"/>
              </w:rPr>
            </w:pPr>
            <w:r>
              <w:rPr>
                <w:rFonts w:ascii="宋体" w:hAnsi="宋体" w:cs="宋体" w:eastAsia="宋体" w:hint="default"/>
                <w:sz w:val="18"/>
                <w:szCs w:val="18"/>
              </w:rPr>
              <w:t>上海市长 宁区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left"/>
              <w:rPr>
                <w:rFonts w:ascii="宋体" w:hAnsi="宋体" w:cs="宋体" w:eastAsia="宋体" w:hint="default"/>
                <w:sz w:val="18"/>
                <w:szCs w:val="18"/>
              </w:rPr>
            </w:pPr>
            <w:r>
              <w:rPr>
                <w:rFonts w:ascii="宋体" w:hAnsi="宋体" w:cs="宋体" w:eastAsia="宋体" w:hint="default"/>
                <w:sz w:val="18"/>
                <w:szCs w:val="18"/>
              </w:rPr>
              <w:t>上海市长宁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四川华宇九政科技有限公司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成都高新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成都高新区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湖北华宇九政科技有限公司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武昌区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武昌区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上 海</w:t>
            </w:r>
            <w:r>
              <w:rPr>
                <w:rFonts w:ascii="Arial" w:hAnsi="Arial" w:cs="Arial" w:eastAsia="Arial" w:hint="default"/>
                <w:sz w:val="18"/>
                <w:szCs w:val="18"/>
              </w:rPr>
              <w:t>)</w:t>
            </w:r>
            <w:r>
              <w:rPr>
                <w:rFonts w:ascii="宋体" w:hAnsi="宋体" w:cs="宋体" w:eastAsia="宋体" w:hint="default"/>
                <w:sz w:val="18"/>
                <w:szCs w:val="18"/>
              </w:rPr>
              <w:t>自由 贸易试验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101" w:right="120"/>
              <w:jc w:val="left"/>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 </w:t>
            </w:r>
            <w:r>
              <w:rPr>
                <w:rFonts w:ascii="宋体" w:hAnsi="宋体" w:cs="宋体" w:eastAsia="宋体" w:hint="default"/>
                <w:sz w:val="18"/>
                <w:szCs w:val="18"/>
              </w:rPr>
              <w:t>自由贸易试 验区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57"/>
              <w:jc w:val="left"/>
              <w:rPr>
                <w:rFonts w:ascii="宋体" w:hAnsi="宋体" w:cs="宋体" w:eastAsia="宋体" w:hint="default"/>
                <w:sz w:val="18"/>
                <w:szCs w:val="18"/>
              </w:rPr>
            </w:pPr>
            <w:r>
              <w:rPr>
                <w:rFonts w:ascii="宋体" w:hAnsi="宋体" w:cs="宋体" w:eastAsia="宋体" w:hint="default"/>
                <w:sz w:val="18"/>
                <w:szCs w:val="18"/>
              </w:rPr>
              <w:t>合肥市包 河区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0"/>
              <w:jc w:val="left"/>
              <w:rPr>
                <w:rFonts w:ascii="宋体" w:hAnsi="宋体" w:cs="宋体" w:eastAsia="宋体" w:hint="default"/>
                <w:sz w:val="18"/>
                <w:szCs w:val="18"/>
              </w:rPr>
            </w:pPr>
            <w:r>
              <w:rPr>
                <w:rFonts w:ascii="宋体" w:hAnsi="宋体" w:cs="宋体" w:eastAsia="宋体" w:hint="default"/>
                <w:sz w:val="18"/>
                <w:szCs w:val="18"/>
              </w:rPr>
              <w:t>合肥市包河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6"/>
                <w:sz w:val="18"/>
                <w:szCs w:val="18"/>
              </w:rPr>
              <w:t>华宇万户医疗科技（上海）有限公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上海市长 宁区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上海市长宁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医疗科技与 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上海殊创数据技术有限责任公司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57"/>
              <w:jc w:val="left"/>
              <w:rPr>
                <w:rFonts w:ascii="宋体" w:hAnsi="宋体" w:cs="宋体" w:eastAsia="宋体" w:hint="default"/>
                <w:sz w:val="18"/>
                <w:szCs w:val="18"/>
              </w:rPr>
            </w:pPr>
            <w:r>
              <w:rPr>
                <w:rFonts w:ascii="宋体" w:hAnsi="宋体" w:cs="宋体" w:eastAsia="宋体" w:hint="default"/>
                <w:sz w:val="18"/>
                <w:szCs w:val="18"/>
              </w:rPr>
              <w:t>上海市杨 浦区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1" w:right="120"/>
              <w:jc w:val="left"/>
              <w:rPr>
                <w:rFonts w:ascii="宋体" w:hAnsi="宋体" w:cs="宋体" w:eastAsia="宋体" w:hint="default"/>
                <w:sz w:val="18"/>
                <w:szCs w:val="18"/>
              </w:rPr>
            </w:pPr>
            <w:r>
              <w:rPr>
                <w:rFonts w:ascii="宋体" w:hAnsi="宋体" w:cs="宋体" w:eastAsia="宋体" w:hint="default"/>
                <w:sz w:val="18"/>
                <w:szCs w:val="18"/>
              </w:rPr>
              <w:t>上海市杨浦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both"/>
              <w:rPr>
                <w:rFonts w:ascii="宋体" w:hAnsi="宋体" w:cs="宋体" w:eastAsia="宋体" w:hint="default"/>
                <w:sz w:val="18"/>
                <w:szCs w:val="18"/>
              </w:rPr>
            </w:pPr>
            <w:r>
              <w:rPr>
                <w:rFonts w:ascii="宋体" w:hAnsi="宋体" w:cs="宋体" w:eastAsia="宋体" w:hint="default"/>
                <w:sz w:val="18"/>
                <w:szCs w:val="18"/>
              </w:rPr>
              <w:t>信息传输、 软件和信息 技术服务业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6"/>
                <w:sz w:val="18"/>
                <w:szCs w:val="18"/>
              </w:rPr>
              <w:t>华宇金信（深圳）信息技术有限公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left"/>
              <w:rPr>
                <w:rFonts w:ascii="宋体" w:hAnsi="宋体" w:cs="宋体" w:eastAsia="宋体" w:hint="default"/>
                <w:sz w:val="18"/>
                <w:szCs w:val="18"/>
              </w:rPr>
            </w:pPr>
            <w:r>
              <w:rPr>
                <w:rFonts w:ascii="宋体" w:hAnsi="宋体" w:cs="宋体" w:eastAsia="宋体" w:hint="default"/>
                <w:sz w:val="18"/>
                <w:szCs w:val="18"/>
              </w:rPr>
              <w:t>深圳市南 山区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0"/>
              <w:jc w:val="left"/>
              <w:rPr>
                <w:rFonts w:ascii="宋体" w:hAnsi="宋体" w:cs="宋体" w:eastAsia="宋体" w:hint="default"/>
                <w:sz w:val="18"/>
                <w:szCs w:val="18"/>
              </w:rPr>
            </w:pPr>
            <w:r>
              <w:rPr>
                <w:rFonts w:ascii="宋体" w:hAnsi="宋体" w:cs="宋体" w:eastAsia="宋体" w:hint="default"/>
                <w:sz w:val="18"/>
                <w:szCs w:val="18"/>
              </w:rPr>
              <w:t>深圳市南山 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软件开发与 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07" w:lineRule="auto" w:before="27"/>
        <w:ind w:left="532" w:right="996" w:hanging="420"/>
        <w:jc w:val="left"/>
      </w:pPr>
      <w:r>
        <w:rPr/>
        <w:t>在子公司的持股比例不同于表决权比例的说明：</w:t>
      </w:r>
      <w:r>
        <w:rPr>
          <w:w w:val="99"/>
        </w:rPr>
        <w:t> </w:t>
      </w:r>
      <w:r>
        <w:rPr>
          <w:w w:val="95"/>
        </w:rPr>
        <w:t>公司与北京华宇元典信息服务有限公司、北京华宇九品科技有限公司的少数股东分别签订了一致行动</w:t>
      </w:r>
      <w:r>
        <w:rPr/>
      </w:r>
    </w:p>
    <w:p>
      <w:pPr>
        <w:pStyle w:val="BodyText"/>
        <w:spacing w:line="253" w:lineRule="exact"/>
        <w:ind w:right="996"/>
        <w:jc w:val="left"/>
      </w:pPr>
      <w:r>
        <w:rPr/>
        <w:t>人协议，协议约定上述公司的少数股东将各自拥有的表决权委托至本公司管理，因此本公司持有上述公司</w:t>
      </w:r>
    </w:p>
    <w:p>
      <w:pPr>
        <w:pStyle w:val="BodyText"/>
        <w:spacing w:line="259" w:lineRule="auto" w:before="37"/>
        <w:ind w:left="532" w:right="996" w:hanging="420"/>
        <w:jc w:val="left"/>
      </w:pPr>
      <w:r>
        <w:rPr>
          <w:rFonts w:ascii="Arial" w:hAnsi="Arial" w:cs="Arial" w:eastAsia="Arial" w:hint="default"/>
        </w:rPr>
        <w:t>100%</w:t>
      </w:r>
      <w:r>
        <w:rPr/>
        <w:t>的表决权，能够实际控制上述公司。</w:t>
      </w:r>
      <w:r>
        <w:rPr>
          <w:w w:val="99"/>
        </w:rPr>
        <w:t> </w:t>
      </w:r>
      <w:r>
        <w:rPr>
          <w:w w:val="95"/>
        </w:rPr>
        <w:t>公司与上海殊创数据技术有限责任公司的少数股东北京亿信睿思管理咨询中心（有限合伙）、北京亿</w:t>
      </w:r>
      <w:r>
        <w:rPr/>
      </w:r>
    </w:p>
    <w:p>
      <w:pPr>
        <w:pStyle w:val="BodyText"/>
        <w:spacing w:line="266" w:lineRule="auto" w:before="20"/>
        <w:ind w:right="1130"/>
        <w:jc w:val="both"/>
      </w:pPr>
      <w:r>
        <w:rPr>
          <w:w w:val="95"/>
        </w:rPr>
        <w:t>信融安管理咨询中心（有限合伙）、张俏、谢小茜签订了一致行动人协议，协议约定少数股东将各自拥有</w:t>
      </w:r>
      <w:r>
        <w:rPr>
          <w:spacing w:val="43"/>
          <w:w w:val="95"/>
        </w:rPr>
        <w:t> </w:t>
      </w:r>
      <w:r>
        <w:rPr>
          <w:spacing w:val="43"/>
          <w:w w:val="95"/>
        </w:rPr>
      </w:r>
      <w:r>
        <w:rPr>
          <w:w w:val="95"/>
        </w:rPr>
        <w:t>的表决权委托至本公司管理，因此本公司持有上海殊创数据技术有限责任公司</w:t>
      </w:r>
      <w:r>
        <w:rPr>
          <w:rFonts w:ascii="Arial" w:hAnsi="Arial" w:cs="Arial" w:eastAsia="Arial" w:hint="default"/>
          <w:w w:val="95"/>
        </w:rPr>
        <w:t>80%</w:t>
      </w:r>
      <w:r>
        <w:rPr>
          <w:w w:val="95"/>
        </w:rPr>
        <w:t>的表决权，能够实际控</w:t>
      </w:r>
      <w:r>
        <w:rPr>
          <w:spacing w:val="43"/>
          <w:w w:val="95"/>
        </w:rPr>
        <w:t> </w:t>
      </w:r>
      <w:r>
        <w:rPr>
          <w:spacing w:val="43"/>
          <w:w w:val="95"/>
        </w:rPr>
      </w:r>
      <w:r>
        <w:rPr/>
        <w:t>制上海殊创数据技术有限责任公司。</w:t>
      </w:r>
    </w:p>
    <w:p>
      <w:pPr>
        <w:pStyle w:val="BodyText"/>
        <w:spacing w:line="278" w:lineRule="auto" w:before="14"/>
        <w:ind w:right="996" w:firstLine="420"/>
        <w:jc w:val="left"/>
      </w:pPr>
      <w:r>
        <w:rPr>
          <w:w w:val="95"/>
        </w:rPr>
        <w:t>公司与华宇万户医疗科技（上海）有限公司的少数股东上海医玺信息技术合伙企业（有限合伙）签订</w:t>
      </w:r>
      <w:r>
        <w:rPr>
          <w:spacing w:val="-97"/>
          <w:w w:val="95"/>
        </w:rPr>
        <w:t> </w:t>
      </w:r>
      <w:r>
        <w:rPr>
          <w:spacing w:val="-97"/>
          <w:w w:val="95"/>
        </w:rPr>
      </w:r>
      <w:r>
        <w:rPr>
          <w:w w:val="95"/>
        </w:rPr>
        <w:t>了一致行动人协议，协议少数股东将其拥有的表决权委托至本公司管理，因此本公司持有华宇万户医疗科</w:t>
      </w:r>
      <w:r>
        <w:rPr>
          <w:spacing w:val="37"/>
          <w:w w:val="95"/>
        </w:rPr>
        <w:t> </w:t>
      </w:r>
      <w:r>
        <w:rPr>
          <w:spacing w:val="37"/>
          <w:w w:val="95"/>
        </w:rPr>
      </w:r>
      <w:r>
        <w:rPr/>
        <w:t>技（上海）有限公司</w:t>
      </w:r>
      <w:r>
        <w:rPr>
          <w:rFonts w:ascii="Arial" w:hAnsi="Arial" w:cs="Arial" w:eastAsia="Arial" w:hint="default"/>
        </w:rPr>
        <w:t>90%</w:t>
      </w:r>
      <w:r>
        <w:rPr/>
        <w:t>的表决权，能够实际控制华宇万户医疗科技（上海）有限公司。</w:t>
      </w:r>
      <w:r>
        <w:rPr>
          <w:w w:val="99"/>
        </w:rPr>
        <w:t> </w:t>
      </w:r>
      <w:r>
        <w:rPr/>
        <w:t>持有半数或以下表决权但仍控制被投资单位、以及持有半数以上表决权但不控制被投资单位的依据：</w:t>
      </w:r>
    </w:p>
    <w:p>
      <w:pPr>
        <w:pStyle w:val="BodyText"/>
        <w:spacing w:line="268" w:lineRule="auto" w:before="44"/>
        <w:ind w:right="1127" w:firstLine="420"/>
        <w:jc w:val="both"/>
      </w:pPr>
      <w:r>
        <w:rPr>
          <w:spacing w:val="-3"/>
        </w:rPr>
        <w:t>公司对溯源云（北京）科技服务有限公司持股</w:t>
      </w:r>
      <w:r>
        <w:rPr>
          <w:rFonts w:ascii="Arial" w:hAnsi="Arial" w:cs="Arial" w:eastAsia="Arial" w:hint="default"/>
          <w:spacing w:val="-3"/>
        </w:rPr>
        <w:t>45.00%</w:t>
      </w:r>
      <w:r>
        <w:rPr>
          <w:spacing w:val="-3"/>
        </w:rPr>
        <w:t>，未超过公司半数表决权，</w:t>
      </w:r>
      <w:r>
        <w:rPr>
          <w:spacing w:val="-58"/>
        </w:rPr>
        <w:t> </w:t>
      </w:r>
      <w:r>
        <w:rPr>
          <w:spacing w:val="-5"/>
        </w:rPr>
        <w:t>但公司为溯源云（北</w:t>
      </w:r>
      <w:r>
        <w:rPr>
          <w:w w:val="99"/>
        </w:rPr>
        <w:t> </w:t>
      </w:r>
      <w:r>
        <w:rPr>
          <w:spacing w:val="2"/>
        </w:rPr>
        <w:t>京）科技服务有限公司第一大股东，且溯源云（北京）科技服务</w:t>
      </w:r>
      <w:r>
        <w:rPr>
          <w:spacing w:val="-17"/>
        </w:rPr>
        <w:t> </w:t>
      </w:r>
      <w:r>
        <w:rPr>
          <w:spacing w:val="2"/>
        </w:rPr>
        <w:t>有限公司的董事会成员过半数由本公司</w:t>
      </w:r>
      <w:r>
        <w:rPr>
          <w:w w:val="99"/>
        </w:rPr>
        <w:t> </w:t>
      </w:r>
      <w:r>
        <w:rPr>
          <w:spacing w:val="2"/>
        </w:rPr>
        <w:t>及子公司高管担任，能够实质性控制溯源云（北</w:t>
      </w:r>
      <w:r>
        <w:rPr>
          <w:spacing w:val="-17"/>
        </w:rPr>
        <w:t> </w:t>
      </w:r>
      <w:r>
        <w:rPr>
          <w:spacing w:val="2"/>
        </w:rPr>
        <w:t>京）科技服务有限公司，故将北京溯源云（北京）科技</w:t>
      </w:r>
      <w:r>
        <w:rPr>
          <w:w w:val="99"/>
        </w:rPr>
        <w:t> </w:t>
      </w:r>
      <w:r>
        <w:rPr/>
        <w:t>服务有限公司纳入合并范围。</w:t>
      </w:r>
    </w:p>
    <w:p>
      <w:pPr>
        <w:spacing w:line="240" w:lineRule="auto" w:before="11"/>
        <w:rPr>
          <w:rFonts w:ascii="宋体" w:hAnsi="宋体" w:cs="宋体" w:eastAsia="宋体" w:hint="default"/>
          <w:sz w:val="23"/>
          <w:szCs w:val="23"/>
        </w:rPr>
      </w:pPr>
    </w:p>
    <w:p>
      <w:pPr>
        <w:pStyle w:val="Heading4"/>
        <w:spacing w:line="240" w:lineRule="auto" w:before="0"/>
        <w:ind w:right="996"/>
        <w:jc w:val="left"/>
        <w:rPr>
          <w:b w:val="0"/>
          <w:bCs w:val="0"/>
        </w:rPr>
      </w:pPr>
      <w:bookmarkStart w:name="（2）重要的非全资子公司" w:id="322"/>
      <w:bookmarkEnd w:id="322"/>
      <w:r>
        <w:rPr>
          <w:b w:val="0"/>
          <w:bCs w:val="0"/>
        </w:rPr>
      </w:r>
      <w:r>
        <w:rPr/>
        <w:t>（</w:t>
      </w:r>
      <w:r>
        <w:rPr>
          <w:rFonts w:ascii="Arial" w:hAnsi="Arial" w:cs="Arial" w:eastAsia="Arial"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134"/>
        <w:gridCol w:w="1633"/>
        <w:gridCol w:w="1913"/>
        <w:gridCol w:w="1913"/>
      </w:tblGrid>
      <w:tr>
        <w:trPr>
          <w:trHeight w:val="76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292" w:right="109" w:hanging="180"/>
              <w:jc w:val="left"/>
              <w:rPr>
                <w:rFonts w:ascii="宋体" w:hAnsi="宋体" w:cs="宋体" w:eastAsia="宋体" w:hint="default"/>
                <w:sz w:val="18"/>
                <w:szCs w:val="18"/>
              </w:rPr>
            </w:pPr>
            <w:r>
              <w:rPr>
                <w:rFonts w:ascii="宋体" w:hAnsi="宋体" w:cs="宋体" w:eastAsia="宋体" w:hint="default"/>
                <w:sz w:val="18"/>
                <w:szCs w:val="18"/>
              </w:rPr>
              <w:t>少数股东持 股比例</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361" w:right="180"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spacing w:after="0" w:line="316" w:lineRule="auto"/>
        <w:jc w:val="left"/>
        <w:rPr>
          <w:rFonts w:ascii="宋体" w:hAnsi="宋体" w:cs="宋体" w:eastAsia="宋体" w:hint="default"/>
          <w:sz w:val="18"/>
          <w:szCs w:val="18"/>
        </w:rPr>
        <w:sectPr>
          <w:footerReference w:type="default" r:id="rId43"/>
          <w:pgSz w:w="11910" w:h="16840"/>
          <w:pgMar w:footer="1016" w:header="878" w:top="1100" w:bottom="1200" w:left="1020" w:right="0"/>
          <w:pgNumType w:start="19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1134"/>
        <w:gridCol w:w="1633"/>
        <w:gridCol w:w="1913"/>
        <w:gridCol w:w="1913"/>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-4,054,947.29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28,213,557.60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70.00%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9,436,861.78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29,942,072.70</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3）重要非全资子公司的主要财务信息" w:id="323"/>
      <w:bookmarkEnd w:id="323"/>
      <w:r>
        <w:rPr>
          <w:b w:val="0"/>
          <w:bCs w:val="0"/>
        </w:rPr>
      </w:r>
      <w:r>
        <w:rPr/>
        <w:t>（</w:t>
      </w:r>
      <w:r>
        <w:rPr>
          <w:rFonts w:ascii="Arial" w:hAnsi="Arial" w:cs="Arial" w:eastAsia="Arial"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信华辰 软件有 限责任</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145,849,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868.97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68,387,4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214,237,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324.36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100,847,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027.20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100,847,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027.20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117,869,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370.60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45,797,7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18.09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163,667,</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088.69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42,663,1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88.96</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42,663,1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88.96</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宇元典 信息服 务有限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25,853,1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38,251,9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64,105,0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14,025,9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71.84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2,161,84</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1.95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16,187,8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13.79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9,258,67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4.23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38,324,2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09.81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47,582,8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14,031,1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50.48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14,947,1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50.48</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5"/>
        <w:gridCol w:w="1061"/>
        <w:gridCol w:w="1065"/>
        <w:gridCol w:w="113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6"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2" w:right="11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北京亿信</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华辰软件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159,935,6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-17,952,2</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-17,952,2</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14,396,45</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147,283,8</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19,013,58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19,013,58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19,494,155</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47.26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27.28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spacing w:val="-1"/>
                <w:sz w:val="18"/>
              </w:rPr>
              <w:t>27.28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w w:val="95"/>
                <w:sz w:val="18"/>
              </w:rPr>
              <w:t>2.04</w:t>
            </w:r>
            <w:r>
              <w:rPr>
                <w:rFonts w:ascii="Arial"/>
                <w:sz w:val="18"/>
              </w:rPr>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72.25</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spacing w:val="-1"/>
                <w:sz w:val="18"/>
              </w:rPr>
              <w:t>2.57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18"/>
                <w:szCs w:val="18"/>
              </w:rPr>
            </w:pPr>
            <w:r>
              <w:rPr>
                <w:rFonts w:ascii="Arial"/>
                <w:w w:val="95"/>
                <w:sz w:val="18"/>
              </w:rPr>
              <w:t>2.57</w:t>
            </w:r>
            <w:r>
              <w:rPr>
                <w:rFonts w:ascii="Arial"/>
                <w:sz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w w:val="95"/>
                <w:sz w:val="18"/>
              </w:rPr>
              <w:t>.44</w:t>
            </w:r>
            <w:r>
              <w:rPr>
                <w:rFonts w:ascii="Arial"/>
                <w:sz w:val="18"/>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元典信息</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spacing w:val="-1"/>
                <w:sz w:val="18"/>
              </w:rPr>
              <w:t>52,807,68</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14,055,36</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14,055,36</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spacing w:val="-1"/>
                <w:sz w:val="18"/>
              </w:rPr>
              <w:t>19,348,77</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18,552,81</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-3,337,28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-3,337,28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98"/>
              <w:jc w:val="right"/>
              <w:rPr>
                <w:rFonts w:ascii="Arial" w:hAnsi="Arial" w:cs="Arial" w:eastAsia="Arial" w:hint="default"/>
                <w:sz w:val="18"/>
                <w:szCs w:val="18"/>
              </w:rPr>
            </w:pPr>
            <w:r>
              <w:rPr>
                <w:rFonts w:ascii="Arial"/>
                <w:spacing w:val="-1"/>
                <w:sz w:val="18"/>
              </w:rPr>
              <w:t>12,021,532</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服务有限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8"/>
              <w:jc w:val="right"/>
              <w:rPr>
                <w:rFonts w:ascii="Arial" w:hAnsi="Arial" w:cs="Arial" w:eastAsia="Arial" w:hint="default"/>
                <w:sz w:val="18"/>
                <w:szCs w:val="18"/>
              </w:rPr>
            </w:pPr>
            <w:r>
              <w:rPr>
                <w:rFonts w:ascii="Arial"/>
                <w:w w:val="95"/>
                <w:sz w:val="18"/>
              </w:rPr>
              <w:t>5.54</w:t>
            </w:r>
            <w:r>
              <w:rPr>
                <w:rFonts w:ascii="Arial"/>
                <w:sz w:val="18"/>
              </w:rPr>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w:hAnsi="Arial" w:cs="Arial" w:eastAsia="Arial" w:hint="default"/>
                <w:sz w:val="18"/>
                <w:szCs w:val="18"/>
              </w:rPr>
            </w:pPr>
            <w:r>
              <w:rPr>
                <w:rFonts w:ascii="Arial"/>
                <w:w w:val="95"/>
                <w:sz w:val="18"/>
              </w:rPr>
              <w:t>2.23</w:t>
            </w:r>
            <w:r>
              <w:rPr>
                <w:rFonts w:ascii="Arial"/>
                <w:sz w:val="18"/>
              </w:rPr>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w:hAnsi="Arial" w:cs="Arial" w:eastAsia="Arial" w:hint="default"/>
                <w:sz w:val="18"/>
                <w:szCs w:val="18"/>
              </w:rPr>
            </w:pPr>
            <w:r>
              <w:rPr>
                <w:rFonts w:ascii="Arial"/>
                <w:w w:val="95"/>
                <w:sz w:val="18"/>
              </w:rPr>
              <w:t>2.23</w:t>
            </w:r>
            <w:r>
              <w:rPr>
                <w:rFonts w:ascii="Arial"/>
                <w:sz w:val="18"/>
              </w:rPr>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8"/>
              <w:jc w:val="right"/>
              <w:rPr>
                <w:rFonts w:ascii="Arial" w:hAnsi="Arial" w:cs="Arial" w:eastAsia="Arial" w:hint="default"/>
                <w:sz w:val="18"/>
                <w:szCs w:val="18"/>
              </w:rPr>
            </w:pPr>
            <w:r>
              <w:rPr>
                <w:rFonts w:ascii="Arial"/>
                <w:w w:val="95"/>
                <w:sz w:val="18"/>
              </w:rPr>
              <w:t>5.27</w:t>
            </w:r>
            <w:r>
              <w:rPr>
                <w:rFonts w:ascii="Arial"/>
                <w:sz w:val="18"/>
              </w:rPr>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Arial" w:hAnsi="Arial" w:cs="Arial" w:eastAsia="Arial" w:hint="default"/>
                <w:sz w:val="18"/>
                <w:szCs w:val="18"/>
              </w:rPr>
            </w:pPr>
            <w:r>
              <w:rPr>
                <w:rFonts w:ascii="Arial"/>
                <w:spacing w:val="-1"/>
                <w:sz w:val="18"/>
              </w:rPr>
              <w:t>0.67</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Arial" w:hAnsi="Arial" w:cs="Arial" w:eastAsia="Arial" w:hint="default"/>
                <w:sz w:val="18"/>
                <w:szCs w:val="18"/>
              </w:rPr>
            </w:pPr>
            <w:r>
              <w:rPr>
                <w:rFonts w:ascii="Arial"/>
                <w:spacing w:val="-1"/>
                <w:sz w:val="18"/>
              </w:rPr>
              <w:t>8.05</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Arial" w:hAnsi="Arial" w:cs="Arial" w:eastAsia="Arial" w:hint="default"/>
                <w:sz w:val="18"/>
                <w:szCs w:val="18"/>
              </w:rPr>
            </w:pPr>
            <w:r>
              <w:rPr>
                <w:rFonts w:ascii="Arial"/>
                <w:w w:val="95"/>
                <w:sz w:val="18"/>
              </w:rPr>
              <w:t>8.05</w:t>
            </w:r>
            <w:r>
              <w:rPr>
                <w:rFonts w:ascii="Arial"/>
                <w:sz w:val="18"/>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8"/>
              <w:jc w:val="right"/>
              <w:rPr>
                <w:rFonts w:ascii="Arial" w:hAnsi="Arial" w:cs="Arial" w:eastAsia="Arial" w:hint="default"/>
                <w:sz w:val="18"/>
                <w:szCs w:val="18"/>
              </w:rPr>
            </w:pPr>
            <w:r>
              <w:rPr>
                <w:rFonts w:ascii="Arial"/>
                <w:w w:val="95"/>
                <w:sz w:val="18"/>
              </w:rPr>
              <w:t>.12</w:t>
            </w:r>
            <w:r>
              <w:rPr>
                <w:rFonts w:ascii="Arial"/>
                <w:sz w:val="18"/>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2、在合营安排或联营企业中的权益" w:id="324"/>
      <w:bookmarkEnd w:id="324"/>
      <w:r>
        <w:rPr>
          <w:b w:val="0"/>
          <w:bCs w:val="0"/>
        </w:rPr>
      </w:r>
      <w:r>
        <w:rPr>
          <w:rFonts w:ascii="Arial" w:hAnsi="Arial" w:cs="Arial" w:eastAsia="Arial"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重要的合营企业或联营企业" w:id="325"/>
      <w:bookmarkEnd w:id="325"/>
      <w:r>
        <w:rPr>
          <w:b w:val="0"/>
          <w:bCs w:val="0"/>
        </w:rPr>
      </w:r>
      <w:r>
        <w:rPr/>
        <w:t>（</w:t>
      </w:r>
      <w:r>
        <w:rPr>
          <w:rFonts w:ascii="Arial" w:hAnsi="Arial" w:cs="Arial" w:eastAsia="Arial"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8" w:footer="1016" w:top="1100" w:bottom="1200" w:left="10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四川数字金沙科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成都市天府新区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成都市天府新区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both"/>
              <w:rPr>
                <w:rFonts w:ascii="宋体" w:hAnsi="宋体" w:cs="宋体" w:eastAsia="宋体" w:hint="default"/>
                <w:sz w:val="18"/>
                <w:szCs w:val="18"/>
              </w:rPr>
            </w:pPr>
            <w:r>
              <w:rPr>
                <w:rFonts w:ascii="宋体" w:hAnsi="宋体" w:cs="宋体" w:eastAsia="宋体" w:hint="default"/>
                <w:sz w:val="18"/>
                <w:szCs w:val="18"/>
              </w:rPr>
              <w:t>数据处理、软件 开发与销售、互 联网服务等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3" w:right="191"/>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权益法核算</w:t>
            </w:r>
          </w:p>
        </w:tc>
      </w:tr>
    </w:tbl>
    <w:p>
      <w:pPr>
        <w:spacing w:line="240" w:lineRule="auto" w:before="4"/>
        <w:rPr>
          <w:rFonts w:ascii="宋体" w:hAnsi="宋体" w:cs="宋体" w:eastAsia="宋体" w:hint="default"/>
          <w:b/>
          <w:bCs/>
          <w:sz w:val="19"/>
          <w:szCs w:val="19"/>
        </w:rPr>
      </w:pPr>
    </w:p>
    <w:p>
      <w:pPr>
        <w:pStyle w:val="Heading4"/>
        <w:spacing w:line="240" w:lineRule="auto"/>
        <w:ind w:right="996"/>
        <w:jc w:val="left"/>
        <w:rPr>
          <w:b w:val="0"/>
          <w:bCs w:val="0"/>
        </w:rPr>
      </w:pPr>
      <w:bookmarkStart w:name="（2）重要联营企业的主要财务信息" w:id="326"/>
      <w:bookmarkEnd w:id="326"/>
      <w:r>
        <w:rPr>
          <w:b w:val="0"/>
          <w:bCs w:val="0"/>
        </w:rPr>
      </w:r>
      <w:r>
        <w:rPr/>
        <w:t>（</w:t>
      </w:r>
      <w:r>
        <w:rPr>
          <w:rFonts w:ascii="Arial" w:hAnsi="Arial" w:cs="Arial" w:eastAsia="Arial" w:hint="default"/>
        </w:rPr>
        <w:t>2</w:t>
      </w:r>
      <w:r>
        <w:rPr/>
        <w:t>）重要联营企业的主要财务信息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10,795,696.50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87,824.97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10,883,521.47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804,810.68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804,810.68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10,078,710.79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4,031,484.32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2,645,466.36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78,710.79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78,710.79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十、与金融工具相关的风险" w:id="327"/>
      <w:bookmarkEnd w:id="327"/>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32" w:firstLine="427"/>
        <w:jc w:val="both"/>
      </w:pPr>
      <w:r>
        <w:rPr>
          <w:w w:val="95"/>
        </w:rPr>
        <w:t>本公司的主要金融工具包括货币资金、股权投资、借款、应收款项、应付款项等。在日常活动中面临</w:t>
      </w:r>
      <w:r>
        <w:rPr>
          <w:w w:val="99"/>
        </w:rPr>
        <w:t> </w:t>
      </w:r>
      <w:r>
        <w:rPr>
          <w:w w:val="95"/>
        </w:rPr>
        <w:t>各种金融工具的风险，主要包括信用风险、流动性风险、市场风险。与这些金融工具相关的风险，以及本</w:t>
      </w:r>
      <w:r>
        <w:rPr>
          <w:spacing w:val="41"/>
          <w:w w:val="95"/>
        </w:rPr>
        <w:t> </w:t>
      </w:r>
      <w:r>
        <w:rPr>
          <w:spacing w:val="41"/>
          <w:w w:val="95"/>
        </w:rPr>
      </w:r>
      <w:r>
        <w:rPr/>
        <w:t>公司为降低这些风险所采取的风险管理政策如下所述：</w:t>
      </w:r>
    </w:p>
    <w:p>
      <w:pPr>
        <w:pStyle w:val="BodyText"/>
        <w:spacing w:line="273" w:lineRule="auto" w:before="127"/>
        <w:ind w:right="1132" w:firstLine="427"/>
        <w:jc w:val="both"/>
      </w:pPr>
      <w:r>
        <w:rPr>
          <w:w w:val="95"/>
        </w:rPr>
        <w:t>本集团从事风险管理的目标是在风险和收益之间取得适当的平衡，力求降低金融风险对本集团财务业</w:t>
      </w:r>
      <w:r>
        <w:rPr>
          <w:w w:val="99"/>
        </w:rPr>
        <w:t> </w:t>
      </w:r>
      <w:r>
        <w:rPr>
          <w:w w:val="95"/>
        </w:rPr>
        <w:t>绩的不利影响。基于该风险管理目标，本集团已制定风险管理政策以辨别和分析本集团所面临的风险，设</w:t>
      </w:r>
      <w:r>
        <w:rPr>
          <w:spacing w:val="40"/>
          <w:w w:val="95"/>
        </w:rPr>
        <w:t> </w:t>
      </w:r>
      <w:r>
        <w:rPr>
          <w:spacing w:val="40"/>
          <w:w w:val="95"/>
        </w:rPr>
      </w:r>
      <w:r>
        <w:rPr>
          <w:w w:val="95"/>
        </w:rPr>
        <w:t>定适当的风险可接受水平并设计相应的内部控制程序，以监控本集团的风险水平。本集团会定期审阅这些</w:t>
      </w:r>
      <w:r>
        <w:rPr>
          <w:spacing w:val="37"/>
          <w:w w:val="95"/>
        </w:rPr>
        <w:t> </w:t>
      </w:r>
      <w:r>
        <w:rPr>
          <w:spacing w:val="37"/>
          <w:w w:val="95"/>
        </w:rPr>
      </w:r>
      <w:r>
        <w:rPr>
          <w:w w:val="95"/>
        </w:rPr>
        <w:t>风险管理政策及有关内部控制系统，以适应市场情况或本集团经营活动的改变。本集团的内部审计部门也</w:t>
      </w:r>
      <w:r>
        <w:rPr>
          <w:spacing w:val="40"/>
          <w:w w:val="95"/>
        </w:rPr>
        <w:t> </w:t>
      </w:r>
      <w:r>
        <w:rPr>
          <w:spacing w:val="40"/>
          <w:w w:val="95"/>
        </w:rPr>
      </w:r>
      <w:r>
        <w:rPr/>
        <w:t>定期或随机检查内部控制系统的执行是否符合风险管理政策。</w:t>
      </w:r>
    </w:p>
    <w:p>
      <w:pPr>
        <w:pStyle w:val="BodyText"/>
        <w:spacing w:line="432" w:lineRule="exact" w:before="27"/>
        <w:ind w:left="540" w:right="996"/>
        <w:jc w:val="left"/>
      </w:pPr>
      <w:r>
        <w:rPr/>
        <w:t>本集团的金融工具导致的主要风险是信用风险、流动性风险、市场风险。</w:t>
      </w:r>
      <w:r>
        <w:rPr>
          <w:w w:val="99"/>
        </w:rPr>
        <w:t> </w:t>
      </w:r>
      <w:r>
        <w:rPr>
          <w:w w:val="95"/>
        </w:rPr>
        <w:t>董事会负责规划并建立本集团的风险管理架构，指定本集团的风险管理政策和相关指引并监督风险管</w:t>
      </w:r>
      <w:r>
        <w:rPr/>
      </w:r>
    </w:p>
    <w:p>
      <w:pPr>
        <w:pStyle w:val="BodyText"/>
        <w:spacing w:line="255" w:lineRule="exact"/>
        <w:ind w:right="0"/>
        <w:jc w:val="both"/>
      </w:pPr>
      <w:r>
        <w:rPr/>
        <w:t>理措施的执行情况。本集团已制定风险管理政策以识别和分析本集团所面临的风险，这些风险管理政策对</w:t>
      </w:r>
    </w:p>
    <w:p>
      <w:pPr>
        <w:pStyle w:val="BodyText"/>
        <w:spacing w:line="273" w:lineRule="auto" w:before="37"/>
        <w:ind w:right="1132"/>
        <w:jc w:val="both"/>
      </w:pPr>
      <w:r>
        <w:rPr>
          <w:w w:val="95"/>
        </w:rPr>
        <w:t>特定风险进行了明确规定，涵盖了信用风险、流动性风险和市场风险管理等诸多方面。本集团定期评估市</w:t>
      </w:r>
      <w:r>
        <w:rPr>
          <w:spacing w:val="37"/>
          <w:w w:val="95"/>
        </w:rPr>
        <w:t> </w:t>
      </w:r>
      <w:r>
        <w:rPr>
          <w:spacing w:val="37"/>
          <w:w w:val="95"/>
        </w:rPr>
      </w:r>
      <w:r>
        <w:rPr>
          <w:w w:val="95"/>
        </w:rPr>
        <w:t>场环境及本集团经营活动的变化以决定是否对风险管理政策及系统进行更新。本集团的风险管理由风险管</w:t>
      </w:r>
      <w:r>
        <w:rPr>
          <w:spacing w:val="37"/>
          <w:w w:val="95"/>
        </w:rPr>
        <w:t> </w:t>
      </w:r>
      <w:r>
        <w:rPr>
          <w:spacing w:val="37"/>
          <w:w w:val="95"/>
        </w:rPr>
      </w:r>
      <w:r>
        <w:rPr>
          <w:w w:val="95"/>
        </w:rPr>
        <w:t>理委员会按照董事会批准的政策开展。风险管理委员会通过与本集团其他业务部门的紧密合作来识别、评</w:t>
      </w:r>
      <w:r>
        <w:rPr>
          <w:spacing w:val="40"/>
          <w:w w:val="95"/>
        </w:rPr>
        <w:t> </w:t>
      </w:r>
      <w:r>
        <w:rPr>
          <w:spacing w:val="40"/>
          <w:w w:val="95"/>
        </w:rPr>
      </w:r>
      <w:r>
        <w:rPr>
          <w:w w:val="95"/>
        </w:rPr>
        <w:t>价和规避相关风险。本集团内部审计部门就风险管理控制及程序进行定期的审核，并将审核结果上报本集</w:t>
      </w:r>
      <w:r>
        <w:rPr>
          <w:spacing w:val="37"/>
          <w:w w:val="95"/>
        </w:rPr>
        <w:t> </w:t>
      </w:r>
      <w:r>
        <w:rPr>
          <w:spacing w:val="37"/>
          <w:w w:val="95"/>
        </w:rPr>
      </w:r>
      <w:r>
        <w:rPr/>
        <w:t>团的审计委员会。</w:t>
      </w:r>
    </w:p>
    <w:p>
      <w:pPr>
        <w:pStyle w:val="BodyText"/>
        <w:spacing w:line="273" w:lineRule="auto" w:before="127"/>
        <w:ind w:right="1135" w:firstLine="427"/>
        <w:jc w:val="both"/>
      </w:pPr>
      <w:r>
        <w:rPr>
          <w:w w:val="95"/>
        </w:rPr>
        <w:t>本集团通过适当的多样化投资及业务组合来分散金融工具风险，并通过制定相应的风险管理政策减少</w:t>
      </w:r>
      <w:r>
        <w:rPr>
          <w:w w:val="99"/>
        </w:rPr>
        <w:t> </w:t>
      </w:r>
      <w:r>
        <w:rPr/>
        <w:t>集中于任何单一行业、特定地区或特定交易对手方的风险。</w:t>
      </w:r>
    </w:p>
    <w:p>
      <w:pPr>
        <w:spacing w:after="0" w:line="273" w:lineRule="auto"/>
        <w:jc w:val="both"/>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r>
        <w:rPr/>
        <w:t>（一）信用风险</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1135" w:firstLine="427"/>
        <w:jc w:val="both"/>
      </w:pPr>
      <w:r>
        <w:rPr>
          <w:w w:val="95"/>
        </w:rPr>
        <w:t>信用风险是指交易对手未能履行合同义务而导致本公司产生财务损失的风险，管理层已制定适当的信</w:t>
      </w:r>
      <w:r>
        <w:rPr>
          <w:w w:val="99"/>
        </w:rPr>
        <w:t> </w:t>
      </w:r>
      <w:r>
        <w:rPr/>
        <w:t>用政策，并且不断监察信用风险的敞口。</w:t>
      </w:r>
    </w:p>
    <w:p>
      <w:pPr>
        <w:pStyle w:val="BodyText"/>
        <w:spacing w:line="432" w:lineRule="exact" w:before="27"/>
        <w:ind w:left="540" w:right="996"/>
        <w:jc w:val="left"/>
      </w:pPr>
      <w:r>
        <w:rPr/>
        <w:t>本集团对信用风险按组合分类进行管理。信用风险主要产生于银行存款和应收款项等。</w:t>
      </w:r>
      <w:r>
        <w:rPr>
          <w:w w:val="99"/>
        </w:rPr>
        <w:t> </w:t>
      </w:r>
      <w:r>
        <w:rPr>
          <w:w w:val="95"/>
        </w:rPr>
        <w:t>本集团银行存款主要存放于国有银行和其它大中型上市银行，本集团预期银行存款不存在重大的信用</w:t>
      </w:r>
      <w:r>
        <w:rPr/>
      </w:r>
    </w:p>
    <w:p>
      <w:pPr>
        <w:pStyle w:val="BodyText"/>
        <w:spacing w:line="255" w:lineRule="exact"/>
        <w:ind w:right="996"/>
        <w:jc w:val="left"/>
      </w:pPr>
      <w:r>
        <w:rPr/>
        <w:t>风险。</w:t>
      </w:r>
    </w:p>
    <w:p>
      <w:pPr>
        <w:pStyle w:val="BodyText"/>
        <w:spacing w:line="273" w:lineRule="auto" w:before="157"/>
        <w:ind w:right="1132" w:firstLine="427"/>
        <w:jc w:val="both"/>
      </w:pPr>
      <w:r>
        <w:rPr>
          <w:w w:val="95"/>
        </w:rPr>
        <w:t>对于应收款项，本集团设定相关政策以控制信用风险敞口。本集团基于对债务人的财务状况、外部评</w:t>
      </w:r>
      <w:r>
        <w:rPr>
          <w:w w:val="99"/>
        </w:rPr>
        <w:t> </w:t>
      </w:r>
      <w:r>
        <w:rPr>
          <w:w w:val="95"/>
        </w:rPr>
        <w:t>级、从第三方获取担保的可能性、信用记录及其它因素诸如目前市场状况等评估债务人的信用资质并设置</w:t>
      </w:r>
      <w:r>
        <w:rPr>
          <w:spacing w:val="40"/>
          <w:w w:val="95"/>
        </w:rPr>
        <w:t> </w:t>
      </w:r>
      <w:r>
        <w:rPr>
          <w:spacing w:val="40"/>
          <w:w w:val="95"/>
        </w:rPr>
      </w:r>
      <w:r>
        <w:rPr>
          <w:w w:val="95"/>
        </w:rPr>
        <w:t>相应欠款额度与信用期限。本集团已采取政策只与信用良好的交易对手方合作并在有必要时获取足够的抵</w:t>
      </w:r>
      <w:r>
        <w:rPr>
          <w:spacing w:val="37"/>
          <w:w w:val="95"/>
        </w:rPr>
        <w:t> </w:t>
      </w:r>
      <w:r>
        <w:rPr>
          <w:spacing w:val="37"/>
          <w:w w:val="95"/>
        </w:rPr>
      </w:r>
      <w:r>
        <w:rPr>
          <w:w w:val="95"/>
        </w:rPr>
        <w:t>押品，以此缓解因交易对手方未能履行合同义务而产生财务损失的风险。本集团会定期对债务人信用记录</w:t>
      </w:r>
      <w:r>
        <w:rPr>
          <w:spacing w:val="37"/>
          <w:w w:val="95"/>
        </w:rPr>
        <w:t> </w:t>
      </w:r>
      <w:r>
        <w:rPr>
          <w:spacing w:val="37"/>
          <w:w w:val="95"/>
        </w:rPr>
      </w:r>
      <w:r>
        <w:rPr>
          <w:w w:val="95"/>
        </w:rPr>
        <w:t>进行监控，对于信用记录不良的债务人，本集团会采用书面催款、缩短信用期或取消信用期等方式，以确</w:t>
      </w:r>
      <w:r>
        <w:rPr>
          <w:spacing w:val="38"/>
          <w:w w:val="95"/>
        </w:rPr>
        <w:t> </w:t>
      </w:r>
      <w:r>
        <w:rPr>
          <w:spacing w:val="38"/>
          <w:w w:val="95"/>
        </w:rPr>
      </w:r>
      <w:r>
        <w:rPr/>
        <w:t>保本集团的整体信用风险在可控的范围内。</w:t>
      </w:r>
    </w:p>
    <w:p>
      <w:pPr>
        <w:pStyle w:val="BodyText"/>
        <w:spacing w:line="273" w:lineRule="auto" w:before="128"/>
        <w:ind w:right="1132" w:firstLine="427"/>
        <w:jc w:val="both"/>
      </w:pPr>
      <w:r>
        <w:rPr>
          <w:w w:val="95"/>
        </w:rPr>
        <w:t>本集团应收账款的债务人主要为法院、检察院、教育局、学校等政府性质、事业单位性质的客户，信</w:t>
      </w:r>
      <w:r>
        <w:rPr>
          <w:w w:val="99"/>
        </w:rPr>
        <w:t> </w:t>
      </w:r>
      <w:r>
        <w:rPr/>
        <w:t>用风险较低。</w:t>
      </w:r>
    </w:p>
    <w:p>
      <w:pPr>
        <w:pStyle w:val="BodyText"/>
        <w:spacing w:line="240" w:lineRule="auto" w:before="127"/>
        <w:ind w:left="540" w:right="996"/>
        <w:jc w:val="left"/>
      </w:pPr>
      <w:r>
        <w:rPr/>
        <w:t>本集团应收账款中，欠款金额前五大客户的应收账款占本集团应收账款总额的</w:t>
      </w:r>
      <w:r>
        <w:rPr>
          <w:rFonts w:ascii="Arial" w:hAnsi="Arial" w:cs="Arial" w:eastAsia="Arial" w:hint="default"/>
        </w:rPr>
        <w:t>9.64%</w:t>
      </w:r>
      <w:r>
        <w:rPr/>
        <w:t>（</w:t>
      </w:r>
      <w:r>
        <w:rPr>
          <w:rFonts w:ascii="Arial" w:hAnsi="Arial" w:cs="Arial" w:eastAsia="Arial" w:hint="default"/>
        </w:rPr>
        <w:t>2018</w:t>
      </w:r>
      <w:r>
        <w:rPr/>
        <w:t>年：</w:t>
      </w:r>
    </w:p>
    <w:p>
      <w:pPr>
        <w:pStyle w:val="BodyText"/>
        <w:spacing w:line="240" w:lineRule="auto" w:before="22"/>
        <w:ind w:right="996"/>
        <w:jc w:val="left"/>
        <w:rPr>
          <w:rFonts w:ascii="Arial" w:hAnsi="Arial" w:cs="Arial" w:eastAsia="Arial" w:hint="default"/>
        </w:rPr>
      </w:pPr>
      <w:r>
        <w:rPr>
          <w:rFonts w:ascii="Arial" w:hAnsi="Arial" w:cs="Arial" w:eastAsia="Arial" w:hint="default"/>
        </w:rPr>
        <w:t>12.70%</w:t>
      </w:r>
      <w:r>
        <w:rPr/>
        <w:t>）；本集团其他应收款中，欠款金额前五大公司的其他应收款占本集团其他应收款总额的</w:t>
      </w:r>
      <w:r>
        <w:rPr>
          <w:rFonts w:ascii="Arial" w:hAnsi="Arial" w:cs="Arial" w:eastAsia="Arial" w:hint="default"/>
        </w:rPr>
        <w:t>23.30%</w:t>
      </w:r>
    </w:p>
    <w:p>
      <w:pPr>
        <w:pStyle w:val="BodyText"/>
        <w:spacing w:line="357" w:lineRule="auto" w:before="22"/>
        <w:ind w:left="540" w:right="2114" w:hanging="428"/>
        <w:jc w:val="left"/>
      </w:pPr>
      <w:r>
        <w:rPr/>
        <w:t>（</w:t>
      </w:r>
      <w:r>
        <w:rPr>
          <w:rFonts w:ascii="Arial" w:hAnsi="Arial" w:cs="Arial" w:eastAsia="Arial" w:hint="default"/>
        </w:rPr>
        <w:t>2018</w:t>
      </w:r>
      <w:r>
        <w:rPr/>
        <w:t>年：</w:t>
      </w:r>
      <w:r>
        <w:rPr>
          <w:rFonts w:ascii="Arial" w:hAnsi="Arial" w:cs="Arial" w:eastAsia="Arial" w:hint="default"/>
        </w:rPr>
        <w:t>21.87%</w:t>
      </w:r>
      <w:r>
        <w:rPr/>
        <w:t>）。</w:t>
      </w:r>
      <w:r>
        <w:rPr>
          <w:w w:val="99"/>
        </w:rPr>
        <w:t> </w:t>
      </w:r>
      <w:r>
        <w:rPr>
          <w:w w:val="95"/>
        </w:rPr>
        <w:t>截止</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日，相关资产的账面余额与预期信用减值损失情况如下：</w:t>
      </w:r>
      <w:r>
        <w:rPr/>
      </w:r>
    </w:p>
    <w:p>
      <w:pPr>
        <w:spacing w:line="240" w:lineRule="auto" w:before="2"/>
        <w:rPr>
          <w:rFonts w:ascii="宋体" w:hAnsi="宋体" w:cs="宋体" w:eastAsia="宋体" w:hint="default"/>
          <w:sz w:val="3"/>
          <w:szCs w:val="3"/>
        </w:rPr>
      </w:pPr>
    </w:p>
    <w:tbl>
      <w:tblPr>
        <w:tblW w:w="0" w:type="auto"/>
        <w:jc w:val="left"/>
        <w:tblInd w:w="248" w:type="dxa"/>
        <w:tblLayout w:type="fixed"/>
        <w:tblCellMar>
          <w:top w:w="0" w:type="dxa"/>
          <w:left w:w="0" w:type="dxa"/>
          <w:bottom w:w="0" w:type="dxa"/>
          <w:right w:w="0" w:type="dxa"/>
        </w:tblCellMar>
        <w:tblLook w:val="01E0"/>
      </w:tblPr>
      <w:tblGrid>
        <w:gridCol w:w="3507"/>
        <w:gridCol w:w="2993"/>
        <w:gridCol w:w="2714"/>
      </w:tblGrid>
      <w:tr>
        <w:trPr>
          <w:trHeight w:val="3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sz w:val="18"/>
                <w:szCs w:val="18"/>
              </w:rPr>
              <w:t>预期信用减值损失</w:t>
            </w:r>
          </w:p>
        </w:tc>
      </w:tr>
      <w:tr>
        <w:trPr>
          <w:trHeight w:val="3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3,385,781.54</w:t>
            </w:r>
          </w:p>
        </w:tc>
        <w:tc>
          <w:tcPr>
            <w:tcW w:w="271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Arial" w:hAnsi="Arial" w:cs="Arial" w:eastAsia="Arial" w:hint="default"/>
                <w:sz w:val="18"/>
                <w:szCs w:val="18"/>
              </w:rPr>
            </w:pPr>
            <w:r>
              <w:rPr>
                <w:rFonts w:ascii="Arial"/>
                <w:spacing w:val="-1"/>
                <w:sz w:val="18"/>
              </w:rPr>
              <w:t>1,195,895,913.73</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Arial" w:hAnsi="Arial" w:cs="Arial" w:eastAsia="Arial" w:hint="default"/>
                <w:sz w:val="18"/>
                <w:szCs w:val="18"/>
              </w:rPr>
            </w:pPr>
            <w:r>
              <w:rPr>
                <w:rFonts w:ascii="Arial"/>
                <w:spacing w:val="-2"/>
                <w:sz w:val="18"/>
              </w:rPr>
              <w:t>92,875,011.27</w:t>
            </w:r>
          </w:p>
        </w:tc>
      </w:tr>
      <w:tr>
        <w:trPr>
          <w:trHeight w:val="3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304,390,285.14</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25,717,510.71</w:t>
            </w:r>
          </w:p>
        </w:tc>
      </w:tr>
      <w:tr>
        <w:trPr>
          <w:trHeight w:val="347"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Arial" w:hAnsi="Arial" w:cs="Arial" w:eastAsia="Arial" w:hint="default"/>
                <w:sz w:val="18"/>
                <w:szCs w:val="18"/>
              </w:rPr>
            </w:pPr>
            <w:r>
              <w:rPr>
                <w:rFonts w:ascii="Arial"/>
                <w:spacing w:val="-1"/>
                <w:sz w:val="18"/>
              </w:rPr>
              <w:t>1,503,671,980.41</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Arial" w:hAnsi="Arial" w:cs="Arial" w:eastAsia="Arial" w:hint="default"/>
                <w:sz w:val="18"/>
                <w:szCs w:val="18"/>
              </w:rPr>
            </w:pPr>
            <w:r>
              <w:rPr>
                <w:rFonts w:ascii="Arial"/>
                <w:spacing w:val="-2"/>
                <w:sz w:val="18"/>
              </w:rPr>
              <w:t>118,592,521.98</w:t>
            </w:r>
          </w:p>
        </w:tc>
      </w:tr>
    </w:tbl>
    <w:p>
      <w:pPr>
        <w:spacing w:line="240" w:lineRule="auto" w:before="7"/>
        <w:rPr>
          <w:rFonts w:ascii="宋体" w:hAnsi="宋体" w:cs="宋体" w:eastAsia="宋体" w:hint="default"/>
          <w:sz w:val="5"/>
          <w:szCs w:val="5"/>
        </w:rPr>
      </w:pPr>
    </w:p>
    <w:p>
      <w:pPr>
        <w:pStyle w:val="Heading4"/>
        <w:spacing w:line="240" w:lineRule="auto"/>
        <w:ind w:right="996"/>
        <w:jc w:val="left"/>
        <w:rPr>
          <w:b w:val="0"/>
          <w:bCs w:val="0"/>
        </w:rPr>
      </w:pPr>
      <w:r>
        <w:rPr/>
        <w:t>（二）流动性风险</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4"/>
        <w:ind w:left="540" w:right="996"/>
        <w:jc w:val="left"/>
      </w:pPr>
      <w:r>
        <w:rPr/>
        <w:t>流动性风险，是指本集团在履行以交付现金或其他金融资产的方式结算的义务时发生资金短缺的风</w:t>
      </w:r>
    </w:p>
    <w:p>
      <w:pPr>
        <w:pStyle w:val="BodyText"/>
        <w:spacing w:line="240" w:lineRule="auto" w:before="37"/>
        <w:ind w:right="996"/>
        <w:jc w:val="left"/>
      </w:pPr>
      <w:r>
        <w:rPr/>
        <w:t>险。</w:t>
      </w:r>
    </w:p>
    <w:p>
      <w:pPr>
        <w:spacing w:line="240" w:lineRule="auto" w:before="5"/>
        <w:rPr>
          <w:rFonts w:ascii="宋体" w:hAnsi="宋体" w:cs="宋体" w:eastAsia="宋体" w:hint="default"/>
          <w:sz w:val="9"/>
          <w:szCs w:val="9"/>
        </w:rPr>
      </w:pPr>
    </w:p>
    <w:p>
      <w:pPr>
        <w:pStyle w:val="BodyText"/>
        <w:spacing w:line="273" w:lineRule="auto" w:before="34"/>
        <w:ind w:right="1025" w:firstLine="427"/>
        <w:jc w:val="left"/>
      </w:pPr>
      <w:r>
        <w:rPr/>
        <w:t>管理流动风险时，本集团保持管理层认为充分的现金及现金等价物并对其进行监控，以满足本集团经</w:t>
      </w:r>
      <w:r>
        <w:rPr>
          <w:w w:val="99"/>
        </w:rPr>
        <w:t> </w:t>
      </w:r>
      <w:r>
        <w:rPr>
          <w:spacing w:val="-3"/>
        </w:rPr>
        <w:t>营需要，并降低现金流量波动的影响。本集团管理层对银行借款的使用情况进行监控并确保遵守借款协议。</w:t>
      </w:r>
      <w:r>
        <w:rPr>
          <w:w w:val="99"/>
        </w:rPr>
        <w:t> </w:t>
      </w:r>
      <w:r>
        <w:rPr/>
        <w:t>同时从主要金融机构获得提供足够备用资金的承诺，以满足短期和长期的资金需求。</w:t>
      </w:r>
    </w:p>
    <w:p>
      <w:pPr>
        <w:pStyle w:val="BodyText"/>
        <w:spacing w:line="432" w:lineRule="exact" w:before="27"/>
        <w:ind w:left="540" w:right="996"/>
        <w:jc w:val="left"/>
      </w:pPr>
      <w:r>
        <w:rPr/>
        <w:t>本集团通过经营业务产生的资金及银行及其他借款来筹措营运资金。</w:t>
      </w:r>
      <w:r>
        <w:rPr>
          <w:w w:val="99"/>
        </w:rPr>
        <w:t> </w:t>
      </w:r>
      <w:r>
        <w:rPr>
          <w:w w:val="95"/>
        </w:rPr>
        <w:t>截止</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日，本公司金融负债和表外担保项目以未折现的合同现金流量按合同剩余期限列</w:t>
      </w:r>
      <w:r>
        <w:rPr/>
      </w:r>
    </w:p>
    <w:p>
      <w:pPr>
        <w:pStyle w:val="BodyText"/>
        <w:spacing w:line="255" w:lineRule="exact"/>
        <w:ind w:right="996"/>
        <w:jc w:val="left"/>
      </w:pPr>
      <w:r>
        <w:rPr/>
        <w:t>示如下：</w:t>
      </w:r>
    </w:p>
    <w:p>
      <w:pPr>
        <w:spacing w:line="240" w:lineRule="auto" w:before="1"/>
        <w:rPr>
          <w:rFonts w:ascii="宋体" w:hAnsi="宋体" w:cs="宋体" w:eastAsia="宋体" w:hint="default"/>
          <w:sz w:val="13"/>
          <w:szCs w:val="13"/>
        </w:rPr>
      </w:pPr>
    </w:p>
    <w:tbl>
      <w:tblPr>
        <w:tblW w:w="0" w:type="auto"/>
        <w:jc w:val="left"/>
        <w:tblInd w:w="248" w:type="dxa"/>
        <w:tblLayout w:type="fixed"/>
        <w:tblCellMar>
          <w:top w:w="0" w:type="dxa"/>
          <w:left w:w="0" w:type="dxa"/>
          <w:bottom w:w="0" w:type="dxa"/>
          <w:right w:w="0" w:type="dxa"/>
        </w:tblCellMar>
        <w:tblLook w:val="01E0"/>
      </w:tblPr>
      <w:tblGrid>
        <w:gridCol w:w="2214"/>
        <w:gridCol w:w="1233"/>
        <w:gridCol w:w="1468"/>
        <w:gridCol w:w="1398"/>
        <w:gridCol w:w="1433"/>
        <w:gridCol w:w="1468"/>
      </w:tblGrid>
      <w:tr>
        <w:trPr>
          <w:trHeight w:val="347" w:hRule="exact"/>
        </w:trPr>
        <w:tc>
          <w:tcPr>
            <w:tcW w:w="221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214" w:type="dxa"/>
            <w:vMerge/>
            <w:tcBorders>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即时偿还</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年</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Arial" w:hAnsi="Arial" w:cs="Arial" w:eastAsia="Arial" w:hint="default"/>
                <w:sz w:val="18"/>
                <w:szCs w:val="18"/>
              </w:rPr>
            </w:pPr>
            <w:r>
              <w:rPr>
                <w:rFonts w:ascii="Arial"/>
                <w:spacing w:val="-1"/>
                <w:sz w:val="18"/>
              </w:rPr>
              <w:t>9,552,801.00</w:t>
            </w:r>
          </w:p>
        </w:tc>
        <w:tc>
          <w:tcPr>
            <w:tcW w:w="1398"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Arial" w:hAnsi="Arial" w:cs="Arial" w:eastAsia="Arial" w:hint="default"/>
                <w:sz w:val="18"/>
                <w:szCs w:val="18"/>
              </w:rPr>
            </w:pPr>
            <w:r>
              <w:rPr>
                <w:rFonts w:ascii="Arial"/>
                <w:spacing w:val="-1"/>
                <w:sz w:val="18"/>
              </w:rPr>
              <w:t>9,552,801.00</w:t>
            </w:r>
          </w:p>
        </w:tc>
      </w:tr>
      <w:tr>
        <w:trPr>
          <w:trHeight w:val="347"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506,531,938.85</w:t>
            </w:r>
          </w:p>
        </w:tc>
        <w:tc>
          <w:tcPr>
            <w:tcW w:w="1398"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506,531,938.85</w:t>
            </w:r>
          </w:p>
        </w:tc>
      </w:tr>
      <w:tr>
        <w:trPr>
          <w:trHeight w:val="345"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Arial" w:hAnsi="Arial" w:cs="Arial" w:eastAsia="Arial" w:hint="default"/>
                <w:sz w:val="18"/>
                <w:szCs w:val="18"/>
              </w:rPr>
            </w:pPr>
            <w:r>
              <w:rPr>
                <w:rFonts w:ascii="Arial"/>
                <w:spacing w:val="-2"/>
                <w:sz w:val="18"/>
              </w:rPr>
              <w:t>115,518,966.80</w:t>
            </w:r>
          </w:p>
        </w:tc>
        <w:tc>
          <w:tcPr>
            <w:tcW w:w="1398"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Arial" w:hAnsi="Arial" w:cs="Arial" w:eastAsia="Arial" w:hint="default"/>
                <w:sz w:val="18"/>
                <w:szCs w:val="18"/>
              </w:rPr>
            </w:pPr>
            <w:r>
              <w:rPr>
                <w:rFonts w:ascii="Arial"/>
                <w:spacing w:val="-2"/>
                <w:sz w:val="18"/>
              </w:rPr>
              <w:t>115,518,966.80</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248" w:type="dxa"/>
        <w:tblLayout w:type="fixed"/>
        <w:tblCellMar>
          <w:top w:w="0" w:type="dxa"/>
          <w:left w:w="0" w:type="dxa"/>
          <w:bottom w:w="0" w:type="dxa"/>
          <w:right w:w="0" w:type="dxa"/>
        </w:tblCellMar>
        <w:tblLook w:val="01E0"/>
      </w:tblPr>
      <w:tblGrid>
        <w:gridCol w:w="2214"/>
        <w:gridCol w:w="1233"/>
        <w:gridCol w:w="1468"/>
        <w:gridCol w:w="1398"/>
        <w:gridCol w:w="1433"/>
        <w:gridCol w:w="1468"/>
      </w:tblGrid>
      <w:tr>
        <w:trPr>
          <w:trHeight w:val="347"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1" w:right="-1"/>
              <w:jc w:val="left"/>
              <w:rPr>
                <w:rFonts w:ascii="Arial" w:hAnsi="Arial" w:cs="Arial" w:eastAsia="Arial" w:hint="default"/>
                <w:sz w:val="18"/>
                <w:szCs w:val="18"/>
              </w:rPr>
            </w:pPr>
            <w:r>
              <w:rPr>
                <w:rFonts w:ascii="Arial"/>
                <w:sz w:val="18"/>
              </w:rPr>
              <w:t>631,603,706.65</w:t>
            </w:r>
          </w:p>
        </w:tc>
        <w:tc>
          <w:tcPr>
            <w:tcW w:w="1398"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1" w:right="0"/>
              <w:jc w:val="left"/>
              <w:rPr>
                <w:rFonts w:ascii="Arial" w:hAnsi="Arial" w:cs="Arial" w:eastAsia="Arial" w:hint="default"/>
                <w:sz w:val="18"/>
                <w:szCs w:val="18"/>
              </w:rPr>
            </w:pPr>
            <w:r>
              <w:rPr>
                <w:rFonts w:ascii="Arial"/>
                <w:sz w:val="18"/>
              </w:rPr>
              <w:t>631,603,706.65</w:t>
            </w:r>
          </w:p>
        </w:tc>
      </w:tr>
    </w:tbl>
    <w:p>
      <w:pPr>
        <w:spacing w:line="240" w:lineRule="auto" w:before="7"/>
        <w:rPr>
          <w:rFonts w:ascii="宋体" w:hAnsi="宋体" w:cs="宋体" w:eastAsia="宋体" w:hint="default"/>
          <w:sz w:val="5"/>
          <w:szCs w:val="5"/>
        </w:rPr>
      </w:pPr>
    </w:p>
    <w:p>
      <w:pPr>
        <w:pStyle w:val="Heading4"/>
        <w:spacing w:line="240" w:lineRule="auto"/>
        <w:ind w:right="996"/>
        <w:jc w:val="left"/>
        <w:rPr>
          <w:b w:val="0"/>
          <w:bCs w:val="0"/>
        </w:rPr>
      </w:pPr>
      <w:r>
        <w:rPr/>
        <w:t>（三）市场风险</w:t>
      </w:r>
      <w:r>
        <w:rPr>
          <w:b w:val="0"/>
          <w:bCs w:val="0"/>
        </w:rPr>
      </w:r>
    </w:p>
    <w:p>
      <w:pPr>
        <w:pStyle w:val="BodyText"/>
        <w:spacing w:line="357" w:lineRule="auto" w:before="157"/>
        <w:ind w:left="540" w:right="996" w:firstLine="172"/>
        <w:jc w:val="left"/>
      </w:pPr>
      <w:r>
        <w:rPr>
          <w:rFonts w:ascii="Arial" w:hAnsi="Arial" w:cs="Arial" w:eastAsia="Arial" w:hint="default"/>
          <w:b/>
          <w:bCs/>
        </w:rPr>
        <w:t>1</w:t>
      </w:r>
      <w:r>
        <w:rPr>
          <w:rFonts w:ascii="宋体" w:hAnsi="宋体" w:cs="宋体" w:eastAsia="宋体" w:hint="default"/>
          <w:b/>
          <w:bCs/>
        </w:rPr>
        <w:t>、利率风险</w:t>
      </w:r>
      <w:r>
        <w:rPr>
          <w:rFonts w:ascii="宋体" w:hAnsi="宋体" w:cs="宋体" w:eastAsia="宋体" w:hint="default"/>
          <w:b/>
          <w:bCs/>
          <w:w w:val="99"/>
        </w:rPr>
        <w:t> </w:t>
      </w:r>
      <w:r>
        <w:rPr>
          <w:w w:val="95"/>
        </w:rPr>
        <w:t>利率风险，是指金融工具的公允价值或未来现金流量因市场利率变动而发生波动的风险。利率风险可</w:t>
      </w:r>
      <w:r>
        <w:rPr/>
      </w:r>
    </w:p>
    <w:p>
      <w:pPr>
        <w:pStyle w:val="BodyText"/>
        <w:spacing w:line="209" w:lineRule="exact"/>
        <w:ind w:right="996"/>
        <w:jc w:val="left"/>
      </w:pPr>
      <w:r>
        <w:rPr/>
        <w:t>源于已确认的计息金融工具和未确认的金融工具（如某些贷款承诺）。</w:t>
      </w:r>
    </w:p>
    <w:p>
      <w:pPr>
        <w:pStyle w:val="BodyText"/>
        <w:spacing w:line="430" w:lineRule="atLeast" w:before="2"/>
        <w:ind w:left="540" w:right="996"/>
        <w:jc w:val="left"/>
      </w:pPr>
      <w:r>
        <w:rPr/>
        <w:t>本集团的长期带息债务金额较小且利率固定，因此集团利率风险较小。</w:t>
      </w:r>
      <w:r>
        <w:rPr>
          <w:w w:val="99"/>
        </w:rPr>
        <w:t> </w:t>
      </w:r>
      <w:r>
        <w:rPr>
          <w:w w:val="95"/>
        </w:rPr>
        <w:t>本集团密切关注利率变动对本集团利率风险的影响。本集团目前并未采取利率对冲政策。但管理层负</w:t>
      </w:r>
      <w:r>
        <w:rPr/>
      </w:r>
    </w:p>
    <w:p>
      <w:pPr>
        <w:pStyle w:val="BodyText"/>
        <w:spacing w:line="273" w:lineRule="auto" w:before="37"/>
        <w:ind w:right="996"/>
        <w:jc w:val="left"/>
      </w:pPr>
      <w:r>
        <w:rPr>
          <w:w w:val="95"/>
        </w:rPr>
        <w:t>责监控利率风险，并将于需要时考虑对冲重大利率风险。由于定期存款为短期存款，故银行存款的公允价</w:t>
      </w:r>
      <w:r>
        <w:rPr>
          <w:spacing w:val="40"/>
          <w:w w:val="95"/>
        </w:rPr>
        <w:t> </w:t>
      </w:r>
      <w:r>
        <w:rPr>
          <w:spacing w:val="40"/>
          <w:w w:val="95"/>
        </w:rPr>
      </w:r>
      <w:r>
        <w:rPr/>
        <w:t>值利率风险并不重大。</w:t>
      </w:r>
    </w:p>
    <w:p>
      <w:pPr>
        <w:pStyle w:val="BodyText"/>
        <w:spacing w:line="240" w:lineRule="auto" w:before="127"/>
        <w:ind w:left="540" w:right="996"/>
        <w:jc w:val="left"/>
      </w:pPr>
      <w:r>
        <w:rPr/>
        <w:t>本集团持有的计息金融工具如下（单位：人民币万元）：</w:t>
      </w:r>
    </w:p>
    <w:p>
      <w:pPr>
        <w:spacing w:line="240" w:lineRule="auto" w:before="1"/>
        <w:rPr>
          <w:rFonts w:ascii="宋体" w:hAnsi="宋体" w:cs="宋体" w:eastAsia="宋体" w:hint="default"/>
          <w:sz w:val="13"/>
          <w:szCs w:val="13"/>
        </w:rPr>
      </w:pPr>
    </w:p>
    <w:tbl>
      <w:tblPr>
        <w:tblW w:w="0" w:type="auto"/>
        <w:jc w:val="left"/>
        <w:tblInd w:w="248" w:type="dxa"/>
        <w:tblLayout w:type="fixed"/>
        <w:tblCellMar>
          <w:top w:w="0" w:type="dxa"/>
          <w:left w:w="0" w:type="dxa"/>
          <w:bottom w:w="0" w:type="dxa"/>
          <w:right w:w="0" w:type="dxa"/>
        </w:tblCellMar>
        <w:tblLook w:val="01E0"/>
      </w:tblPr>
      <w:tblGrid>
        <w:gridCol w:w="3199"/>
        <w:gridCol w:w="3146"/>
        <w:gridCol w:w="2869"/>
      </w:tblGrid>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2,700.00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其中：长期应付款</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2,700.00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2,700.00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spacing w:val="-1"/>
                <w:sz w:val="18"/>
              </w:rPr>
              <w:t>235,659.84</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130,314.20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Arial" w:hAnsi="Arial" w:cs="Arial" w:eastAsia="Arial" w:hint="default"/>
                <w:sz w:val="18"/>
                <w:szCs w:val="18"/>
              </w:rPr>
            </w:pPr>
            <w:r>
              <w:rPr>
                <w:rFonts w:ascii="Arial"/>
                <w:spacing w:val="-1"/>
                <w:sz w:val="18"/>
              </w:rPr>
              <w:t>235,659.84</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Arial" w:hAnsi="Arial" w:cs="Arial" w:eastAsia="Arial" w:hint="default"/>
                <w:sz w:val="18"/>
                <w:szCs w:val="18"/>
              </w:rPr>
            </w:pPr>
            <w:r>
              <w:rPr>
                <w:rFonts w:ascii="Arial"/>
                <w:spacing w:val="-1"/>
                <w:sz w:val="18"/>
              </w:rPr>
              <w:t>130,314.20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3,900.00</w:t>
            </w:r>
          </w:p>
        </w:tc>
      </w:tr>
      <w:tr>
        <w:trPr>
          <w:trHeight w:val="42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3,900.00</w:t>
            </w:r>
          </w:p>
        </w:tc>
      </w:tr>
    </w:tbl>
    <w:p>
      <w:pPr>
        <w:spacing w:line="240" w:lineRule="auto" w:before="6"/>
        <w:rPr>
          <w:rFonts w:ascii="宋体" w:hAnsi="宋体" w:cs="宋体" w:eastAsia="宋体" w:hint="default"/>
          <w:sz w:val="5"/>
          <w:szCs w:val="5"/>
        </w:rPr>
      </w:pPr>
    </w:p>
    <w:p>
      <w:pPr>
        <w:pStyle w:val="BodyText"/>
        <w:spacing w:line="259" w:lineRule="auto" w:before="34"/>
        <w:ind w:right="996" w:firstLine="427"/>
        <w:jc w:val="left"/>
      </w:pP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日，如果以浮动利率计算的借款利率上升或下降</w:t>
      </w:r>
      <w:r>
        <w:rPr>
          <w:rFonts w:ascii="Arial" w:hAnsi="Arial" w:cs="Arial" w:eastAsia="Arial" w:hint="default"/>
          <w:w w:val="95"/>
        </w:rPr>
        <w:t>50</w:t>
      </w:r>
      <w:r>
        <w:rPr>
          <w:w w:val="95"/>
        </w:rPr>
        <w:t>个基点，而其它因素保持不变，本</w:t>
      </w:r>
      <w:r>
        <w:rPr>
          <w:spacing w:val="-95"/>
          <w:w w:val="95"/>
        </w:rPr>
        <w:t> </w:t>
      </w:r>
      <w:r>
        <w:rPr>
          <w:spacing w:val="-95"/>
          <w:w w:val="95"/>
        </w:rPr>
      </w:r>
      <w:r>
        <w:rPr/>
        <w:t>集团的净利润及股东权益不发生变化（</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632.07</w:t>
      </w:r>
      <w:r>
        <w:rPr/>
        <w:t>万元）。</w:t>
      </w:r>
    </w:p>
    <w:p>
      <w:pPr>
        <w:pStyle w:val="BodyText"/>
        <w:spacing w:line="357" w:lineRule="auto" w:before="123"/>
        <w:ind w:left="540" w:right="996" w:hanging="36"/>
        <w:jc w:val="left"/>
      </w:pPr>
      <w:r>
        <w:rPr>
          <w:rFonts w:ascii="Arial" w:hAnsi="Arial" w:cs="Arial" w:eastAsia="Arial" w:hint="default"/>
          <w:b/>
          <w:bCs/>
        </w:rPr>
        <w:t>2</w:t>
      </w:r>
      <w:r>
        <w:rPr>
          <w:rFonts w:ascii="宋体" w:hAnsi="宋体" w:cs="宋体" w:eastAsia="宋体" w:hint="default"/>
          <w:b/>
          <w:bCs/>
        </w:rPr>
        <w:t>、价格风险</w:t>
      </w:r>
      <w:r>
        <w:rPr>
          <w:rFonts w:ascii="宋体" w:hAnsi="宋体" w:cs="宋体" w:eastAsia="宋体" w:hint="default"/>
          <w:b/>
          <w:bCs/>
          <w:w w:val="99"/>
        </w:rPr>
        <w:t> </w:t>
      </w:r>
      <w:r>
        <w:rPr>
          <w:w w:val="95"/>
        </w:rPr>
        <w:t>价格风险指汇率风险和利率风险以外的市场价格变动而发生波动的风险，主要源于商品价格、股票市</w:t>
      </w:r>
      <w:r>
        <w:rPr/>
      </w:r>
    </w:p>
    <w:p>
      <w:pPr>
        <w:pStyle w:val="BodyText"/>
        <w:spacing w:line="209" w:lineRule="exact"/>
        <w:ind w:right="996"/>
        <w:jc w:val="left"/>
      </w:pPr>
      <w:r>
        <w:rPr/>
        <w:t>场指数、权益工具价格以及其他风险变量的变化。</w:t>
      </w:r>
    </w:p>
    <w:p>
      <w:pPr>
        <w:pStyle w:val="BodyText"/>
        <w:spacing w:line="268" w:lineRule="auto" w:before="157"/>
        <w:ind w:right="996" w:firstLine="427"/>
        <w:jc w:val="left"/>
      </w:pPr>
      <w:r>
        <w:rPr>
          <w:w w:val="95"/>
        </w:rPr>
        <w:t>权益工具投资价格风险，是指权益性证券的公允价值因股票指数水平和个别证券价值的变化而降低的</w:t>
      </w:r>
      <w:r>
        <w:rPr>
          <w:w w:val="99"/>
        </w:rPr>
        <w:t> </w:t>
      </w:r>
      <w:r>
        <w:rPr/>
        <w:t>风险。于</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日，本公司因归类为可供出售权益工具投资的个别权益工具投资而产生的权益工</w:t>
      </w:r>
      <w:r>
        <w:rPr>
          <w:w w:val="99"/>
        </w:rPr>
        <w:t> </w:t>
      </w:r>
      <w:r>
        <w:rPr>
          <w:w w:val="95"/>
        </w:rPr>
        <w:t>具投资价格风险之下。本公司持有的上市权益工具投资在证券交易所上市，并在资产负债表日以市场报价  </w:t>
      </w:r>
      <w:r>
        <w:rPr>
          <w:spacing w:val="40"/>
          <w:w w:val="95"/>
        </w:rPr>
        <w:t> </w:t>
      </w:r>
      <w:r>
        <w:rPr>
          <w:spacing w:val="40"/>
          <w:w w:val="95"/>
        </w:rPr>
      </w:r>
      <w:r>
        <w:rPr/>
        <w:t>计量。</w:t>
      </w:r>
    </w:p>
    <w:p>
      <w:pPr>
        <w:pStyle w:val="BodyText"/>
        <w:spacing w:line="268" w:lineRule="auto" w:before="132"/>
        <w:ind w:right="996" w:firstLine="427"/>
        <w:jc w:val="left"/>
      </w:pPr>
      <w:r>
        <w:rPr>
          <w:w w:val="95"/>
        </w:rPr>
        <w:t>下表说明了，在所有其他变量保持不变，本公司的净损益和其他综合收益的税后净额对权益工具投资</w:t>
      </w:r>
      <w:r>
        <w:rPr>
          <w:w w:val="99"/>
        </w:rPr>
        <w:t> </w:t>
      </w:r>
      <w:r>
        <w:rPr/>
        <w:t>的公允价值的每</w:t>
      </w:r>
      <w:r>
        <w:rPr>
          <w:rFonts w:ascii="Arial" w:hAnsi="Arial" w:cs="Arial" w:eastAsia="Arial" w:hint="default"/>
        </w:rPr>
        <w:t>5%</w:t>
      </w:r>
      <w:r>
        <w:rPr/>
        <w:t>的变动（以资产负债表日的账面价值为基础）的敏感性。就本敏感性分析而言，对于</w:t>
      </w:r>
      <w:r>
        <w:rPr>
          <w:w w:val="99"/>
        </w:rPr>
        <w:t> </w:t>
      </w:r>
      <w:r>
        <w:rPr>
          <w:w w:val="95"/>
        </w:rPr>
        <w:t>可供出售权益工具投资，该影响被视为对可供出售权益工具投资公允价值变动的影响，而不考虑可能影响</w:t>
      </w:r>
      <w:r>
        <w:rPr>
          <w:spacing w:val="37"/>
          <w:w w:val="95"/>
        </w:rPr>
        <w:t> </w:t>
      </w:r>
      <w:r>
        <w:rPr>
          <w:spacing w:val="37"/>
          <w:w w:val="95"/>
        </w:rPr>
      </w:r>
      <w:r>
        <w:rPr/>
        <w:t>利润表的减值等因素。</w:t>
      </w:r>
    </w:p>
    <w:p>
      <w:pPr>
        <w:spacing w:line="240" w:lineRule="auto" w:before="3"/>
        <w:rPr>
          <w:rFonts w:ascii="宋体" w:hAnsi="宋体" w:cs="宋体" w:eastAsia="宋体" w:hint="default"/>
          <w:sz w:val="11"/>
          <w:szCs w:val="11"/>
        </w:rPr>
      </w:pPr>
    </w:p>
    <w:tbl>
      <w:tblPr>
        <w:tblW w:w="0" w:type="auto"/>
        <w:jc w:val="left"/>
        <w:tblInd w:w="248" w:type="dxa"/>
        <w:tblLayout w:type="fixed"/>
        <w:tblCellMar>
          <w:top w:w="0" w:type="dxa"/>
          <w:left w:w="0" w:type="dxa"/>
          <w:bottom w:w="0" w:type="dxa"/>
          <w:right w:w="0" w:type="dxa"/>
        </w:tblCellMar>
        <w:tblLook w:val="01E0"/>
      </w:tblPr>
      <w:tblGrid>
        <w:gridCol w:w="965"/>
        <w:gridCol w:w="1856"/>
        <w:gridCol w:w="1857"/>
        <w:gridCol w:w="1857"/>
        <w:gridCol w:w="2679"/>
      </w:tblGrid>
      <w:tr>
        <w:trPr>
          <w:trHeight w:val="65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59" w:right="379" w:hanging="180"/>
              <w:jc w:val="left"/>
              <w:rPr>
                <w:rFonts w:ascii="宋体" w:hAnsi="宋体" w:cs="宋体" w:eastAsia="宋体" w:hint="default"/>
                <w:sz w:val="18"/>
                <w:szCs w:val="18"/>
              </w:rPr>
            </w:pPr>
            <w:r>
              <w:rPr>
                <w:rFonts w:ascii="宋体" w:hAnsi="宋体" w:cs="宋体" w:eastAsia="宋体" w:hint="default"/>
                <w:sz w:val="18"/>
                <w:szCs w:val="18"/>
              </w:rPr>
              <w:t>权益工具投资 账面价值</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净损益增加</w:t>
            </w:r>
          </w:p>
          <w:p>
            <w:pPr>
              <w:pStyle w:val="TableParagraph"/>
              <w:spacing w:line="240" w:lineRule="auto" w:before="76"/>
              <w:ind w:left="561"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90" w:right="22" w:hanging="272"/>
              <w:jc w:val="left"/>
              <w:rPr>
                <w:rFonts w:ascii="宋体" w:hAnsi="宋体" w:cs="宋体" w:eastAsia="宋体" w:hint="default"/>
                <w:sz w:val="18"/>
                <w:szCs w:val="18"/>
              </w:rPr>
            </w:pPr>
            <w:r>
              <w:rPr>
                <w:rFonts w:ascii="宋体" w:hAnsi="宋体" w:cs="宋体" w:eastAsia="宋体" w:hint="default"/>
                <w:sz w:val="18"/>
                <w:szCs w:val="18"/>
              </w:rPr>
              <w:t>其他综合收益的税后净 额增加（减少）</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0" w:right="793"/>
              <w:jc w:val="left"/>
              <w:rPr>
                <w:rFonts w:ascii="宋体" w:hAnsi="宋体" w:cs="宋体" w:eastAsia="宋体" w:hint="default"/>
                <w:sz w:val="18"/>
                <w:szCs w:val="18"/>
              </w:rPr>
            </w:pPr>
            <w:r>
              <w:rPr>
                <w:rFonts w:ascii="宋体" w:hAnsi="宋体" w:cs="宋体" w:eastAsia="宋体" w:hint="default"/>
                <w:sz w:val="18"/>
                <w:szCs w:val="18"/>
              </w:rPr>
              <w:t>股东权益合计 增加（减少）</w:t>
            </w:r>
          </w:p>
        </w:tc>
      </w:tr>
    </w:tbl>
    <w:p>
      <w:pPr>
        <w:spacing w:after="0" w:line="316"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248" w:type="dxa"/>
        <w:tblLayout w:type="fixed"/>
        <w:tblCellMar>
          <w:top w:w="0" w:type="dxa"/>
          <w:left w:w="0" w:type="dxa"/>
          <w:bottom w:w="0" w:type="dxa"/>
          <w:right w:w="0" w:type="dxa"/>
        </w:tblCellMar>
        <w:tblLook w:val="01E0"/>
      </w:tblPr>
      <w:tblGrid>
        <w:gridCol w:w="965"/>
        <w:gridCol w:w="1856"/>
        <w:gridCol w:w="1857"/>
        <w:gridCol w:w="1857"/>
        <w:gridCol w:w="2679"/>
      </w:tblGrid>
      <w:tr>
        <w:trPr>
          <w:trHeight w:val="42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宋体" w:hAnsi="宋体" w:cs="宋体" w:eastAsia="宋体" w:hint="default"/>
                <w:sz w:val="18"/>
                <w:szCs w:val="18"/>
              </w:rPr>
              <w:t>年</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209,340,000.00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5,482,500.00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3,414,450.00</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8,896,950.00</w:t>
            </w:r>
          </w:p>
        </w:tc>
      </w:tr>
      <w:tr>
        <w:trPr>
          <w:trHeight w:val="427"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宋体" w:hAnsi="宋体" w:cs="宋体" w:eastAsia="宋体" w:hint="default"/>
                <w:sz w:val="18"/>
                <w:szCs w:val="18"/>
              </w:rPr>
              <w:t>年</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131,000,000.00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2,295,000.00</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Arial" w:hAnsi="Arial" w:cs="Arial" w:eastAsia="Arial" w:hint="default"/>
                <w:sz w:val="18"/>
                <w:szCs w:val="18"/>
              </w:rPr>
            </w:pPr>
            <w:r>
              <w:rPr>
                <w:rFonts w:ascii="Arial"/>
                <w:spacing w:val="-1"/>
                <w:sz w:val="18"/>
              </w:rPr>
              <w:t>3,272,500.00</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Arial" w:hAnsi="Arial" w:cs="Arial" w:eastAsia="Arial" w:hint="default"/>
                <w:sz w:val="18"/>
                <w:szCs w:val="18"/>
              </w:rPr>
            </w:pPr>
            <w:r>
              <w:rPr>
                <w:rFonts w:ascii="Arial"/>
                <w:spacing w:val="-1"/>
                <w:sz w:val="18"/>
              </w:rPr>
              <w:t>5,567,500.00</w:t>
            </w:r>
          </w:p>
        </w:tc>
      </w:tr>
    </w:tbl>
    <w:p>
      <w:pPr>
        <w:spacing w:line="240" w:lineRule="auto" w:before="2"/>
        <w:rPr>
          <w:rFonts w:ascii="宋体" w:hAnsi="宋体" w:cs="宋体" w:eastAsia="宋体" w:hint="default"/>
          <w:sz w:val="18"/>
          <w:szCs w:val="18"/>
        </w:rPr>
      </w:pPr>
    </w:p>
    <w:p>
      <w:pPr>
        <w:pStyle w:val="Heading2"/>
        <w:spacing w:line="240" w:lineRule="auto" w:before="26"/>
        <w:ind w:right="996"/>
        <w:jc w:val="left"/>
        <w:rPr>
          <w:b w:val="0"/>
          <w:bCs w:val="0"/>
        </w:rPr>
      </w:pPr>
      <w:bookmarkStart w:name="十一、公允价值的披露" w:id="328"/>
      <w:bookmarkEnd w:id="328"/>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以公允价值计量的资产和负债的期末公允价值" w:id="329"/>
      <w:bookmarkEnd w:id="329"/>
      <w:r>
        <w:rPr>
          <w:b w:val="0"/>
          <w:bCs w:val="0"/>
        </w:rPr>
      </w:r>
      <w:r>
        <w:rPr>
          <w:rFonts w:ascii="Arial" w:hAnsi="Arial" w:cs="Arial" w:eastAsia="Arial"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421"/>
        <w:gridCol w:w="1913"/>
        <w:gridCol w:w="1913"/>
        <w:gridCol w:w="1913"/>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165"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Arial" w:hAnsi="Arial" w:cs="Arial" w:eastAsia="Arial" w:hint="default"/>
                <w:sz w:val="18"/>
                <w:szCs w:val="18"/>
              </w:rPr>
            </w:pPr>
            <w:r>
              <w:rPr>
                <w:rFonts w:ascii="Arial"/>
                <w:sz w:val="18"/>
              </w:rPr>
              <w:t>--</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（一）其他权益工具投资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80,340,000.00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80,340,000.00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（二）其他非流动金融资产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129,000,000.00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129,000,000.00</w:t>
            </w:r>
          </w:p>
        </w:tc>
      </w:tr>
    </w:tbl>
    <w:p>
      <w:pPr>
        <w:spacing w:line="240" w:lineRule="auto" w:before="5"/>
        <w:rPr>
          <w:rFonts w:ascii="宋体" w:hAnsi="宋体" w:cs="宋体" w:eastAsia="宋体" w:hint="default"/>
          <w:sz w:val="5"/>
          <w:szCs w:val="5"/>
        </w:rPr>
      </w:pPr>
    </w:p>
    <w:p>
      <w:pPr>
        <w:pStyle w:val="BodyText"/>
        <w:spacing w:line="266" w:lineRule="auto" w:before="34"/>
        <w:ind w:right="996" w:firstLine="427"/>
        <w:jc w:val="left"/>
      </w:pPr>
      <w:r>
        <w:rPr/>
        <w:t>本公司按公允价值三个层次列示了以公允价值计量的金融资产工具于</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日的账面价值。</w:t>
      </w:r>
      <w:r>
        <w:rPr>
          <w:w w:val="99"/>
        </w:rPr>
        <w:t> </w:t>
      </w:r>
      <w:r>
        <w:rPr>
          <w:w w:val="95"/>
        </w:rPr>
        <w:t>公允价值整体归类于三个层次时，依据的是公允价值计量时使用的各重要输入值所属三个层次中的最低层</w:t>
      </w:r>
      <w:r>
        <w:rPr>
          <w:spacing w:val="39"/>
          <w:w w:val="95"/>
        </w:rPr>
        <w:t> </w:t>
      </w:r>
      <w:r>
        <w:rPr>
          <w:spacing w:val="39"/>
          <w:w w:val="95"/>
        </w:rPr>
      </w:r>
      <w:r>
        <w:rPr/>
        <w:t>次。三个层次的定义如下：</w:t>
      </w:r>
    </w:p>
    <w:p>
      <w:pPr>
        <w:pStyle w:val="BodyText"/>
        <w:spacing w:line="432" w:lineRule="exact" w:before="33"/>
        <w:ind w:left="540" w:right="996"/>
        <w:jc w:val="left"/>
      </w:pPr>
      <w:r>
        <w:rPr/>
        <w:t>第</w:t>
      </w:r>
      <w:r>
        <w:rPr>
          <w:rFonts w:ascii="Arial" w:hAnsi="Arial" w:cs="Arial" w:eastAsia="Arial" w:hint="default"/>
        </w:rPr>
        <w:t>1</w:t>
      </w:r>
      <w:r>
        <w:rPr/>
        <w:t>层次：是在计量日能够取得的相同资产或负债在活跃市场上未经调整的报价；</w:t>
      </w:r>
      <w:r>
        <w:rPr>
          <w:w w:val="99"/>
        </w:rPr>
        <w:t> </w:t>
      </w:r>
      <w:r>
        <w:rPr/>
        <w:t>第</w:t>
      </w:r>
      <w:r>
        <w:rPr>
          <w:rFonts w:ascii="Arial" w:hAnsi="Arial" w:cs="Arial" w:eastAsia="Arial" w:hint="default"/>
        </w:rPr>
        <w:t>2</w:t>
      </w:r>
      <w:r>
        <w:rPr/>
        <w:t>层次：是除第一层次输入值外相关资产或负债直接或间接可观察的输入值；</w:t>
      </w:r>
      <w:r>
        <w:rPr>
          <w:w w:val="99"/>
        </w:rPr>
        <w:t> </w:t>
      </w:r>
      <w:r>
        <w:rPr>
          <w:spacing w:val="-1"/>
          <w:w w:val="95"/>
        </w:rPr>
        <w:t>第二层次输入值包括：</w:t>
      </w:r>
      <w:r>
        <w:rPr>
          <w:rFonts w:ascii="Arial" w:hAnsi="Arial" w:cs="Arial" w:eastAsia="Arial" w:hint="default"/>
          <w:spacing w:val="-1"/>
          <w:w w:val="95"/>
        </w:rPr>
        <w:t>1</w:t>
      </w:r>
      <w:r>
        <w:rPr>
          <w:spacing w:val="-1"/>
          <w:w w:val="95"/>
        </w:rPr>
        <w:t>）活跃市场中类似资产或负债的报价；</w:t>
      </w:r>
      <w:r>
        <w:rPr>
          <w:rFonts w:ascii="Arial" w:hAnsi="Arial" w:cs="Arial" w:eastAsia="Arial" w:hint="default"/>
          <w:spacing w:val="-1"/>
          <w:w w:val="95"/>
        </w:rPr>
        <w:t>2</w:t>
      </w:r>
      <w:r>
        <w:rPr>
          <w:spacing w:val="-1"/>
          <w:w w:val="95"/>
        </w:rPr>
        <w:t>）非活跃市场中相同或类似资产或负</w:t>
      </w:r>
      <w:r>
        <w:rPr>
          <w:spacing w:val="-1"/>
        </w:rPr>
      </w:r>
    </w:p>
    <w:p>
      <w:pPr>
        <w:pStyle w:val="BodyText"/>
        <w:spacing w:line="270" w:lineRule="exact"/>
        <w:ind w:right="996"/>
        <w:jc w:val="left"/>
      </w:pPr>
      <w:r>
        <w:rPr/>
        <w:t>债的报价；</w:t>
      </w:r>
      <w:r>
        <w:rPr>
          <w:rFonts w:ascii="Arial" w:hAnsi="Arial" w:cs="Arial" w:eastAsia="Arial" w:hint="default"/>
        </w:rPr>
        <w:t>3</w:t>
      </w:r>
      <w:r>
        <w:rPr/>
        <w:t>）除报价以外的其他可观察输入值，包括在正常报价间隔期间可观察的利率和收益率曲线、</w:t>
      </w:r>
    </w:p>
    <w:p>
      <w:pPr>
        <w:pStyle w:val="BodyText"/>
        <w:spacing w:line="357" w:lineRule="auto" w:before="22"/>
        <w:ind w:left="540" w:right="5807" w:hanging="428"/>
        <w:jc w:val="left"/>
      </w:pPr>
      <w:r>
        <w:rPr/>
        <w:t>隐含波动率和信用利差等；</w:t>
      </w:r>
      <w:r>
        <w:rPr>
          <w:rFonts w:ascii="Arial" w:hAnsi="Arial" w:cs="Arial" w:eastAsia="Arial" w:hint="default"/>
        </w:rPr>
        <w:t>4</w:t>
      </w:r>
      <w:r>
        <w:rPr/>
        <w:t>）市场验证的输入值等。</w:t>
      </w:r>
      <w:r>
        <w:rPr>
          <w:w w:val="99"/>
        </w:rPr>
        <w:t> </w:t>
      </w:r>
      <w:r>
        <w:rPr>
          <w:w w:val="95"/>
        </w:rPr>
        <w:t>第</w:t>
      </w:r>
      <w:r>
        <w:rPr>
          <w:rFonts w:ascii="Arial" w:hAnsi="Arial" w:cs="Arial" w:eastAsia="Arial" w:hint="default"/>
          <w:w w:val="95"/>
        </w:rPr>
        <w:t>3</w:t>
      </w:r>
      <w:r>
        <w:rPr>
          <w:w w:val="95"/>
        </w:rPr>
        <w:t>层次：是相关资产或负债的不可观察输入值。</w:t>
      </w:r>
      <w:r>
        <w:rPr/>
      </w:r>
    </w:p>
    <w:p>
      <w:pPr>
        <w:pStyle w:val="Heading2"/>
        <w:spacing w:line="240" w:lineRule="auto" w:before="184"/>
        <w:ind w:right="996"/>
        <w:jc w:val="left"/>
        <w:rPr>
          <w:b w:val="0"/>
          <w:bCs w:val="0"/>
        </w:rPr>
      </w:pPr>
      <w:bookmarkStart w:name="十二、关联方及关联交易" w:id="330"/>
      <w:bookmarkEnd w:id="330"/>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line="520" w:lineRule="auto" w:before="0"/>
        <w:ind w:left="112" w:right="3509" w:firstLine="0"/>
        <w:jc w:val="left"/>
        <w:rPr>
          <w:rFonts w:ascii="宋体" w:hAnsi="宋体" w:cs="宋体" w:eastAsia="宋体" w:hint="default"/>
          <w:sz w:val="21"/>
          <w:szCs w:val="21"/>
        </w:rPr>
      </w:pPr>
      <w:bookmarkStart w:name="1、本企业的子公司情况" w:id="331"/>
      <w:bookmarkEnd w:id="331"/>
      <w:r>
        <w:rPr/>
      </w:r>
      <w:r>
        <w:rPr>
          <w:rFonts w:ascii="Arial" w:hAnsi="Arial" w:cs="Arial" w:eastAsia="Arial"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本企业子公司的情况详见附注九、在其他主体中的权益：1、在子公司的权益。</w:t>
      </w:r>
      <w:r>
        <w:rPr>
          <w:rFonts w:ascii="宋体" w:hAnsi="宋体" w:cs="宋体" w:eastAsia="宋体" w:hint="default"/>
          <w:w w:val="99"/>
          <w:sz w:val="21"/>
          <w:szCs w:val="21"/>
        </w:rPr>
        <w:t> </w:t>
      </w:r>
      <w:bookmarkStart w:name="2、本企业合营和联营企业情况" w:id="332"/>
      <w:bookmarkEnd w:id="332"/>
      <w:r>
        <w:rPr>
          <w:rFonts w:ascii="宋体" w:hAnsi="宋体" w:cs="宋体" w:eastAsia="宋体" w:hint="default"/>
          <w:w w:val="99"/>
          <w:sz w:val="21"/>
          <w:szCs w:val="21"/>
        </w:rPr>
      </w:r>
      <w:r>
        <w:rPr>
          <w:rFonts w:ascii="Arial" w:hAnsi="Arial" w:cs="Arial" w:eastAsia="Arial"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7"/>
        <w:ind w:left="532" w:right="996"/>
        <w:jc w:val="left"/>
      </w:pPr>
      <w:r>
        <w:rPr/>
        <w:t>本企业重要的合营或联营企业详见附注九、在其他主体中的权益：2、在合营安排或联营企业中的权</w:t>
      </w:r>
    </w:p>
    <w:p>
      <w:pPr>
        <w:pStyle w:val="BodyText"/>
        <w:spacing w:line="240" w:lineRule="auto" w:before="37"/>
        <w:ind w:right="996"/>
        <w:jc w:val="left"/>
      </w:pPr>
      <w:r>
        <w:rPr/>
        <w:t>益。</w:t>
      </w:r>
    </w:p>
    <w:p>
      <w:pPr>
        <w:pStyle w:val="BodyText"/>
        <w:spacing w:line="240" w:lineRule="auto" w:before="75"/>
        <w:ind w:left="532" w:right="996"/>
        <w:jc w:val="left"/>
      </w:pPr>
      <w:r>
        <w:rPr/>
        <w:t>本期与本公司发生关联方交易，或前期与本公司发生关联方交易形成余额的其他合营或联营企业情况</w:t>
      </w:r>
    </w:p>
    <w:p>
      <w:pPr>
        <w:pStyle w:val="BodyText"/>
        <w:spacing w:line="240" w:lineRule="auto" w:before="37"/>
        <w:ind w:right="996"/>
        <w:jc w:val="left"/>
      </w:pPr>
      <w:r>
        <w:rPr/>
        <w:t>如下：</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3、其他关联方情况" w:id="333"/>
      <w:bookmarkEnd w:id="333"/>
      <w:r>
        <w:rPr>
          <w:b w:val="0"/>
          <w:bCs w:val="0"/>
        </w:rPr>
      </w:r>
      <w:r>
        <w:rPr>
          <w:rFonts w:ascii="Arial" w:hAnsi="Arial" w:cs="Arial" w:eastAsia="Arial"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北京华宇科创投资有限公司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bl>
    <w:p>
      <w:pPr>
        <w:spacing w:line="240" w:lineRule="auto" w:before="5"/>
        <w:rPr>
          <w:rFonts w:ascii="宋体" w:hAnsi="宋体" w:cs="宋体" w:eastAsia="宋体" w:hint="default"/>
          <w:b/>
          <w:bCs/>
          <w:sz w:val="19"/>
          <w:szCs w:val="19"/>
        </w:rPr>
      </w:pPr>
    </w:p>
    <w:p>
      <w:pPr>
        <w:pStyle w:val="Heading4"/>
        <w:spacing w:line="240" w:lineRule="auto"/>
        <w:ind w:right="996"/>
        <w:jc w:val="left"/>
        <w:rPr>
          <w:b w:val="0"/>
          <w:bCs w:val="0"/>
        </w:rPr>
      </w:pPr>
      <w:bookmarkStart w:name="4、关联交易情况" w:id="334"/>
      <w:bookmarkEnd w:id="334"/>
      <w:r>
        <w:rPr>
          <w:b w:val="0"/>
          <w:bCs w:val="0"/>
        </w:rPr>
      </w:r>
      <w:r>
        <w:rPr>
          <w:rFonts w:ascii="Arial" w:hAnsi="Arial" w:cs="Arial" w:eastAsia="Arial"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购销商品、提供和接受劳务的关联交易" w:id="335"/>
      <w:bookmarkEnd w:id="335"/>
      <w:r>
        <w:rPr>
          <w:b w:val="0"/>
          <w:bCs w:val="0"/>
        </w:rPr>
      </w:r>
      <w:r>
        <w:rPr/>
        <w:t>（</w:t>
      </w:r>
      <w:r>
        <w:rPr>
          <w:rFonts w:ascii="Arial" w:hAnsi="Arial" w:cs="Arial" w:eastAsia="Arial" w:hint="default"/>
        </w:rPr>
        <w:t>1</w:t>
      </w:r>
      <w:r>
        <w:rPr/>
        <w:t>）购销商品、提供和接受劳务的关联交易</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0"/>
        <w:jc w:val="left"/>
      </w:pPr>
      <w:r>
        <w:rPr>
          <w:w w:val="95"/>
        </w:rPr>
        <w:t>采购商品/接受劳务情况表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528" w:space="6302"/>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418"/>
        <w:gridCol w:w="1275"/>
        <w:gridCol w:w="1560"/>
        <w:gridCol w:w="1701"/>
        <w:gridCol w:w="1205"/>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center"/>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项目采购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center"/>
              <w:rPr>
                <w:rFonts w:ascii="Arial" w:hAnsi="Arial" w:cs="Arial" w:eastAsia="Arial" w:hint="default"/>
                <w:sz w:val="18"/>
                <w:szCs w:val="18"/>
              </w:rPr>
            </w:pPr>
            <w:r>
              <w:rPr>
                <w:rFonts w:ascii="Arial"/>
                <w:sz w:val="18"/>
              </w:rPr>
              <w:t>1,358,490.58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1,358,490.58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pStyle w:val="BodyText"/>
        <w:spacing w:line="240" w:lineRule="auto" w:before="24"/>
        <w:ind w:right="0"/>
        <w:jc w:val="left"/>
      </w:pPr>
      <w:r>
        <w:rPr>
          <w:w w:val="95"/>
        </w:rPr>
        <w:t>出售商品/提供劳务情况表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528" w:space="6302"/>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86"/>
        <w:gridCol w:w="1984"/>
        <w:gridCol w:w="1985"/>
        <w:gridCol w:w="191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283,018.86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北京华宇科创产业投资中心（有限合伙）</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141,576.89</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关联担保情况" w:id="336"/>
      <w:bookmarkEnd w:id="336"/>
      <w:r>
        <w:rPr>
          <w:b w:val="0"/>
          <w:bCs w:val="0"/>
        </w:rPr>
      </w:r>
      <w:r>
        <w:rPr/>
        <w:t>（</w:t>
      </w:r>
      <w:r>
        <w:rPr>
          <w:rFonts w:ascii="Arial" w:hAnsi="Arial" w:cs="Arial" w:eastAsia="Arial" w:hint="default"/>
        </w:rPr>
        <w:t>2</w:t>
      </w:r>
      <w:r>
        <w:rPr/>
        <w:t>）关联担保情况</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200" w:left="1020" w:right="0"/>
        </w:sectPr>
      </w:pPr>
    </w:p>
    <w:p>
      <w:pPr>
        <w:pStyle w:val="BodyText"/>
        <w:spacing w:line="240" w:lineRule="auto" w:before="34"/>
        <w:ind w:right="0"/>
        <w:jc w:val="left"/>
      </w:pPr>
      <w:r>
        <w:rPr>
          <w:w w:val="95"/>
        </w:rPr>
        <w:t>本公司作为担保方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791" w:space="7039"/>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560"/>
        <w:gridCol w:w="1842"/>
        <w:gridCol w:w="1985"/>
        <w:gridCol w:w="1348"/>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8" w:right="127"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4,000,000.00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7,592,818.20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2,060,000.00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108,842,700.72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2"/>
                <w:sz w:val="18"/>
              </w:rPr>
              <w:t>11,473,338.40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3,021,149.00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200" w:left="1020" w:right="0"/>
        </w:sectPr>
      </w:pPr>
    </w:p>
    <w:p>
      <w:pPr>
        <w:pStyle w:val="BodyText"/>
        <w:spacing w:line="240" w:lineRule="auto" w:before="25"/>
        <w:ind w:right="0"/>
        <w:jc w:val="left"/>
      </w:pPr>
      <w:r>
        <w:rPr>
          <w:w w:val="95"/>
        </w:rPr>
        <w:t>本公司作为被担保方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002" w:space="682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81"/>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9"/>
              <w:jc w:val="right"/>
              <w:rPr>
                <w:rFonts w:ascii="宋体" w:hAnsi="宋体" w:cs="宋体" w:eastAsia="宋体" w:hint="default"/>
                <w:sz w:val="18"/>
                <w:szCs w:val="18"/>
              </w:rPr>
            </w:pPr>
            <w:r>
              <w:rPr>
                <w:rFonts w:ascii="宋体" w:hAnsi="宋体" w:cs="宋体" w:eastAsia="宋体" w:hint="default"/>
                <w:sz w:val="18"/>
                <w:szCs w:val="18"/>
              </w:rPr>
              <w:t>任刚、赵国艳</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1" w:right="0"/>
              <w:jc w:val="left"/>
              <w:rPr>
                <w:rFonts w:ascii="Arial" w:hAnsi="Arial" w:cs="Arial" w:eastAsia="Arial" w:hint="default"/>
                <w:sz w:val="18"/>
                <w:szCs w:val="18"/>
              </w:rPr>
            </w:pPr>
            <w:r>
              <w:rPr>
                <w:rFonts w:ascii="Arial"/>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center"/>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3）关键管理人员报酬" w:id="337"/>
      <w:bookmarkEnd w:id="337"/>
      <w:r>
        <w:rPr>
          <w:b w:val="0"/>
          <w:bCs w:val="0"/>
        </w:rPr>
      </w:r>
      <w:r>
        <w:rPr/>
        <w:t>（</w:t>
      </w:r>
      <w:r>
        <w:rPr>
          <w:rFonts w:ascii="Arial" w:hAnsi="Arial" w:cs="Arial" w:eastAsia="Arial" w:hint="default"/>
        </w:rPr>
        <w:t>3</w:t>
      </w:r>
      <w:r>
        <w:rPr/>
        <w:t>）关键管理人员报酬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5" w:right="0"/>
              <w:jc w:val="left"/>
              <w:rPr>
                <w:rFonts w:ascii="Arial" w:hAnsi="Arial" w:cs="Arial" w:eastAsia="Arial" w:hint="default"/>
                <w:sz w:val="18"/>
                <w:szCs w:val="18"/>
              </w:rPr>
            </w:pPr>
            <w:r>
              <w:rPr>
                <w:rFonts w:ascii="Arial"/>
                <w:sz w:val="18"/>
              </w:rPr>
              <w:t>3,832,102.00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Arial" w:hAnsi="Arial" w:cs="Arial" w:eastAsia="Arial" w:hint="default"/>
                <w:sz w:val="18"/>
                <w:szCs w:val="18"/>
              </w:rPr>
            </w:pPr>
            <w:r>
              <w:rPr>
                <w:rFonts w:ascii="Arial"/>
                <w:sz w:val="18"/>
              </w:rPr>
              <w:t>3,176,879.00</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5、关联方应收应付款项" w:id="338"/>
      <w:bookmarkEnd w:id="338"/>
      <w:r>
        <w:rPr>
          <w:b w:val="0"/>
          <w:bCs w:val="0"/>
        </w:rPr>
      </w:r>
      <w:r>
        <w:rPr>
          <w:rFonts w:ascii="Arial" w:hAnsi="Arial" w:cs="Arial" w:eastAsia="Arial" w:hint="default"/>
        </w:rPr>
        <w:t>5</w:t>
      </w:r>
      <w:r>
        <w:rPr/>
        <w:t>、关联方应收应付款项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项目" w:id="339"/>
      <w:bookmarkEnd w:id="339"/>
      <w:r>
        <w:rPr>
          <w:b w:val="0"/>
          <w:bCs w:val="0"/>
        </w:rPr>
      </w:r>
      <w:r>
        <w:rPr/>
        <w:t>（</w:t>
      </w:r>
      <w:r>
        <w:rPr>
          <w:rFonts w:ascii="Arial" w:hAnsi="Arial" w:cs="Arial" w:eastAsia="Arial" w:hint="default"/>
        </w:rPr>
        <w:t>1</w:t>
      </w:r>
      <w:r>
        <w:rPr/>
        <w:t>）应收项目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2516"/>
        <w:gridCol w:w="1559"/>
        <w:gridCol w:w="1418"/>
        <w:gridCol w:w="1276"/>
        <w:gridCol w:w="1202"/>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2516"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6" w:right="0"/>
              <w:jc w:val="left"/>
              <w:rPr>
                <w:rFonts w:ascii="Arial" w:hAnsi="Arial" w:cs="Arial" w:eastAsia="Arial" w:hint="default"/>
                <w:sz w:val="18"/>
                <w:szCs w:val="18"/>
              </w:rPr>
            </w:pPr>
            <w:r>
              <w:rPr>
                <w:rFonts w:ascii="Arial"/>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Arial" w:hAnsi="Arial" w:cs="Arial" w:eastAsia="Arial" w:hint="default"/>
                <w:sz w:val="18"/>
                <w:szCs w:val="18"/>
              </w:rPr>
            </w:pPr>
            <w:r>
              <w:rPr>
                <w:rFonts w:ascii="Arial"/>
                <w:sz w:val="18"/>
              </w:rPr>
              <w:t>3,000.00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应付项目" w:id="340"/>
      <w:bookmarkEnd w:id="340"/>
      <w:r>
        <w:rPr>
          <w:b w:val="0"/>
          <w:bCs w:val="0"/>
        </w:rPr>
      </w:r>
      <w:r>
        <w:rPr/>
        <w:t>（</w:t>
      </w:r>
      <w:r>
        <w:rPr>
          <w:rFonts w:ascii="Arial" w:hAnsi="Arial" w:cs="Arial" w:eastAsia="Arial" w:hint="default"/>
        </w:rPr>
        <w:t>2</w:t>
      </w:r>
      <w:r>
        <w:rPr/>
        <w:t>）应付项目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3421"/>
        <w:gridCol w:w="1878"/>
        <w:gridCol w:w="1878"/>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四川数字金沙科技有限公司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1,440,000.00</w:t>
            </w:r>
          </w:p>
        </w:tc>
        <w:tc>
          <w:tcPr>
            <w:tcW w:w="18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北京华宇科创产业投资中心（有限合伙）</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141,576.88</w:t>
            </w:r>
          </w:p>
        </w:tc>
        <w:tc>
          <w:tcPr>
            <w:tcW w:w="1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bookmarkStart w:name="十三、股份支付" w:id="341"/>
      <w:bookmarkEnd w:id="341"/>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股份支付总体情况" w:id="342"/>
      <w:bookmarkEnd w:id="342"/>
      <w:r>
        <w:rPr>
          <w:b w:val="0"/>
          <w:bCs w:val="0"/>
        </w:rPr>
      </w:r>
      <w:r>
        <w:rPr>
          <w:rFonts w:ascii="Arial" w:hAnsi="Arial" w:cs="Arial" w:eastAsia="Arial" w:hint="default"/>
        </w:rPr>
        <w:t>1</w:t>
      </w:r>
      <w:r>
        <w:rPr/>
        <w:t>、股份支付总体情况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15"/>
        <w:jc w:val="left"/>
      </w:pPr>
      <w:r>
        <w:rPr/>
        <w:t>√ 适用 □</w:t>
      </w:r>
      <w:r>
        <w:rPr>
          <w:spacing w:val="-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899" w:space="6931"/>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26,480,800.00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5,769,480.00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1,039,230.00</w:t>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期权行权价格为</w:t>
            </w:r>
            <w:r>
              <w:rPr>
                <w:rFonts w:ascii="宋体" w:hAnsi="宋体" w:cs="宋体" w:eastAsia="宋体" w:hint="default"/>
                <w:spacing w:val="-46"/>
                <w:sz w:val="18"/>
                <w:szCs w:val="18"/>
              </w:rPr>
              <w:t> </w:t>
            </w:r>
            <w:r>
              <w:rPr>
                <w:rFonts w:ascii="Arial" w:hAnsi="Arial" w:cs="Arial" w:eastAsia="Arial" w:hint="default"/>
                <w:sz w:val="18"/>
                <w:szCs w:val="18"/>
              </w:rPr>
              <w:t>14.84</w:t>
            </w:r>
            <w:r>
              <w:rPr>
                <w:rFonts w:ascii="Arial" w:hAnsi="Arial" w:cs="Arial" w:eastAsia="Arial" w:hint="default"/>
                <w:spacing w:val="-8"/>
                <w:sz w:val="18"/>
                <w:szCs w:val="18"/>
              </w:rPr>
              <w:t> </w:t>
            </w:r>
            <w:r>
              <w:rPr>
                <w:rFonts w:ascii="宋体" w:hAnsi="宋体" w:cs="宋体" w:eastAsia="宋体" w:hint="default"/>
                <w:spacing w:val="-13"/>
                <w:sz w:val="18"/>
                <w:szCs w:val="18"/>
              </w:rPr>
              <w:t>元</w:t>
            </w:r>
            <w:r>
              <w:rPr>
                <w:rFonts w:ascii="Arial" w:hAnsi="Arial" w:cs="Arial" w:eastAsia="Arial" w:hint="default"/>
                <w:spacing w:val="-13"/>
                <w:sz w:val="18"/>
                <w:szCs w:val="18"/>
              </w:rPr>
              <w:t>/</w:t>
            </w:r>
            <w:r>
              <w:rPr>
                <w:rFonts w:ascii="宋体" w:hAnsi="宋体" w:cs="宋体" w:eastAsia="宋体" w:hint="default"/>
                <w:spacing w:val="-13"/>
                <w:sz w:val="18"/>
                <w:szCs w:val="18"/>
              </w:rPr>
              <w:t>股，自</w:t>
            </w:r>
            <w:r>
              <w:rPr>
                <w:rFonts w:ascii="宋体" w:hAnsi="宋体" w:cs="宋体" w:eastAsia="宋体" w:hint="default"/>
                <w:spacing w:val="-48"/>
                <w:sz w:val="18"/>
                <w:szCs w:val="18"/>
              </w:rPr>
              <w:t> </w:t>
            </w: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年起分三期 进行解锁。本计划尚属于等待期内。</w:t>
            </w:r>
          </w:p>
        </w:tc>
      </w:tr>
      <w:tr>
        <w:trPr>
          <w:trHeight w:val="1026"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10"/>
              <w:jc w:val="left"/>
              <w:rPr>
                <w:rFonts w:ascii="宋体" w:hAnsi="宋体" w:cs="宋体" w:eastAsia="宋体" w:hint="default"/>
                <w:sz w:val="18"/>
                <w:szCs w:val="18"/>
              </w:rPr>
            </w:pPr>
            <w:r>
              <w:rPr>
                <w:rFonts w:ascii="宋体" w:hAnsi="宋体" w:cs="宋体" w:eastAsia="宋体" w:hint="default"/>
                <w:spacing w:val="-6"/>
                <w:sz w:val="18"/>
                <w:szCs w:val="18"/>
              </w:rPr>
              <w:t>限制性股票（</w:t>
            </w:r>
            <w:r>
              <w:rPr>
                <w:rFonts w:ascii="Arial" w:hAnsi="Arial" w:cs="Arial" w:eastAsia="Arial" w:hint="default"/>
                <w:spacing w:val="-6"/>
                <w:sz w:val="18"/>
                <w:szCs w:val="18"/>
              </w:rPr>
              <w:t>2016 </w:t>
            </w:r>
            <w:r>
              <w:rPr>
                <w:rFonts w:ascii="宋体" w:hAnsi="宋体" w:cs="宋体" w:eastAsia="宋体" w:hint="default"/>
                <w:spacing w:val="-7"/>
                <w:sz w:val="18"/>
                <w:szCs w:val="18"/>
              </w:rPr>
              <w:t>年）的授予价格为</w:t>
            </w:r>
            <w:r>
              <w:rPr>
                <w:rFonts w:ascii="宋体" w:hAnsi="宋体" w:cs="宋体" w:eastAsia="宋体" w:hint="default"/>
                <w:spacing w:val="-44"/>
                <w:sz w:val="18"/>
                <w:szCs w:val="18"/>
              </w:rPr>
              <w:t> </w:t>
            </w:r>
            <w:r>
              <w:rPr>
                <w:rFonts w:ascii="Arial" w:hAnsi="Arial" w:cs="Arial" w:eastAsia="Arial" w:hint="default"/>
                <w:sz w:val="18"/>
                <w:szCs w:val="18"/>
              </w:rPr>
              <w:t>10.03</w:t>
            </w:r>
            <w:r>
              <w:rPr>
                <w:rFonts w:ascii="Arial" w:hAnsi="Arial" w:cs="Arial" w:eastAsia="Arial" w:hint="default"/>
                <w:spacing w:val="-6"/>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 自授予日</w:t>
            </w:r>
            <w:r>
              <w:rPr>
                <w:rFonts w:ascii="宋体" w:hAnsi="宋体" w:cs="宋体" w:eastAsia="宋体" w:hint="default"/>
                <w:spacing w:val="-45"/>
                <w:sz w:val="18"/>
                <w:szCs w:val="18"/>
              </w:rPr>
              <w:t> </w:t>
            </w: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pacing w:val="-6"/>
                <w:sz w:val="18"/>
                <w:szCs w:val="18"/>
              </w:rPr>
              <w:t>日起分三次解锁，本次</w:t>
            </w:r>
            <w:r>
              <w:rPr>
                <w:rFonts w:ascii="宋体" w:hAnsi="宋体" w:cs="宋体" w:eastAsia="宋体" w:hint="default"/>
                <w:sz w:val="18"/>
                <w:szCs w:val="18"/>
              </w:rPr>
              <w:t> 限制性股票第二期已解锁完毕。</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以权益结算的股份支付情况" w:id="343"/>
      <w:bookmarkEnd w:id="343"/>
      <w:r>
        <w:rPr>
          <w:b w:val="0"/>
          <w:bCs w:val="0"/>
        </w:rPr>
      </w:r>
      <w:r>
        <w:rPr>
          <w:rFonts w:ascii="Arial" w:hAnsi="Arial" w:cs="Arial" w:eastAsia="Arial" w:hint="default"/>
        </w:rPr>
        <w:t>2</w:t>
      </w:r>
      <w:r>
        <w:rPr/>
        <w:t>、以权益结算的股份支付情况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996"/>
        <w:jc w:val="left"/>
      </w:pPr>
      <w:r>
        <w:rPr/>
        <w:t>√ 适用 □</w:t>
      </w:r>
      <w:r>
        <w:rPr>
          <w:spacing w:val="-4"/>
        </w:rPr>
        <w:t> </w:t>
      </w:r>
      <w:r>
        <w:rPr/>
        <w:t>不适用</w:t>
      </w:r>
    </w:p>
    <w:p>
      <w:pPr>
        <w:spacing w:after="0" w:line="240" w:lineRule="auto"/>
        <w:jc w:val="left"/>
        <w:sectPr>
          <w:type w:val="continuous"/>
          <w:pgSz w:w="11910" w:h="16840"/>
          <w:pgMar w:top="1060" w:bottom="1200" w:left="1020" w:right="0"/>
        </w:sectPr>
      </w:pPr>
    </w:p>
    <w:p>
      <w:pPr>
        <w:spacing w:line="240" w:lineRule="auto" w:before="1"/>
        <w:rPr>
          <w:rFonts w:ascii="宋体" w:hAnsi="宋体" w:cs="宋体" w:eastAsia="宋体" w:hint="default"/>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103" w:right="255"/>
              <w:jc w:val="left"/>
              <w:rPr>
                <w:rFonts w:ascii="宋体" w:hAnsi="宋体" w:cs="宋体" w:eastAsia="宋体" w:hint="default"/>
                <w:sz w:val="18"/>
                <w:szCs w:val="18"/>
              </w:rPr>
            </w:pPr>
            <w:r>
              <w:rPr>
                <w:rFonts w:ascii="宋体" w:hAnsi="宋体" w:cs="宋体" w:eastAsia="宋体" w:hint="default"/>
                <w:sz w:val="18"/>
                <w:szCs w:val="18"/>
              </w:rPr>
              <w:t>公司在授权日采用 </w:t>
            </w:r>
            <w:r>
              <w:rPr>
                <w:rFonts w:ascii="Arial" w:hAnsi="Arial" w:cs="Arial" w:eastAsia="Arial" w:hint="default"/>
                <w:sz w:val="18"/>
                <w:szCs w:val="18"/>
              </w:rPr>
              <w:t>Black--Scholes</w:t>
            </w:r>
            <w:r>
              <w:rPr>
                <w:rFonts w:ascii="Arial" w:hAnsi="Arial" w:cs="Arial" w:eastAsia="Arial" w:hint="default"/>
                <w:spacing w:val="-12"/>
                <w:sz w:val="18"/>
                <w:szCs w:val="18"/>
              </w:rPr>
              <w:t> </w:t>
            </w:r>
            <w:r>
              <w:rPr>
                <w:rFonts w:ascii="宋体" w:hAnsi="宋体" w:cs="宋体" w:eastAsia="宋体" w:hint="default"/>
                <w:sz w:val="18"/>
                <w:szCs w:val="18"/>
              </w:rPr>
              <w:t>期权定价模型确定 股票期权在授权日的公允价值。</w:t>
            </w:r>
          </w:p>
        </w:tc>
      </w:tr>
      <w:tr>
        <w:trPr>
          <w:trHeight w:val="363" w:hRule="exact"/>
        </w:trPr>
        <w:tc>
          <w:tcPr>
            <w:tcW w:w="4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Arial" w:hAnsi="Arial" w:cs="Arial" w:eastAsia="Arial" w:hint="default"/>
                <w:spacing w:val="-5"/>
                <w:sz w:val="18"/>
                <w:szCs w:val="18"/>
              </w:rPr>
              <w:t>11</w:t>
            </w:r>
            <w:r>
              <w:rPr>
                <w:rFonts w:ascii="Arial" w:hAnsi="Arial" w:cs="Arial" w:eastAsia="Arial" w:hint="default"/>
                <w:spacing w:val="-12"/>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股份支付》和《企业会计</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4"/>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金融工具确认和计量》的有关规定，公司</w:t>
            </w:r>
          </w:p>
        </w:tc>
      </w:tr>
      <w:tr>
        <w:trPr>
          <w:trHeight w:val="308"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将在等待期的每个资产负债表日，根据最新取得的可行</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
        </w:tc>
        <w:tc>
          <w:tcPr>
            <w:tcW w:w="4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权人数变动、业绩指标完成情况等后续信息，修正预计</w:t>
            </w:r>
          </w:p>
        </w:tc>
      </w:tr>
      <w:tr>
        <w:trPr>
          <w:trHeight w:val="356" w:hRule="exact"/>
        </w:trPr>
        <w:tc>
          <w:tcPr>
            <w:tcW w:w="4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可行权的股票期权数量。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83,862,573.69</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39,855,829.28</w:t>
            </w:r>
          </w:p>
        </w:tc>
      </w:tr>
    </w:tbl>
    <w:p>
      <w:pPr>
        <w:spacing w:line="240" w:lineRule="auto" w:before="1"/>
        <w:rPr>
          <w:rFonts w:ascii="宋体" w:hAnsi="宋体" w:cs="宋体" w:eastAsia="宋体" w:hint="default"/>
          <w:sz w:val="18"/>
          <w:szCs w:val="18"/>
        </w:rPr>
      </w:pPr>
    </w:p>
    <w:p>
      <w:pPr>
        <w:pStyle w:val="Heading2"/>
        <w:spacing w:line="240" w:lineRule="auto" w:before="26"/>
        <w:ind w:right="996"/>
        <w:jc w:val="left"/>
        <w:rPr>
          <w:b w:val="0"/>
          <w:bCs w:val="0"/>
        </w:rPr>
      </w:pPr>
      <w:bookmarkStart w:name="十四、承诺及或有事项" w:id="344"/>
      <w:bookmarkEnd w:id="344"/>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532" w:right="5714" w:hanging="420"/>
        <w:jc w:val="left"/>
        <w:rPr>
          <w:rFonts w:ascii="宋体" w:hAnsi="宋体" w:cs="宋体" w:eastAsia="宋体" w:hint="default"/>
          <w:sz w:val="21"/>
          <w:szCs w:val="21"/>
        </w:rPr>
      </w:pPr>
      <w:bookmarkStart w:name="1、重要承诺事项" w:id="345"/>
      <w:bookmarkEnd w:id="345"/>
      <w:r>
        <w:rPr/>
      </w:r>
      <w:r>
        <w:rPr>
          <w:rFonts w:ascii="Arial" w:hAnsi="Arial" w:cs="Arial" w:eastAsia="Arial"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w w:val="95"/>
          <w:sz w:val="21"/>
          <w:szCs w:val="21"/>
        </w:rPr>
        <w:t>本公司不存在需要披露的重要承诺事项。</w:t>
      </w:r>
      <w:r>
        <w:rPr>
          <w:rFonts w:ascii="宋体" w:hAnsi="宋体" w:cs="宋体" w:eastAsia="宋体" w:hint="default"/>
          <w:sz w:val="21"/>
          <w:szCs w:val="21"/>
        </w:rPr>
      </w:r>
    </w:p>
    <w:p>
      <w:pPr>
        <w:pStyle w:val="Heading4"/>
        <w:spacing w:line="240" w:lineRule="auto" w:before="104"/>
        <w:ind w:right="996"/>
        <w:jc w:val="left"/>
        <w:rPr>
          <w:b w:val="0"/>
          <w:bCs w:val="0"/>
        </w:rPr>
      </w:pPr>
      <w:bookmarkStart w:name="2、或有事项" w:id="346"/>
      <w:bookmarkEnd w:id="346"/>
      <w:r>
        <w:rPr>
          <w:b w:val="0"/>
          <w:bCs w:val="0"/>
        </w:rPr>
      </w:r>
      <w:r>
        <w:rPr>
          <w:rFonts w:ascii="Arial" w:hAnsi="Arial" w:cs="Arial" w:eastAsia="Arial"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BodyText"/>
        <w:spacing w:line="259" w:lineRule="auto"/>
        <w:ind w:right="996" w:firstLine="420"/>
        <w:jc w:val="left"/>
      </w:pPr>
      <w:r>
        <w:rPr>
          <w:spacing w:val="-6"/>
          <w:w w:val="99"/>
        </w:rPr>
        <w:t>与联营企业投资相关的或有负债详见附注九、在其他主体中的权益。除存在上述或有事项外，截止</w:t>
      </w:r>
      <w:r>
        <w:rPr>
          <w:rFonts w:ascii="Arial" w:hAnsi="Arial" w:cs="Arial" w:eastAsia="Arial" w:hint="default"/>
          <w:spacing w:val="-6"/>
          <w:w w:val="99"/>
        </w:rPr>
        <w:t>2019</w:t>
      </w:r>
      <w:r>
        <w:rPr>
          <w:rFonts w:ascii="Arial" w:hAnsi="Arial" w:cs="Arial" w:eastAsia="Arial" w:hint="default"/>
          <w:w w:val="99"/>
        </w:rPr>
        <w:t> </w:t>
      </w:r>
      <w:r>
        <w:rPr/>
        <w:t>年</w:t>
      </w:r>
      <w:r>
        <w:rPr>
          <w:rFonts w:ascii="Arial" w:hAnsi="Arial" w:cs="Arial" w:eastAsia="Arial" w:hint="default"/>
        </w:rPr>
        <w:t>12</w:t>
      </w:r>
      <w:r>
        <w:rPr/>
        <w:t>月</w:t>
      </w:r>
      <w:r>
        <w:rPr>
          <w:rFonts w:ascii="Arial" w:hAnsi="Arial" w:cs="Arial" w:eastAsia="Arial" w:hint="default"/>
        </w:rPr>
        <w:t>31</w:t>
      </w:r>
      <w:r>
        <w:rPr/>
        <w:t>日，本公司无其他应披露未披露的重要或有事项。</w:t>
      </w:r>
    </w:p>
    <w:p>
      <w:pPr>
        <w:spacing w:line="240" w:lineRule="auto" w:before="6"/>
        <w:rPr>
          <w:rFonts w:ascii="宋体" w:hAnsi="宋体" w:cs="宋体" w:eastAsia="宋体" w:hint="default"/>
          <w:sz w:val="21"/>
          <w:szCs w:val="21"/>
        </w:rPr>
      </w:pPr>
    </w:p>
    <w:p>
      <w:pPr>
        <w:pStyle w:val="Heading2"/>
        <w:spacing w:line="240" w:lineRule="auto"/>
        <w:ind w:right="996"/>
        <w:jc w:val="left"/>
        <w:rPr>
          <w:b w:val="0"/>
          <w:bCs w:val="0"/>
        </w:rPr>
      </w:pPr>
      <w:bookmarkStart w:name="十五、资产负债表日后事项" w:id="347"/>
      <w:bookmarkEnd w:id="347"/>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996"/>
        <w:jc w:val="left"/>
        <w:rPr>
          <w:b w:val="0"/>
          <w:bCs w:val="0"/>
        </w:rPr>
      </w:pPr>
      <w:bookmarkStart w:name="1、利润分配情况" w:id="348"/>
      <w:bookmarkEnd w:id="348"/>
      <w:r>
        <w:rPr>
          <w:b w:val="0"/>
          <w:bCs w:val="0"/>
        </w:rPr>
      </w:r>
      <w:r>
        <w:rPr>
          <w:rFonts w:ascii="Arial" w:hAnsi="Arial" w:cs="Arial" w:eastAsia="Arial" w:hint="default"/>
        </w:rPr>
        <w:t>1</w:t>
      </w:r>
      <w:r>
        <w:rPr/>
        <w:t>、利润分配情况</w:t>
      </w:r>
      <w:r>
        <w:rPr>
          <w:b w:val="0"/>
          <w:bCs w:val="0"/>
        </w:rPr>
      </w:r>
    </w:p>
    <w:p>
      <w:pPr>
        <w:spacing w:line="240" w:lineRule="auto" w:before="5"/>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58,276,132.06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58,276,132.06</w:t>
            </w:r>
          </w:p>
        </w:tc>
      </w:tr>
    </w:tbl>
    <w:p>
      <w:pPr>
        <w:spacing w:line="240" w:lineRule="auto" w:before="4"/>
        <w:rPr>
          <w:rFonts w:ascii="宋体" w:hAnsi="宋体" w:cs="宋体" w:eastAsia="宋体" w:hint="default"/>
          <w:sz w:val="19"/>
          <w:szCs w:val="19"/>
        </w:rPr>
      </w:pPr>
    </w:p>
    <w:p>
      <w:pPr>
        <w:spacing w:line="506" w:lineRule="auto" w:before="34"/>
        <w:ind w:left="532" w:right="996" w:hanging="420"/>
        <w:jc w:val="left"/>
        <w:rPr>
          <w:rFonts w:ascii="宋体" w:hAnsi="宋体" w:cs="宋体" w:eastAsia="宋体" w:hint="default"/>
          <w:sz w:val="21"/>
          <w:szCs w:val="21"/>
        </w:rPr>
      </w:pPr>
      <w:bookmarkStart w:name="2、其他资产负债表日后事项说明" w:id="349"/>
      <w:bookmarkEnd w:id="349"/>
      <w:r>
        <w:rPr/>
      </w:r>
      <w:r>
        <w:rPr>
          <w:rFonts w:ascii="Arial" w:hAnsi="Arial" w:cs="Arial" w:eastAsia="Arial"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w w:val="95"/>
          <w:sz w:val="21"/>
          <w:szCs w:val="21"/>
        </w:rPr>
        <w:t>截至财务报告批准报出日止，本公司无其他应披露未披露的重大资产负债表日后事项。</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878" w:footer="1016" w:top="1100" w:bottom="1200" w:left="1020" w:right="0"/>
        </w:sectPr>
      </w:pPr>
    </w:p>
    <w:p>
      <w:pPr>
        <w:spacing w:line="240" w:lineRule="auto" w:before="10"/>
        <w:rPr>
          <w:rFonts w:ascii="宋体" w:hAnsi="宋体" w:cs="宋体" w:eastAsia="宋体" w:hint="default"/>
          <w:sz w:val="19"/>
          <w:szCs w:val="19"/>
        </w:rPr>
      </w:pPr>
    </w:p>
    <w:p>
      <w:pPr>
        <w:pStyle w:val="Heading2"/>
        <w:spacing w:line="240" w:lineRule="auto" w:before="26"/>
        <w:ind w:right="996"/>
        <w:jc w:val="left"/>
        <w:rPr>
          <w:b w:val="0"/>
          <w:bCs w:val="0"/>
        </w:rPr>
      </w:pPr>
      <w:bookmarkStart w:name="十六、母公司财务报表主要项目注释" w:id="350"/>
      <w:bookmarkEnd w:id="350"/>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账款" w:id="351"/>
      <w:bookmarkEnd w:id="351"/>
      <w:r>
        <w:rPr>
          <w:b w:val="0"/>
          <w:bCs w:val="0"/>
        </w:rPr>
      </w:r>
      <w:r>
        <w:rPr>
          <w:rFonts w:ascii="Arial" w:hAnsi="Arial" w:cs="Arial" w:eastAsia="Arial"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账款分类披露" w:id="352"/>
      <w:bookmarkEnd w:id="352"/>
      <w:r>
        <w:rPr>
          <w:b w:val="0"/>
          <w:bCs w:val="0"/>
        </w:rPr>
      </w:r>
      <w:r>
        <w:rPr/>
        <w:t>（</w:t>
      </w:r>
      <w:r>
        <w:rPr>
          <w:rFonts w:ascii="Arial" w:hAnsi="Arial" w:cs="Arial" w:eastAsia="Arial"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850"/>
        <w:gridCol w:w="709"/>
        <w:gridCol w:w="850"/>
        <w:gridCol w:w="709"/>
        <w:gridCol w:w="992"/>
        <w:gridCol w:w="1134"/>
        <w:gridCol w:w="709"/>
        <w:gridCol w:w="851"/>
        <w:gridCol w:w="850"/>
        <w:gridCol w:w="920"/>
      </w:tblGrid>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3" w:type="dxa"/>
            <w:vMerge/>
            <w:tcBorders>
              <w:left w:val="single" w:sz="4" w:space="0" w:color="000000"/>
              <w:right w:val="single" w:sz="4" w:space="0" w:color="000000"/>
            </w:tcBorders>
            <w:shd w:val="clear" w:color="auto" w:fill="D2D2D2"/>
          </w:tcPr>
          <w:p>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66" w:right="182"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0" w:right="14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9"/>
              <w:jc w:val="both"/>
              <w:rPr>
                <w:rFonts w:ascii="宋体" w:hAnsi="宋体" w:cs="宋体" w:eastAsia="宋体" w:hint="default"/>
                <w:sz w:val="18"/>
                <w:szCs w:val="18"/>
              </w:rPr>
            </w:pPr>
            <w:r>
              <w:rPr>
                <w:rFonts w:ascii="宋体" w:hAnsi="宋体" w:cs="宋体" w:eastAsia="宋体" w:hint="default"/>
                <w:sz w:val="18"/>
                <w:szCs w:val="18"/>
              </w:rPr>
              <w:t>按单项计 提坏账准 备的应收 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Arial" w:hAnsi="Arial" w:cs="Arial" w:eastAsia="Arial" w:hint="default"/>
                <w:sz w:val="18"/>
                <w:szCs w:val="18"/>
              </w:rPr>
            </w:pPr>
            <w:r>
              <w:rPr>
                <w:rFonts w:ascii="Arial"/>
                <w:sz w:val="18"/>
              </w:rPr>
              <w:t>17,264,</w:t>
            </w:r>
          </w:p>
          <w:p>
            <w:pPr>
              <w:pStyle w:val="TableParagraph"/>
              <w:spacing w:line="240" w:lineRule="auto" w:before="105"/>
              <w:ind w:left="186" w:right="0"/>
              <w:jc w:val="left"/>
              <w:rPr>
                <w:rFonts w:ascii="Arial" w:hAnsi="Arial" w:cs="Arial" w:eastAsia="Arial" w:hint="default"/>
                <w:sz w:val="18"/>
                <w:szCs w:val="18"/>
              </w:rPr>
            </w:pPr>
            <w:r>
              <w:rPr>
                <w:rFonts w:ascii="Arial"/>
                <w:sz w:val="18"/>
              </w:rPr>
              <w:t>541.06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38.92</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Arial" w:hAnsi="Arial" w:cs="Arial" w:eastAsia="Arial" w:hint="default"/>
                <w:sz w:val="18"/>
                <w:szCs w:val="18"/>
              </w:rPr>
            </w:pPr>
            <w:r>
              <w:rPr>
                <w:rFonts w:ascii="Arial"/>
                <w:sz w:val="18"/>
              </w:rPr>
              <w:t>431,61</w:t>
            </w:r>
          </w:p>
          <w:p>
            <w:pPr>
              <w:pStyle w:val="TableParagraph"/>
              <w:spacing w:line="240" w:lineRule="auto" w:before="105"/>
              <w:ind w:left="285" w:right="0"/>
              <w:jc w:val="center"/>
              <w:rPr>
                <w:rFonts w:ascii="Arial" w:hAnsi="Arial" w:cs="Arial" w:eastAsia="Arial" w:hint="default"/>
                <w:sz w:val="18"/>
                <w:szCs w:val="18"/>
              </w:rPr>
            </w:pPr>
            <w:r>
              <w:rPr>
                <w:rFonts w:ascii="Arial"/>
                <w:sz w:val="18"/>
              </w:rPr>
              <w:t>3.53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4" w:right="0"/>
              <w:jc w:val="center"/>
              <w:rPr>
                <w:rFonts w:ascii="Arial" w:hAnsi="Arial" w:cs="Arial" w:eastAsia="Arial" w:hint="default"/>
                <w:sz w:val="18"/>
                <w:szCs w:val="18"/>
              </w:rPr>
            </w:pPr>
            <w:r>
              <w:rPr>
                <w:rFonts w:ascii="Arial"/>
                <w:sz w:val="18"/>
              </w:rPr>
              <w:t>2.50</w:t>
            </w:r>
          </w:p>
          <w:p>
            <w:pPr>
              <w:pStyle w:val="TableParagraph"/>
              <w:spacing w:line="240" w:lineRule="auto" w:before="105"/>
              <w:ind w:left="334" w:right="0"/>
              <w:jc w:val="center"/>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Arial" w:hAnsi="Arial" w:cs="Arial" w:eastAsia="Arial" w:hint="default"/>
                <w:sz w:val="18"/>
                <w:szCs w:val="18"/>
              </w:rPr>
            </w:pPr>
            <w:r>
              <w:rPr>
                <w:rFonts w:ascii="Arial"/>
                <w:sz w:val="18"/>
              </w:rPr>
              <w:t>16,832,9</w:t>
            </w:r>
          </w:p>
          <w:p>
            <w:pPr>
              <w:pStyle w:val="TableParagraph"/>
              <w:spacing w:line="240" w:lineRule="auto" w:before="105"/>
              <w:ind w:left="428" w:right="0"/>
              <w:jc w:val="left"/>
              <w:rPr>
                <w:rFonts w:ascii="Arial" w:hAnsi="Arial" w:cs="Arial" w:eastAsia="Arial" w:hint="default"/>
                <w:sz w:val="18"/>
                <w:szCs w:val="18"/>
              </w:rPr>
            </w:pPr>
            <w:r>
              <w:rPr>
                <w:rFonts w:ascii="Arial"/>
                <w:sz w:val="18"/>
              </w:rPr>
              <w:t>27.53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21,002,848</w:t>
            </w:r>
          </w:p>
          <w:p>
            <w:pPr>
              <w:pStyle w:val="TableParagraph"/>
              <w:spacing w:line="240" w:lineRule="auto" w:before="105"/>
              <w:ind w:right="100"/>
              <w:jc w:val="right"/>
              <w:rPr>
                <w:rFonts w:ascii="Arial" w:hAnsi="Arial" w:cs="Arial" w:eastAsia="Arial" w:hint="default"/>
                <w:sz w:val="18"/>
                <w:szCs w:val="18"/>
              </w:rPr>
            </w:pPr>
            <w:r>
              <w:rPr>
                <w:rFonts w:ascii="Arial"/>
                <w:w w:val="95"/>
                <w:sz w:val="18"/>
              </w:rPr>
              <w:t>.68</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42.10</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center"/>
              <w:rPr>
                <w:rFonts w:ascii="Arial" w:hAnsi="Arial" w:cs="Arial" w:eastAsia="Arial" w:hint="default"/>
                <w:sz w:val="18"/>
                <w:szCs w:val="18"/>
              </w:rPr>
            </w:pPr>
            <w:r>
              <w:rPr>
                <w:rFonts w:ascii="Arial"/>
                <w:sz w:val="18"/>
              </w:rPr>
              <w:t>525,07</w:t>
            </w:r>
          </w:p>
          <w:p>
            <w:pPr>
              <w:pStyle w:val="TableParagraph"/>
              <w:spacing w:line="240" w:lineRule="auto" w:before="105"/>
              <w:ind w:left="285" w:right="0"/>
              <w:jc w:val="center"/>
              <w:rPr>
                <w:rFonts w:ascii="Arial" w:hAnsi="Arial" w:cs="Arial" w:eastAsia="Arial" w:hint="default"/>
                <w:sz w:val="18"/>
                <w:szCs w:val="18"/>
              </w:rPr>
            </w:pPr>
            <w:r>
              <w:rPr>
                <w:rFonts w:ascii="Arial"/>
                <w:sz w:val="18"/>
              </w:rPr>
              <w:t>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Arial" w:hAnsi="Arial" w:cs="Arial" w:eastAsia="Arial" w:hint="default"/>
                <w:sz w:val="18"/>
                <w:szCs w:val="18"/>
              </w:rPr>
            </w:pPr>
            <w:r>
              <w:rPr>
                <w:rFonts w:ascii="Arial"/>
                <w:sz w:val="18"/>
              </w:rPr>
              <w:t>2.50%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left"/>
              <w:rPr>
                <w:rFonts w:ascii="Arial" w:hAnsi="Arial" w:cs="Arial" w:eastAsia="Arial" w:hint="default"/>
                <w:sz w:val="18"/>
                <w:szCs w:val="18"/>
              </w:rPr>
            </w:pPr>
            <w:r>
              <w:rPr>
                <w:rFonts w:ascii="Arial"/>
                <w:sz w:val="18"/>
              </w:rPr>
              <w:t>20,477,7</w:t>
            </w:r>
          </w:p>
          <w:p>
            <w:pPr>
              <w:pStyle w:val="TableParagraph"/>
              <w:spacing w:line="240" w:lineRule="auto" w:before="105"/>
              <w:ind w:left="356" w:right="0"/>
              <w:jc w:val="left"/>
              <w:rPr>
                <w:rFonts w:ascii="Arial" w:hAnsi="Arial" w:cs="Arial" w:eastAsia="Arial" w:hint="default"/>
                <w:sz w:val="18"/>
                <w:szCs w:val="18"/>
              </w:rPr>
            </w:pPr>
            <w:r>
              <w:rPr>
                <w:rFonts w:ascii="Arial"/>
                <w:sz w:val="18"/>
              </w:rPr>
              <w:t>77.46</w:t>
            </w: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9"/>
              <w:jc w:val="both"/>
              <w:rPr>
                <w:rFonts w:ascii="宋体" w:hAnsi="宋体" w:cs="宋体" w:eastAsia="宋体" w:hint="default"/>
                <w:sz w:val="18"/>
                <w:szCs w:val="18"/>
              </w:rPr>
            </w:pPr>
            <w:r>
              <w:rPr>
                <w:rFonts w:ascii="宋体" w:hAnsi="宋体" w:cs="宋体" w:eastAsia="宋体" w:hint="default"/>
                <w:sz w:val="18"/>
                <w:szCs w:val="18"/>
              </w:rPr>
              <w:t>按组合计 提坏账准 备的应收 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Arial" w:hAnsi="Arial" w:cs="Arial" w:eastAsia="Arial" w:hint="default"/>
                <w:sz w:val="18"/>
                <w:szCs w:val="18"/>
              </w:rPr>
            </w:pPr>
            <w:r>
              <w:rPr>
                <w:rFonts w:ascii="Arial"/>
                <w:sz w:val="18"/>
              </w:rPr>
              <w:t>27,097,</w:t>
            </w:r>
          </w:p>
          <w:p>
            <w:pPr>
              <w:pStyle w:val="TableParagraph"/>
              <w:spacing w:line="240" w:lineRule="auto" w:before="105"/>
              <w:ind w:left="186" w:right="0"/>
              <w:jc w:val="left"/>
              <w:rPr>
                <w:rFonts w:ascii="Arial" w:hAnsi="Arial" w:cs="Arial" w:eastAsia="Arial" w:hint="default"/>
                <w:sz w:val="18"/>
                <w:szCs w:val="18"/>
              </w:rPr>
            </w:pPr>
            <w:r>
              <w:rPr>
                <w:rFonts w:ascii="Arial"/>
                <w:sz w:val="18"/>
              </w:rPr>
              <w:t>289.36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61.08</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Arial" w:hAnsi="Arial" w:cs="Arial" w:eastAsia="Arial" w:hint="default"/>
                <w:sz w:val="18"/>
                <w:szCs w:val="18"/>
              </w:rPr>
            </w:pPr>
            <w:r>
              <w:rPr>
                <w:rFonts w:ascii="Arial"/>
                <w:sz w:val="18"/>
              </w:rPr>
              <w:t>25,184,</w:t>
            </w:r>
          </w:p>
          <w:p>
            <w:pPr>
              <w:pStyle w:val="TableParagraph"/>
              <w:spacing w:line="240" w:lineRule="auto" w:before="105"/>
              <w:ind w:left="187" w:right="0"/>
              <w:jc w:val="left"/>
              <w:rPr>
                <w:rFonts w:ascii="Arial" w:hAnsi="Arial" w:cs="Arial" w:eastAsia="Arial" w:hint="default"/>
                <w:sz w:val="18"/>
                <w:szCs w:val="18"/>
              </w:rPr>
            </w:pPr>
            <w:r>
              <w:rPr>
                <w:rFonts w:ascii="Arial"/>
                <w:sz w:val="18"/>
              </w:rPr>
              <w:t>188.24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Arial" w:hAnsi="Arial" w:cs="Arial" w:eastAsia="Arial" w:hint="default"/>
                <w:sz w:val="18"/>
                <w:szCs w:val="18"/>
              </w:rPr>
            </w:pPr>
            <w:r>
              <w:rPr>
                <w:rFonts w:ascii="Arial"/>
                <w:sz w:val="18"/>
              </w:rPr>
              <w:t>92.94</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8" w:right="0"/>
              <w:jc w:val="left"/>
              <w:rPr>
                <w:rFonts w:ascii="Arial" w:hAnsi="Arial" w:cs="Arial" w:eastAsia="Arial" w:hint="default"/>
                <w:sz w:val="18"/>
                <w:szCs w:val="18"/>
              </w:rPr>
            </w:pPr>
            <w:r>
              <w:rPr>
                <w:rFonts w:ascii="Arial"/>
                <w:sz w:val="18"/>
              </w:rPr>
              <w:t>1,913,10</w:t>
            </w:r>
          </w:p>
          <w:p>
            <w:pPr>
              <w:pStyle w:val="TableParagraph"/>
              <w:spacing w:line="240" w:lineRule="auto" w:before="105"/>
              <w:ind w:left="529" w:right="0"/>
              <w:jc w:val="left"/>
              <w:rPr>
                <w:rFonts w:ascii="Arial" w:hAnsi="Arial" w:cs="Arial" w:eastAsia="Arial" w:hint="default"/>
                <w:sz w:val="18"/>
                <w:szCs w:val="18"/>
              </w:rPr>
            </w:pPr>
            <w:r>
              <w:rPr>
                <w:rFonts w:ascii="Arial"/>
                <w:sz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28,886,108</w:t>
            </w:r>
          </w:p>
          <w:p>
            <w:pPr>
              <w:pStyle w:val="TableParagraph"/>
              <w:spacing w:line="240" w:lineRule="auto" w:before="105"/>
              <w:ind w:right="100"/>
              <w:jc w:val="right"/>
              <w:rPr>
                <w:rFonts w:ascii="Arial" w:hAnsi="Arial" w:cs="Arial" w:eastAsia="Arial" w:hint="default"/>
                <w:sz w:val="18"/>
                <w:szCs w:val="18"/>
              </w:rPr>
            </w:pPr>
            <w:r>
              <w:rPr>
                <w:rFonts w:ascii="Arial"/>
                <w:w w:val="95"/>
                <w:sz w:val="18"/>
              </w:rPr>
              <w:t>.35</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Arial" w:hAnsi="Arial" w:cs="Arial" w:eastAsia="Arial" w:hint="default"/>
                <w:sz w:val="18"/>
                <w:szCs w:val="18"/>
              </w:rPr>
            </w:pPr>
            <w:r>
              <w:rPr>
                <w:rFonts w:ascii="Arial"/>
                <w:sz w:val="18"/>
              </w:rPr>
              <w:t>57.90</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Arial" w:hAnsi="Arial" w:cs="Arial" w:eastAsia="Arial" w:hint="default"/>
                <w:sz w:val="18"/>
                <w:szCs w:val="18"/>
              </w:rPr>
            </w:pPr>
            <w:r>
              <w:rPr>
                <w:rFonts w:ascii="Arial"/>
                <w:sz w:val="18"/>
              </w:rPr>
              <w:t>26,558,</w:t>
            </w:r>
          </w:p>
          <w:p>
            <w:pPr>
              <w:pStyle w:val="TableParagraph"/>
              <w:spacing w:line="240" w:lineRule="auto" w:before="105"/>
              <w:ind w:left="187" w:right="0"/>
              <w:jc w:val="left"/>
              <w:rPr>
                <w:rFonts w:ascii="Arial" w:hAnsi="Arial" w:cs="Arial" w:eastAsia="Arial" w:hint="default"/>
                <w:sz w:val="18"/>
                <w:szCs w:val="18"/>
              </w:rPr>
            </w:pPr>
            <w:r>
              <w:rPr>
                <w:rFonts w:ascii="Arial"/>
                <w:sz w:val="18"/>
              </w:rPr>
              <w:t>569.66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center"/>
              <w:rPr>
                <w:rFonts w:ascii="Arial" w:hAnsi="Arial" w:cs="Arial" w:eastAsia="Arial" w:hint="default"/>
                <w:sz w:val="18"/>
                <w:szCs w:val="18"/>
              </w:rPr>
            </w:pPr>
            <w:r>
              <w:rPr>
                <w:rFonts w:ascii="Arial"/>
                <w:sz w:val="18"/>
              </w:rPr>
              <w:t>91.94%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6" w:right="0"/>
              <w:jc w:val="left"/>
              <w:rPr>
                <w:rFonts w:ascii="Arial" w:hAnsi="Arial" w:cs="Arial" w:eastAsia="Arial" w:hint="default"/>
                <w:sz w:val="18"/>
                <w:szCs w:val="18"/>
              </w:rPr>
            </w:pPr>
            <w:r>
              <w:rPr>
                <w:rFonts w:ascii="Arial"/>
                <w:sz w:val="18"/>
              </w:rPr>
              <w:t>2,327,53</w:t>
            </w:r>
          </w:p>
          <w:p>
            <w:pPr>
              <w:pStyle w:val="TableParagraph"/>
              <w:spacing w:line="240" w:lineRule="auto" w:before="105"/>
              <w:ind w:left="457" w:right="0"/>
              <w:jc w:val="left"/>
              <w:rPr>
                <w:rFonts w:ascii="Arial" w:hAnsi="Arial" w:cs="Arial" w:eastAsia="Arial" w:hint="default"/>
                <w:sz w:val="18"/>
                <w:szCs w:val="18"/>
              </w:rPr>
            </w:pPr>
            <w:r>
              <w:rPr>
                <w:rFonts w:ascii="Arial"/>
                <w:sz w:val="18"/>
              </w:rPr>
              <w:t>8.69</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59"/>
              <w:jc w:val="both"/>
              <w:rPr>
                <w:rFonts w:ascii="宋体" w:hAnsi="宋体" w:cs="宋体" w:eastAsia="宋体" w:hint="default"/>
                <w:sz w:val="18"/>
                <w:szCs w:val="18"/>
              </w:rPr>
            </w:pPr>
            <w:r>
              <w:rPr>
                <w:rFonts w:ascii="宋体" w:hAnsi="宋体" w:cs="宋体" w:eastAsia="宋体" w:hint="default"/>
                <w:sz w:val="18"/>
                <w:szCs w:val="18"/>
              </w:rPr>
              <w:t>其中：政 府客户组 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Arial" w:hAnsi="Arial" w:cs="Arial" w:eastAsia="Arial" w:hint="default"/>
                <w:sz w:val="18"/>
                <w:szCs w:val="18"/>
              </w:rPr>
            </w:pPr>
            <w:r>
              <w:rPr>
                <w:rFonts w:ascii="Arial"/>
                <w:sz w:val="18"/>
              </w:rPr>
              <w:t>13,177,</w:t>
            </w:r>
          </w:p>
          <w:p>
            <w:pPr>
              <w:pStyle w:val="TableParagraph"/>
              <w:spacing w:line="240" w:lineRule="auto" w:before="105"/>
              <w:ind w:left="186" w:right="0"/>
              <w:jc w:val="left"/>
              <w:rPr>
                <w:rFonts w:ascii="Arial" w:hAnsi="Arial" w:cs="Arial" w:eastAsia="Arial" w:hint="default"/>
                <w:sz w:val="18"/>
                <w:szCs w:val="18"/>
              </w:rPr>
            </w:pPr>
            <w:r>
              <w:rPr>
                <w:rFonts w:ascii="Arial"/>
                <w:sz w:val="18"/>
              </w:rPr>
              <w:t>212.41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Arial" w:hAnsi="Arial" w:cs="Arial" w:eastAsia="Arial" w:hint="default"/>
                <w:sz w:val="18"/>
                <w:szCs w:val="18"/>
              </w:rPr>
            </w:pPr>
            <w:r>
              <w:rPr>
                <w:rFonts w:ascii="Arial"/>
                <w:sz w:val="18"/>
              </w:rPr>
              <w:t>29.70</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Arial" w:hAnsi="Arial" w:cs="Arial" w:eastAsia="Arial" w:hint="default"/>
                <w:sz w:val="18"/>
                <w:szCs w:val="18"/>
              </w:rPr>
            </w:pPr>
            <w:r>
              <w:rPr>
                <w:rFonts w:ascii="Arial"/>
                <w:sz w:val="18"/>
              </w:rPr>
              <w:t>12,518,</w:t>
            </w:r>
          </w:p>
          <w:p>
            <w:pPr>
              <w:pStyle w:val="TableParagraph"/>
              <w:spacing w:line="240" w:lineRule="auto" w:before="105"/>
              <w:ind w:left="187" w:right="0"/>
              <w:jc w:val="left"/>
              <w:rPr>
                <w:rFonts w:ascii="Arial" w:hAnsi="Arial" w:cs="Arial" w:eastAsia="Arial" w:hint="default"/>
                <w:sz w:val="18"/>
                <w:szCs w:val="18"/>
              </w:rPr>
            </w:pPr>
            <w:r>
              <w:rPr>
                <w:rFonts w:ascii="Arial"/>
                <w:sz w:val="18"/>
              </w:rPr>
              <w:t>351.79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Arial" w:hAnsi="Arial" w:cs="Arial" w:eastAsia="Arial" w:hint="default"/>
                <w:sz w:val="18"/>
                <w:szCs w:val="18"/>
              </w:rPr>
            </w:pPr>
            <w:r>
              <w:rPr>
                <w:rFonts w:ascii="Arial"/>
                <w:sz w:val="18"/>
              </w:rPr>
              <w:t>95.00</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658,860.</w:t>
            </w:r>
          </w:p>
          <w:p>
            <w:pPr>
              <w:pStyle w:val="TableParagraph"/>
              <w:spacing w:line="240" w:lineRule="auto" w:before="105"/>
              <w:ind w:right="101"/>
              <w:jc w:val="right"/>
              <w:rPr>
                <w:rFonts w:ascii="Arial" w:hAnsi="Arial" w:cs="Arial" w:eastAsia="Arial" w:hint="default"/>
                <w:sz w:val="18"/>
                <w:szCs w:val="18"/>
              </w:rPr>
            </w:pPr>
            <w:r>
              <w:rPr>
                <w:rFonts w:ascii="Arial"/>
                <w:w w:val="95"/>
                <w:sz w:val="18"/>
              </w:rPr>
              <w:t>62</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14,274,616</w:t>
            </w:r>
          </w:p>
          <w:p>
            <w:pPr>
              <w:pStyle w:val="TableParagraph"/>
              <w:spacing w:line="240" w:lineRule="auto" w:before="105"/>
              <w:ind w:right="100"/>
              <w:jc w:val="right"/>
              <w:rPr>
                <w:rFonts w:ascii="Arial" w:hAnsi="Arial" w:cs="Arial" w:eastAsia="Arial" w:hint="default"/>
                <w:sz w:val="18"/>
                <w:szCs w:val="18"/>
              </w:rPr>
            </w:pPr>
            <w:r>
              <w:rPr>
                <w:rFonts w:ascii="Arial"/>
                <w:w w:val="95"/>
                <w:sz w:val="18"/>
              </w:rPr>
              <w:t>.48</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Arial" w:hAnsi="Arial" w:cs="Arial" w:eastAsia="Arial" w:hint="default"/>
                <w:sz w:val="18"/>
                <w:szCs w:val="18"/>
              </w:rPr>
            </w:pPr>
            <w:r>
              <w:rPr>
                <w:rFonts w:ascii="Arial"/>
                <w:sz w:val="18"/>
              </w:rPr>
              <w:t>28.61</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Arial" w:hAnsi="Arial" w:cs="Arial" w:eastAsia="Arial" w:hint="default"/>
                <w:sz w:val="18"/>
                <w:szCs w:val="18"/>
              </w:rPr>
            </w:pPr>
            <w:r>
              <w:rPr>
                <w:rFonts w:ascii="Arial"/>
                <w:sz w:val="18"/>
              </w:rPr>
              <w:t>13,560,</w:t>
            </w:r>
          </w:p>
          <w:p>
            <w:pPr>
              <w:pStyle w:val="TableParagraph"/>
              <w:spacing w:line="240" w:lineRule="auto" w:before="105"/>
              <w:ind w:left="187" w:right="0"/>
              <w:jc w:val="left"/>
              <w:rPr>
                <w:rFonts w:ascii="Arial" w:hAnsi="Arial" w:cs="Arial" w:eastAsia="Arial" w:hint="default"/>
                <w:sz w:val="18"/>
                <w:szCs w:val="18"/>
              </w:rPr>
            </w:pPr>
            <w:r>
              <w:rPr>
                <w:rFonts w:ascii="Arial"/>
                <w:sz w:val="18"/>
              </w:rPr>
              <w:t>506.42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center"/>
              <w:rPr>
                <w:rFonts w:ascii="Arial" w:hAnsi="Arial" w:cs="Arial" w:eastAsia="Arial" w:hint="default"/>
                <w:sz w:val="18"/>
                <w:szCs w:val="18"/>
              </w:rPr>
            </w:pPr>
            <w:r>
              <w:rPr>
                <w:rFonts w:ascii="Arial"/>
                <w:sz w:val="18"/>
              </w:rPr>
              <w:t>95.00%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Arial" w:hAnsi="Arial" w:cs="Arial" w:eastAsia="Arial" w:hint="default"/>
                <w:sz w:val="18"/>
                <w:szCs w:val="18"/>
              </w:rPr>
            </w:pPr>
            <w:r>
              <w:rPr>
                <w:rFonts w:ascii="Arial"/>
                <w:sz w:val="18"/>
              </w:rPr>
              <w:t>714,110.</w:t>
            </w:r>
          </w:p>
          <w:p>
            <w:pPr>
              <w:pStyle w:val="TableParagraph"/>
              <w:spacing w:line="240" w:lineRule="auto" w:before="105"/>
              <w:ind w:left="606" w:right="0"/>
              <w:jc w:val="left"/>
              <w:rPr>
                <w:rFonts w:ascii="Arial" w:hAnsi="Arial" w:cs="Arial" w:eastAsia="Arial" w:hint="default"/>
                <w:sz w:val="18"/>
                <w:szCs w:val="18"/>
              </w:rPr>
            </w:pPr>
            <w:r>
              <w:rPr>
                <w:rFonts w:ascii="Arial"/>
                <w:sz w:val="18"/>
              </w:rPr>
              <w:t>06</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59" w:firstLine="360"/>
              <w:jc w:val="left"/>
              <w:rPr>
                <w:rFonts w:ascii="宋体" w:hAnsi="宋体" w:cs="宋体" w:eastAsia="宋体" w:hint="default"/>
                <w:sz w:val="18"/>
                <w:szCs w:val="18"/>
              </w:rPr>
            </w:pPr>
            <w:r>
              <w:rPr>
                <w:rFonts w:ascii="宋体" w:hAnsi="宋体" w:cs="宋体" w:eastAsia="宋体" w:hint="default"/>
                <w:sz w:val="18"/>
                <w:szCs w:val="18"/>
              </w:rPr>
              <w:t>其他 客户组合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Arial" w:hAnsi="Arial" w:cs="Arial" w:eastAsia="Arial" w:hint="default"/>
                <w:sz w:val="18"/>
                <w:szCs w:val="18"/>
              </w:rPr>
            </w:pPr>
            <w:r>
              <w:rPr>
                <w:rFonts w:ascii="Arial"/>
                <w:sz w:val="18"/>
              </w:rPr>
              <w:t>13,920,</w:t>
            </w:r>
          </w:p>
          <w:p>
            <w:pPr>
              <w:pStyle w:val="TableParagraph"/>
              <w:spacing w:line="240" w:lineRule="auto" w:before="105"/>
              <w:ind w:left="186" w:right="0"/>
              <w:jc w:val="left"/>
              <w:rPr>
                <w:rFonts w:ascii="Arial" w:hAnsi="Arial" w:cs="Arial" w:eastAsia="Arial" w:hint="default"/>
                <w:sz w:val="18"/>
                <w:szCs w:val="18"/>
              </w:rPr>
            </w:pPr>
            <w:r>
              <w:rPr>
                <w:rFonts w:ascii="Arial"/>
                <w:sz w:val="18"/>
              </w:rPr>
              <w:t>076.95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Arial" w:hAnsi="Arial" w:cs="Arial" w:eastAsia="Arial" w:hint="default"/>
                <w:sz w:val="18"/>
                <w:szCs w:val="18"/>
              </w:rPr>
            </w:pPr>
            <w:r>
              <w:rPr>
                <w:rFonts w:ascii="Arial"/>
                <w:sz w:val="18"/>
              </w:rPr>
              <w:t>31.38</w:t>
            </w:r>
          </w:p>
          <w:p>
            <w:pPr>
              <w:pStyle w:val="TableParagraph"/>
              <w:spacing w:line="240" w:lineRule="auto" w:before="105"/>
              <w:ind w:left="435" w:right="0"/>
              <w:jc w:val="left"/>
              <w:rPr>
                <w:rFonts w:ascii="Arial" w:hAnsi="Arial" w:cs="Arial" w:eastAsia="Arial" w:hint="default"/>
                <w:sz w:val="18"/>
                <w:szCs w:val="18"/>
              </w:rPr>
            </w:pPr>
            <w:r>
              <w:rPr>
                <w:rFonts w:ascii="Arial"/>
                <w:w w:val="99"/>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12,665,</w:t>
            </w:r>
          </w:p>
          <w:p>
            <w:pPr>
              <w:pStyle w:val="TableParagraph"/>
              <w:spacing w:line="240" w:lineRule="auto" w:before="105"/>
              <w:ind w:left="187" w:right="0"/>
              <w:jc w:val="left"/>
              <w:rPr>
                <w:rFonts w:ascii="Arial" w:hAnsi="Arial" w:cs="Arial" w:eastAsia="Arial" w:hint="default"/>
                <w:sz w:val="18"/>
                <w:szCs w:val="18"/>
              </w:rPr>
            </w:pPr>
            <w:r>
              <w:rPr>
                <w:rFonts w:ascii="Arial"/>
                <w:sz w:val="18"/>
              </w:rPr>
              <w:t>836.45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Arial" w:hAnsi="Arial" w:cs="Arial" w:eastAsia="Arial" w:hint="default"/>
                <w:sz w:val="18"/>
                <w:szCs w:val="18"/>
              </w:rPr>
            </w:pPr>
            <w:r>
              <w:rPr>
                <w:rFonts w:ascii="Arial"/>
                <w:sz w:val="18"/>
              </w:rPr>
              <w:t>90.99</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 w:right="0"/>
              <w:jc w:val="left"/>
              <w:rPr>
                <w:rFonts w:ascii="Arial" w:hAnsi="Arial" w:cs="Arial" w:eastAsia="Arial" w:hint="default"/>
                <w:sz w:val="18"/>
                <w:szCs w:val="18"/>
              </w:rPr>
            </w:pPr>
            <w:r>
              <w:rPr>
                <w:rFonts w:ascii="Arial"/>
                <w:sz w:val="18"/>
              </w:rPr>
              <w:t>1,254,24</w:t>
            </w:r>
          </w:p>
          <w:p>
            <w:pPr>
              <w:pStyle w:val="TableParagraph"/>
              <w:spacing w:line="240" w:lineRule="auto" w:before="105"/>
              <w:ind w:left="529" w:right="0"/>
              <w:jc w:val="left"/>
              <w:rPr>
                <w:rFonts w:ascii="Arial" w:hAnsi="Arial" w:cs="Arial" w:eastAsia="Arial" w:hint="default"/>
                <w:sz w:val="18"/>
                <w:szCs w:val="18"/>
              </w:rPr>
            </w:pPr>
            <w:r>
              <w:rPr>
                <w:rFonts w:ascii="Arial"/>
                <w:sz w:val="18"/>
              </w:rPr>
              <w:t>0.50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Arial" w:hAnsi="Arial" w:cs="Arial" w:eastAsia="Arial" w:hint="default"/>
                <w:sz w:val="18"/>
                <w:szCs w:val="18"/>
              </w:rPr>
            </w:pPr>
            <w:r>
              <w:rPr>
                <w:rFonts w:ascii="Arial"/>
                <w:spacing w:val="-2"/>
                <w:sz w:val="18"/>
              </w:rPr>
              <w:t>14,611,491</w:t>
            </w:r>
          </w:p>
          <w:p>
            <w:pPr>
              <w:pStyle w:val="TableParagraph"/>
              <w:spacing w:line="240" w:lineRule="auto" w:before="105"/>
              <w:ind w:right="100"/>
              <w:jc w:val="right"/>
              <w:rPr>
                <w:rFonts w:ascii="Arial" w:hAnsi="Arial" w:cs="Arial" w:eastAsia="Arial" w:hint="default"/>
                <w:sz w:val="18"/>
                <w:szCs w:val="18"/>
              </w:rPr>
            </w:pPr>
            <w:r>
              <w:rPr>
                <w:rFonts w:ascii="Arial"/>
                <w:w w:val="95"/>
                <w:sz w:val="18"/>
              </w:rPr>
              <w:t>.87</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Arial" w:hAnsi="Arial" w:cs="Arial" w:eastAsia="Arial" w:hint="default"/>
                <w:sz w:val="18"/>
                <w:szCs w:val="18"/>
              </w:rPr>
            </w:pPr>
            <w:r>
              <w:rPr>
                <w:rFonts w:ascii="Arial"/>
                <w:sz w:val="18"/>
              </w:rPr>
              <w:t>29.29</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7" w:right="0"/>
              <w:jc w:val="left"/>
              <w:rPr>
                <w:rFonts w:ascii="Arial" w:hAnsi="Arial" w:cs="Arial" w:eastAsia="Arial" w:hint="default"/>
                <w:sz w:val="18"/>
                <w:szCs w:val="18"/>
              </w:rPr>
            </w:pPr>
            <w:r>
              <w:rPr>
                <w:rFonts w:ascii="Arial"/>
                <w:sz w:val="18"/>
              </w:rPr>
              <w:t>12,998,</w:t>
            </w:r>
          </w:p>
          <w:p>
            <w:pPr>
              <w:pStyle w:val="TableParagraph"/>
              <w:spacing w:line="240" w:lineRule="auto" w:before="105"/>
              <w:ind w:left="187" w:right="0"/>
              <w:jc w:val="left"/>
              <w:rPr>
                <w:rFonts w:ascii="Arial" w:hAnsi="Arial" w:cs="Arial" w:eastAsia="Arial" w:hint="default"/>
                <w:sz w:val="18"/>
                <w:szCs w:val="18"/>
              </w:rPr>
            </w:pPr>
            <w:r>
              <w:rPr>
                <w:rFonts w:ascii="Arial"/>
                <w:sz w:val="18"/>
              </w:rPr>
              <w:t>063.24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center"/>
              <w:rPr>
                <w:rFonts w:ascii="Arial" w:hAnsi="Arial" w:cs="Arial" w:eastAsia="Arial" w:hint="default"/>
                <w:sz w:val="18"/>
                <w:szCs w:val="18"/>
              </w:rPr>
            </w:pPr>
            <w:r>
              <w:rPr>
                <w:rFonts w:ascii="Arial"/>
                <w:sz w:val="18"/>
              </w:rPr>
              <w:t>88.96%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Arial" w:hAnsi="Arial" w:cs="Arial" w:eastAsia="Arial" w:hint="default"/>
                <w:sz w:val="18"/>
                <w:szCs w:val="18"/>
              </w:rPr>
            </w:pPr>
            <w:r>
              <w:rPr>
                <w:rFonts w:ascii="Arial"/>
                <w:sz w:val="18"/>
              </w:rPr>
              <w:t>1,613,42</w:t>
            </w:r>
          </w:p>
          <w:p>
            <w:pPr>
              <w:pStyle w:val="TableParagraph"/>
              <w:spacing w:line="240" w:lineRule="auto" w:before="105"/>
              <w:ind w:left="457" w:right="0"/>
              <w:jc w:val="left"/>
              <w:rPr>
                <w:rFonts w:ascii="Arial" w:hAnsi="Arial" w:cs="Arial" w:eastAsia="Arial" w:hint="default"/>
                <w:sz w:val="18"/>
                <w:szCs w:val="18"/>
              </w:rPr>
            </w:pPr>
            <w:r>
              <w:rPr>
                <w:rFonts w:ascii="Arial"/>
                <w:sz w:val="18"/>
              </w:rPr>
              <w:t>8.63</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Arial" w:hAnsi="Arial" w:cs="Arial" w:eastAsia="Arial" w:hint="default"/>
                <w:sz w:val="18"/>
                <w:szCs w:val="18"/>
              </w:rPr>
            </w:pPr>
            <w:r>
              <w:rPr>
                <w:rFonts w:ascii="Arial"/>
                <w:sz w:val="18"/>
              </w:rPr>
              <w:t>44,361,</w:t>
            </w:r>
          </w:p>
          <w:p>
            <w:pPr>
              <w:pStyle w:val="TableParagraph"/>
              <w:spacing w:line="240" w:lineRule="auto" w:before="105"/>
              <w:ind w:left="186" w:right="0"/>
              <w:jc w:val="left"/>
              <w:rPr>
                <w:rFonts w:ascii="Arial" w:hAnsi="Arial" w:cs="Arial" w:eastAsia="Arial" w:hint="default"/>
                <w:sz w:val="18"/>
                <w:szCs w:val="18"/>
              </w:rPr>
            </w:pPr>
            <w:r>
              <w:rPr>
                <w:rFonts w:ascii="Arial"/>
                <w:sz w:val="18"/>
              </w:rPr>
              <w:t>830.42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Arial" w:hAnsi="Arial" w:cs="Arial" w:eastAsia="Arial" w:hint="default"/>
                <w:sz w:val="18"/>
                <w:szCs w:val="18"/>
              </w:rPr>
            </w:pPr>
            <w:r>
              <w:rPr>
                <w:rFonts w:ascii="Arial"/>
                <w:sz w:val="18"/>
              </w:rPr>
              <w:t>100.0</w:t>
            </w:r>
          </w:p>
          <w:p>
            <w:pPr>
              <w:pStyle w:val="TableParagraph"/>
              <w:spacing w:line="240" w:lineRule="auto" w:before="105"/>
              <w:ind w:left="231" w:right="0"/>
              <w:jc w:val="center"/>
              <w:rPr>
                <w:rFonts w:ascii="Arial" w:hAnsi="Arial" w:cs="Arial" w:eastAsia="Arial" w:hint="default"/>
                <w:sz w:val="18"/>
                <w:szCs w:val="18"/>
              </w:rPr>
            </w:pPr>
            <w:r>
              <w:rPr>
                <w:rFonts w:ascii="Arial"/>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Arial" w:hAnsi="Arial" w:cs="Arial" w:eastAsia="Arial" w:hint="default"/>
                <w:sz w:val="18"/>
                <w:szCs w:val="18"/>
              </w:rPr>
            </w:pPr>
            <w:r>
              <w:rPr>
                <w:rFonts w:ascii="Arial"/>
                <w:sz w:val="18"/>
              </w:rPr>
              <w:t>25,615,</w:t>
            </w:r>
          </w:p>
          <w:p>
            <w:pPr>
              <w:pStyle w:val="TableParagraph"/>
              <w:spacing w:line="240" w:lineRule="auto" w:before="105"/>
              <w:ind w:left="187" w:right="0"/>
              <w:jc w:val="left"/>
              <w:rPr>
                <w:rFonts w:ascii="Arial" w:hAnsi="Arial" w:cs="Arial" w:eastAsia="Arial" w:hint="default"/>
                <w:sz w:val="18"/>
                <w:szCs w:val="18"/>
              </w:rPr>
            </w:pPr>
            <w:r>
              <w:rPr>
                <w:rFonts w:ascii="Arial"/>
                <w:sz w:val="18"/>
              </w:rPr>
              <w:t>801.77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Arial" w:hAnsi="Arial" w:cs="Arial" w:eastAsia="Arial" w:hint="default"/>
                <w:sz w:val="18"/>
                <w:szCs w:val="18"/>
              </w:rPr>
            </w:pPr>
            <w:r>
              <w:rPr>
                <w:rFonts w:ascii="Arial"/>
                <w:sz w:val="18"/>
              </w:rPr>
              <w:t>57.74</w:t>
            </w:r>
          </w:p>
          <w:p>
            <w:pPr>
              <w:pStyle w:val="TableParagraph"/>
              <w:spacing w:line="240" w:lineRule="auto" w:before="105"/>
              <w:ind w:left="436" w:right="0"/>
              <w:jc w:val="lef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Arial" w:hAnsi="Arial" w:cs="Arial" w:eastAsia="Arial" w:hint="default"/>
                <w:sz w:val="18"/>
                <w:szCs w:val="18"/>
              </w:rPr>
            </w:pPr>
            <w:r>
              <w:rPr>
                <w:rFonts w:ascii="Arial"/>
                <w:sz w:val="18"/>
              </w:rPr>
              <w:t>18,746,0</w:t>
            </w:r>
          </w:p>
          <w:p>
            <w:pPr>
              <w:pStyle w:val="TableParagraph"/>
              <w:spacing w:line="240" w:lineRule="auto" w:before="105"/>
              <w:ind w:left="428" w:right="0"/>
              <w:jc w:val="left"/>
              <w:rPr>
                <w:rFonts w:ascii="Arial" w:hAnsi="Arial" w:cs="Arial" w:eastAsia="Arial" w:hint="default"/>
                <w:sz w:val="18"/>
                <w:szCs w:val="18"/>
              </w:rPr>
            </w:pPr>
            <w:r>
              <w:rPr>
                <w:rFonts w:ascii="Arial"/>
                <w:sz w:val="18"/>
              </w:rPr>
              <w:t>28.65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49,888,957</w:t>
            </w:r>
          </w:p>
          <w:p>
            <w:pPr>
              <w:pStyle w:val="TableParagraph"/>
              <w:spacing w:line="240" w:lineRule="auto" w:before="105"/>
              <w:ind w:right="100"/>
              <w:jc w:val="right"/>
              <w:rPr>
                <w:rFonts w:ascii="Arial" w:hAnsi="Arial" w:cs="Arial" w:eastAsia="Arial" w:hint="default"/>
                <w:sz w:val="18"/>
                <w:szCs w:val="18"/>
              </w:rPr>
            </w:pPr>
            <w:r>
              <w:rPr>
                <w:rFonts w:ascii="Arial"/>
                <w:w w:val="95"/>
                <w:sz w:val="18"/>
              </w:rPr>
              <w:t>.03</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Arial" w:hAnsi="Arial" w:cs="Arial" w:eastAsia="Arial" w:hint="default"/>
                <w:sz w:val="18"/>
                <w:szCs w:val="18"/>
              </w:rPr>
            </w:pPr>
            <w:r>
              <w:rPr>
                <w:rFonts w:ascii="Arial"/>
                <w:sz w:val="18"/>
              </w:rPr>
              <w:t>100.0</w:t>
            </w:r>
          </w:p>
          <w:p>
            <w:pPr>
              <w:pStyle w:val="TableParagraph"/>
              <w:spacing w:line="240" w:lineRule="auto" w:before="105"/>
              <w:ind w:left="232" w:right="0"/>
              <w:jc w:val="center"/>
              <w:rPr>
                <w:rFonts w:ascii="Arial" w:hAnsi="Arial" w:cs="Arial" w:eastAsia="Arial" w:hint="default"/>
                <w:sz w:val="18"/>
                <w:szCs w:val="18"/>
              </w:rPr>
            </w:pPr>
            <w:r>
              <w:rPr>
                <w:rFonts w:ascii="Arial"/>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Arial" w:hAnsi="Arial" w:cs="Arial" w:eastAsia="Arial" w:hint="default"/>
                <w:sz w:val="18"/>
                <w:szCs w:val="18"/>
              </w:rPr>
            </w:pPr>
            <w:r>
              <w:rPr>
                <w:rFonts w:ascii="Arial"/>
                <w:sz w:val="18"/>
              </w:rPr>
              <w:t>27,083,</w:t>
            </w:r>
          </w:p>
          <w:p>
            <w:pPr>
              <w:pStyle w:val="TableParagraph"/>
              <w:spacing w:line="240" w:lineRule="auto" w:before="105"/>
              <w:ind w:left="187" w:right="0"/>
              <w:jc w:val="left"/>
              <w:rPr>
                <w:rFonts w:ascii="Arial" w:hAnsi="Arial" w:cs="Arial" w:eastAsia="Arial" w:hint="default"/>
                <w:sz w:val="18"/>
                <w:szCs w:val="18"/>
              </w:rPr>
            </w:pPr>
            <w:r>
              <w:rPr>
                <w:rFonts w:ascii="Arial"/>
                <w:sz w:val="18"/>
              </w:rPr>
              <w:t>640.88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Arial" w:hAnsi="Arial" w:cs="Arial" w:eastAsia="Arial" w:hint="default"/>
                <w:sz w:val="18"/>
                <w:szCs w:val="18"/>
              </w:rPr>
            </w:pPr>
            <w:r>
              <w:rPr>
                <w:rFonts w:ascii="Arial"/>
                <w:sz w:val="18"/>
              </w:rPr>
              <w:t>54.29%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Arial" w:hAnsi="Arial" w:cs="Arial" w:eastAsia="Arial" w:hint="default"/>
                <w:sz w:val="18"/>
                <w:szCs w:val="18"/>
              </w:rPr>
            </w:pPr>
            <w:r>
              <w:rPr>
                <w:rFonts w:ascii="Arial"/>
                <w:sz w:val="18"/>
              </w:rPr>
              <w:t>22,805,3</w:t>
            </w:r>
          </w:p>
          <w:p>
            <w:pPr>
              <w:pStyle w:val="TableParagraph"/>
              <w:spacing w:line="240" w:lineRule="auto" w:before="105"/>
              <w:ind w:left="356" w:right="0"/>
              <w:jc w:val="left"/>
              <w:rPr>
                <w:rFonts w:ascii="Arial" w:hAnsi="Arial" w:cs="Arial" w:eastAsia="Arial" w:hint="default"/>
                <w:sz w:val="18"/>
                <w:szCs w:val="18"/>
              </w:rPr>
            </w:pPr>
            <w:r>
              <w:rPr>
                <w:rFonts w:ascii="Arial"/>
                <w:sz w:val="18"/>
              </w:rPr>
              <w:t>16.15</w:t>
            </w:r>
          </w:p>
        </w:tc>
      </w:tr>
    </w:tbl>
    <w:p>
      <w:pPr>
        <w:spacing w:after="0" w:line="240" w:lineRule="auto"/>
        <w:jc w:val="left"/>
        <w:rPr>
          <w:rFonts w:ascii="Arial" w:hAnsi="Arial" w:cs="Arial" w:eastAsia="Arial" w:hint="default"/>
          <w:sz w:val="18"/>
          <w:szCs w:val="18"/>
        </w:rPr>
        <w:sectPr>
          <w:pgSz w:w="11910" w:h="16840"/>
          <w:pgMar w:header="878" w:footer="1016" w:top="1100" w:bottom="1200" w:left="1020" w:right="0"/>
        </w:sectPr>
      </w:pPr>
    </w:p>
    <w:p>
      <w:pPr>
        <w:pStyle w:val="BodyText"/>
        <w:spacing w:line="240" w:lineRule="auto" w:before="26"/>
        <w:ind w:right="0"/>
        <w:jc w:val="left"/>
      </w:pPr>
      <w:r>
        <w:rPr>
          <w:w w:val="95"/>
        </w:rPr>
        <w:t>按单项计提坏账准备：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211" w:space="6619"/>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1" w:right="0"/>
              <w:jc w:val="left"/>
              <w:rPr>
                <w:rFonts w:ascii="Arial" w:hAnsi="Arial" w:cs="Arial" w:eastAsia="Arial" w:hint="default"/>
                <w:sz w:val="18"/>
                <w:szCs w:val="18"/>
              </w:rPr>
            </w:pPr>
            <w:r>
              <w:rPr>
                <w:rFonts w:ascii="Arial"/>
                <w:sz w:val="18"/>
              </w:rPr>
              <w:t>17,264,541.06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431,613.53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按预期损失率计提</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1" w:right="0"/>
              <w:jc w:val="left"/>
              <w:rPr>
                <w:rFonts w:ascii="Arial" w:hAnsi="Arial" w:cs="Arial" w:eastAsia="Arial" w:hint="default"/>
                <w:sz w:val="18"/>
                <w:szCs w:val="18"/>
              </w:rPr>
            </w:pPr>
            <w:r>
              <w:rPr>
                <w:rFonts w:ascii="Arial"/>
                <w:sz w:val="18"/>
              </w:rPr>
              <w:t>17,264,541.06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431,613.53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200" w:left="1020" w:right="0"/>
        </w:sectPr>
      </w:pPr>
    </w:p>
    <w:p>
      <w:pPr>
        <w:pStyle w:val="BodyText"/>
        <w:spacing w:line="240" w:lineRule="auto" w:before="25"/>
        <w:ind w:right="0"/>
        <w:jc w:val="left"/>
      </w:pPr>
      <w:r>
        <w:rPr>
          <w:w w:val="95"/>
        </w:rPr>
        <w:t>政府客户组合计提坏账准备：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842" w:space="5987"/>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9" w:right="0"/>
              <w:jc w:val="left"/>
              <w:rPr>
                <w:rFonts w:ascii="Arial" w:hAnsi="Arial" w:cs="Arial" w:eastAsia="Arial" w:hint="default"/>
                <w:sz w:val="18"/>
                <w:szCs w:val="18"/>
              </w:rPr>
            </w:pPr>
            <w:r>
              <w:rPr>
                <w:rFonts w:ascii="Arial"/>
                <w:sz w:val="18"/>
              </w:rPr>
              <w:t>13,177,212.41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8" w:right="0"/>
              <w:jc w:val="left"/>
              <w:rPr>
                <w:rFonts w:ascii="Arial" w:hAnsi="Arial" w:cs="Arial" w:eastAsia="Arial" w:hint="default"/>
                <w:sz w:val="18"/>
                <w:szCs w:val="18"/>
              </w:rPr>
            </w:pPr>
            <w:r>
              <w:rPr>
                <w:rFonts w:ascii="Arial"/>
                <w:sz w:val="18"/>
              </w:rPr>
              <w:t>12,518,351.79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95.00%</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pStyle w:val="BodyText"/>
        <w:spacing w:line="240" w:lineRule="auto" w:before="24"/>
        <w:ind w:right="0"/>
        <w:jc w:val="left"/>
      </w:pPr>
      <w:r>
        <w:rPr>
          <w:w w:val="95"/>
        </w:rPr>
        <w:t>其他客户组合计提坏账准备：</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2842" w:space="5987"/>
            <w:col w:w="2061"/>
          </w:cols>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1,781,351.00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534,405.30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14,589.61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7,294.81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12,124,136.34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12,124,136.34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13,920,076.95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12,665,836.45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44"/>
          <w:pgSz w:w="11910" w:h="16840"/>
          <w:pgMar w:footer="1016" w:header="878" w:top="1100" w:bottom="1200" w:left="1020" w:right="0"/>
          <w:pgNumType w:start="200"/>
        </w:sectPr>
      </w:pPr>
    </w:p>
    <w:p>
      <w:pPr>
        <w:pStyle w:val="BodyText"/>
        <w:spacing w:line="240" w:lineRule="auto" w:before="27"/>
        <w:ind w:right="0"/>
        <w:jc w:val="left"/>
      </w:pPr>
      <w:r>
        <w:rPr>
          <w:w w:val="95"/>
        </w:rPr>
        <w:t>按账龄披露</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162" w:space="766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14,252.38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2"/>
                <w:sz w:val="18"/>
              </w:rPr>
              <w:t>5,533,911.00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14,589.61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38,799,077.43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44,361,830.42</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2）本期计提、收回或转回的坏账准备情况" w:id="353"/>
      <w:bookmarkEnd w:id="353"/>
      <w:r>
        <w:rPr>
          <w:b w:val="0"/>
          <w:bCs w:val="0"/>
        </w:rPr>
      </w:r>
      <w:r>
        <w:rPr/>
        <w:t>（</w:t>
      </w:r>
      <w:r>
        <w:rPr>
          <w:rFonts w:ascii="Arial" w:hAnsi="Arial" w:cs="Arial" w:eastAsia="Arial"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27,083,640.88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1" w:right="0"/>
              <w:jc w:val="left"/>
              <w:rPr>
                <w:rFonts w:ascii="Arial" w:hAnsi="Arial" w:cs="Arial" w:eastAsia="Arial" w:hint="default"/>
                <w:sz w:val="18"/>
                <w:szCs w:val="18"/>
              </w:rPr>
            </w:pPr>
            <w:r>
              <w:rPr>
                <w:rFonts w:ascii="Arial"/>
                <w:sz w:val="18"/>
              </w:rPr>
              <w:t>333,903.41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787,968.63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1,013,773.89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25,615,801.77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27,083,640.88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1" w:right="0"/>
              <w:jc w:val="left"/>
              <w:rPr>
                <w:rFonts w:ascii="Arial" w:hAnsi="Arial" w:cs="Arial" w:eastAsia="Arial" w:hint="default"/>
                <w:sz w:val="18"/>
                <w:szCs w:val="18"/>
              </w:rPr>
            </w:pPr>
            <w:r>
              <w:rPr>
                <w:rFonts w:ascii="Arial"/>
                <w:sz w:val="18"/>
              </w:rPr>
              <w:t>333,903.41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787,968.63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1,013,773.89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25,615,801.77</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3）本期实际核销的应收账款情况" w:id="354"/>
      <w:bookmarkEnd w:id="354"/>
      <w:r>
        <w:rPr>
          <w:b w:val="0"/>
          <w:bCs w:val="0"/>
        </w:rPr>
      </w:r>
      <w:r>
        <w:rPr/>
        <w:t>（</w:t>
      </w:r>
      <w:r>
        <w:rPr>
          <w:rFonts w:ascii="Arial" w:hAnsi="Arial" w:cs="Arial" w:eastAsia="Arial"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1,013,773.89</w:t>
            </w:r>
          </w:p>
        </w:tc>
      </w:tr>
    </w:tbl>
    <w:p>
      <w:pPr>
        <w:spacing w:line="240" w:lineRule="auto" w:before="3"/>
        <w:rPr>
          <w:rFonts w:ascii="宋体" w:hAnsi="宋体" w:cs="宋体" w:eastAsia="宋体" w:hint="default"/>
          <w:sz w:val="19"/>
          <w:szCs w:val="19"/>
        </w:rPr>
      </w:pPr>
    </w:p>
    <w:p>
      <w:pPr>
        <w:pStyle w:val="Heading4"/>
        <w:spacing w:line="240" w:lineRule="auto"/>
        <w:ind w:right="996"/>
        <w:jc w:val="left"/>
        <w:rPr>
          <w:b w:val="0"/>
          <w:bCs w:val="0"/>
        </w:rPr>
      </w:pPr>
      <w:bookmarkStart w:name="（4）按欠款方归集的期末余额前五名的应收账款情况" w:id="355"/>
      <w:bookmarkEnd w:id="355"/>
      <w:r>
        <w:rPr>
          <w:b w:val="0"/>
          <w:bCs w:val="0"/>
        </w:rPr>
      </w:r>
      <w:r>
        <w:rPr/>
        <w:t>（</w:t>
      </w:r>
      <w:r>
        <w:rPr>
          <w:rFonts w:ascii="Arial" w:hAnsi="Arial" w:cs="Arial" w:eastAsia="Arial"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17,264,541.06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38.92%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431,613.53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云南省高级人民法院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4,093,057.64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3,888,404.76</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湖北省人民检察院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3,150,000.00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sz w:val="18"/>
              </w:rPr>
              <w:t>3,150,000.00</w:t>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吉林银江信息技术有限公司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1,781,351.00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534,405.30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内蒙古自治区检察院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1,366,560.00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1,366,560.00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27,655,509.70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62.34%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其他应收款" w:id="356"/>
      <w:bookmarkEnd w:id="356"/>
      <w:r>
        <w:rPr>
          <w:b w:val="0"/>
          <w:bCs w:val="0"/>
        </w:rPr>
      </w:r>
      <w:r>
        <w:rPr>
          <w:rFonts w:ascii="Arial" w:hAnsi="Arial" w:cs="Arial" w:eastAsia="Arial" w:hint="default"/>
        </w:rPr>
        <w:t>2</w:t>
      </w:r>
      <w:r>
        <w:rPr/>
        <w:t>、其他应收款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1,044,938.00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253,152,707.18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8"/>
                <w:szCs w:val="18"/>
              </w:rPr>
            </w:pPr>
            <w:r>
              <w:rPr>
                <w:rFonts w:ascii="Arial"/>
                <w:spacing w:val="-1"/>
                <w:sz w:val="18"/>
              </w:rPr>
              <w:t>149,258,019.88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253,152,707.18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150,302,957.88</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1）应收利息" w:id="357"/>
      <w:bookmarkEnd w:id="357"/>
      <w:r>
        <w:rPr>
          <w:b w:val="0"/>
          <w:bCs w:val="0"/>
        </w:rPr>
      </w:r>
      <w:r>
        <w:rPr/>
        <w:t>（</w:t>
      </w:r>
      <w:r>
        <w:rPr>
          <w:rFonts w:ascii="Arial" w:hAnsi="Arial" w:cs="Arial" w:eastAsia="Arial" w:hint="default"/>
        </w:rPr>
        <w:t>1</w:t>
      </w:r>
      <w:r>
        <w:rPr/>
        <w:t>）应收利息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应收利息分类" w:id="358"/>
      <w:bookmarkEnd w:id="358"/>
      <w:r>
        <w:rPr>
          <w:b w:val="0"/>
          <w:bCs w:val="0"/>
        </w:rPr>
      </w:r>
      <w:r>
        <w:rPr>
          <w:rFonts w:ascii="Arial" w:hAnsi="Arial" w:cs="Arial" w:eastAsia="Arial"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1,044,938.00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1,044,938.00</w:t>
            </w:r>
          </w:p>
        </w:tc>
      </w:tr>
    </w:tbl>
    <w:p>
      <w:pPr>
        <w:spacing w:line="240" w:lineRule="auto" w:before="2"/>
        <w:rPr>
          <w:rFonts w:ascii="宋体" w:hAnsi="宋体" w:cs="宋体" w:eastAsia="宋体" w:hint="default"/>
          <w:sz w:val="19"/>
          <w:szCs w:val="19"/>
        </w:rPr>
      </w:pPr>
    </w:p>
    <w:p>
      <w:pPr>
        <w:pStyle w:val="Heading4"/>
        <w:spacing w:line="240" w:lineRule="auto"/>
        <w:ind w:right="996"/>
        <w:jc w:val="left"/>
        <w:rPr>
          <w:b w:val="0"/>
          <w:bCs w:val="0"/>
        </w:rPr>
      </w:pPr>
      <w:bookmarkStart w:name="（2）其他应收款" w:id="359"/>
      <w:bookmarkEnd w:id="359"/>
      <w:r>
        <w:rPr>
          <w:b w:val="0"/>
          <w:bCs w:val="0"/>
        </w:rPr>
      </w:r>
      <w:r>
        <w:rPr/>
        <w:t>（</w:t>
      </w:r>
      <w:r>
        <w:rPr>
          <w:rFonts w:ascii="Arial" w:hAnsi="Arial" w:cs="Arial" w:eastAsia="Arial" w:hint="default"/>
        </w:rPr>
        <w:t>2</w:t>
      </w:r>
      <w:r>
        <w:rPr/>
        <w:t>）其他应收款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before="0"/>
        <w:ind w:right="996"/>
        <w:jc w:val="left"/>
        <w:rPr>
          <w:b w:val="0"/>
          <w:bCs w:val="0"/>
        </w:rPr>
      </w:pPr>
      <w:bookmarkStart w:name="1）其他应收款按款项性质分类情况" w:id="360"/>
      <w:bookmarkEnd w:id="360"/>
      <w:r>
        <w:rPr>
          <w:b w:val="0"/>
          <w:bCs w:val="0"/>
        </w:rPr>
      </w:r>
      <w:r>
        <w:rPr>
          <w:rFonts w:ascii="Arial" w:hAnsi="Arial" w:cs="Arial" w:eastAsia="Arial"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3,029,448.93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3,525,523.93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294,000.00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296,000.00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备用金及押金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265,466.33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408,471.33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集团内借款及保证金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250,763,202.39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144,763,202.39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3,076,153.85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4,576,153.85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257,428,271.50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153,569,351.50</w:t>
            </w: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坏账准备计提情况" w:id="361"/>
      <w:bookmarkEnd w:id="361"/>
      <w:r>
        <w:rPr>
          <w:b w:val="0"/>
          <w:bCs w:val="0"/>
        </w:rPr>
      </w:r>
      <w:r>
        <w:rPr>
          <w:rFonts w:ascii="Arial" w:hAnsi="Arial" w:cs="Arial" w:eastAsia="Arial"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843"/>
        <w:gridCol w:w="1984"/>
        <w:gridCol w:w="1985"/>
        <w:gridCol w:w="1346"/>
      </w:tblGrid>
      <w:tr>
        <w:trPr>
          <w:trHeight w:val="40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10"/>
        <w:gridCol w:w="1843"/>
        <w:gridCol w:w="1984"/>
        <w:gridCol w:w="1985"/>
        <w:gridCol w:w="1346"/>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646" w:right="141" w:hanging="50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8" w:right="116" w:firstLine="57"/>
              <w:jc w:val="left"/>
              <w:rPr>
                <w:rFonts w:ascii="Arial" w:hAnsi="Arial" w:cs="Arial" w:eastAsia="Arial" w:hint="default"/>
                <w:sz w:val="18"/>
                <w:szCs w:val="18"/>
              </w:rPr>
            </w:pPr>
            <w:r>
              <w:rPr>
                <w:rFonts w:ascii="宋体" w:hAnsi="宋体" w:cs="宋体" w:eastAsia="宋体" w:hint="default"/>
                <w:sz w:val="18"/>
                <w:szCs w:val="18"/>
              </w:rPr>
              <w:t>整个存续期预期信用 损失</w:t>
            </w: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6" w:right="116" w:firstLine="60"/>
              <w:jc w:val="left"/>
              <w:rPr>
                <w:rFonts w:ascii="Arial" w:hAnsi="Arial" w:cs="Arial" w:eastAsia="Arial" w:hint="default"/>
                <w:sz w:val="18"/>
                <w:szCs w:val="18"/>
              </w:rPr>
            </w:pPr>
            <w:r>
              <w:rPr>
                <w:rFonts w:ascii="宋体" w:hAnsi="宋体" w:cs="宋体" w:eastAsia="宋体" w:hint="default"/>
                <w:sz w:val="18"/>
                <w:szCs w:val="18"/>
              </w:rPr>
              <w:t>整个存续期预期信用 损失</w:t>
            </w: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1,208,795.39</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2" w:right="0"/>
              <w:jc w:val="left"/>
              <w:rPr>
                <w:rFonts w:ascii="Arial" w:hAnsi="Arial" w:cs="Arial" w:eastAsia="Arial" w:hint="default"/>
                <w:sz w:val="18"/>
                <w:szCs w:val="18"/>
              </w:rPr>
            </w:pPr>
            <w:r>
              <w:rPr>
                <w:rFonts w:ascii="Arial"/>
                <w:sz w:val="18"/>
              </w:rPr>
              <w:t>3,102,536.23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4,311,331.62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1</w:t>
            </w:r>
            <w:r>
              <w:rPr>
                <w:rFonts w:ascii="Arial" w:hAnsi="Arial" w:cs="Arial" w:eastAsia="Arial" w:hint="default"/>
                <w:spacing w:val="-20"/>
                <w:sz w:val="18"/>
                <w:szCs w:val="18"/>
              </w:rPr>
              <w:t> </w:t>
            </w:r>
            <w:r>
              <w:rPr>
                <w:rFonts w:ascii="宋体" w:hAnsi="宋体" w:cs="宋体" w:eastAsia="宋体" w:hint="default"/>
                <w:sz w:val="18"/>
                <w:szCs w:val="18"/>
              </w:rPr>
              <w:t>日余额在本期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Arial" w:hAnsi="Arial" w:cs="Arial" w:eastAsia="Arial" w:hint="default"/>
                <w:sz w:val="18"/>
                <w:szCs w:val="18"/>
              </w:rPr>
            </w:pPr>
            <w:r>
              <w:rPr>
                <w:rFonts w:ascii="Arial" w:hAnsi="Arial" w:cs="Arial" w:eastAsia="Arial" w:hint="default"/>
                <w:sz w:val="18"/>
                <w:szCs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hAnsi="Arial" w:cs="Arial" w:eastAsia="Arial"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08" w:right="0"/>
              <w:jc w:val="left"/>
              <w:rPr>
                <w:rFonts w:ascii="Arial" w:hAnsi="Arial" w:cs="Arial" w:eastAsia="Arial" w:hint="default"/>
                <w:sz w:val="18"/>
                <w:szCs w:val="18"/>
              </w:rPr>
            </w:pPr>
            <w:r>
              <w:rPr>
                <w:rFonts w:ascii="Arial" w:hAnsi="Arial" w:cs="Arial" w:eastAsia="Arial"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hAnsi="Arial" w:cs="Arial" w:eastAsia="Arial" w:hint="default"/>
                <w:sz w:val="18"/>
                <w:szCs w:val="18"/>
              </w:rPr>
              <w:t>——</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45,767.30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45,767.30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10,000.00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1,173,028.09</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2" w:right="0"/>
              <w:jc w:val="left"/>
              <w:rPr>
                <w:rFonts w:ascii="Arial" w:hAnsi="Arial" w:cs="Arial" w:eastAsia="Arial" w:hint="default"/>
                <w:sz w:val="18"/>
                <w:szCs w:val="18"/>
              </w:rPr>
            </w:pPr>
            <w:r>
              <w:rPr>
                <w:rFonts w:ascii="Arial"/>
                <w:sz w:val="18"/>
              </w:rPr>
              <w:t>3,102,536.23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4,275,564.32</w:t>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pStyle w:val="BodyText"/>
        <w:spacing w:line="240" w:lineRule="auto" w:before="27"/>
        <w:ind w:right="0"/>
        <w:jc w:val="left"/>
      </w:pPr>
      <w:r>
        <w:rPr>
          <w:w w:val="95"/>
        </w:rPr>
        <w:t>按账龄披露</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162" w:space="766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141,033,000.00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109,832,402.39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26,153.85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1,000.00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3,535,715.26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257,428,271.50</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3）本期计提、收回或转回的坏账准备情况" w:id="362"/>
      <w:bookmarkEnd w:id="362"/>
      <w:r>
        <w:rPr>
          <w:b w:val="0"/>
          <w:bCs w:val="0"/>
        </w:rPr>
      </w:r>
      <w:r>
        <w:rPr>
          <w:rFonts w:ascii="Arial" w:hAnsi="Arial" w:cs="Arial" w:eastAsia="Arial" w:hint="default"/>
        </w:rPr>
        <w:t>3</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89"/>
        <w:gridCol w:w="1302"/>
        <w:gridCol w:w="1593"/>
        <w:gridCol w:w="1592"/>
        <w:gridCol w:w="1303"/>
        <w:gridCol w:w="1889"/>
      </w:tblGrid>
      <w:tr>
        <w:trPr>
          <w:trHeight w:val="402" w:hRule="exact"/>
        </w:trPr>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2"/>
                <w:sz w:val="18"/>
              </w:rPr>
              <w:t>4,311,331.62</w:t>
            </w:r>
          </w:p>
        </w:tc>
        <w:tc>
          <w:tcPr>
            <w:tcW w:w="1593"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35,767.30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4,275,564.32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2"/>
                <w:sz w:val="18"/>
              </w:rPr>
              <w:t>4,311,331.62</w:t>
            </w:r>
          </w:p>
        </w:tc>
        <w:tc>
          <w:tcPr>
            <w:tcW w:w="1593"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35,767.30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8"/>
                <w:szCs w:val="18"/>
              </w:rPr>
            </w:pPr>
            <w:r>
              <w:rPr>
                <w:rFonts w:ascii="Arial"/>
                <w:spacing w:val="-1"/>
                <w:sz w:val="18"/>
              </w:rPr>
              <w:t>4,275,564.32</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4）按欠款方归集的期末余额前五名的其他应收款情况" w:id="363"/>
      <w:bookmarkEnd w:id="363"/>
      <w:r>
        <w:rPr>
          <w:b w:val="0"/>
          <w:bCs w:val="0"/>
        </w:rPr>
      </w:r>
      <w:r>
        <w:rPr>
          <w:rFonts w:ascii="Arial" w:hAnsi="Arial" w:cs="Arial" w:eastAsia="Arial"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134"/>
        <w:gridCol w:w="1560"/>
        <w:gridCol w:w="1701"/>
        <w:gridCol w:w="1417"/>
        <w:gridCol w:w="922"/>
      </w:tblGrid>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162"/>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6" w:right="184"/>
              <w:jc w:val="both"/>
              <w:rPr>
                <w:rFonts w:ascii="宋体" w:hAnsi="宋体" w:cs="宋体" w:eastAsia="宋体" w:hint="default"/>
                <w:sz w:val="18"/>
                <w:szCs w:val="18"/>
              </w:rPr>
            </w:pPr>
            <w:r>
              <w:rPr>
                <w:rFonts w:ascii="宋体" w:hAnsi="宋体" w:cs="宋体" w:eastAsia="宋体" w:hint="default"/>
                <w:sz w:val="18"/>
                <w:szCs w:val="18"/>
              </w:rPr>
              <w:t>坏账准 备期末 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95,941,410.96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37.27%</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61,000,000.00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23.69%</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48,500,000.00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18.84%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40,000,000.00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15.54%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5,321,791.43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2.07%</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35"/>
        <w:gridCol w:w="1134"/>
        <w:gridCol w:w="1560"/>
        <w:gridCol w:w="1701"/>
        <w:gridCol w:w="1417"/>
        <w:gridCol w:w="922"/>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Arial" w:hAnsi="Arial" w:cs="Arial" w:eastAsia="Arial" w:hint="default"/>
                <w:sz w:val="18"/>
                <w:szCs w:val="18"/>
              </w:rPr>
            </w:pPr>
            <w:r>
              <w:rPr>
                <w:rFonts w:ascii="Arial"/>
                <w:sz w:val="18"/>
              </w:rPr>
              <w:t>250,763,202.39</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3" w:right="0"/>
              <w:jc w:val="left"/>
              <w:rPr>
                <w:rFonts w:ascii="Arial" w:hAnsi="Arial" w:cs="Arial" w:eastAsia="Arial" w:hint="default"/>
                <w:sz w:val="18"/>
                <w:szCs w:val="18"/>
              </w:rPr>
            </w:pPr>
            <w:r>
              <w:rPr>
                <w:rFonts w:ascii="Arial"/>
                <w:sz w:val="18"/>
              </w:rPr>
              <w:t>97.41%</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3、长期股权投资" w:id="364"/>
      <w:bookmarkEnd w:id="364"/>
      <w:r>
        <w:rPr>
          <w:b w:val="0"/>
          <w:bCs w:val="0"/>
        </w:rPr>
      </w:r>
      <w:r>
        <w:rPr>
          <w:rFonts w:ascii="Arial" w:hAnsi="Arial" w:cs="Arial" w:eastAsia="Arial"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8"/>
        <w:gridCol w:w="1701"/>
        <w:gridCol w:w="709"/>
        <w:gridCol w:w="1701"/>
        <w:gridCol w:w="1701"/>
        <w:gridCol w:w="708"/>
        <w:gridCol w:w="1633"/>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2,922,156,708.69</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1"/>
                <w:sz w:val="18"/>
              </w:rPr>
              <w:t>2,922,156,708.69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7" w:right="0"/>
              <w:jc w:val="center"/>
              <w:rPr>
                <w:rFonts w:ascii="Arial" w:hAnsi="Arial" w:cs="Arial" w:eastAsia="Arial" w:hint="default"/>
                <w:sz w:val="18"/>
                <w:szCs w:val="18"/>
              </w:rPr>
            </w:pPr>
            <w:r>
              <w:rPr>
                <w:rFonts w:ascii="Arial"/>
                <w:sz w:val="18"/>
              </w:rPr>
              <w:t>2,554,501,581.68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 w:right="0"/>
              <w:jc w:val="center"/>
              <w:rPr>
                <w:rFonts w:ascii="Arial" w:hAnsi="Arial" w:cs="Arial" w:eastAsia="Arial" w:hint="default"/>
                <w:sz w:val="18"/>
                <w:szCs w:val="18"/>
              </w:rPr>
            </w:pPr>
            <w:r>
              <w:rPr>
                <w:rFonts w:ascii="Arial"/>
                <w:sz w:val="18"/>
              </w:rPr>
              <w:t>2,554,501,581.68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9"/>
                <w:sz w:val="18"/>
                <w:szCs w:val="18"/>
              </w:rPr>
              <w:t>对联营、合营企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业投资</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4,031,484.32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4,031,484.32</w:t>
            </w:r>
          </w:p>
        </w:tc>
        <w:tc>
          <w:tcPr>
            <w:tcW w:w="170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2,926,188,193.01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8"/>
                <w:szCs w:val="18"/>
              </w:rPr>
            </w:pPr>
            <w:r>
              <w:rPr>
                <w:rFonts w:ascii="Arial"/>
                <w:spacing w:val="-1"/>
                <w:sz w:val="18"/>
              </w:rPr>
              <w:t>2,926,188,193.01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7" w:right="0"/>
              <w:jc w:val="center"/>
              <w:rPr>
                <w:rFonts w:ascii="Arial" w:hAnsi="Arial" w:cs="Arial" w:eastAsia="Arial" w:hint="default"/>
                <w:sz w:val="18"/>
                <w:szCs w:val="18"/>
              </w:rPr>
            </w:pPr>
            <w:r>
              <w:rPr>
                <w:rFonts w:ascii="Arial"/>
                <w:sz w:val="18"/>
              </w:rPr>
              <w:t>2,554,501,581.68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 w:right="0"/>
              <w:jc w:val="center"/>
              <w:rPr>
                <w:rFonts w:ascii="Arial" w:hAnsi="Arial" w:cs="Arial" w:eastAsia="Arial" w:hint="default"/>
                <w:sz w:val="18"/>
                <w:szCs w:val="18"/>
              </w:rPr>
            </w:pPr>
            <w:r>
              <w:rPr>
                <w:rFonts w:ascii="Arial"/>
                <w:sz w:val="18"/>
              </w:rPr>
              <w:t>2,554,501,581.68</w:t>
            </w:r>
          </w:p>
        </w:tc>
      </w:tr>
    </w:tbl>
    <w:p>
      <w:pPr>
        <w:spacing w:line="240" w:lineRule="auto" w:before="5"/>
        <w:rPr>
          <w:rFonts w:ascii="宋体" w:hAnsi="宋体" w:cs="宋体" w:eastAsia="宋体" w:hint="default"/>
          <w:sz w:val="19"/>
          <w:szCs w:val="19"/>
        </w:rPr>
      </w:pPr>
    </w:p>
    <w:p>
      <w:pPr>
        <w:pStyle w:val="Heading4"/>
        <w:spacing w:line="240" w:lineRule="auto"/>
        <w:ind w:right="996"/>
        <w:jc w:val="left"/>
        <w:rPr>
          <w:b w:val="0"/>
          <w:bCs w:val="0"/>
        </w:rPr>
      </w:pPr>
      <w:bookmarkStart w:name="（1）对子公司投资" w:id="365"/>
      <w:bookmarkEnd w:id="365"/>
      <w:r>
        <w:rPr>
          <w:b w:val="0"/>
          <w:bCs w:val="0"/>
        </w:rPr>
      </w:r>
      <w:r>
        <w:rPr/>
        <w:t>（</w:t>
      </w:r>
      <w:r>
        <w:rPr>
          <w:rFonts w:ascii="Arial" w:hAnsi="Arial" w:cs="Arial" w:eastAsia="Arial" w:hint="default"/>
        </w:rPr>
        <w:t>1</w:t>
      </w:r>
      <w:r>
        <w:rPr/>
        <w:t>）对子公司投资</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1701"/>
        <w:gridCol w:w="1560"/>
        <w:gridCol w:w="1134"/>
        <w:gridCol w:w="708"/>
        <w:gridCol w:w="284"/>
        <w:gridCol w:w="1701"/>
        <w:gridCol w:w="781"/>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02" w:lineRule="auto"/>
              <w:ind w:left="726" w:right="185" w:hanging="540"/>
              <w:jc w:val="left"/>
              <w:rPr>
                <w:rFonts w:ascii="Arial" w:hAnsi="Arial" w:cs="Arial" w:eastAsia="Arial"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02" w:lineRule="auto"/>
              <w:ind w:left="725" w:right="184" w:hanging="540"/>
              <w:jc w:val="left"/>
              <w:rPr>
                <w:rFonts w:ascii="Arial" w:hAnsi="Arial" w:cs="Arial" w:eastAsia="Arial"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16" w:right="11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9" w:right="16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2" w:right="-8"/>
              <w:jc w:val="left"/>
              <w:rPr>
                <w:rFonts w:ascii="宋体" w:hAnsi="宋体" w:cs="宋体" w:eastAsia="宋体" w:hint="default"/>
                <w:sz w:val="18"/>
                <w:szCs w:val="18"/>
              </w:rPr>
            </w:pPr>
            <w:r>
              <w:rPr>
                <w:rFonts w:ascii="宋体" w:hAnsi="宋体" w:cs="宋体" w:eastAsia="宋体" w:hint="default"/>
                <w:sz w:val="18"/>
                <w:szCs w:val="18"/>
              </w:rPr>
              <w:t>其 他</w:t>
            </w:r>
          </w:p>
        </w:tc>
        <w:tc>
          <w:tcPr>
            <w:tcW w:w="1701"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北京亿信华辰软件 有限责任公司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36,305,543.92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1,326,253.05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sz w:val="18"/>
              </w:rPr>
              <w:t>37,631,796.97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47"/>
              <w:jc w:val="left"/>
              <w:rPr>
                <w:rFonts w:ascii="宋体" w:hAnsi="宋体" w:cs="宋体" w:eastAsia="宋体" w:hint="default"/>
                <w:sz w:val="18"/>
                <w:szCs w:val="18"/>
              </w:rPr>
            </w:pPr>
            <w:r>
              <w:rPr>
                <w:rFonts w:ascii="宋体" w:hAnsi="宋体" w:cs="宋体" w:eastAsia="宋体" w:hint="default"/>
                <w:sz w:val="18"/>
                <w:szCs w:val="18"/>
              </w:rPr>
              <w:t>广州华宇信息技术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49,068,493.22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1,039,936.96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50,108,430.18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广州数字方舟信息 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98,210.38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98,210.38</w:t>
            </w: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47"/>
              <w:jc w:val="left"/>
              <w:rPr>
                <w:rFonts w:ascii="宋体" w:hAnsi="宋体" w:cs="宋体" w:eastAsia="宋体" w:hint="default"/>
                <w:sz w:val="18"/>
                <w:szCs w:val="18"/>
              </w:rPr>
            </w:pPr>
            <w:r>
              <w:rPr>
                <w:rFonts w:ascii="宋体" w:hAnsi="宋体" w:cs="宋体" w:eastAsia="宋体" w:hint="default"/>
                <w:sz w:val="18"/>
                <w:szCs w:val="18"/>
              </w:rPr>
              <w:t>北京华宇信息技术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122,546,263.86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321,077,219.15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443,623,483.01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华宇金信（北京） 软件有限公司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230,468,440.83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30,851,298.27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261,319,739.10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47"/>
              <w:jc w:val="left"/>
              <w:rPr>
                <w:rFonts w:ascii="宋体" w:hAnsi="宋体" w:cs="宋体" w:eastAsia="宋体" w:hint="default"/>
                <w:sz w:val="18"/>
                <w:szCs w:val="18"/>
              </w:rPr>
            </w:pPr>
            <w:r>
              <w:rPr>
                <w:rFonts w:ascii="宋体" w:hAnsi="宋体" w:cs="宋体" w:eastAsia="宋体" w:hint="default"/>
                <w:sz w:val="18"/>
                <w:szCs w:val="18"/>
              </w:rPr>
              <w:t>华宇金信（深圳） 信息技术有限公司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24,535.32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2,308.97</w:t>
            </w: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22,226.35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华宇（大连）信息 服务有限公司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122,382,700.85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3,487,713.07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125,870,413.92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47"/>
              <w:jc w:val="left"/>
              <w:rPr>
                <w:rFonts w:ascii="宋体" w:hAnsi="宋体" w:cs="宋体" w:eastAsia="宋体" w:hint="default"/>
                <w:sz w:val="18"/>
                <w:szCs w:val="18"/>
              </w:rPr>
            </w:pPr>
            <w:r>
              <w:rPr>
                <w:rFonts w:ascii="宋体" w:hAnsi="宋体" w:cs="宋体" w:eastAsia="宋体" w:hint="default"/>
                <w:sz w:val="18"/>
                <w:szCs w:val="18"/>
              </w:rPr>
              <w:t>北京华宇信码技术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6,120,000.00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6,120,000.00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上海浦东华宇信息 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152,988,393.08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2,444,323.09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155,432,716.17</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1016" w:top="1100" w:bottom="120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701"/>
        <w:gridCol w:w="1701"/>
        <w:gridCol w:w="1560"/>
        <w:gridCol w:w="1134"/>
        <w:gridCol w:w="708"/>
        <w:gridCol w:w="284"/>
        <w:gridCol w:w="1701"/>
        <w:gridCol w:w="781"/>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北京万户网络技术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319,937,317.33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799,137.55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320,736,454.88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7"/>
              <w:jc w:val="left"/>
              <w:rPr>
                <w:rFonts w:ascii="宋体" w:hAnsi="宋体" w:cs="宋体" w:eastAsia="宋体" w:hint="default"/>
                <w:sz w:val="18"/>
                <w:szCs w:val="18"/>
              </w:rPr>
            </w:pPr>
            <w:r>
              <w:rPr>
                <w:rFonts w:ascii="宋体" w:hAnsi="宋体" w:cs="宋体" w:eastAsia="宋体" w:hint="default"/>
                <w:sz w:val="18"/>
                <w:szCs w:val="18"/>
              </w:rPr>
              <w:t>合肥万户网络技术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991,954.71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25,031.92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1,016,986.63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上海万户网络技术 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258,167.76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8,640.24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266,808.00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7"/>
              <w:jc w:val="left"/>
              <w:rPr>
                <w:rFonts w:ascii="宋体" w:hAnsi="宋体" w:cs="宋体" w:eastAsia="宋体" w:hint="default"/>
                <w:sz w:val="18"/>
                <w:szCs w:val="18"/>
              </w:rPr>
            </w:pPr>
            <w:r>
              <w:rPr>
                <w:rFonts w:ascii="宋体" w:hAnsi="宋体" w:cs="宋体" w:eastAsia="宋体" w:hint="default"/>
                <w:sz w:val="18"/>
                <w:szCs w:val="18"/>
              </w:rPr>
              <w:t>北京华宇元典信息 服务有限公司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18,561,560.42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566,556.04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2"/>
                <w:sz w:val="18"/>
              </w:rPr>
              <w:t>19,128,116.46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7"/>
              <w:jc w:val="left"/>
              <w:rPr>
                <w:rFonts w:ascii="宋体" w:hAnsi="宋体" w:cs="宋体" w:eastAsia="宋体" w:hint="default"/>
                <w:sz w:val="18"/>
                <w:szCs w:val="18"/>
              </w:rPr>
            </w:pPr>
            <w:r>
              <w:rPr>
                <w:rFonts w:ascii="宋体" w:hAnsi="宋体" w:cs="宋体" w:eastAsia="宋体" w:hint="default"/>
                <w:sz w:val="18"/>
                <w:szCs w:val="18"/>
              </w:rPr>
              <w:t>溯源云（北京）科 技服务有限公司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6,750,000.00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6,750,000.00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1,488,000,000.00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6,129,537.02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1,494,129,537.02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2,554,501,581.68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367,755,646.36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left"/>
              <w:rPr>
                <w:rFonts w:ascii="Arial" w:hAnsi="Arial" w:cs="Arial" w:eastAsia="Arial" w:hint="default"/>
                <w:sz w:val="18"/>
                <w:szCs w:val="18"/>
              </w:rPr>
            </w:pPr>
            <w:r>
              <w:rPr>
                <w:rFonts w:ascii="Arial"/>
                <w:sz w:val="18"/>
              </w:rPr>
              <w:t>100,519.35</w:t>
            </w: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2,922,156,708.69</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2）对联营、合营企业投资" w:id="366"/>
      <w:bookmarkEnd w:id="366"/>
      <w:r>
        <w:rPr>
          <w:b w:val="0"/>
          <w:bCs w:val="0"/>
        </w:rPr>
      </w:r>
      <w:r>
        <w:rPr/>
        <w:t>（</w:t>
      </w:r>
      <w:r>
        <w:rPr>
          <w:rFonts w:ascii="Arial" w:hAnsi="Arial" w:cs="Arial" w:eastAsia="Arial"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64"/>
        <w:gridCol w:w="1275"/>
        <w:gridCol w:w="353"/>
        <w:gridCol w:w="1065"/>
        <w:gridCol w:w="709"/>
        <w:gridCol w:w="708"/>
        <w:gridCol w:w="851"/>
        <w:gridCol w:w="657"/>
        <w:gridCol w:w="335"/>
        <w:gridCol w:w="1418"/>
        <w:gridCol w:w="641"/>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2" w:lineRule="auto"/>
              <w:ind w:left="107" w:right="104"/>
              <w:jc w:val="center"/>
              <w:rPr>
                <w:rFonts w:ascii="Arial" w:hAnsi="Arial" w:cs="Arial" w:eastAsia="Arial" w:hint="default"/>
                <w:sz w:val="18"/>
                <w:szCs w:val="18"/>
              </w:rPr>
            </w:pPr>
            <w:r>
              <w:rPr>
                <w:rFonts w:ascii="宋体" w:hAnsi="宋体" w:cs="宋体" w:eastAsia="宋体" w:hint="default"/>
                <w:sz w:val="18"/>
                <w:szCs w:val="18"/>
              </w:rPr>
              <w:t>期初余 额</w:t>
            </w:r>
            <w:r>
              <w:rPr>
                <w:rFonts w:ascii="Arial" w:hAnsi="Arial" w:cs="Arial" w:eastAsia="Arial" w:hint="default"/>
                <w:sz w:val="18"/>
                <w:szCs w:val="18"/>
              </w:rPr>
              <w:t>(</w:t>
            </w:r>
            <w:r>
              <w:rPr>
                <w:rFonts w:ascii="宋体" w:hAnsi="宋体" w:cs="宋体" w:eastAsia="宋体" w:hint="default"/>
                <w:sz w:val="18"/>
                <w:szCs w:val="18"/>
              </w:rPr>
              <w:t>账 面价 值</w:t>
            </w:r>
            <w:r>
              <w:rPr>
                <w:rFonts w:ascii="Arial" w:hAnsi="Arial" w:cs="Arial" w:eastAsia="Arial" w:hint="default"/>
                <w:sz w:val="18"/>
                <w:szCs w:val="18"/>
              </w:rPr>
              <w:t>)</w:t>
            </w:r>
          </w:p>
        </w:tc>
        <w:tc>
          <w:tcPr>
            <w:tcW w:w="595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02" w:lineRule="auto"/>
              <w:ind w:left="494" w:right="134" w:hanging="360"/>
              <w:jc w:val="left"/>
              <w:rPr>
                <w:rFonts w:ascii="Arial" w:hAnsi="Arial" w:cs="Arial" w:eastAsia="Arial"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账面 价值</w:t>
            </w:r>
            <w:r>
              <w:rPr>
                <w:rFonts w:ascii="Arial" w:hAnsi="Arial" w:cs="Arial" w:eastAsia="Arial" w:hint="default"/>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35" w:right="134"/>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57"/>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7"/>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8" w:right="16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1" w:right="14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2"/>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42"/>
              <w:jc w:val="both"/>
              <w:rPr>
                <w:rFonts w:ascii="宋体" w:hAnsi="宋体" w:cs="宋体" w:eastAsia="宋体" w:hint="default"/>
                <w:sz w:val="18"/>
                <w:szCs w:val="18"/>
              </w:rPr>
            </w:pPr>
            <w:r>
              <w:rPr>
                <w:rFonts w:ascii="宋体" w:hAnsi="宋体" w:cs="宋体" w:eastAsia="宋体" w:hint="default"/>
                <w:sz w:val="18"/>
                <w:szCs w:val="18"/>
              </w:rPr>
              <w:t>四川数 字金沙 科技有 限公司</w:t>
            </w:r>
          </w:p>
        </w:tc>
        <w:tc>
          <w:tcPr>
            <w:tcW w:w="7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Arial" w:hAnsi="Arial" w:cs="Arial" w:eastAsia="Arial" w:hint="default"/>
                <w:sz w:val="18"/>
                <w:szCs w:val="18"/>
              </w:rPr>
            </w:pPr>
            <w:r>
              <w:rPr>
                <w:rFonts w:ascii="Arial"/>
                <w:spacing w:val="-1"/>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Arial" w:hAnsi="Arial" w:cs="Arial" w:eastAsia="Arial" w:hint="default"/>
                <w:sz w:val="18"/>
                <w:szCs w:val="18"/>
              </w:rPr>
            </w:pPr>
            <w:r>
              <w:rPr>
                <w:rFonts w:ascii="Arial"/>
                <w:sz w:val="18"/>
              </w:rPr>
              <w:t>4,000,000.00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31,484.32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4,031,484.32</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ind w:right="996"/>
        <w:jc w:val="left"/>
        <w:rPr>
          <w:b w:val="0"/>
          <w:bCs w:val="0"/>
        </w:rPr>
      </w:pPr>
      <w:bookmarkStart w:name="4、营业收入和营业成本" w:id="367"/>
      <w:bookmarkEnd w:id="367"/>
      <w:r>
        <w:rPr>
          <w:b w:val="0"/>
          <w:bCs w:val="0"/>
        </w:rPr>
      </w:r>
      <w:r>
        <w:rPr>
          <w:rFonts w:ascii="Arial" w:hAnsi="Arial" w:cs="Arial" w:eastAsia="Arial"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53,495,518.12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780,370.27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61,643,781.43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30,172.41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53,495,518.12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780,370.27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61,643,781.43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30,172.41</w:t>
            </w:r>
          </w:p>
        </w:tc>
      </w:tr>
    </w:tbl>
    <w:p>
      <w:pPr>
        <w:pStyle w:val="BodyText"/>
        <w:spacing w:line="240" w:lineRule="auto" w:before="26"/>
        <w:ind w:right="996"/>
        <w:jc w:val="left"/>
      </w:pPr>
      <w:r>
        <w:rPr/>
        <w:t>是否已执行新收入准则</w:t>
      </w:r>
    </w:p>
    <w:p>
      <w:pPr>
        <w:pStyle w:val="BodyText"/>
        <w:spacing w:line="240" w:lineRule="auto" w:before="75"/>
        <w:ind w:right="996"/>
        <w:jc w:val="left"/>
      </w:pPr>
      <w:r>
        <w:rPr/>
        <w:t>□ 是 √</w:t>
      </w:r>
      <w:r>
        <w:rPr>
          <w:spacing w:val="-2"/>
        </w:rPr>
        <w:t> </w:t>
      </w:r>
      <w:r>
        <w:rPr/>
        <w:t>否</w:t>
      </w:r>
    </w:p>
    <w:p>
      <w:pPr>
        <w:spacing w:after="0" w:line="240" w:lineRule="auto"/>
        <w:jc w:val="left"/>
        <w:sectPr>
          <w:pgSz w:w="11910" w:h="16840"/>
          <w:pgMar w:header="878" w:footer="1016" w:top="1100" w:bottom="1200" w:left="1020" w:right="0"/>
        </w:sectPr>
      </w:pPr>
    </w:p>
    <w:p>
      <w:pPr>
        <w:spacing w:line="240" w:lineRule="auto" w:before="12"/>
        <w:rPr>
          <w:rFonts w:ascii="宋体" w:hAnsi="宋体" w:cs="宋体" w:eastAsia="宋体" w:hint="default"/>
          <w:sz w:val="20"/>
          <w:szCs w:val="20"/>
        </w:rPr>
      </w:pPr>
    </w:p>
    <w:p>
      <w:pPr>
        <w:pStyle w:val="Heading4"/>
        <w:spacing w:line="240" w:lineRule="auto"/>
        <w:ind w:right="996"/>
        <w:jc w:val="left"/>
        <w:rPr>
          <w:b w:val="0"/>
          <w:bCs w:val="0"/>
        </w:rPr>
      </w:pPr>
      <w:bookmarkStart w:name="5、投资收益" w:id="368"/>
      <w:bookmarkEnd w:id="368"/>
      <w:r>
        <w:rPr>
          <w:b w:val="0"/>
          <w:bCs w:val="0"/>
        </w:rPr>
      </w:r>
      <w:r>
        <w:rPr>
          <w:rFonts w:ascii="Arial" w:hAnsi="Arial" w:cs="Arial" w:eastAsia="Arial" w:hint="default"/>
        </w:rPr>
        <w:t>5</w:t>
      </w:r>
      <w:r>
        <w:rPr/>
        <w:t>、投资收益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36"/>
        <w:gridCol w:w="2516"/>
        <w:gridCol w:w="2517"/>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Arial" w:hAnsi="Arial" w:cs="Arial" w:eastAsia="Arial" w:hint="default"/>
                <w:sz w:val="18"/>
                <w:szCs w:val="18"/>
              </w:rPr>
            </w:pPr>
            <w:r>
              <w:rPr>
                <w:rFonts w:ascii="Arial"/>
                <w:spacing w:val="-1"/>
                <w:sz w:val="18"/>
              </w:rPr>
              <w:t>100,000,000.00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31,484.32</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-2,392,479.08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-65,997.35</w:t>
            </w:r>
          </w:p>
        </w:tc>
        <w:tc>
          <w:tcPr>
            <w:tcW w:w="2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交易性金融资产持有期间的投资收益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213,235.29</w:t>
            </w:r>
          </w:p>
        </w:tc>
        <w:tc>
          <w:tcPr>
            <w:tcW w:w="2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长期股权投资转为可供出售金融资产产生的投资收益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sz w:val="18"/>
              </w:rPr>
              <w:t>38,834,507.09</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1"/>
                <w:sz w:val="18"/>
              </w:rPr>
              <w:t>178,722.26</w:t>
            </w:r>
          </w:p>
        </w:tc>
        <w:tc>
          <w:tcPr>
            <w:tcW w:w="2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136,442,028.01</w:t>
            </w:r>
          </w:p>
        </w:tc>
      </w:tr>
    </w:tbl>
    <w:p>
      <w:pPr>
        <w:spacing w:line="240" w:lineRule="auto" w:before="3"/>
        <w:rPr>
          <w:rFonts w:ascii="宋体" w:hAnsi="宋体" w:cs="宋体" w:eastAsia="宋体" w:hint="default"/>
          <w:sz w:val="18"/>
          <w:szCs w:val="18"/>
        </w:rPr>
      </w:pPr>
    </w:p>
    <w:p>
      <w:pPr>
        <w:pStyle w:val="Heading2"/>
        <w:spacing w:line="240" w:lineRule="auto" w:before="26"/>
        <w:ind w:right="996"/>
        <w:jc w:val="left"/>
        <w:rPr>
          <w:b w:val="0"/>
          <w:bCs w:val="0"/>
        </w:rPr>
      </w:pPr>
      <w:bookmarkStart w:name="十七、补充资料" w:id="369"/>
      <w:bookmarkEnd w:id="369"/>
      <w:r>
        <w:rPr>
          <w:b w:val="0"/>
          <w:bCs w:val="0"/>
        </w:rPr>
      </w:r>
      <w:r>
        <w:rPr/>
        <w:t>十七、补充资料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right="996"/>
        <w:jc w:val="left"/>
        <w:rPr>
          <w:b w:val="0"/>
          <w:bCs w:val="0"/>
        </w:rPr>
      </w:pPr>
      <w:bookmarkStart w:name="1、当期非经常性损益明细表" w:id="370"/>
      <w:bookmarkEnd w:id="370"/>
      <w:r>
        <w:rPr>
          <w:b w:val="0"/>
          <w:bCs w:val="0"/>
        </w:rPr>
      </w:r>
      <w:r>
        <w:rPr>
          <w:rFonts w:ascii="Arial" w:hAnsi="Arial" w:cs="Arial" w:eastAsia="Arial" w:hint="default"/>
        </w:rPr>
        <w:t>1</w:t>
      </w:r>
      <w:r>
        <w:rPr/>
        <w:t>、当期非经常性损益明细表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1016" w:top="1100" w:bottom="1200" w:left="1020" w:right="0"/>
        </w:sectPr>
      </w:pPr>
    </w:p>
    <w:p>
      <w:pPr>
        <w:pStyle w:val="BodyText"/>
        <w:spacing w:line="240" w:lineRule="auto" w:before="34"/>
        <w:ind w:right="-15"/>
        <w:jc w:val="left"/>
      </w:pPr>
      <w:r>
        <w:rPr/>
        <w:t>√ 适用 □</w:t>
      </w:r>
      <w:r>
        <w:rPr>
          <w:spacing w:val="-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200" w:left="1020" w:right="0"/>
          <w:cols w:num="2" w:equalWidth="0">
            <w:col w:w="1899" w:space="6931"/>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521"/>
        <w:gridCol w:w="1701"/>
        <w:gridCol w:w="1347"/>
      </w:tblGrid>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621,094.05</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 享受的政府补助除外）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38,076,396.54</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213,235.29</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8"/>
                <w:szCs w:val="18"/>
              </w:rPr>
            </w:pPr>
            <w:r>
              <w:rPr>
                <w:rFonts w:ascii="Arial"/>
                <w:spacing w:val="-1"/>
                <w:sz w:val="18"/>
              </w:rPr>
              <w:t>93,814.00</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w:hAnsi="Arial" w:cs="Arial" w:eastAsia="Arial" w:hint="default"/>
                <w:sz w:val="18"/>
                <w:szCs w:val="18"/>
              </w:rPr>
            </w:pPr>
            <w:r>
              <w:rPr>
                <w:rFonts w:ascii="Arial"/>
                <w:spacing w:val="-1"/>
                <w:sz w:val="18"/>
              </w:rPr>
              <w:t>-12,552,679.73</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1,301,948.54</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Arial" w:hAnsi="Arial" w:cs="Arial" w:eastAsia="Arial" w:hint="default"/>
                <w:sz w:val="18"/>
                <w:szCs w:val="18"/>
              </w:rPr>
            </w:pPr>
            <w:r>
              <w:rPr>
                <w:rFonts w:ascii="Arial"/>
                <w:spacing w:val="-1"/>
                <w:sz w:val="18"/>
              </w:rPr>
              <w:t>3,108,669.05</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Arial" w:hAnsi="Arial" w:cs="Arial" w:eastAsia="Arial" w:hint="default"/>
                <w:sz w:val="18"/>
                <w:szCs w:val="18"/>
              </w:rPr>
            </w:pPr>
            <w:r>
              <w:rPr>
                <w:rFonts w:ascii="Arial"/>
                <w:spacing w:val="-1"/>
                <w:sz w:val="18"/>
              </w:rPr>
              <w:t>2,279,420.66</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w:hAnsi="Arial" w:cs="Arial" w:eastAsia="Arial" w:hint="default"/>
                <w:sz w:val="18"/>
                <w:szCs w:val="18"/>
              </w:rPr>
            </w:pPr>
            <w:r>
              <w:rPr>
                <w:rFonts w:ascii="Arial"/>
                <w:spacing w:val="-1"/>
                <w:sz w:val="18"/>
              </w:rPr>
              <w:t>22,365,718.98</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pStyle w:val="BodyText"/>
        <w:spacing w:line="240" w:lineRule="auto" w:before="26"/>
        <w:ind w:left="532" w:right="996"/>
        <w:jc w:val="left"/>
      </w:pPr>
      <w:r>
        <w:rPr/>
        <w:t>对公司根据《公开发行证券的公司信息披露解释性公告第</w:t>
      </w:r>
      <w:r>
        <w:rPr>
          <w:spacing w:val="-76"/>
        </w:rPr>
        <w:t> </w:t>
      </w:r>
      <w:r>
        <w:rPr/>
        <w:t>1</w:t>
      </w:r>
      <w:r>
        <w:rPr>
          <w:spacing w:val="-75"/>
        </w:rPr>
        <w:t> </w:t>
      </w:r>
      <w:r>
        <w:rPr/>
        <w:t>号——非经常性损益》定义界定的非经常</w:t>
      </w:r>
    </w:p>
    <w:p>
      <w:pPr>
        <w:pStyle w:val="BodyText"/>
        <w:spacing w:line="273" w:lineRule="auto" w:before="37"/>
        <w:ind w:right="1131"/>
        <w:jc w:val="left"/>
      </w:pPr>
      <w:r>
        <w:rPr/>
        <w:t>性损益项目，以及把《公开发行证券的公司信息披露解释性公告第</w:t>
      </w:r>
      <w:r>
        <w:rPr>
          <w:spacing w:val="-71"/>
        </w:rPr>
        <w:t> </w:t>
      </w:r>
      <w:r>
        <w:rPr/>
        <w:t>1</w:t>
      </w:r>
      <w:r>
        <w:rPr>
          <w:spacing w:val="-71"/>
        </w:rPr>
        <w:t> </w:t>
      </w:r>
      <w:r>
        <w:rPr/>
        <w:t>号——非经常性损益》中列举的非经</w:t>
      </w:r>
      <w:r>
        <w:rPr>
          <w:w w:val="99"/>
        </w:rPr>
        <w:t> </w:t>
      </w:r>
      <w:r>
        <w:rPr/>
        <w:t>常性损益项目界定为经常性损益的项目，应说明原因。</w:t>
      </w:r>
    </w:p>
    <w:p>
      <w:pPr>
        <w:pStyle w:val="BodyText"/>
        <w:spacing w:line="240" w:lineRule="auto" w:before="46"/>
        <w:ind w:right="996"/>
        <w:jc w:val="left"/>
      </w:pPr>
      <w:r>
        <w:rPr/>
        <w:t>□ 适用 √</w:t>
      </w:r>
      <w:r>
        <w:rPr>
          <w:spacing w:val="-4"/>
        </w:rPr>
        <w:t> </w:t>
      </w:r>
      <w:r>
        <w:rPr/>
        <w:t>不适用</w:t>
      </w:r>
    </w:p>
    <w:p>
      <w:pPr>
        <w:spacing w:line="240" w:lineRule="auto" w:before="12"/>
        <w:rPr>
          <w:rFonts w:ascii="宋体" w:hAnsi="宋体" w:cs="宋体" w:eastAsia="宋体" w:hint="default"/>
          <w:sz w:val="25"/>
          <w:szCs w:val="25"/>
        </w:rPr>
      </w:pPr>
    </w:p>
    <w:p>
      <w:pPr>
        <w:pStyle w:val="Heading4"/>
        <w:spacing w:line="240" w:lineRule="auto" w:before="0"/>
        <w:ind w:right="996"/>
        <w:jc w:val="left"/>
        <w:rPr>
          <w:b w:val="0"/>
          <w:bCs w:val="0"/>
        </w:rPr>
      </w:pPr>
      <w:bookmarkStart w:name="2、净资产收益率及每股收益" w:id="371"/>
      <w:bookmarkEnd w:id="371"/>
      <w:r>
        <w:rPr>
          <w:b w:val="0"/>
          <w:bCs w:val="0"/>
        </w:rPr>
      </w:r>
      <w:r>
        <w:rPr>
          <w:rFonts w:ascii="Arial" w:hAnsi="Arial" w:cs="Arial" w:eastAsia="Arial"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19"/>
        <w:gridCol w:w="2623"/>
        <w:gridCol w:w="1913"/>
        <w:gridCol w:w="1913"/>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262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Arial" w:hAnsi="Arial" w:cs="Arial" w:eastAsia="Arial"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Arial" w:hAnsi="Arial" w:cs="Arial" w:eastAsia="Arial" w:hint="default"/>
                <w:spacing w:val="-6"/>
                <w:sz w:val="18"/>
                <w:szCs w:val="18"/>
              </w:rPr>
              <w:t>/</w:t>
            </w:r>
            <w:r>
              <w:rPr>
                <w:rFonts w:ascii="宋体" w:hAnsi="宋体" w:cs="宋体" w:eastAsia="宋体" w:hint="default"/>
                <w:spacing w:val="-6"/>
                <w:sz w:val="18"/>
                <w:szCs w:val="18"/>
              </w:rPr>
              <w:t>股）</w:t>
            </w:r>
          </w:p>
        </w:tc>
      </w:tr>
      <w:tr>
        <w:trPr>
          <w:trHeight w:val="40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spacing w:val="-3"/>
                <w:sz w:val="18"/>
              </w:rPr>
              <w:t>11.07%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w w:val="95"/>
                <w:sz w:val="18"/>
              </w:rPr>
              <w:t>0.74</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8"/>
                <w:szCs w:val="18"/>
              </w:rPr>
            </w:pPr>
            <w:r>
              <w:rPr>
                <w:rFonts w:ascii="Arial"/>
                <w:w w:val="95"/>
                <w:sz w:val="18"/>
              </w:rPr>
              <w:t>0.73</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060" w:bottom="12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119"/>
        <w:gridCol w:w="2623"/>
        <w:gridCol w:w="1913"/>
        <w:gridCol w:w="1913"/>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spacing w:val="-1"/>
                <w:sz w:val="18"/>
              </w:rPr>
              <w:t>10.63%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w w:val="95"/>
                <w:sz w:val="18"/>
              </w:rPr>
              <w:t>0.71</w:t>
            </w:r>
            <w:r>
              <w:rPr>
                <w:rFonts w:ascii="Arial"/>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18"/>
                <w:szCs w:val="18"/>
              </w:rPr>
            </w:pPr>
            <w:r>
              <w:rPr>
                <w:rFonts w:ascii="Arial"/>
                <w:w w:val="95"/>
                <w:sz w:val="18"/>
              </w:rPr>
              <w:t>0.70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8"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1"/>
        <w:spacing w:line="439" w:lineRule="exact"/>
        <w:ind w:left="3252" w:right="996"/>
        <w:jc w:val="left"/>
        <w:rPr>
          <w:b w:val="0"/>
          <w:bCs w:val="0"/>
        </w:rPr>
      </w:pPr>
      <w:bookmarkStart w:name="第十三节 备查文件目录" w:id="372"/>
      <w:bookmarkEnd w:id="372"/>
      <w:r>
        <w:rPr>
          <w:b w:val="0"/>
          <w:bCs w:val="0"/>
        </w:rPr>
      </w:r>
      <w:bookmarkStart w:name="_bookmark9" w:id="373"/>
      <w:bookmarkEnd w:id="373"/>
      <w:r>
        <w:rPr>
          <w:b w:val="0"/>
          <w:bCs w:val="0"/>
        </w:rPr>
      </w:r>
      <w:r>
        <w:rPr/>
        <w:t>第十三节</w:t>
      </w:r>
      <w:r>
        <w:rPr>
          <w:spacing w:val="61"/>
        </w:rPr>
        <w:t> </w:t>
      </w:r>
      <w:r>
        <w:rPr/>
        <w:t>备查文件目录</w:t>
      </w:r>
      <w:r>
        <w:rPr>
          <w:b w:val="0"/>
          <w:bCs w:val="0"/>
        </w:rPr>
      </w:r>
    </w:p>
    <w:p>
      <w:pPr>
        <w:spacing w:line="240" w:lineRule="auto" w:before="13"/>
        <w:rPr>
          <w:rFonts w:ascii="微软雅黑" w:hAnsi="微软雅黑" w:cs="微软雅黑" w:eastAsia="微软雅黑" w:hint="default"/>
          <w:b/>
          <w:bCs/>
          <w:sz w:val="27"/>
          <w:szCs w:val="27"/>
        </w:rPr>
      </w:pPr>
    </w:p>
    <w:p>
      <w:pPr>
        <w:pStyle w:val="BodyText"/>
        <w:spacing w:line="240" w:lineRule="auto"/>
        <w:ind w:right="996"/>
        <w:jc w:val="left"/>
      </w:pPr>
      <w:r>
        <w:rPr/>
        <w:t>（一）载有法定代表人、主管会计工作负责人及会计机构负责人签名并盖章的会计报表。</w:t>
      </w:r>
    </w:p>
    <w:p>
      <w:pPr>
        <w:pStyle w:val="BodyText"/>
        <w:spacing w:line="240" w:lineRule="auto" w:before="157"/>
        <w:ind w:right="996"/>
        <w:jc w:val="left"/>
      </w:pPr>
      <w:r>
        <w:rPr/>
        <w:t>（二）载有会计师事务所盖章、注册会计师签名并盖章的审计报告原件。</w:t>
      </w:r>
    </w:p>
    <w:p>
      <w:pPr>
        <w:pStyle w:val="BodyText"/>
        <w:spacing w:line="240" w:lineRule="auto" w:before="157"/>
        <w:ind w:right="996"/>
        <w:jc w:val="left"/>
      </w:pPr>
      <w:r>
        <w:rPr/>
        <w:t>（三）报告期内在中国证监会指定报纸上公开披露过的所有公司文件的正本及公告的原稿。</w:t>
      </w:r>
    </w:p>
    <w:p>
      <w:pPr>
        <w:pStyle w:val="BodyText"/>
        <w:spacing w:line="240" w:lineRule="auto" w:before="157"/>
        <w:ind w:right="996"/>
        <w:jc w:val="left"/>
      </w:pPr>
      <w:r>
        <w:rPr/>
        <w:t>（四）载有法定代表人签名的2019年年度报告文本原件。</w:t>
      </w:r>
    </w:p>
    <w:p>
      <w:pPr>
        <w:pStyle w:val="BodyText"/>
        <w:spacing w:line="240" w:lineRule="auto" w:before="157"/>
        <w:ind w:right="996"/>
        <w:jc w:val="left"/>
      </w:pPr>
      <w:r>
        <w:rPr/>
        <w:t>（五）以上备查文件的备置地点：公司董事会办公室。</w:t>
      </w:r>
    </w:p>
    <w:sectPr>
      <w:pgSz w:w="11910" w:h="16840"/>
      <w:pgMar w:header="878" w:footer="1016"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888" type="#_x0000_t75" stroked="false">
          <v:imagedata r:id="rId1" o:title=""/>
        </v:shape>
      </w:pict>
    </w:r>
    <w:r>
      <w:rPr/>
      <w:pict>
        <v:shape style="position:absolute;margin-left:533.119995pt;margin-top:793.647949pt;width:6.5pt;height:11pt;mso-position-horizontal-relative:page;mso-position-vertical-relative:page;z-index:-1030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30336" type="#_x0000_t75" stroked="false">
          <v:imagedata r:id="rId1" o:title=""/>
        </v:shape>
      </w:pict>
    </w:r>
    <w:r>
      <w:rPr/>
      <w:pict>
        <v:shape style="position:absolute;margin-left:758.919006pt;margin-top:533.487915pt;width:13.1pt;height:11pt;mso-position-horizontal-relative:page;mso-position-vertical-relative:page;z-index:-103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240" type="#_x0000_t75" stroked="false">
          <v:imagedata r:id="rId1" o:title=""/>
        </v:shape>
      </w:pict>
    </w:r>
    <w:r>
      <w:rPr/>
      <w:pict>
        <v:shape style="position:absolute;margin-left:527.559021pt;margin-top:780.087952pt;width:13.1pt;height:11pt;mso-position-horizontal-relative:page;mso-position-vertical-relative:page;z-index:-1030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192" type="#_x0000_t75" stroked="false">
          <v:imagedata r:id="rId1" o:title=""/>
        </v:shape>
      </w:pict>
    </w:r>
    <w:r>
      <w:rPr/>
      <w:pict>
        <v:shape style="position:absolute;margin-left:527.559021pt;margin-top:780.087952pt;width:13.1pt;height:11pt;mso-position-horizontal-relative:page;mso-position-vertical-relative:page;z-index:-103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144" type="#_x0000_t75" stroked="false">
          <v:imagedata r:id="rId1" o:title=""/>
        </v:shape>
      </w:pict>
    </w:r>
    <w:r>
      <w:rPr/>
      <w:pict>
        <v:shape style="position:absolute;margin-left:527.559021pt;margin-top:780.087952pt;width:13.1pt;height:11pt;mso-position-horizontal-relative:page;mso-position-vertical-relative:page;z-index:-1030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096" type="#_x0000_t75" stroked="false">
          <v:imagedata r:id="rId1" o:title=""/>
        </v:shape>
      </w:pict>
    </w:r>
    <w:r>
      <w:rPr/>
      <w:pict>
        <v:shape style="position:absolute;margin-left:527.559021pt;margin-top:780.087952pt;width:13.1pt;height:11pt;mso-position-horizontal-relative:page;mso-position-vertical-relative:page;z-index:-1030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048" type="#_x0000_t75" stroked="false">
          <v:imagedata r:id="rId1" o:title=""/>
        </v:shape>
      </w:pict>
    </w:r>
    <w:r>
      <w:rPr/>
      <w:pict>
        <v:shape style="position:absolute;margin-left:527.559021pt;margin-top:780.087952pt;width:13.1pt;height:11pt;mso-position-horizontal-relative:page;mso-position-vertical-relative:page;z-index:-1030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000" type="#_x0000_t75" stroked="false">
          <v:imagedata r:id="rId1" o:title=""/>
        </v:shape>
      </w:pict>
    </w:r>
    <w:r>
      <w:rPr/>
      <w:pict>
        <v:shape style="position:absolute;margin-left:523.119995pt;margin-top:780.087952pt;width:17.5pt;height:11pt;mso-position-horizontal-relative:page;mso-position-vertical-relative:page;z-index:-1029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29928" type="#_x0000_t75" stroked="false">
          <v:imagedata r:id="rId1" o:title=""/>
        </v:shape>
      </w:pict>
    </w:r>
    <w:r>
      <w:rPr/>
      <w:pict>
        <v:shape style="position:absolute;margin-left:783.880005pt;margin-top:533.487915pt;width:17.5pt;height:11pt;mso-position-horizontal-relative:page;mso-position-vertical-relative:page;z-index:-1029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29880" type="#_x0000_t75" stroked="false">
          <v:imagedata r:id="rId1" o:title=""/>
        </v:shape>
      </w:pict>
    </w:r>
    <w:r>
      <w:rPr/>
      <w:pict>
        <v:shape style="position:absolute;margin-left:784.23999pt;margin-top:533.487915pt;width:17.4pt;height:11pt;mso-position-horizontal-relative:page;mso-position-vertical-relative:page;z-index:-1029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784" type="#_x0000_t75" stroked="false">
          <v:imagedata r:id="rId1" o:title=""/>
        </v:shape>
      </w:pict>
    </w:r>
    <w:r>
      <w:rPr/>
      <w:pict>
        <v:shape style="position:absolute;margin-left:523.479980pt;margin-top:780.087952pt;width:17.3pt;height:11pt;mso-position-horizontal-relative:page;mso-position-vertical-relative:page;z-index:-1029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840" type="#_x0000_t75" stroked="false">
          <v:imagedata r:id="rId1" o:title=""/>
        </v:shape>
      </w:pict>
    </w:r>
    <w:r>
      <w:rPr/>
      <w:pict>
        <v:shape style="position:absolute;margin-left:532.119995pt;margin-top:780.087952pt;width:8.5pt;height:11pt;mso-position-horizontal-relative:page;mso-position-vertical-relative:page;z-index:-1030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736" type="#_x0000_t75" stroked="false">
          <v:imagedata r:id="rId1" o:title=""/>
        </v:shape>
      </w:pict>
    </w:r>
    <w:r>
      <w:rPr/>
      <w:pict>
        <v:shape style="position:absolute;margin-left:523.119995pt;margin-top:780.087952pt;width:17.5pt;height:11pt;mso-position-horizontal-relative:page;mso-position-vertical-relative:page;z-index:-1029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688" type="#_x0000_t75" stroked="false">
          <v:imagedata r:id="rId1" o:title=""/>
        </v:shape>
      </w:pict>
    </w:r>
    <w:r>
      <w:rPr/>
      <w:pict>
        <v:shape style="position:absolute;margin-left:523.119995pt;margin-top:780.087952pt;width:17.5pt;height:11pt;mso-position-horizontal-relative:page;mso-position-vertical-relative:page;z-index:-1029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640" type="#_x0000_t75" stroked="false">
          <v:imagedata r:id="rId1" o:title=""/>
        </v:shape>
      </w:pict>
    </w:r>
    <w:r>
      <w:rPr/>
      <w:pict>
        <v:shape style="position:absolute;margin-left:523.119995pt;margin-top:780.087952pt;width:17.5pt;height:11pt;mso-position-horizontal-relative:page;mso-position-vertical-relative:page;z-index:-1029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592" type="#_x0000_t75" stroked="false">
          <v:imagedata r:id="rId1" o:title=""/>
        </v:shape>
      </w:pict>
    </w:r>
    <w:r>
      <w:rPr/>
      <w:pict>
        <v:shape style="position:absolute;margin-left:523.119995pt;margin-top:780.087952pt;width:17.5pt;height:11pt;mso-position-horizontal-relative:page;mso-position-vertical-relative:page;z-index:-1029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544" type="#_x0000_t75" stroked="false">
          <v:imagedata r:id="rId1" o:title=""/>
        </v:shape>
      </w:pict>
    </w:r>
    <w:r>
      <w:rPr/>
      <w:pict>
        <v:shape style="position:absolute;margin-left:523.119995pt;margin-top:780.087952pt;width:17.5pt;height:11pt;mso-position-horizontal-relative:page;mso-position-vertical-relative:page;z-index:-102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496" type="#_x0000_t75" stroked="false">
          <v:imagedata r:id="rId1" o:title=""/>
        </v:shape>
      </w:pict>
    </w:r>
    <w:r>
      <w:rPr/>
      <w:pict>
        <v:shape style="position:absolute;margin-left:523.119995pt;margin-top:780.087952pt;width:17.5pt;height:11pt;mso-position-horizontal-relative:page;mso-position-vertical-relative:page;z-index:-102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448" type="#_x0000_t75" stroked="false">
          <v:imagedata r:id="rId1" o:title=""/>
        </v:shape>
      </w:pict>
    </w:r>
    <w:r>
      <w:rPr/>
      <w:pict>
        <v:shape style="position:absolute;margin-left:523.119995pt;margin-top:780.087952pt;width:17.5pt;height:11pt;mso-position-horizontal-relative:page;mso-position-vertical-relative:page;z-index:-1029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400" type="#_x0000_t75" stroked="false">
          <v:imagedata r:id="rId1" o:title=""/>
        </v:shape>
      </w:pict>
    </w:r>
    <w:r>
      <w:rPr/>
      <w:pict>
        <v:shape style="position:absolute;margin-left:523.119995pt;margin-top:780.087952pt;width:17.5pt;height:11pt;mso-position-horizontal-relative:page;mso-position-vertical-relative:page;z-index:-1029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29352" type="#_x0000_t75" stroked="false">
          <v:imagedata r:id="rId1" o:title=""/>
        </v:shape>
      </w:pict>
    </w:r>
    <w:r>
      <w:rPr/>
      <w:pict>
        <v:shape style="position:absolute;margin-left:523.119995pt;margin-top:780.087952pt;width:17.5pt;height:11pt;mso-position-horizontal-relative:page;mso-position-vertical-relative:page;z-index:-1029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792" type="#_x0000_t75" stroked="false">
          <v:imagedata r:id="rId1" o:title=""/>
        </v:shape>
      </w:pict>
    </w:r>
    <w:r>
      <w:rPr/>
      <w:pict>
        <v:shape style="position:absolute;margin-left:527.559021pt;margin-top:780.087952pt;width:13.2pt;height:11pt;mso-position-horizontal-relative:page;mso-position-vertical-relative:page;z-index:-1030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744" type="#_x0000_t75" stroked="false">
          <v:imagedata r:id="rId1" o:title=""/>
        </v:shape>
      </w:pict>
    </w:r>
    <w:r>
      <w:rPr/>
      <w:pict>
        <v:shape style="position:absolute;margin-left:527.559021pt;margin-top:780.087952pt;width:13.1pt;height:11pt;mso-position-horizontal-relative:page;mso-position-vertical-relative:page;z-index:-1030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696" type="#_x0000_t75" stroked="false">
          <v:imagedata r:id="rId1" o:title=""/>
        </v:shape>
      </w:pict>
    </w:r>
    <w:r>
      <w:rPr/>
      <w:pict>
        <v:shape style="position:absolute;margin-left:527.559021pt;margin-top:780.087952pt;width:13.1pt;height:11pt;mso-position-horizontal-relative:page;mso-position-vertical-relative:page;z-index:-1030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30624" type="#_x0000_t75" stroked="false">
          <v:imagedata r:id="rId1" o:title=""/>
        </v:shape>
      </w:pict>
    </w:r>
    <w:r>
      <w:rPr/>
      <w:pict>
        <v:shape style="position:absolute;margin-left:758.919006pt;margin-top:533.487915pt;width:13.1pt;height:11pt;mso-position-horizontal-relative:page;mso-position-vertical-relative:page;z-index:-1030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30552" type="#_x0000_t75" stroked="false">
          <v:imagedata r:id="rId1" o:title=""/>
        </v:shape>
      </w:pict>
    </w:r>
    <w:r>
      <w:rPr/>
      <w:pict>
        <v:shape style="position:absolute;margin-left:758.919006pt;margin-top:533.487915pt;width:13.1pt;height:11pt;mso-position-horizontal-relative:page;mso-position-vertical-relative:page;z-index:-1030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030456" type="#_x0000_t75" stroked="false">
          <v:imagedata r:id="rId1" o:title=""/>
        </v:shape>
      </w:pict>
    </w:r>
    <w:r>
      <w:rPr/>
      <w:pict>
        <v:shape style="position:absolute;margin-left:527.559021pt;margin-top:780.087952pt;width:13.1pt;height:11pt;mso-position-horizontal-relative:page;mso-position-vertical-relative:page;z-index:-1030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1030384" type="#_x0000_t75" stroked="false">
          <v:imagedata r:id="rId1" o:title=""/>
        </v:shape>
      </w:pict>
    </w:r>
    <w:r>
      <w:rPr/>
      <w:pict>
        <v:shape style="position:absolute;margin-left:758.919006pt;margin-top:533.487915pt;width:13.1pt;height:11pt;mso-position-horizontal-relative:page;mso-position-vertical-relative:page;z-index:-1030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15651pt;width:195.45pt;height:11.5pt;mso-position-horizontal-relative:page;mso-position-vertical-relative:page;z-index:-1030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1030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1030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3050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1030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1030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30288"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1030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4.880005pt;margin-top:42.915611pt;width:195.45pt;height:11.5pt;mso-position-horizontal-relative:page;mso-position-vertical-relative:page;z-index:-1029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029832"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1029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89"/>
      <w:ind w:left="112"/>
    </w:pPr>
    <w:rPr>
      <w:rFonts w:ascii="微软雅黑" w:hAnsi="微软雅黑" w:eastAsia="微软雅黑"/>
      <w:b/>
      <w:bCs/>
      <w:sz w:val="24"/>
      <w:szCs w:val="24"/>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2932"/>
      <w:outlineLvl w:val="1"/>
    </w:pPr>
    <w:rPr>
      <w:rFonts w:ascii="微软雅黑" w:hAnsi="微软雅黑" w:eastAsia="微软雅黑"/>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spacing w:before="34"/>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unisoft.cn/" TargetMode="External"/><Relationship Id="rId9" Type="http://schemas.openxmlformats.org/officeDocument/2006/relationships/hyperlink" Target="mailto:IR@thunisoft.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header" Target="header4.xml"/><Relationship Id="rId19" Type="http://schemas.openxmlformats.org/officeDocument/2006/relationships/footer" Target="footer8.xml"/><Relationship Id="rId20" Type="http://schemas.openxmlformats.org/officeDocument/2006/relationships/header" Target="header5.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6.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image" Target="media/image2.jpeg"/><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7.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header" Target="header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2020-05-19T00:11:22Z</dcterms:created>
  <dcterms:modified xsi:type="dcterms:W3CDTF">2020-05-19T00:11:22Z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WPS 文字</vt:lpwstr>
  </property>
  <property fmtid="{D5CDD505-2E9C-101B-9397-08002B2CF9AE}" pid="4" name="LastSaved">
    <vt:filetime>2020-05-18T00:00:00Z</vt:filetime>
  </property>
</Properties>
</file>