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4.84pt;margin-top:21.749983pt;width:485.65pt;height:40.15pt;mso-position-horizontal-relative:page;mso-position-vertical-relative:page;z-index:-649792" coordorigin="1097,435" coordsize="9713,803">
            <v:group style="position:absolute;left:1104;top:1020;width:9698;height:2" coordorigin="1104,1020" coordsize="9698,2">
              <v:shape style="position:absolute;left:1104;top:1020;width:9698;height:2" coordorigin="1104,1020" coordsize="9698,0" path="m1104,1020l10802,1020e" filled="false" stroked="true" strokeweight=".72pt" strokecolor="#000000">
                <v:path arrowok="t"/>
              </v:shape>
              <v:shape style="position:absolute;left:1140;top:435;width:2160;height:803"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line="3876" w:lineRule="exact"/>
        <w:ind w:left="30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drawing>
          <wp:inline distT="0" distB="0" distL="0" distR="0">
            <wp:extent cx="2241712" cy="24614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2241712" cy="2461450"/>
                    </a:xfrm>
                    <a:prstGeom prst="rect">
                      <a:avLst/>
                    </a:prstGeom>
                  </pic:spPr>
                </pic:pic>
              </a:graphicData>
            </a:graphic>
          </wp:inline>
        </w:drawing>
      </w:r>
      <w:r>
        <w:rPr>
          <w:rFonts w:ascii="Times New Roman" w:hAnsi="Times New Roman" w:cs="Times New Roman" w:eastAsia="Times New Roman" w:hint="default"/>
          <w:position w:val="-7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460" w:lineRule="exact" w:before="0"/>
        <w:ind w:left="0" w:right="1" w:firstLine="0"/>
        <w:jc w:val="center"/>
        <w:rPr>
          <w:rFonts w:ascii="宋体" w:hAnsi="宋体" w:cs="宋体" w:eastAsia="宋体" w:hint="default"/>
          <w:sz w:val="36"/>
          <w:szCs w:val="36"/>
        </w:rPr>
      </w:pPr>
      <w:r>
        <w:rPr>
          <w:rFonts w:ascii="宋体" w:hAnsi="宋体" w:cs="宋体" w:eastAsia="宋体" w:hint="default"/>
          <w:b/>
          <w:bCs/>
          <w:sz w:val="36"/>
          <w:szCs w:val="36"/>
        </w:rPr>
        <w:t>荣科科技股份有限公司</w:t>
      </w:r>
      <w:r>
        <w:rPr>
          <w:rFonts w:ascii="宋体" w:hAnsi="宋体" w:cs="宋体" w:eastAsia="宋体" w:hint="default"/>
          <w:sz w:val="36"/>
          <w:szCs w:val="36"/>
        </w:rPr>
      </w:r>
    </w:p>
    <w:p>
      <w:pPr>
        <w:pStyle w:val="Heading4"/>
        <w:spacing w:line="240" w:lineRule="auto" w:before="298"/>
        <w:ind w:left="0" w:right="6"/>
        <w:jc w:val="center"/>
        <w:rPr>
          <w:rFonts w:ascii="宋体" w:hAnsi="宋体" w:cs="宋体" w:eastAsia="宋体" w:hint="default"/>
          <w:b w:val="0"/>
          <w:bCs w:val="0"/>
        </w:rPr>
      </w:pPr>
      <w:r>
        <w:rPr>
          <w:rFonts w:ascii="宋体"/>
        </w:rPr>
        <w:t>Bringspring Science and Technology</w:t>
      </w:r>
      <w:r>
        <w:rPr>
          <w:rFonts w:ascii="宋体"/>
          <w:spacing w:val="-7"/>
        </w:rPr>
        <w:t> </w:t>
      </w:r>
      <w:r>
        <w:rPr>
          <w:rFonts w:ascii="宋体"/>
        </w:rPr>
        <w:t>Co.,Ltd.</w:t>
      </w:r>
      <w:r>
        <w:rPr>
          <w:rFonts w:ascii="宋体"/>
          <w:b w:val="0"/>
        </w:rPr>
      </w:r>
    </w:p>
    <w:p>
      <w:pPr>
        <w:spacing w:line="240" w:lineRule="auto" w:before="10"/>
        <w:rPr>
          <w:rFonts w:ascii="宋体" w:hAnsi="宋体" w:cs="宋体" w:eastAsia="宋体" w:hint="default"/>
          <w:b/>
          <w:bCs/>
          <w:sz w:val="28"/>
          <w:szCs w:val="28"/>
        </w:rPr>
      </w:pPr>
    </w:p>
    <w:p>
      <w:pPr>
        <w:spacing w:before="0"/>
        <w:ind w:left="0" w:right="3" w:firstLine="0"/>
        <w:jc w:val="center"/>
        <w:rPr>
          <w:rFonts w:ascii="宋体" w:hAnsi="宋体" w:cs="宋体" w:eastAsia="宋体" w:hint="default"/>
          <w:sz w:val="36"/>
          <w:szCs w:val="36"/>
        </w:rPr>
      </w:pPr>
      <w:r>
        <w:rPr>
          <w:rFonts w:ascii="宋体" w:hAnsi="宋体" w:cs="宋体" w:eastAsia="宋体" w:hint="default"/>
          <w:b/>
          <w:bCs/>
          <w:sz w:val="36"/>
          <w:szCs w:val="36"/>
        </w:rPr>
        <w:t>2012</w:t>
      </w:r>
      <w:r>
        <w:rPr>
          <w:rFonts w:ascii="宋体" w:hAnsi="宋体" w:cs="宋体" w:eastAsia="宋体" w:hint="default"/>
          <w:b/>
          <w:bCs/>
          <w:spacing w:val="-95"/>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37"/>
          <w:szCs w:val="37"/>
        </w:rPr>
      </w:pPr>
    </w:p>
    <w:p>
      <w:pPr>
        <w:spacing w:before="0"/>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2013</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52" w:footer="979" w:top="1100" w:bottom="1160" w:left="980" w:right="980"/>
        </w:sectPr>
      </w:pPr>
    </w:p>
    <w:p>
      <w:pPr>
        <w:spacing w:line="240" w:lineRule="auto" w:before="0"/>
        <w:rPr>
          <w:rFonts w:ascii="宋体" w:hAnsi="宋体" w:cs="宋体" w:eastAsia="宋体" w:hint="default"/>
          <w:b/>
          <w:bCs/>
          <w:sz w:val="20"/>
          <w:szCs w:val="20"/>
        </w:rPr>
      </w:pPr>
      <w:r>
        <w:rPr/>
        <w:pict>
          <v:group style="position:absolute;margin-left:54.84pt;margin-top:28.299982pt;width:485.65pt;height:40.15pt;mso-position-horizontal-relative:page;mso-position-vertical-relative:page;z-index:104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2803" w:right="142"/>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12"/>
        <w:rPr>
          <w:rFonts w:ascii="宋体" w:hAnsi="宋体" w:cs="宋体" w:eastAsia="宋体" w:hint="default"/>
          <w:b/>
          <w:bCs/>
          <w:sz w:val="23"/>
          <w:szCs w:val="23"/>
        </w:rPr>
      </w:pPr>
    </w:p>
    <w:p>
      <w:pPr>
        <w:pStyle w:val="Heading3"/>
        <w:spacing w:line="237" w:lineRule="auto"/>
        <w:ind w:right="156" w:firstLine="562"/>
        <w:jc w:val="both"/>
        <w:rPr>
          <w:b w:val="0"/>
          <w:bCs w:val="0"/>
        </w:rPr>
      </w:pPr>
      <w:r>
        <w:rPr>
          <w:spacing w:val="2"/>
        </w:rPr>
        <w:t>本公司董事会、监事会及董事、监事、高级管理人员保证本报告所载资料</w:t>
      </w:r>
      <w:r>
        <w:rPr>
          <w:w w:val="99"/>
        </w:rPr>
        <w:t> </w:t>
      </w:r>
      <w:r>
        <w:rPr>
          <w:spacing w:val="2"/>
        </w:rPr>
        <w:t>不存在任何虚假记载、误导性陈述或者重大遗漏，并对其内容的真实性、准确</w:t>
      </w:r>
      <w:r>
        <w:rPr>
          <w:w w:val="99"/>
        </w:rPr>
        <w:t> </w:t>
      </w:r>
      <w:r>
        <w:rPr/>
        <w:t>性和完整性承担个别及连带责任。</w:t>
      </w:r>
      <w:r>
        <w:rPr>
          <w:b w:val="0"/>
          <w:bCs w:val="0"/>
        </w:rPr>
      </w:r>
    </w:p>
    <w:p>
      <w:pPr>
        <w:pStyle w:val="Heading3"/>
        <w:spacing w:line="304" w:lineRule="auto" w:before="97"/>
        <w:ind w:left="714" w:right="142"/>
        <w:jc w:val="left"/>
        <w:rPr>
          <w:b w:val="0"/>
          <w:bCs w:val="0"/>
        </w:rPr>
      </w:pPr>
      <w:r>
        <w:rPr/>
        <w:t>所有董事均已出席了审议本报告的董事会会议。</w:t>
      </w:r>
      <w:r>
        <w:rPr>
          <w:w w:val="99"/>
        </w:rPr>
        <w:t> </w:t>
      </w:r>
      <w:r>
        <w:rPr>
          <w:spacing w:val="-2"/>
        </w:rPr>
        <w:t>公司负责人付永全、主管会计工作负责人冯丽及会计机构负责人</w:t>
      </w:r>
      <w:r>
        <w:rPr>
          <w:rFonts w:ascii="宋体" w:hAnsi="宋体" w:cs="宋体" w:eastAsia="宋体" w:hint="default"/>
          <w:spacing w:val="-2"/>
        </w:rPr>
        <w:t>(</w:t>
      </w:r>
      <w:r>
        <w:rPr>
          <w:spacing w:val="-2"/>
        </w:rPr>
        <w:t>会计主管</w:t>
      </w:r>
      <w:r>
        <w:rPr>
          <w:b w:val="0"/>
          <w:bCs w:val="0"/>
          <w:spacing w:val="-2"/>
        </w:rPr>
      </w:r>
    </w:p>
    <w:p>
      <w:pPr>
        <w:pStyle w:val="Heading3"/>
        <w:spacing w:line="284" w:lineRule="exact"/>
        <w:ind w:right="142"/>
        <w:jc w:val="left"/>
        <w:rPr>
          <w:b w:val="0"/>
          <w:bCs w:val="0"/>
        </w:rPr>
      </w:pPr>
      <w:r>
        <w:rPr/>
        <w:t>人员</w:t>
      </w:r>
      <w:r>
        <w:rPr>
          <w:rFonts w:ascii="宋体" w:hAnsi="宋体" w:cs="宋体" w:eastAsia="宋体" w:hint="default"/>
        </w:rPr>
        <w:t>)</w:t>
      </w:r>
      <w:r>
        <w:rPr/>
        <w:t>汤淼云声明：保证年度报告中财务报告的真实、准确、完整。</w:t>
      </w:r>
      <w:r>
        <w:rPr>
          <w:b w:val="0"/>
          <w:bCs w:val="0"/>
        </w:rPr>
      </w:r>
    </w:p>
    <w:p>
      <w:pPr>
        <w:pStyle w:val="Heading3"/>
        <w:spacing w:line="237" w:lineRule="auto" w:before="102"/>
        <w:ind w:right="156" w:firstLine="562"/>
        <w:jc w:val="both"/>
        <w:rPr>
          <w:b w:val="0"/>
          <w:bCs w:val="0"/>
        </w:rPr>
      </w:pPr>
      <w:r>
        <w:rPr>
          <w:spacing w:val="2"/>
        </w:rPr>
        <w:t>本报告中如有涉及未来的计划、业绩预测等方面的内容，均不构成本公司</w:t>
      </w:r>
      <w:r>
        <w:rPr>
          <w:w w:val="99"/>
        </w:rPr>
        <w:t> </w:t>
      </w:r>
      <w:r>
        <w:rPr>
          <w:spacing w:val="2"/>
        </w:rPr>
        <w:t>对任何投资者及相关人士的承诺，投资者及相关人士均应对此保持足够的风险</w:t>
      </w:r>
      <w:r>
        <w:rPr>
          <w:w w:val="99"/>
        </w:rPr>
        <w:t> </w:t>
      </w:r>
      <w:r>
        <w:rPr/>
        <w:t>认识，并且应当理解计划、预测与承诺之间的差异。</w:t>
      </w:r>
      <w:r>
        <w:rPr>
          <w:b w:val="0"/>
          <w:bCs w:val="0"/>
        </w:rPr>
      </w:r>
    </w:p>
    <w:p>
      <w:pPr>
        <w:spacing w:after="0" w:line="237" w:lineRule="auto"/>
        <w:jc w:val="both"/>
        <w:sectPr>
          <w:footerReference w:type="default" r:id="rId9"/>
          <w:pgSz w:w="11910" w:h="16840"/>
          <w:pgMar w:footer="979" w:header="752" w:top="1100" w:bottom="1160" w:left="980" w:right="980"/>
          <w:pgNumType w:start="2"/>
        </w:sectPr>
      </w:pPr>
    </w:p>
    <w:p>
      <w:pPr>
        <w:spacing w:line="240" w:lineRule="auto" w:before="0"/>
        <w:rPr>
          <w:rFonts w:ascii="宋体" w:hAnsi="宋体" w:cs="宋体" w:eastAsia="宋体" w:hint="default"/>
          <w:b/>
          <w:bCs/>
          <w:sz w:val="20"/>
          <w:szCs w:val="20"/>
        </w:rPr>
      </w:pPr>
      <w:r>
        <w:rPr/>
        <w:pict>
          <v:group style="position:absolute;margin-left:54.84pt;margin-top:28.299982pt;width:485.65pt;height:40.15pt;mso-position-horizontal-relative:page;mso-position-vertical-relative:page;z-index:107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tabs>
          <w:tab w:pos="72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3" w:val="right" w:leader="dot"/>
            </w:tabs>
            <w:spacing w:line="240" w:lineRule="auto" w:before="986"/>
            <w:ind w:right="0"/>
            <w:jc w:val="left"/>
            <w:rPr>
              <w:rFonts w:ascii="宋体" w:hAnsi="宋体" w:cs="宋体" w:eastAsia="宋体" w:hint="default"/>
            </w:rPr>
          </w:pPr>
          <w:hyperlink w:history="true" w:anchor="_bookmark0">
            <w:r>
              <w:rPr/>
              <w:t>第一节 重要提示、目录和释义</w:t>
            </w:r>
            <w:r>
              <w:rPr>
                <w:rFonts w:ascii="宋体" w:hAnsi="宋体" w:cs="宋体" w:eastAsia="宋体" w:hint="default"/>
              </w:rPr>
              <w:tab/>
              <w:t>2</w:t>
            </w:r>
          </w:hyperlink>
        </w:p>
        <w:p>
          <w:pPr>
            <w:pStyle w:val="TOC1"/>
            <w:tabs>
              <w:tab w:pos="9783" w:val="right" w:leader="dot"/>
            </w:tabs>
            <w:spacing w:line="240" w:lineRule="auto"/>
            <w:ind w:right="0"/>
            <w:jc w:val="left"/>
            <w:rPr>
              <w:rFonts w:ascii="宋体" w:hAnsi="宋体" w:cs="宋体" w:eastAsia="宋体" w:hint="default"/>
            </w:rPr>
          </w:pPr>
          <w:hyperlink w:history="true" w:anchor="_bookmark1">
            <w:r>
              <w:rPr/>
              <w:t>第二节 公司基本情况简介</w:t>
            </w:r>
            <w:r>
              <w:rPr>
                <w:rFonts w:ascii="宋体" w:hAnsi="宋体" w:cs="宋体" w:eastAsia="宋体" w:hint="default"/>
              </w:rPr>
              <w:tab/>
              <w:t>5</w:t>
            </w:r>
          </w:hyperlink>
        </w:p>
        <w:p>
          <w:pPr>
            <w:pStyle w:val="TOC1"/>
            <w:tabs>
              <w:tab w:pos="9783" w:val="right" w:leader="dot"/>
            </w:tabs>
            <w:spacing w:line="240" w:lineRule="auto" w:before="151"/>
            <w:ind w:right="0"/>
            <w:jc w:val="left"/>
            <w:rPr>
              <w:rFonts w:ascii="宋体" w:hAnsi="宋体" w:cs="宋体" w:eastAsia="宋体" w:hint="default"/>
            </w:rPr>
          </w:pPr>
          <w:hyperlink w:history="true" w:anchor="_bookmark2">
            <w:r>
              <w:rPr/>
              <w:t>第三节 会计数据和财务指标摘要</w:t>
            </w:r>
            <w:r>
              <w:rPr>
                <w:rFonts w:ascii="宋体" w:hAnsi="宋体" w:cs="宋体" w:eastAsia="宋体" w:hint="default"/>
              </w:rPr>
              <w:tab/>
              <w:t>6</w:t>
            </w:r>
          </w:hyperlink>
        </w:p>
        <w:p>
          <w:pPr>
            <w:pStyle w:val="TOC1"/>
            <w:tabs>
              <w:tab w:pos="9783" w:val="right" w:leader="dot"/>
            </w:tabs>
            <w:spacing w:line="240" w:lineRule="auto"/>
            <w:ind w:right="0"/>
            <w:jc w:val="left"/>
            <w:rPr>
              <w:rFonts w:ascii="宋体" w:hAnsi="宋体" w:cs="宋体" w:eastAsia="宋体" w:hint="default"/>
            </w:rPr>
          </w:pPr>
          <w:hyperlink w:history="true" w:anchor="_bookmark3">
            <w:r>
              <w:rPr/>
              <w:t>第四节 董事会报告</w:t>
            </w:r>
            <w:r>
              <w:rPr>
                <w:rFonts w:ascii="宋体" w:hAnsi="宋体" w:cs="宋体" w:eastAsia="宋体" w:hint="default"/>
              </w:rPr>
              <w:tab/>
              <w:t>10</w:t>
            </w:r>
          </w:hyperlink>
        </w:p>
        <w:p>
          <w:pPr>
            <w:pStyle w:val="TOC1"/>
            <w:tabs>
              <w:tab w:pos="9783"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27</w:t>
            </w:r>
          </w:hyperlink>
        </w:p>
        <w:p>
          <w:pPr>
            <w:pStyle w:val="TOC1"/>
            <w:tabs>
              <w:tab w:pos="9783" w:val="right" w:leader="dot"/>
            </w:tabs>
            <w:spacing w:line="240" w:lineRule="auto" w:before="151"/>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34</w:t>
            </w:r>
          </w:hyperlink>
        </w:p>
        <w:p>
          <w:pPr>
            <w:pStyle w:val="TOC1"/>
            <w:tabs>
              <w:tab w:pos="9783" w:val="right" w:leader="dot"/>
            </w:tabs>
            <w:spacing w:line="240" w:lineRule="auto"/>
            <w:ind w:right="0"/>
            <w:jc w:val="left"/>
            <w:rPr>
              <w:rFonts w:ascii="宋体" w:hAnsi="宋体" w:cs="宋体" w:eastAsia="宋体" w:hint="default"/>
            </w:rPr>
          </w:pPr>
          <w:hyperlink w:history="true" w:anchor="_bookmark6">
            <w:r>
              <w:rPr/>
              <w:t>第七节 董事、监事、高级管理人员和员工情况</w:t>
            </w:r>
            <w:r>
              <w:rPr>
                <w:rFonts w:ascii="宋体" w:hAnsi="宋体" w:cs="宋体" w:eastAsia="宋体" w:hint="default"/>
              </w:rPr>
              <w:tab/>
              <w:t>38</w:t>
            </w:r>
          </w:hyperlink>
        </w:p>
        <w:p>
          <w:pPr>
            <w:pStyle w:val="TOC1"/>
            <w:tabs>
              <w:tab w:pos="9783" w:val="right" w:leader="dot"/>
            </w:tabs>
            <w:spacing w:line="240" w:lineRule="auto" w:before="151"/>
            <w:ind w:right="0"/>
            <w:jc w:val="left"/>
            <w:rPr>
              <w:rFonts w:ascii="宋体" w:hAnsi="宋体" w:cs="宋体" w:eastAsia="宋体" w:hint="default"/>
            </w:rPr>
          </w:pPr>
          <w:hyperlink w:history="true" w:anchor="_bookmark7">
            <w:r>
              <w:rPr/>
              <w:t>第八节 公司治理</w:t>
            </w:r>
            <w:r>
              <w:rPr>
                <w:rFonts w:ascii="宋体" w:hAnsi="宋体" w:cs="宋体" w:eastAsia="宋体" w:hint="default"/>
              </w:rPr>
              <w:tab/>
              <w:t>43</w:t>
            </w:r>
          </w:hyperlink>
        </w:p>
        <w:p>
          <w:pPr>
            <w:pStyle w:val="TOC1"/>
            <w:tabs>
              <w:tab w:pos="9783" w:val="right" w:leader="dot"/>
            </w:tabs>
            <w:spacing w:line="240" w:lineRule="auto"/>
            <w:ind w:right="0"/>
            <w:jc w:val="left"/>
            <w:rPr>
              <w:rFonts w:ascii="宋体" w:hAnsi="宋体" w:cs="宋体" w:eastAsia="宋体" w:hint="default"/>
            </w:rPr>
          </w:pPr>
          <w:hyperlink w:history="true" w:anchor="_bookmark8">
            <w:r>
              <w:rPr/>
              <w:t>第九节 财务报告</w:t>
            </w:r>
            <w:r>
              <w:rPr>
                <w:rFonts w:ascii="宋体" w:hAnsi="宋体" w:cs="宋体" w:eastAsia="宋体" w:hint="default"/>
              </w:rPr>
              <w:tab/>
              <w:t>45</w:t>
            </w:r>
          </w:hyperlink>
        </w:p>
        <w:p>
          <w:pPr>
            <w:pStyle w:val="TOC1"/>
            <w:tabs>
              <w:tab w:pos="9783" w:val="right" w:leader="dot"/>
            </w:tabs>
            <w:spacing w:line="240" w:lineRule="auto" w:before="151"/>
            <w:ind w:right="0"/>
            <w:jc w:val="left"/>
            <w:rPr>
              <w:rFonts w:ascii="宋体" w:hAnsi="宋体" w:cs="宋体" w:eastAsia="宋体" w:hint="default"/>
            </w:rPr>
          </w:pPr>
          <w:hyperlink w:history="true" w:anchor="_bookmark9">
            <w:r>
              <w:rPr/>
              <w:t>第十节 备查文件目录</w:t>
            </w:r>
            <w:r>
              <w:rPr>
                <w:rFonts w:ascii="宋体" w:hAnsi="宋体" w:cs="宋体" w:eastAsia="宋体" w:hint="default"/>
              </w:rPr>
              <w:tab/>
              <w:t>106</w:t>
            </w:r>
          </w:hyperlink>
        </w:p>
      </w:sdtContent>
    </w:sdt>
    <w:p>
      <w:pPr>
        <w:spacing w:after="0" w:line="240" w:lineRule="auto"/>
        <w:jc w:val="left"/>
        <w:rPr>
          <w:rFonts w:ascii="宋体" w:hAnsi="宋体" w:cs="宋体" w:eastAsia="宋体" w:hint="default"/>
        </w:rPr>
        <w:sectPr>
          <w:pgSz w:w="11910" w:h="16840"/>
          <w:pgMar w:header="752" w:footer="979" w:top="1100" w:bottom="1160" w:left="980" w:right="980"/>
        </w:sectPr>
      </w:pPr>
    </w:p>
    <w:p>
      <w:pPr>
        <w:spacing w:before="737"/>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4"/>
        <w:rPr>
          <w:rFonts w:ascii="宋体" w:hAnsi="宋体" w:cs="宋体" w:eastAsia="宋体" w:hint="default"/>
          <w:b/>
          <w:bCs/>
          <w:sz w:val="23"/>
          <w:szCs w:val="23"/>
        </w:rPr>
      </w:pPr>
    </w:p>
    <w:tbl>
      <w:tblPr>
        <w:tblW w:w="0" w:type="auto"/>
        <w:jc w:val="left"/>
        <w:tblInd w:w="181" w:type="dxa"/>
        <w:tblLayout w:type="fixed"/>
        <w:tblCellMar>
          <w:top w:w="0" w:type="dxa"/>
          <w:left w:w="0" w:type="dxa"/>
          <w:bottom w:w="0" w:type="dxa"/>
          <w:right w:w="0" w:type="dxa"/>
        </w:tblCellMar>
        <w:tblLook w:val="01E0"/>
      </w:tblPr>
      <w:tblGrid>
        <w:gridCol w:w="3539"/>
        <w:gridCol w:w="596"/>
        <w:gridCol w:w="5436"/>
      </w:tblGrid>
      <w:tr>
        <w:trPr>
          <w:trHeight w:val="281" w:hRule="exact"/>
        </w:trPr>
        <w:tc>
          <w:tcPr>
            <w:tcW w:w="3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本公司、公司、股份公司、荣科科技</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3" w:lineRule="exact"/>
              <w:ind w:left="27" w:right="0"/>
              <w:jc w:val="left"/>
              <w:rPr>
                <w:rFonts w:ascii="宋体" w:hAnsi="宋体" w:cs="宋体" w:eastAsia="宋体" w:hint="default"/>
                <w:sz w:val="21"/>
                <w:szCs w:val="21"/>
              </w:rPr>
            </w:pPr>
            <w:r>
              <w:rPr>
                <w:rFonts w:ascii="宋体" w:hAnsi="宋体" w:cs="宋体" w:eastAsia="宋体" w:hint="default"/>
                <w:sz w:val="21"/>
                <w:szCs w:val="21"/>
              </w:rPr>
              <w:t>荣科科技股份有限公司</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荣科全濠</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沈阳荣科全濠科技有限公司，本公司控股子公司</w:t>
            </w:r>
          </w:p>
        </w:tc>
      </w:tr>
      <w:tr>
        <w:trPr>
          <w:trHeight w:val="28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荣科金融</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辽宁荣科金融服务有限公司，本公司全资子公司</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荣科爱信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北京荣科爱信科技有限公司，本公司全资子公司</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正达联合</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北京正达联合投资有限公司，本公司股东</w:t>
            </w:r>
          </w:p>
        </w:tc>
      </w:tr>
      <w:tr>
        <w:trPr>
          <w:trHeight w:val="28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平安财智</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平安财智投资管理有限公司，本公司股东</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恒远恒信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北京恒远恒信科技发展有限公司，本公司股东</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银监会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中华人民共和国银行业监督与管理委员会</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中华人民共和国证券监督与管理委员会</w:t>
            </w:r>
          </w:p>
        </w:tc>
      </w:tr>
      <w:tr>
        <w:trPr>
          <w:trHeight w:val="28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3" w:lineRule="exact"/>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荣科科技股份有限公司章程</w:t>
            </w:r>
          </w:p>
        </w:tc>
      </w:tr>
      <w:tr>
        <w:trPr>
          <w:trHeight w:val="28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数据中心服务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3" w:lineRule="exact"/>
              <w:ind w:left="27" w:right="0"/>
              <w:jc w:val="left"/>
              <w:rPr>
                <w:rFonts w:ascii="宋体" w:hAnsi="宋体" w:cs="宋体" w:eastAsia="宋体" w:hint="default"/>
                <w:sz w:val="21"/>
                <w:szCs w:val="21"/>
              </w:rPr>
            </w:pPr>
            <w:r>
              <w:rPr>
                <w:rFonts w:ascii="宋体" w:hAnsi="宋体" w:cs="宋体" w:eastAsia="宋体" w:hint="default"/>
                <w:sz w:val="21"/>
                <w:szCs w:val="21"/>
              </w:rPr>
              <w:t>数据中心集成建设与运营维护服务</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数据中心第三方服务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数据中心集成建设与运营维护的第三方服务</w:t>
            </w:r>
          </w:p>
        </w:tc>
      </w:tr>
      <w:tr>
        <w:trPr>
          <w:trHeight w:val="281"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HIS</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Hospital Information</w:t>
            </w:r>
            <w:r>
              <w:rPr>
                <w:rFonts w:ascii="宋体" w:hAnsi="宋体" w:cs="宋体" w:eastAsia="宋体" w:hint="default"/>
                <w:spacing w:val="-6"/>
                <w:sz w:val="21"/>
                <w:szCs w:val="21"/>
              </w:rPr>
              <w:t> </w:t>
            </w:r>
            <w:r>
              <w:rPr>
                <w:rFonts w:ascii="宋体" w:hAnsi="宋体" w:cs="宋体" w:eastAsia="宋体" w:hint="default"/>
                <w:sz w:val="21"/>
                <w:szCs w:val="21"/>
              </w:rPr>
              <w:t>System</w:t>
            </w:r>
            <w:r>
              <w:rPr>
                <w:rFonts w:ascii="宋体" w:hAnsi="宋体" w:cs="宋体" w:eastAsia="宋体" w:hint="default"/>
                <w:sz w:val="21"/>
                <w:szCs w:val="21"/>
              </w:rPr>
              <w:t>，医院信息管理系统</w:t>
            </w:r>
          </w:p>
        </w:tc>
      </w:tr>
      <w:tr>
        <w:trPr>
          <w:trHeight w:val="284"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新农合</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新型农村合作医疗</w:t>
            </w:r>
          </w:p>
        </w:tc>
      </w:tr>
      <w:tr>
        <w:trPr>
          <w:trHeight w:val="283" w:hRule="exact"/>
        </w:trPr>
        <w:tc>
          <w:tcPr>
            <w:tcW w:w="353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24" w:right="0"/>
              <w:jc w:val="left"/>
              <w:rPr>
                <w:rFonts w:ascii="宋体" w:hAnsi="宋体" w:cs="宋体" w:eastAsia="宋体" w:hint="default"/>
                <w:sz w:val="21"/>
                <w:szCs w:val="21"/>
              </w:rPr>
            </w:pPr>
            <w:r>
              <w:rPr>
                <w:rFonts w:ascii="宋体"/>
                <w:sz w:val="21"/>
              </w:rPr>
              <w:t>IT</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Information Technology</w:t>
            </w:r>
            <w:r>
              <w:rPr>
                <w:rFonts w:ascii="宋体" w:hAnsi="宋体" w:cs="宋体" w:eastAsia="宋体" w:hint="default"/>
                <w:sz w:val="21"/>
                <w:szCs w:val="21"/>
              </w:rPr>
              <w:t>，信息技术</w:t>
            </w:r>
          </w:p>
        </w:tc>
      </w:tr>
      <w:tr>
        <w:trPr>
          <w:trHeight w:val="142" w:hRule="exact"/>
        </w:trPr>
        <w:tc>
          <w:tcPr>
            <w:tcW w:w="3539" w:type="dxa"/>
            <w:vMerge w:val="restart"/>
            <w:tcBorders>
              <w:top w:val="single" w:sz="4" w:space="0" w:color="000000"/>
              <w:left w:val="single" w:sz="4" w:space="0" w:color="000000"/>
              <w:right w:val="single" w:sz="13" w:space="0" w:color="D2D2D2"/>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容灾</w:t>
            </w: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0" w:space="0" w:color="D2D2D2"/>
              <w:right w:val="single" w:sz="4" w:space="0" w:color="000000"/>
            </w:tcBorders>
          </w:tcPr>
          <w:p>
            <w:pPr>
              <w:pStyle w:val="TableParagraph"/>
              <w:spacing w:line="239" w:lineRule="exact"/>
              <w:ind w:left="27" w:right="0"/>
              <w:jc w:val="left"/>
              <w:rPr>
                <w:rFonts w:ascii="宋体" w:hAnsi="宋体" w:cs="宋体" w:eastAsia="宋体" w:hint="default"/>
                <w:sz w:val="21"/>
                <w:szCs w:val="21"/>
              </w:rPr>
            </w:pPr>
            <w:r>
              <w:rPr>
                <w:rFonts w:ascii="宋体" w:hAnsi="宋体" w:cs="宋体" w:eastAsia="宋体" w:hint="default"/>
                <w:w w:val="100"/>
                <w:sz w:val="21"/>
                <w:szCs w:val="21"/>
              </w:rPr>
              <w:t>建立</w:t>
            </w:r>
            <w:r>
              <w:rPr>
                <w:rFonts w:ascii="宋体" w:hAnsi="宋体" w:cs="宋体" w:eastAsia="宋体" w:hint="default"/>
                <w:spacing w:val="-3"/>
                <w:w w:val="100"/>
                <w:sz w:val="21"/>
                <w:szCs w:val="21"/>
              </w:rPr>
              <w:t>一</w:t>
            </w:r>
            <w:r>
              <w:rPr>
                <w:rFonts w:ascii="宋体" w:hAnsi="宋体" w:cs="宋体" w:eastAsia="宋体" w:hint="default"/>
                <w:w w:val="100"/>
                <w:sz w:val="21"/>
                <w:szCs w:val="21"/>
              </w:rPr>
              <w:t>个</w:t>
            </w:r>
            <w:r>
              <w:rPr>
                <w:rFonts w:ascii="宋体" w:hAnsi="宋体" w:cs="宋体" w:eastAsia="宋体" w:hint="default"/>
                <w:spacing w:val="-3"/>
                <w:w w:val="100"/>
                <w:sz w:val="21"/>
                <w:szCs w:val="21"/>
              </w:rPr>
              <w:t>异</w:t>
            </w:r>
            <w:r>
              <w:rPr>
                <w:rFonts w:ascii="宋体" w:hAnsi="宋体" w:cs="宋体" w:eastAsia="宋体" w:hint="default"/>
                <w:w w:val="100"/>
                <w:sz w:val="21"/>
                <w:szCs w:val="21"/>
              </w:rPr>
              <w:t>地</w:t>
            </w:r>
            <w:r>
              <w:rPr>
                <w:rFonts w:ascii="宋体" w:hAnsi="宋体" w:cs="宋体" w:eastAsia="宋体" w:hint="default"/>
                <w:spacing w:val="-3"/>
                <w:w w:val="100"/>
                <w:sz w:val="21"/>
                <w:szCs w:val="21"/>
              </w:rPr>
              <w:t>的</w:t>
            </w:r>
            <w:r>
              <w:rPr>
                <w:rFonts w:ascii="宋体" w:hAnsi="宋体" w:cs="宋体" w:eastAsia="宋体" w:hint="default"/>
                <w:w w:val="100"/>
                <w:sz w:val="21"/>
                <w:szCs w:val="21"/>
              </w:rPr>
              <w:t>数</w:t>
            </w:r>
            <w:r>
              <w:rPr>
                <w:rFonts w:ascii="宋体" w:hAnsi="宋体" w:cs="宋体" w:eastAsia="宋体" w:hint="default"/>
                <w:spacing w:val="-3"/>
                <w:w w:val="100"/>
                <w:sz w:val="21"/>
                <w:szCs w:val="21"/>
              </w:rPr>
              <w:t>据</w:t>
            </w:r>
            <w:r>
              <w:rPr>
                <w:rFonts w:ascii="宋体" w:hAnsi="宋体" w:cs="宋体" w:eastAsia="宋体" w:hint="default"/>
                <w:w w:val="100"/>
                <w:sz w:val="21"/>
                <w:szCs w:val="21"/>
              </w:rPr>
              <w:t>系</w:t>
            </w:r>
            <w:r>
              <w:rPr>
                <w:rFonts w:ascii="宋体" w:hAnsi="宋体" w:cs="宋体" w:eastAsia="宋体" w:hint="default"/>
                <w:spacing w:val="-3"/>
                <w:w w:val="100"/>
                <w:sz w:val="21"/>
                <w:szCs w:val="21"/>
              </w:rPr>
              <w:t>统</w:t>
            </w:r>
            <w:r>
              <w:rPr>
                <w:rFonts w:ascii="宋体" w:hAnsi="宋体" w:cs="宋体" w:eastAsia="宋体" w:hint="default"/>
                <w:spacing w:val="-94"/>
                <w:w w:val="100"/>
                <w:sz w:val="21"/>
                <w:szCs w:val="21"/>
              </w:rPr>
              <w:t>，</w:t>
            </w:r>
            <w:r>
              <w:rPr>
                <w:rFonts w:ascii="宋体" w:hAnsi="宋体" w:cs="宋体" w:eastAsia="宋体" w:hint="default"/>
                <w:w w:val="100"/>
                <w:sz w:val="21"/>
                <w:szCs w:val="21"/>
              </w:rPr>
              <w:t>该系</w:t>
            </w:r>
            <w:r>
              <w:rPr>
                <w:rFonts w:ascii="宋体" w:hAnsi="宋体" w:cs="宋体" w:eastAsia="宋体" w:hint="default"/>
                <w:spacing w:val="-3"/>
                <w:w w:val="100"/>
                <w:sz w:val="21"/>
                <w:szCs w:val="21"/>
              </w:rPr>
              <w:t>统</w:t>
            </w:r>
            <w:r>
              <w:rPr>
                <w:rFonts w:ascii="宋体" w:hAnsi="宋体" w:cs="宋体" w:eastAsia="宋体" w:hint="default"/>
                <w:w w:val="100"/>
                <w:sz w:val="21"/>
                <w:szCs w:val="21"/>
              </w:rPr>
              <w:t>是</w:t>
            </w:r>
            <w:r>
              <w:rPr>
                <w:rFonts w:ascii="宋体" w:hAnsi="宋体" w:cs="宋体" w:eastAsia="宋体" w:hint="default"/>
                <w:spacing w:val="-3"/>
                <w:w w:val="100"/>
                <w:sz w:val="21"/>
                <w:szCs w:val="21"/>
              </w:rPr>
              <w:t>本</w:t>
            </w:r>
            <w:r>
              <w:rPr>
                <w:rFonts w:ascii="宋体" w:hAnsi="宋体" w:cs="宋体" w:eastAsia="宋体" w:hint="default"/>
                <w:w w:val="100"/>
                <w:sz w:val="21"/>
                <w:szCs w:val="21"/>
              </w:rPr>
              <w:t>地</w:t>
            </w:r>
            <w:r>
              <w:rPr>
                <w:rFonts w:ascii="宋体" w:hAnsi="宋体" w:cs="宋体" w:eastAsia="宋体" w:hint="default"/>
                <w:spacing w:val="-3"/>
                <w:w w:val="100"/>
                <w:sz w:val="21"/>
                <w:szCs w:val="21"/>
              </w:rPr>
              <w:t>关</w:t>
            </w:r>
            <w:r>
              <w:rPr>
                <w:rFonts w:ascii="宋体" w:hAnsi="宋体" w:cs="宋体" w:eastAsia="宋体" w:hint="default"/>
                <w:w w:val="100"/>
                <w:sz w:val="21"/>
                <w:szCs w:val="21"/>
              </w:rPr>
              <w:t>键</w:t>
            </w:r>
            <w:r>
              <w:rPr>
                <w:rFonts w:ascii="宋体" w:hAnsi="宋体" w:cs="宋体" w:eastAsia="宋体" w:hint="default"/>
                <w:spacing w:val="-3"/>
                <w:w w:val="100"/>
                <w:sz w:val="21"/>
                <w:szCs w:val="21"/>
              </w:rPr>
              <w:t>应</w:t>
            </w:r>
            <w:r>
              <w:rPr>
                <w:rFonts w:ascii="宋体" w:hAnsi="宋体" w:cs="宋体" w:eastAsia="宋体" w:hint="default"/>
                <w:w w:val="100"/>
                <w:sz w:val="21"/>
                <w:szCs w:val="21"/>
              </w:rPr>
              <w:t>用</w:t>
            </w:r>
            <w:r>
              <w:rPr>
                <w:rFonts w:ascii="宋体" w:hAnsi="宋体" w:cs="宋体" w:eastAsia="宋体" w:hint="default"/>
                <w:spacing w:val="-3"/>
                <w:w w:val="100"/>
                <w:sz w:val="21"/>
                <w:szCs w:val="21"/>
              </w:rPr>
              <w:t>数</w:t>
            </w:r>
            <w:r>
              <w:rPr>
                <w:rFonts w:ascii="宋体" w:hAnsi="宋体" w:cs="宋体" w:eastAsia="宋体" w:hint="default"/>
                <w:w w:val="100"/>
                <w:sz w:val="21"/>
                <w:szCs w:val="21"/>
              </w:rPr>
              <w:t>据的一</w:t>
            </w:r>
          </w:p>
          <w:p>
            <w:pPr>
              <w:pStyle w:val="TableParagraph"/>
              <w:spacing w:line="273" w:lineRule="exact"/>
              <w:ind w:left="27" w:right="0"/>
              <w:jc w:val="left"/>
              <w:rPr>
                <w:rFonts w:ascii="宋体" w:hAnsi="宋体" w:cs="宋体" w:eastAsia="宋体" w:hint="default"/>
                <w:sz w:val="21"/>
                <w:szCs w:val="21"/>
              </w:rPr>
            </w:pPr>
            <w:r>
              <w:rPr>
                <w:rFonts w:ascii="宋体" w:hAnsi="宋体" w:cs="宋体" w:eastAsia="宋体" w:hint="default"/>
                <w:sz w:val="21"/>
                <w:szCs w:val="21"/>
              </w:rPr>
              <w:t>个可用复制</w:t>
            </w:r>
          </w:p>
        </w:tc>
      </w:tr>
      <w:tr>
        <w:trPr>
          <w:trHeight w:val="271" w:hRule="exact"/>
        </w:trPr>
        <w:tc>
          <w:tcPr>
            <w:tcW w:w="3539" w:type="dxa"/>
            <w:vMerge/>
            <w:tcBorders>
              <w:left w:val="single" w:sz="4" w:space="0" w:color="000000"/>
              <w:right w:val="single" w:sz="13" w:space="0" w:color="D2D2D2"/>
            </w:tcBorders>
          </w:tcPr>
          <w:p>
            <w:pPr/>
          </w:p>
        </w:tc>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vMerge/>
            <w:tcBorders>
              <w:left w:val="single" w:sz="10" w:space="0" w:color="D2D2D2"/>
              <w:right w:val="single" w:sz="4" w:space="0" w:color="000000"/>
            </w:tcBorders>
          </w:tcPr>
          <w:p>
            <w:pPr/>
          </w:p>
        </w:tc>
      </w:tr>
      <w:tr>
        <w:trPr>
          <w:trHeight w:val="142" w:hRule="exact"/>
        </w:trPr>
        <w:tc>
          <w:tcPr>
            <w:tcW w:w="3539" w:type="dxa"/>
            <w:vMerge/>
            <w:tcBorders>
              <w:left w:val="single" w:sz="4" w:space="0" w:color="000000"/>
              <w:bottom w:val="single" w:sz="4" w:space="0" w:color="000000"/>
              <w:right w:val="single" w:sz="13" w:space="0" w:color="D2D2D2"/>
            </w:tcBorders>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0" w:space="0" w:color="D2D2D2"/>
              <w:bottom w:val="single" w:sz="4" w:space="0" w:color="000000"/>
              <w:right w:val="single" w:sz="4" w:space="0" w:color="000000"/>
            </w:tcBorders>
          </w:tcPr>
          <w:p>
            <w:pPr/>
          </w:p>
        </w:tc>
      </w:tr>
      <w:tr>
        <w:trPr>
          <w:trHeight w:val="142" w:hRule="exact"/>
        </w:trPr>
        <w:tc>
          <w:tcPr>
            <w:tcW w:w="3539" w:type="dxa"/>
            <w:vMerge w:val="restart"/>
            <w:tcBorders>
              <w:top w:val="single" w:sz="4" w:space="0" w:color="000000"/>
              <w:left w:val="single" w:sz="4" w:space="0" w:color="000000"/>
              <w:right w:val="single" w:sz="13" w:space="0" w:color="D2D2D2"/>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灾备中心</w:t>
            </w: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0" w:space="0" w:color="D2D2D2"/>
              <w:right w:val="single" w:sz="4" w:space="0" w:color="000000"/>
            </w:tcBorders>
          </w:tcPr>
          <w:p>
            <w:pPr>
              <w:pStyle w:val="TableParagraph"/>
              <w:spacing w:line="239" w:lineRule="exact"/>
              <w:ind w:left="27" w:right="0"/>
              <w:jc w:val="left"/>
              <w:rPr>
                <w:rFonts w:ascii="宋体" w:hAnsi="宋体" w:cs="宋体" w:eastAsia="宋体" w:hint="default"/>
                <w:sz w:val="21"/>
                <w:szCs w:val="21"/>
              </w:rPr>
            </w:pPr>
            <w:r>
              <w:rPr>
                <w:rFonts w:ascii="宋体" w:hAnsi="宋体" w:cs="宋体" w:eastAsia="宋体" w:hint="default"/>
                <w:w w:val="100"/>
                <w:sz w:val="21"/>
                <w:szCs w:val="21"/>
              </w:rPr>
              <w:t>是数</w:t>
            </w:r>
            <w:r>
              <w:rPr>
                <w:rFonts w:ascii="宋体" w:hAnsi="宋体" w:cs="宋体" w:eastAsia="宋体" w:hint="default"/>
                <w:spacing w:val="-3"/>
                <w:w w:val="100"/>
                <w:sz w:val="21"/>
                <w:szCs w:val="21"/>
              </w:rPr>
              <w:t>据</w:t>
            </w:r>
            <w:r>
              <w:rPr>
                <w:rFonts w:ascii="宋体" w:hAnsi="宋体" w:cs="宋体" w:eastAsia="宋体" w:hint="default"/>
                <w:w w:val="100"/>
                <w:sz w:val="21"/>
                <w:szCs w:val="21"/>
              </w:rPr>
              <w:t>中</w:t>
            </w:r>
            <w:r>
              <w:rPr>
                <w:rFonts w:ascii="宋体" w:hAnsi="宋体" w:cs="宋体" w:eastAsia="宋体" w:hint="default"/>
                <w:spacing w:val="-3"/>
                <w:w w:val="100"/>
                <w:sz w:val="21"/>
                <w:szCs w:val="21"/>
              </w:rPr>
              <w:t>心</w:t>
            </w:r>
            <w:r>
              <w:rPr>
                <w:rFonts w:ascii="宋体" w:hAnsi="宋体" w:cs="宋体" w:eastAsia="宋体" w:hint="default"/>
                <w:w w:val="100"/>
                <w:sz w:val="21"/>
                <w:szCs w:val="21"/>
              </w:rPr>
              <w:t>的</w:t>
            </w:r>
            <w:r>
              <w:rPr>
                <w:rFonts w:ascii="宋体" w:hAnsi="宋体" w:cs="宋体" w:eastAsia="宋体" w:hint="default"/>
                <w:spacing w:val="-3"/>
                <w:w w:val="100"/>
                <w:sz w:val="21"/>
                <w:szCs w:val="21"/>
              </w:rPr>
              <w:t>一种</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主</w:t>
            </w:r>
            <w:r>
              <w:rPr>
                <w:rFonts w:ascii="宋体" w:hAnsi="宋体" w:cs="宋体" w:eastAsia="宋体" w:hint="default"/>
                <w:spacing w:val="-3"/>
                <w:w w:val="100"/>
                <w:sz w:val="21"/>
                <w:szCs w:val="21"/>
              </w:rPr>
              <w:t>要</w:t>
            </w:r>
            <w:r>
              <w:rPr>
                <w:rFonts w:ascii="宋体" w:hAnsi="宋体" w:cs="宋体" w:eastAsia="宋体" w:hint="default"/>
                <w:w w:val="100"/>
                <w:sz w:val="21"/>
                <w:szCs w:val="21"/>
              </w:rPr>
              <w:t>目的</w:t>
            </w:r>
            <w:r>
              <w:rPr>
                <w:rFonts w:ascii="宋体" w:hAnsi="宋体" w:cs="宋体" w:eastAsia="宋体" w:hint="default"/>
                <w:spacing w:val="-3"/>
                <w:w w:val="100"/>
                <w:sz w:val="21"/>
                <w:szCs w:val="21"/>
              </w:rPr>
              <w:t>功</w:t>
            </w:r>
            <w:r>
              <w:rPr>
                <w:rFonts w:ascii="宋体" w:hAnsi="宋体" w:cs="宋体" w:eastAsia="宋体" w:hint="default"/>
                <w:w w:val="100"/>
                <w:sz w:val="21"/>
                <w:szCs w:val="21"/>
              </w:rPr>
              <w:t>能</w:t>
            </w:r>
            <w:r>
              <w:rPr>
                <w:rFonts w:ascii="宋体" w:hAnsi="宋体" w:cs="宋体" w:eastAsia="宋体" w:hint="default"/>
                <w:spacing w:val="-3"/>
                <w:w w:val="100"/>
                <w:sz w:val="21"/>
                <w:szCs w:val="21"/>
              </w:rPr>
              <w:t>灾</w:t>
            </w:r>
            <w:r>
              <w:rPr>
                <w:rFonts w:ascii="宋体" w:hAnsi="宋体" w:cs="宋体" w:eastAsia="宋体" w:hint="default"/>
                <w:w w:val="100"/>
                <w:sz w:val="21"/>
                <w:szCs w:val="21"/>
              </w:rPr>
              <w:t>难</w:t>
            </w:r>
            <w:r>
              <w:rPr>
                <w:rFonts w:ascii="宋体" w:hAnsi="宋体" w:cs="宋体" w:eastAsia="宋体" w:hint="default"/>
                <w:spacing w:val="-3"/>
                <w:w w:val="100"/>
                <w:sz w:val="21"/>
                <w:szCs w:val="21"/>
              </w:rPr>
              <w:t>事</w:t>
            </w:r>
            <w:r>
              <w:rPr>
                <w:rFonts w:ascii="宋体" w:hAnsi="宋体" w:cs="宋体" w:eastAsia="宋体" w:hint="default"/>
                <w:w w:val="100"/>
                <w:sz w:val="21"/>
                <w:szCs w:val="21"/>
              </w:rPr>
              <w:t>件</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时</w:t>
            </w:r>
            <w:r>
              <w:rPr>
                <w:rFonts w:ascii="宋体" w:hAnsi="宋体" w:cs="宋体" w:eastAsia="宋体" w:hint="default"/>
                <w:w w:val="100"/>
                <w:sz w:val="21"/>
                <w:szCs w:val="21"/>
              </w:rPr>
              <w:t>及时恢</w:t>
            </w:r>
          </w:p>
          <w:p>
            <w:pPr>
              <w:pStyle w:val="TableParagraph"/>
              <w:spacing w:line="273" w:lineRule="exact"/>
              <w:ind w:left="27" w:right="0"/>
              <w:jc w:val="left"/>
              <w:rPr>
                <w:rFonts w:ascii="宋体" w:hAnsi="宋体" w:cs="宋体" w:eastAsia="宋体" w:hint="default"/>
                <w:sz w:val="21"/>
                <w:szCs w:val="21"/>
              </w:rPr>
            </w:pPr>
            <w:r>
              <w:rPr>
                <w:rFonts w:ascii="宋体" w:hAnsi="宋体" w:cs="宋体" w:eastAsia="宋体" w:hint="default"/>
                <w:sz w:val="21"/>
                <w:szCs w:val="21"/>
              </w:rPr>
              <w:t>复数据，保障业务连续性，减少损失</w:t>
            </w:r>
          </w:p>
        </w:tc>
      </w:tr>
      <w:tr>
        <w:trPr>
          <w:trHeight w:val="271" w:hRule="exact"/>
        </w:trPr>
        <w:tc>
          <w:tcPr>
            <w:tcW w:w="3539" w:type="dxa"/>
            <w:vMerge/>
            <w:tcBorders>
              <w:left w:val="single" w:sz="4" w:space="0" w:color="000000"/>
              <w:right w:val="single" w:sz="13" w:space="0" w:color="D2D2D2"/>
            </w:tcBorders>
          </w:tcPr>
          <w:p>
            <w:pPr/>
          </w:p>
        </w:tc>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vMerge/>
            <w:tcBorders>
              <w:left w:val="single" w:sz="10" w:space="0" w:color="D2D2D2"/>
              <w:right w:val="single" w:sz="4" w:space="0" w:color="000000"/>
            </w:tcBorders>
          </w:tcPr>
          <w:p>
            <w:pPr/>
          </w:p>
        </w:tc>
      </w:tr>
      <w:tr>
        <w:trPr>
          <w:trHeight w:val="142" w:hRule="exact"/>
        </w:trPr>
        <w:tc>
          <w:tcPr>
            <w:tcW w:w="3539" w:type="dxa"/>
            <w:vMerge/>
            <w:tcBorders>
              <w:left w:val="single" w:sz="4" w:space="0" w:color="000000"/>
              <w:bottom w:val="single" w:sz="4" w:space="0" w:color="000000"/>
              <w:right w:val="single" w:sz="13" w:space="0" w:color="D2D2D2"/>
            </w:tcBorders>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0" w:space="0" w:color="D2D2D2"/>
              <w:bottom w:val="single" w:sz="4" w:space="0" w:color="000000"/>
              <w:right w:val="single" w:sz="4" w:space="0" w:color="000000"/>
            </w:tcBorders>
          </w:tcPr>
          <w:p>
            <w:pPr/>
          </w:p>
        </w:tc>
      </w:tr>
    </w:tbl>
    <w:p>
      <w:pPr>
        <w:spacing w:after="0"/>
        <w:sectPr>
          <w:headerReference w:type="default" r:id="rId10"/>
          <w:pgSz w:w="11910" w:h="16840"/>
          <w:pgMar w:header="566" w:footer="979" w:top="1360" w:bottom="1160" w:left="980" w:right="980"/>
        </w:sectPr>
      </w:pPr>
    </w:p>
    <w:p>
      <w:pPr>
        <w:pStyle w:val="Heading1"/>
        <w:spacing w:line="240" w:lineRule="auto" w:before="67"/>
        <w:ind w:left="3145" w:right="0"/>
        <w:jc w:val="left"/>
        <w:rPr>
          <w:b w:val="0"/>
          <w:bCs w:val="0"/>
        </w:rPr>
      </w:pPr>
      <w:bookmarkStart w:name="_bookmark1" w:id="2"/>
      <w:bookmarkEnd w:id="2"/>
      <w:r>
        <w:rPr>
          <w:b w:val="0"/>
          <w:bCs w:val="0"/>
        </w:rPr>
      </w:r>
      <w:r>
        <w:rPr/>
        <w:t>第二节</w:t>
      </w:r>
      <w:r>
        <w:rPr>
          <w:spacing w:val="-3"/>
        </w:rPr>
        <w:t> </w:t>
      </w:r>
      <w:r>
        <w:rPr/>
        <w:t>公司基本情况简介</w:t>
      </w:r>
      <w:r>
        <w:rPr>
          <w:b w:val="0"/>
          <w:bCs w:val="0"/>
        </w:rPr>
      </w:r>
    </w:p>
    <w:p>
      <w:pPr>
        <w:spacing w:line="240" w:lineRule="auto" w:before="11"/>
        <w:rPr>
          <w:rFonts w:ascii="宋体" w:hAnsi="宋体" w:cs="宋体" w:eastAsia="宋体" w:hint="default"/>
          <w:b/>
          <w:bCs/>
          <w:sz w:val="29"/>
          <w:szCs w:val="29"/>
        </w:rPr>
      </w:pPr>
    </w:p>
    <w:p>
      <w:pPr>
        <w:pStyle w:val="Heading4"/>
        <w:spacing w:line="240" w:lineRule="auto" w:before="26"/>
        <w:ind w:left="172" w:right="0"/>
        <w:jc w:val="left"/>
        <w:rPr>
          <w:b w:val="0"/>
          <w:bCs w:val="0"/>
        </w:rPr>
      </w:pPr>
      <w:r>
        <w:rPr/>
        <w:t>一、公司信息</w:t>
      </w:r>
      <w:r>
        <w:rPr>
          <w:b w:val="0"/>
          <w:bCs w:val="0"/>
        </w:rPr>
      </w:r>
    </w:p>
    <w:p>
      <w:pPr>
        <w:spacing w:line="240" w:lineRule="auto" w:before="2"/>
        <w:rPr>
          <w:rFonts w:ascii="宋体" w:hAnsi="宋体" w:cs="宋体" w:eastAsia="宋体" w:hint="default"/>
          <w:b/>
          <w:bCs/>
          <w:sz w:val="18"/>
          <w:szCs w:val="18"/>
        </w:rPr>
      </w:pPr>
    </w:p>
    <w:tbl>
      <w:tblPr>
        <w:tblW w:w="0" w:type="auto"/>
        <w:jc w:val="left"/>
        <w:tblInd w:w="202" w:type="dxa"/>
        <w:tblLayout w:type="fixed"/>
        <w:tblCellMar>
          <w:top w:w="0" w:type="dxa"/>
          <w:left w:w="0" w:type="dxa"/>
          <w:bottom w:w="0" w:type="dxa"/>
          <w:right w:w="0" w:type="dxa"/>
        </w:tblCellMar>
        <w:tblLook w:val="01E0"/>
      </w:tblPr>
      <w:tblGrid>
        <w:gridCol w:w="2919"/>
        <w:gridCol w:w="2328"/>
        <w:gridCol w:w="2134"/>
        <w:gridCol w:w="2188"/>
      </w:tblGrid>
      <w:tr>
        <w:trPr>
          <w:trHeight w:val="282"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8" w:type="dxa"/>
            <w:tcBorders>
              <w:top w:val="single" w:sz="4" w:space="0" w:color="000000"/>
              <w:left w:val="single" w:sz="9" w:space="0" w:color="D2D2D2"/>
              <w:bottom w:val="single" w:sz="4" w:space="0" w:color="000000"/>
              <w:right w:val="single" w:sz="14" w:space="0" w:color="D2D2D2"/>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荣科科技</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sz w:val="21"/>
              </w:rPr>
              <w:t>300290</w:t>
            </w:r>
          </w:p>
        </w:tc>
      </w:tr>
      <w:tr>
        <w:trPr>
          <w:trHeight w:val="282"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荣科科技股份有限公司</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荣科科技</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sz w:val="21"/>
              </w:rPr>
              <w:t>Bringspring Science and Technology</w:t>
            </w:r>
            <w:r>
              <w:rPr>
                <w:rFonts w:ascii="宋体"/>
                <w:spacing w:val="-6"/>
                <w:sz w:val="21"/>
              </w:rPr>
              <w:t> </w:t>
            </w:r>
            <w:r>
              <w:rPr>
                <w:rFonts w:ascii="宋体"/>
                <w:sz w:val="21"/>
              </w:rPr>
              <w:t>Co.,Ltd.</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sz w:val="21"/>
              </w:rPr>
              <w:t>Bringspring tech</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付永全</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沈阳市和平区和平北大街</w:t>
            </w:r>
            <w:r>
              <w:rPr>
                <w:rFonts w:ascii="宋体" w:hAnsi="宋体" w:cs="宋体" w:eastAsia="宋体" w:hint="default"/>
                <w:spacing w:val="-55"/>
                <w:sz w:val="21"/>
                <w:szCs w:val="21"/>
              </w:rPr>
              <w:t> </w:t>
            </w:r>
            <w:r>
              <w:rPr>
                <w:rFonts w:ascii="宋体" w:hAnsi="宋体" w:cs="宋体" w:eastAsia="宋体" w:hint="default"/>
                <w:sz w:val="21"/>
                <w:szCs w:val="21"/>
              </w:rPr>
              <w:t>62</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sz w:val="21"/>
              </w:rPr>
              <w:t>110002</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沈阳市和平区和平北大街</w:t>
            </w:r>
            <w:r>
              <w:rPr>
                <w:rFonts w:ascii="宋体" w:hAnsi="宋体" w:cs="宋体" w:eastAsia="宋体" w:hint="default"/>
                <w:spacing w:val="-55"/>
                <w:sz w:val="21"/>
                <w:szCs w:val="21"/>
              </w:rPr>
              <w:t> </w:t>
            </w:r>
            <w:r>
              <w:rPr>
                <w:rFonts w:ascii="宋体" w:hAnsi="宋体" w:cs="宋体" w:eastAsia="宋体" w:hint="default"/>
                <w:sz w:val="21"/>
                <w:szCs w:val="21"/>
              </w:rPr>
              <w:t>62</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sz w:val="21"/>
              </w:rPr>
              <w:t>110002</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hyperlink r:id="rId11">
              <w:r>
                <w:rPr>
                  <w:rFonts w:ascii="宋体"/>
                  <w:sz w:val="21"/>
                </w:rPr>
                <w:t>http://www.bringspring.com</w:t>
              </w:r>
            </w:hyperlink>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3" w:lineRule="exact"/>
              <w:ind w:left="28" w:right="0"/>
              <w:jc w:val="left"/>
              <w:rPr>
                <w:rFonts w:ascii="宋体" w:hAnsi="宋体" w:cs="宋体" w:eastAsia="宋体" w:hint="default"/>
                <w:sz w:val="21"/>
                <w:szCs w:val="21"/>
              </w:rPr>
            </w:pPr>
            <w:hyperlink r:id="rId12">
              <w:r>
                <w:rPr>
                  <w:rFonts w:ascii="宋体"/>
                  <w:sz w:val="21"/>
                </w:rPr>
                <w:t>zqtz@bringspring.com</w:t>
              </w:r>
            </w:hyperlink>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华普天健会计师事务所（北京）有限公司</w:t>
            </w:r>
          </w:p>
        </w:tc>
      </w:tr>
      <w:tr>
        <w:trPr>
          <w:trHeight w:val="554"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北京市西城区西直门南大街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2105</w:t>
            </w:r>
          </w:p>
        </w:tc>
      </w:tr>
    </w:tbl>
    <w:p>
      <w:pPr>
        <w:spacing w:line="240" w:lineRule="auto" w:before="4"/>
        <w:rPr>
          <w:rFonts w:ascii="宋体" w:hAnsi="宋体" w:cs="宋体" w:eastAsia="宋体" w:hint="default"/>
          <w:b/>
          <w:bCs/>
          <w:sz w:val="10"/>
          <w:szCs w:val="10"/>
        </w:rPr>
      </w:pPr>
    </w:p>
    <w:p>
      <w:pPr>
        <w:pStyle w:val="Heading4"/>
        <w:spacing w:line="240" w:lineRule="auto" w:before="26"/>
        <w:ind w:left="172" w:right="0"/>
        <w:jc w:val="left"/>
        <w:rPr>
          <w:b w:val="0"/>
          <w:bCs w:val="0"/>
        </w:rPr>
      </w:pPr>
      <w:r>
        <w:rPr/>
        <w:t>二、联系人和联系方式</w:t>
      </w:r>
      <w:r>
        <w:rPr>
          <w:b w:val="0"/>
          <w:bCs w:val="0"/>
        </w:rPr>
      </w:r>
    </w:p>
    <w:p>
      <w:pPr>
        <w:spacing w:line="240" w:lineRule="auto" w:before="13"/>
        <w:rPr>
          <w:rFonts w:ascii="宋体" w:hAnsi="宋体" w:cs="宋体" w:eastAsia="宋体" w:hint="default"/>
          <w:b/>
          <w:bCs/>
          <w:sz w:val="17"/>
          <w:szCs w:val="17"/>
        </w:rPr>
      </w:pPr>
    </w:p>
    <w:tbl>
      <w:tblPr>
        <w:tblW w:w="0" w:type="auto"/>
        <w:jc w:val="left"/>
        <w:tblInd w:w="213" w:type="dxa"/>
        <w:tblLayout w:type="fixed"/>
        <w:tblCellMar>
          <w:top w:w="0" w:type="dxa"/>
          <w:left w:w="0" w:type="dxa"/>
          <w:bottom w:w="0" w:type="dxa"/>
          <w:right w:w="0" w:type="dxa"/>
        </w:tblCellMar>
        <w:tblLook w:val="01E0"/>
      </w:tblPr>
      <w:tblGrid>
        <w:gridCol w:w="3168"/>
        <w:gridCol w:w="3201"/>
        <w:gridCol w:w="3190"/>
      </w:tblGrid>
      <w:tr>
        <w:trPr>
          <w:trHeight w:val="28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1076"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冯丽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徐蓉蓉</w:t>
            </w:r>
          </w:p>
        </w:tc>
      </w:tr>
      <w:tr>
        <w:trPr>
          <w:trHeight w:val="28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沈阳市和平区和平北大街</w:t>
            </w:r>
            <w:r>
              <w:rPr>
                <w:rFonts w:ascii="宋体" w:hAnsi="宋体" w:cs="宋体" w:eastAsia="宋体" w:hint="default"/>
                <w:spacing w:val="-55"/>
                <w:sz w:val="21"/>
                <w:szCs w:val="21"/>
              </w:rPr>
              <w:t> </w:t>
            </w:r>
            <w:r>
              <w:rPr>
                <w:rFonts w:ascii="宋体" w:hAnsi="宋体" w:cs="宋体" w:eastAsia="宋体" w:hint="default"/>
                <w:sz w:val="21"/>
                <w:szCs w:val="21"/>
              </w:rPr>
              <w:t>62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沈阳市和平区和平北大街</w:t>
            </w:r>
            <w:r>
              <w:rPr>
                <w:rFonts w:ascii="宋体" w:hAnsi="宋体" w:cs="宋体" w:eastAsia="宋体" w:hint="default"/>
                <w:spacing w:val="-55"/>
                <w:sz w:val="21"/>
                <w:szCs w:val="21"/>
              </w:rPr>
              <w:t> </w:t>
            </w:r>
            <w:r>
              <w:rPr>
                <w:rFonts w:ascii="宋体" w:hAnsi="宋体" w:cs="宋体" w:eastAsia="宋体" w:hint="default"/>
                <w:sz w:val="21"/>
                <w:szCs w:val="21"/>
              </w:rPr>
              <w:t>62</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28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024</w:t>
            </w:r>
            <w:r>
              <w:rPr>
                <w:rFonts w:ascii="宋体" w:hAnsi="宋体" w:cs="宋体" w:eastAsia="宋体" w:hint="default"/>
                <w:sz w:val="21"/>
                <w:szCs w:val="21"/>
              </w:rPr>
              <w:t>－</w:t>
            </w:r>
            <w:r>
              <w:rPr>
                <w:rFonts w:ascii="宋体" w:hAnsi="宋体" w:cs="宋体" w:eastAsia="宋体" w:hint="default"/>
                <w:sz w:val="21"/>
                <w:szCs w:val="21"/>
              </w:rPr>
              <w:t>86901698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024</w:t>
            </w:r>
            <w:r>
              <w:rPr>
                <w:rFonts w:ascii="宋体" w:hAnsi="宋体" w:cs="宋体" w:eastAsia="宋体" w:hint="default"/>
                <w:sz w:val="21"/>
                <w:szCs w:val="21"/>
              </w:rPr>
              <w:t>－</w:t>
            </w:r>
            <w:r>
              <w:rPr>
                <w:rFonts w:ascii="宋体" w:hAnsi="宋体" w:cs="宋体" w:eastAsia="宋体" w:hint="default"/>
                <w:sz w:val="21"/>
                <w:szCs w:val="21"/>
              </w:rPr>
              <w:t>22851050</w:t>
            </w:r>
          </w:p>
        </w:tc>
      </w:tr>
      <w:tr>
        <w:trPr>
          <w:trHeight w:val="28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024</w:t>
            </w:r>
            <w:r>
              <w:rPr>
                <w:rFonts w:ascii="宋体" w:hAnsi="宋体" w:cs="宋体" w:eastAsia="宋体" w:hint="default"/>
                <w:sz w:val="21"/>
                <w:szCs w:val="21"/>
              </w:rPr>
              <w:t>－</w:t>
            </w:r>
            <w:r>
              <w:rPr>
                <w:rFonts w:ascii="宋体" w:hAnsi="宋体" w:cs="宋体" w:eastAsia="宋体" w:hint="default"/>
                <w:sz w:val="21"/>
                <w:szCs w:val="21"/>
              </w:rPr>
              <w:t>86907731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024</w:t>
            </w:r>
            <w:r>
              <w:rPr>
                <w:rFonts w:ascii="宋体" w:hAnsi="宋体" w:cs="宋体" w:eastAsia="宋体" w:hint="default"/>
                <w:sz w:val="21"/>
                <w:szCs w:val="21"/>
              </w:rPr>
              <w:t>－</w:t>
            </w:r>
            <w:r>
              <w:rPr>
                <w:rFonts w:ascii="宋体" w:hAnsi="宋体" w:cs="宋体" w:eastAsia="宋体" w:hint="default"/>
                <w:sz w:val="21"/>
                <w:szCs w:val="21"/>
              </w:rPr>
              <w:t>86907731</w:t>
            </w:r>
          </w:p>
        </w:tc>
      </w:tr>
      <w:tr>
        <w:trPr>
          <w:trHeight w:val="28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2">
              <w:r>
                <w:rPr>
                  <w:rFonts w:ascii="宋体"/>
                  <w:sz w:val="21"/>
                </w:rPr>
                <w:t>zqtz@bringspring.com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2">
              <w:r>
                <w:rPr>
                  <w:rFonts w:ascii="宋体"/>
                  <w:sz w:val="21"/>
                </w:rPr>
                <w:t>zqtz@bringspring.com</w:t>
              </w:r>
            </w:hyperlink>
          </w:p>
        </w:tc>
      </w:tr>
    </w:tbl>
    <w:p>
      <w:pPr>
        <w:spacing w:line="240" w:lineRule="auto" w:before="4"/>
        <w:rPr>
          <w:rFonts w:ascii="宋体" w:hAnsi="宋体" w:cs="宋体" w:eastAsia="宋体" w:hint="default"/>
          <w:b/>
          <w:bCs/>
          <w:sz w:val="10"/>
          <w:szCs w:val="10"/>
        </w:rPr>
      </w:pPr>
    </w:p>
    <w:p>
      <w:pPr>
        <w:pStyle w:val="Heading4"/>
        <w:spacing w:line="240" w:lineRule="auto" w:before="26"/>
        <w:ind w:left="172" w:right="0"/>
        <w:jc w:val="left"/>
        <w:rPr>
          <w:b w:val="0"/>
          <w:bCs w:val="0"/>
        </w:rPr>
      </w:pPr>
      <w:r>
        <w:rPr/>
        <w:t>三、信息披露及备置地点</w:t>
      </w:r>
      <w:r>
        <w:rPr>
          <w:b w:val="0"/>
          <w:bCs w:val="0"/>
        </w:rPr>
      </w:r>
    </w:p>
    <w:p>
      <w:pPr>
        <w:spacing w:line="240" w:lineRule="auto" w:before="2"/>
        <w:rPr>
          <w:rFonts w:ascii="宋体" w:hAnsi="宋体" w:cs="宋体" w:eastAsia="宋体" w:hint="default"/>
          <w:b/>
          <w:bCs/>
          <w:sz w:val="18"/>
          <w:szCs w:val="18"/>
        </w:rPr>
      </w:pPr>
    </w:p>
    <w:tbl>
      <w:tblPr>
        <w:tblW w:w="0" w:type="auto"/>
        <w:jc w:val="left"/>
        <w:tblInd w:w="182" w:type="dxa"/>
        <w:tblLayout w:type="fixed"/>
        <w:tblCellMar>
          <w:top w:w="0" w:type="dxa"/>
          <w:left w:w="0" w:type="dxa"/>
          <w:bottom w:w="0" w:type="dxa"/>
          <w:right w:w="0" w:type="dxa"/>
        </w:tblCellMar>
        <w:tblLook w:val="01E0"/>
      </w:tblPr>
      <w:tblGrid>
        <w:gridCol w:w="4085"/>
        <w:gridCol w:w="5527"/>
      </w:tblGrid>
      <w:tr>
        <w:trPr>
          <w:trHeight w:val="282"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527"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日报</w:t>
            </w:r>
            <w:r>
              <w:rPr>
                <w:rFonts w:ascii="宋体" w:hAnsi="宋体" w:cs="宋体" w:eastAsia="宋体" w:hint="default"/>
                <w:w w:val="100"/>
                <w:sz w:val="21"/>
                <w:szCs w:val="21"/>
              </w:rPr>
              <w:t>》</w:t>
            </w:r>
          </w:p>
        </w:tc>
      </w:tr>
      <w:tr>
        <w:trPr>
          <w:trHeight w:val="282"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527" w:type="dxa"/>
            <w:tcBorders>
              <w:top w:val="single" w:sz="4" w:space="0" w:color="000000"/>
              <w:left w:val="single" w:sz="12" w:space="0" w:color="D2D2D2"/>
              <w:bottom w:val="single" w:sz="4" w:space="0" w:color="000000"/>
              <w:right w:val="single" w:sz="4" w:space="0" w:color="000000"/>
            </w:tcBorders>
          </w:tcPr>
          <w:p>
            <w:pPr>
              <w:pStyle w:val="TableParagraph"/>
              <w:spacing w:line="242" w:lineRule="exact"/>
              <w:ind w:left="129" w:right="0"/>
              <w:jc w:val="left"/>
              <w:rPr>
                <w:rFonts w:ascii="宋体" w:hAnsi="宋体" w:cs="宋体" w:eastAsia="宋体" w:hint="default"/>
                <w:sz w:val="21"/>
                <w:szCs w:val="21"/>
              </w:rPr>
            </w:pPr>
            <w:hyperlink r:id="rId13">
              <w:r>
                <w:rPr>
                  <w:rFonts w:ascii="宋体"/>
                  <w:sz w:val="21"/>
                </w:rPr>
                <w:t>http://www.cninfo.com.cn</w:t>
              </w:r>
            </w:hyperlink>
          </w:p>
        </w:tc>
      </w:tr>
      <w:tr>
        <w:trPr>
          <w:trHeight w:val="28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527"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公司证券投资部</w:t>
            </w:r>
          </w:p>
        </w:tc>
      </w:tr>
    </w:tbl>
    <w:p>
      <w:pPr>
        <w:spacing w:line="240" w:lineRule="auto" w:before="5"/>
        <w:rPr>
          <w:rFonts w:ascii="宋体" w:hAnsi="宋体" w:cs="宋体" w:eastAsia="宋体" w:hint="default"/>
          <w:b/>
          <w:bCs/>
          <w:sz w:val="10"/>
          <w:szCs w:val="10"/>
        </w:rPr>
      </w:pPr>
    </w:p>
    <w:p>
      <w:pPr>
        <w:pStyle w:val="Heading4"/>
        <w:spacing w:line="240" w:lineRule="auto" w:before="26"/>
        <w:ind w:left="172" w:right="0"/>
        <w:jc w:val="left"/>
        <w:rPr>
          <w:b w:val="0"/>
          <w:bCs w:val="0"/>
        </w:rPr>
      </w:pPr>
      <w:r>
        <w:rPr/>
        <w:t>四、公司历史沿革</w:t>
      </w:r>
      <w:r>
        <w:rPr>
          <w:b w:val="0"/>
          <w:bCs w:val="0"/>
        </w:rPr>
      </w:r>
    </w:p>
    <w:p>
      <w:pPr>
        <w:spacing w:line="240" w:lineRule="auto" w:before="13"/>
        <w:rPr>
          <w:rFonts w:ascii="宋体" w:hAnsi="宋体" w:cs="宋体" w:eastAsia="宋体" w:hint="default"/>
          <w:b/>
          <w:bCs/>
          <w:sz w:val="17"/>
          <w:szCs w:val="17"/>
        </w:rPr>
      </w:pPr>
    </w:p>
    <w:tbl>
      <w:tblPr>
        <w:tblW w:w="0" w:type="auto"/>
        <w:jc w:val="left"/>
        <w:tblInd w:w="112" w:type="dxa"/>
        <w:tblLayout w:type="fixed"/>
        <w:tblCellMar>
          <w:top w:w="0" w:type="dxa"/>
          <w:left w:w="0" w:type="dxa"/>
          <w:bottom w:w="0" w:type="dxa"/>
          <w:right w:w="0" w:type="dxa"/>
        </w:tblCellMar>
        <w:tblLook w:val="01E0"/>
      </w:tblPr>
      <w:tblGrid>
        <w:gridCol w:w="1599"/>
        <w:gridCol w:w="1861"/>
        <w:gridCol w:w="1560"/>
        <w:gridCol w:w="1700"/>
        <w:gridCol w:w="1702"/>
        <w:gridCol w:w="1327"/>
      </w:tblGrid>
      <w:tr>
        <w:trPr>
          <w:trHeight w:val="142"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企业法人营业执</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照注册号</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4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注册登记日期</w:t>
            </w: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09"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1" w:type="dxa"/>
            <w:vMerge w:val="restart"/>
            <w:tcBorders>
              <w:top w:val="single" w:sz="58" w:space="0" w:color="D2D2D2"/>
              <w:left w:val="single" w:sz="10" w:space="0" w:color="D2D2D2"/>
              <w:right w:val="single" w:sz="4" w:space="0" w:color="000000"/>
            </w:tcBorders>
          </w:tcPr>
          <w:p>
            <w:pPr>
              <w:pStyle w:val="TableParagraph"/>
              <w:spacing w:line="240" w:lineRule="auto" w:before="102"/>
              <w:ind w:left="16"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vMerge w:val="restart"/>
            <w:tcBorders>
              <w:top w:val="single" w:sz="58" w:space="0" w:color="D2D2D2"/>
              <w:left w:val="single" w:sz="4" w:space="0" w:color="000000"/>
              <w:right w:val="single" w:sz="10" w:space="0" w:color="D2D2D2"/>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沈阳市皇姑区北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陵大街</w:t>
            </w:r>
            <w:r>
              <w:rPr>
                <w:rFonts w:ascii="宋体" w:hAnsi="宋体" w:cs="宋体" w:eastAsia="宋体" w:hint="default"/>
                <w:spacing w:val="-52"/>
                <w:sz w:val="21"/>
                <w:szCs w:val="21"/>
              </w:rPr>
              <w:t> </w:t>
            </w:r>
            <w:r>
              <w:rPr>
                <w:rFonts w:ascii="宋体" w:hAnsi="宋体" w:cs="宋体" w:eastAsia="宋体" w:hint="default"/>
                <w:sz w:val="21"/>
                <w:szCs w:val="21"/>
              </w:rPr>
              <w:t>32</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700" w:type="dxa"/>
            <w:vMerge w:val="restart"/>
            <w:tcBorders>
              <w:top w:val="single" w:sz="4" w:space="0" w:color="000000"/>
              <w:left w:val="single" w:sz="10" w:space="0" w:color="D2D2D2"/>
              <w:right w:val="single" w:sz="10" w:space="0" w:color="D2D2D2"/>
            </w:tcBorders>
          </w:tcPr>
          <w:p>
            <w:pPr>
              <w:pStyle w:val="TableParagraph"/>
              <w:spacing w:line="240" w:lineRule="auto" w:before="170"/>
              <w:ind w:left="16" w:right="0"/>
              <w:jc w:val="left"/>
              <w:rPr>
                <w:rFonts w:ascii="宋体" w:hAnsi="宋体" w:cs="宋体" w:eastAsia="宋体" w:hint="default"/>
                <w:sz w:val="21"/>
                <w:szCs w:val="21"/>
              </w:rPr>
            </w:pPr>
            <w:r>
              <w:rPr>
                <w:rFonts w:ascii="宋体"/>
                <w:sz w:val="21"/>
              </w:rPr>
              <w:t>2101052102543</w:t>
            </w:r>
          </w:p>
        </w:tc>
        <w:tc>
          <w:tcPr>
            <w:tcW w:w="1702" w:type="dxa"/>
            <w:vMerge w:val="restart"/>
            <w:tcBorders>
              <w:top w:val="single" w:sz="58" w:space="0" w:color="D2D2D2"/>
              <w:left w:val="single" w:sz="10" w:space="0" w:color="D2D2D2"/>
              <w:right w:val="single" w:sz="4" w:space="0" w:color="000000"/>
            </w:tcBorders>
          </w:tcPr>
          <w:p>
            <w:pPr>
              <w:pStyle w:val="TableParagraph"/>
              <w:spacing w:line="240" w:lineRule="auto" w:before="102"/>
              <w:ind w:left="16" w:right="0"/>
              <w:jc w:val="left"/>
              <w:rPr>
                <w:rFonts w:ascii="宋体" w:hAnsi="宋体" w:cs="宋体" w:eastAsia="宋体" w:hint="default"/>
                <w:sz w:val="21"/>
                <w:szCs w:val="21"/>
              </w:rPr>
            </w:pPr>
            <w:r>
              <w:rPr>
                <w:rFonts w:ascii="宋体"/>
                <w:sz w:val="21"/>
              </w:rPr>
              <w:t>21010578008104X</w:t>
            </w:r>
          </w:p>
        </w:tc>
        <w:tc>
          <w:tcPr>
            <w:tcW w:w="1327" w:type="dxa"/>
            <w:vMerge w:val="restart"/>
            <w:tcBorders>
              <w:top w:val="single" w:sz="58" w:space="0" w:color="D2D2D2"/>
              <w:left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78008104-X</w:t>
            </w:r>
          </w:p>
        </w:tc>
      </w:tr>
      <w:tr>
        <w:trPr>
          <w:trHeight w:val="413"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861" w:type="dxa"/>
            <w:vMerge/>
            <w:tcBorders>
              <w:left w:val="single" w:sz="10"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10" w:space="0" w:color="D2D2D2"/>
            </w:tcBorders>
          </w:tcPr>
          <w:p>
            <w:pPr/>
          </w:p>
        </w:tc>
        <w:tc>
          <w:tcPr>
            <w:tcW w:w="1700" w:type="dxa"/>
            <w:vMerge/>
            <w:tcBorders>
              <w:left w:val="single" w:sz="10" w:space="0" w:color="D2D2D2"/>
              <w:bottom w:val="single" w:sz="4" w:space="0" w:color="000000"/>
              <w:right w:val="single" w:sz="10" w:space="0" w:color="D2D2D2"/>
            </w:tcBorders>
          </w:tcPr>
          <w:p>
            <w:pPr/>
          </w:p>
        </w:tc>
        <w:tc>
          <w:tcPr>
            <w:tcW w:w="1702" w:type="dxa"/>
            <w:vMerge/>
            <w:tcBorders>
              <w:left w:val="single" w:sz="10" w:space="0" w:color="D2D2D2"/>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r>
      <w:tr>
        <w:trPr>
          <w:trHeight w:val="828" w:hRule="exact"/>
        </w:trPr>
        <w:tc>
          <w:tcPr>
            <w:tcW w:w="1599" w:type="dxa"/>
            <w:tcBorders>
              <w:top w:val="single" w:sz="58" w:space="0" w:color="D2D2D2"/>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报告期内，由于</w:t>
            </w:r>
          </w:p>
          <w:p>
            <w:pPr>
              <w:pStyle w:val="TableParagraph"/>
              <w:spacing w:line="240" w:lineRule="auto"/>
              <w:ind w:left="26" w:right="87"/>
              <w:jc w:val="left"/>
              <w:rPr>
                <w:rFonts w:ascii="宋体" w:hAnsi="宋体" w:cs="宋体" w:eastAsia="宋体" w:hint="default"/>
                <w:sz w:val="21"/>
                <w:szCs w:val="21"/>
              </w:rPr>
            </w:pPr>
            <w:r>
              <w:rPr>
                <w:rFonts w:ascii="宋体" w:hAnsi="宋体" w:cs="宋体" w:eastAsia="宋体" w:hint="default"/>
                <w:sz w:val="21"/>
                <w:szCs w:val="21"/>
              </w:rPr>
              <w:t>公开发行股票增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加注册资本</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50"/>
              <w:jc w:val="left"/>
              <w:rPr>
                <w:rFonts w:ascii="宋体" w:hAnsi="宋体" w:cs="宋体" w:eastAsia="宋体" w:hint="default"/>
                <w:sz w:val="21"/>
                <w:szCs w:val="21"/>
              </w:rPr>
            </w:pPr>
            <w:r>
              <w:rPr>
                <w:rFonts w:ascii="宋体" w:hAnsi="宋体" w:cs="宋体" w:eastAsia="宋体" w:hint="default"/>
                <w:sz w:val="21"/>
                <w:szCs w:val="21"/>
              </w:rPr>
              <w:t>沈阳市和平区和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平北大街</w:t>
            </w:r>
            <w:r>
              <w:rPr>
                <w:rFonts w:ascii="宋体" w:hAnsi="宋体" w:cs="宋体" w:eastAsia="宋体" w:hint="default"/>
                <w:spacing w:val="-53"/>
                <w:sz w:val="21"/>
                <w:szCs w:val="21"/>
              </w:rPr>
              <w:t> </w:t>
            </w:r>
            <w:r>
              <w:rPr>
                <w:rFonts w:ascii="宋体" w:hAnsi="宋体" w:cs="宋体" w:eastAsia="宋体" w:hint="default"/>
                <w:sz w:val="21"/>
                <w:szCs w:val="21"/>
              </w:rPr>
              <w:t>62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210100000047160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65"/>
              <w:jc w:val="center"/>
              <w:rPr>
                <w:rFonts w:ascii="宋体" w:hAnsi="宋体" w:cs="宋体" w:eastAsia="宋体" w:hint="default"/>
                <w:sz w:val="21"/>
                <w:szCs w:val="21"/>
              </w:rPr>
            </w:pPr>
            <w:r>
              <w:rPr>
                <w:rFonts w:ascii="宋体"/>
                <w:sz w:val="21"/>
              </w:rPr>
              <w:t>21010578008104X</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78008104-X</w:t>
            </w:r>
          </w:p>
        </w:tc>
      </w:tr>
    </w:tbl>
    <w:p>
      <w:pPr>
        <w:spacing w:after="0" w:line="240" w:lineRule="auto"/>
        <w:jc w:val="left"/>
        <w:rPr>
          <w:rFonts w:ascii="宋体" w:hAnsi="宋体" w:cs="宋体" w:eastAsia="宋体" w:hint="default"/>
          <w:sz w:val="21"/>
          <w:szCs w:val="21"/>
        </w:rPr>
        <w:sectPr>
          <w:pgSz w:w="11910" w:h="16840"/>
          <w:pgMar w:header="566" w:footer="979" w:top="1360" w:bottom="1160" w:left="960" w:right="960"/>
        </w:sectPr>
      </w:pPr>
    </w:p>
    <w:p>
      <w:pPr>
        <w:pStyle w:val="Heading1"/>
        <w:spacing w:line="240" w:lineRule="auto" w:before="67"/>
        <w:ind w:left="2642" w:right="142"/>
        <w:jc w:val="left"/>
        <w:rPr>
          <w:b w:val="0"/>
          <w:bCs w:val="0"/>
        </w:rPr>
      </w:pPr>
      <w:r>
        <w:rPr/>
        <w:pict>
          <v:shape style="position:absolute;margin-left:182.807999pt;margin-top:373.774994pt;width:93.25pt;height:14.15pt;mso-position-horizontal-relative:page;mso-position-vertical-relative:page;z-index:-649696" type="#_x0000_t202" filled="false" stroked="false">
            <v:textbox inset="0,0,0,0">
              <w:txbxContent>
                <w:p>
                  <w:pPr>
                    <w:pStyle w:val="BodyText"/>
                    <w:spacing w:line="211" w:lineRule="exact"/>
                    <w:ind w:left="0" w:right="0"/>
                    <w:jc w:val="left"/>
                  </w:pPr>
                  <w:r>
                    <w:rPr>
                      <w:w w:val="100"/>
                    </w:rPr>
                    <w:t>）</w:t>
                  </w:r>
                </w:p>
              </w:txbxContent>
            </v:textbox>
            <w10:wrap type="none"/>
          </v:shape>
        </w:pict>
      </w: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11"/>
        <w:rPr>
          <w:rFonts w:ascii="宋体" w:hAnsi="宋体" w:cs="宋体" w:eastAsia="宋体" w:hint="default"/>
          <w:b/>
          <w:bCs/>
          <w:sz w:val="31"/>
          <w:szCs w:val="31"/>
        </w:rPr>
      </w:pPr>
    </w:p>
    <w:p>
      <w:pPr>
        <w:pStyle w:val="Heading4"/>
        <w:spacing w:line="240" w:lineRule="auto"/>
        <w:ind w:right="142"/>
        <w:jc w:val="left"/>
        <w:rPr>
          <w:b w:val="0"/>
          <w:bCs w:val="0"/>
        </w:rPr>
      </w:pPr>
      <w:r>
        <w:rPr/>
        <w:t>一、主要会计数据和财务指标</w:t>
      </w:r>
      <w:r>
        <w:rPr>
          <w:b w:val="0"/>
          <w:bCs w:val="0"/>
        </w:rPr>
      </w:r>
    </w:p>
    <w:p>
      <w:pPr>
        <w:pStyle w:val="BodyText"/>
        <w:spacing w:line="273" w:lineRule="exact" w:before="203"/>
        <w:ind w:left="573" w:right="142"/>
        <w:jc w:val="left"/>
      </w:pPr>
      <w:r>
        <w:rPr/>
        <w:t>公司是否因会计政策变更及会计差错更正等追溯调整或重述以前年度会计数据</w:t>
      </w:r>
    </w:p>
    <w:p>
      <w:pPr>
        <w:pStyle w:val="BodyText"/>
        <w:spacing w:line="475" w:lineRule="auto"/>
        <w:ind w:right="8302" w:firstLine="420"/>
        <w:jc w:val="left"/>
      </w:pPr>
      <w:r>
        <w:rPr/>
        <w:pict>
          <v:shape style="position:absolute;margin-left:58.080002pt;margin-top:48.623646pt;width:479.3pt;height:373.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9"/>
                    <w:gridCol w:w="136"/>
                    <w:gridCol w:w="1604"/>
                    <w:gridCol w:w="1738"/>
                    <w:gridCol w:w="1738"/>
                    <w:gridCol w:w="1735"/>
                  </w:tblGrid>
                  <w:tr>
                    <w:trPr>
                      <w:trHeight w:val="142"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4" w:right="0"/>
                          <w:jc w:val="center"/>
                          <w:rPr>
                            <w:rFonts w:ascii="宋体" w:hAnsi="宋体" w:cs="宋体" w:eastAsia="宋体" w:hint="default"/>
                            <w:sz w:val="21"/>
                            <w:szCs w:val="21"/>
                          </w:rPr>
                        </w:pPr>
                        <w:r>
                          <w:rPr>
                            <w:rFonts w:ascii="宋体"/>
                            <w:sz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1"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
                    </w:tc>
                    <w:tc>
                      <w:tcPr>
                        <w:tcW w:w="174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42"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80"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gridSpan w:val="2"/>
                        <w:vMerge w:val="restart"/>
                        <w:tcBorders>
                          <w:top w:val="single" w:sz="4" w:space="0" w:color="000000"/>
                          <w:left w:val="single" w:sz="10" w:space="0" w:color="D2D2D2"/>
                          <w:right w:val="single" w:sz="4" w:space="0" w:color="000000"/>
                        </w:tcBorders>
                      </w:tcPr>
                      <w:p>
                        <w:pPr>
                          <w:pStyle w:val="TableParagraph"/>
                          <w:spacing w:line="240" w:lineRule="auto" w:before="141"/>
                          <w:ind w:left="124" w:right="0"/>
                          <w:jc w:val="left"/>
                          <w:rPr>
                            <w:rFonts w:ascii="宋体" w:hAnsi="宋体" w:cs="宋体" w:eastAsia="宋体" w:hint="default"/>
                            <w:sz w:val="21"/>
                            <w:szCs w:val="21"/>
                          </w:rPr>
                        </w:pPr>
                        <w:r>
                          <w:rPr>
                            <w:rFonts w:ascii="宋体"/>
                            <w:sz w:val="21"/>
                          </w:rPr>
                          <w:t>334,734,262.56</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129" w:right="0"/>
                          <w:jc w:val="left"/>
                          <w:rPr>
                            <w:rFonts w:ascii="宋体" w:hAnsi="宋体" w:cs="宋体" w:eastAsia="宋体" w:hint="default"/>
                            <w:sz w:val="21"/>
                            <w:szCs w:val="21"/>
                          </w:rPr>
                        </w:pPr>
                        <w:r>
                          <w:rPr>
                            <w:rFonts w:ascii="宋体"/>
                            <w:sz w:val="21"/>
                          </w:rPr>
                          <w:t>243,898,174.93</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549" w:right="0"/>
                          <w:jc w:val="left"/>
                          <w:rPr>
                            <w:rFonts w:ascii="宋体" w:hAnsi="宋体" w:cs="宋体" w:eastAsia="宋体" w:hint="default"/>
                            <w:sz w:val="21"/>
                            <w:szCs w:val="21"/>
                          </w:rPr>
                        </w:pPr>
                        <w:r>
                          <w:rPr>
                            <w:rFonts w:ascii="宋体"/>
                            <w:sz w:val="21"/>
                          </w:rPr>
                          <w:t>37.24%</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sz w:val="21"/>
                          </w:rPr>
                          <w:t>161,898,012.44</w:t>
                        </w:r>
                      </w:p>
                    </w:tc>
                  </w:tr>
                  <w:tr>
                    <w:trPr>
                      <w:trHeight w:val="274"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40" w:type="dxa"/>
                        <w:gridSpan w:val="2"/>
                        <w:vMerge/>
                        <w:tcBorders>
                          <w:left w:val="single" w:sz="10" w:space="0" w:color="D2D2D2"/>
                          <w:right w:val="single" w:sz="4" w:space="0" w:color="000000"/>
                        </w:tcBorders>
                      </w:tcPr>
                      <w:p>
                        <w:pPr/>
                      </w:p>
                    </w:tc>
                    <w:tc>
                      <w:tcPr>
                        <w:tcW w:w="173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80"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gridSpan w:val="2"/>
                        <w:vMerge/>
                        <w:tcBorders>
                          <w:left w:val="single" w:sz="10" w:space="0" w:color="D2D2D2"/>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180"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gridSpan w:val="2"/>
                        <w:vMerge w:val="restart"/>
                        <w:tcBorders>
                          <w:top w:val="single" w:sz="4" w:space="0" w:color="000000"/>
                          <w:left w:val="single" w:sz="10" w:space="0" w:color="D2D2D2"/>
                          <w:right w:val="single" w:sz="4" w:space="0" w:color="000000"/>
                        </w:tcBorders>
                      </w:tcPr>
                      <w:p>
                        <w:pPr>
                          <w:pStyle w:val="TableParagraph"/>
                          <w:spacing w:line="240" w:lineRule="auto" w:before="141"/>
                          <w:ind w:left="177" w:right="0"/>
                          <w:jc w:val="left"/>
                          <w:rPr>
                            <w:rFonts w:ascii="宋体" w:hAnsi="宋体" w:cs="宋体" w:eastAsia="宋体" w:hint="default"/>
                            <w:sz w:val="21"/>
                            <w:szCs w:val="21"/>
                          </w:rPr>
                        </w:pPr>
                        <w:r>
                          <w:rPr>
                            <w:rFonts w:ascii="宋体"/>
                            <w:sz w:val="21"/>
                          </w:rPr>
                          <w:t>53,038,778.19</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182" w:right="0"/>
                          <w:jc w:val="left"/>
                          <w:rPr>
                            <w:rFonts w:ascii="宋体" w:hAnsi="宋体" w:cs="宋体" w:eastAsia="宋体" w:hint="default"/>
                            <w:sz w:val="21"/>
                            <w:szCs w:val="21"/>
                          </w:rPr>
                        </w:pPr>
                        <w:r>
                          <w:rPr>
                            <w:rFonts w:ascii="宋体"/>
                            <w:sz w:val="21"/>
                          </w:rPr>
                          <w:t>45,868,465.06</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549" w:right="0"/>
                          <w:jc w:val="left"/>
                          <w:rPr>
                            <w:rFonts w:ascii="宋体" w:hAnsi="宋体" w:cs="宋体" w:eastAsia="宋体" w:hint="default"/>
                            <w:sz w:val="21"/>
                            <w:szCs w:val="21"/>
                          </w:rPr>
                        </w:pPr>
                        <w:r>
                          <w:rPr>
                            <w:rFonts w:ascii="宋体"/>
                            <w:sz w:val="21"/>
                          </w:rPr>
                          <w:t>15.63%</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41"/>
                          <w:ind w:left="180" w:right="0"/>
                          <w:jc w:val="left"/>
                          <w:rPr>
                            <w:rFonts w:ascii="宋体" w:hAnsi="宋体" w:cs="宋体" w:eastAsia="宋体" w:hint="default"/>
                            <w:sz w:val="21"/>
                            <w:szCs w:val="21"/>
                          </w:rPr>
                        </w:pPr>
                        <w:r>
                          <w:rPr>
                            <w:rFonts w:ascii="宋体"/>
                            <w:sz w:val="21"/>
                          </w:rPr>
                          <w:t>38,154,580.94</w:t>
                        </w:r>
                      </w:p>
                    </w:tc>
                  </w:tr>
                  <w:tr>
                    <w:trPr>
                      <w:trHeight w:val="274"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40" w:type="dxa"/>
                        <w:gridSpan w:val="2"/>
                        <w:vMerge/>
                        <w:tcBorders>
                          <w:left w:val="single" w:sz="10" w:space="0" w:color="D2D2D2"/>
                          <w:right w:val="single" w:sz="4" w:space="0" w:color="000000"/>
                        </w:tcBorders>
                      </w:tcPr>
                      <w:p>
                        <w:pPr/>
                      </w:p>
                    </w:tc>
                    <w:tc>
                      <w:tcPr>
                        <w:tcW w:w="173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80"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gridSpan w:val="2"/>
                        <w:vMerge/>
                        <w:tcBorders>
                          <w:left w:val="single" w:sz="10" w:space="0" w:color="D2D2D2"/>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182"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gridSpan w:val="2"/>
                        <w:vMerge w:val="restart"/>
                        <w:tcBorders>
                          <w:top w:val="single" w:sz="4" w:space="0" w:color="000000"/>
                          <w:left w:val="single" w:sz="10" w:space="0" w:color="D2D2D2"/>
                          <w:right w:val="single" w:sz="4" w:space="0" w:color="000000"/>
                        </w:tcBorders>
                      </w:tcPr>
                      <w:p>
                        <w:pPr>
                          <w:pStyle w:val="TableParagraph"/>
                          <w:spacing w:line="240" w:lineRule="auto" w:before="143"/>
                          <w:ind w:left="177" w:right="0"/>
                          <w:jc w:val="left"/>
                          <w:rPr>
                            <w:rFonts w:ascii="宋体" w:hAnsi="宋体" w:cs="宋体" w:eastAsia="宋体" w:hint="default"/>
                            <w:sz w:val="21"/>
                            <w:szCs w:val="21"/>
                          </w:rPr>
                        </w:pPr>
                        <w:r>
                          <w:rPr>
                            <w:rFonts w:ascii="宋体"/>
                            <w:sz w:val="21"/>
                          </w:rPr>
                          <w:t>59,239,790.56</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3"/>
                          <w:ind w:left="182" w:right="0"/>
                          <w:jc w:val="left"/>
                          <w:rPr>
                            <w:rFonts w:ascii="宋体" w:hAnsi="宋体" w:cs="宋体" w:eastAsia="宋体" w:hint="default"/>
                            <w:sz w:val="21"/>
                            <w:szCs w:val="21"/>
                          </w:rPr>
                        </w:pPr>
                        <w:r>
                          <w:rPr>
                            <w:rFonts w:ascii="宋体"/>
                            <w:sz w:val="21"/>
                          </w:rPr>
                          <w:t>53,514,652.42</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3"/>
                          <w:ind w:left="549" w:right="0"/>
                          <w:jc w:val="left"/>
                          <w:rPr>
                            <w:rFonts w:ascii="宋体" w:hAnsi="宋体" w:cs="宋体" w:eastAsia="宋体" w:hint="default"/>
                            <w:sz w:val="21"/>
                            <w:szCs w:val="21"/>
                          </w:rPr>
                        </w:pPr>
                        <w:r>
                          <w:rPr>
                            <w:rFonts w:ascii="宋体"/>
                            <w:sz w:val="21"/>
                          </w:rPr>
                          <w:t>10.70%</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43"/>
                          <w:ind w:left="180" w:right="0"/>
                          <w:jc w:val="left"/>
                          <w:rPr>
                            <w:rFonts w:ascii="宋体" w:hAnsi="宋体" w:cs="宋体" w:eastAsia="宋体" w:hint="default"/>
                            <w:sz w:val="21"/>
                            <w:szCs w:val="21"/>
                          </w:rPr>
                        </w:pPr>
                        <w:r>
                          <w:rPr>
                            <w:rFonts w:ascii="宋体"/>
                            <w:sz w:val="21"/>
                          </w:rPr>
                          <w:t>40,314,412.78</w:t>
                        </w:r>
                      </w:p>
                    </w:tc>
                  </w:tr>
                  <w:tr>
                    <w:trPr>
                      <w:trHeight w:val="271"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40" w:type="dxa"/>
                        <w:gridSpan w:val="2"/>
                        <w:vMerge/>
                        <w:tcBorders>
                          <w:left w:val="single" w:sz="10" w:space="0" w:color="D2D2D2"/>
                          <w:right w:val="single" w:sz="4" w:space="0" w:color="000000"/>
                        </w:tcBorders>
                      </w:tcPr>
                      <w:p>
                        <w:pPr/>
                      </w:p>
                    </w:tc>
                    <w:tc>
                      <w:tcPr>
                        <w:tcW w:w="173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80"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gridSpan w:val="2"/>
                        <w:vMerge/>
                        <w:tcBorders>
                          <w:left w:val="single" w:sz="10" w:space="0" w:color="D2D2D2"/>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634"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24"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4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3"/>
                          <w:ind w:left="177" w:right="0"/>
                          <w:jc w:val="left"/>
                          <w:rPr>
                            <w:rFonts w:ascii="宋体" w:hAnsi="宋体" w:cs="宋体" w:eastAsia="宋体" w:hint="default"/>
                            <w:sz w:val="21"/>
                            <w:szCs w:val="21"/>
                          </w:rPr>
                        </w:pPr>
                        <w:r>
                          <w:rPr>
                            <w:rFonts w:ascii="宋体"/>
                            <w:sz w:val="21"/>
                          </w:rPr>
                          <w:t>49,862,341.25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44,869,022.63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9" w:right="0"/>
                          <w:jc w:val="left"/>
                          <w:rPr>
                            <w:rFonts w:ascii="宋体" w:hAnsi="宋体" w:cs="宋体" w:eastAsia="宋体" w:hint="default"/>
                            <w:sz w:val="21"/>
                            <w:szCs w:val="21"/>
                          </w:rPr>
                        </w:pPr>
                        <w:r>
                          <w:rPr>
                            <w:rFonts w:ascii="宋体"/>
                            <w:sz w:val="21"/>
                          </w:rPr>
                          <w:t>11.13%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35,292,031.42</w:t>
                        </w:r>
                      </w:p>
                    </w:tc>
                  </w:tr>
                  <w:tr>
                    <w:trPr>
                      <w:trHeight w:val="636" w:hRule="exact"/>
                    </w:trPr>
                    <w:tc>
                      <w:tcPr>
                        <w:tcW w:w="2619"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6"/>
                          <w:ind w:left="24" w:right="47"/>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r>
                          <w:rPr>
                            <w:rFonts w:ascii="宋体" w:hAnsi="宋体" w:cs="宋体" w:eastAsia="宋体" w:hint="default"/>
                            <w:w w:val="100"/>
                            <w:sz w:val="21"/>
                            <w:szCs w:val="21"/>
                          </w:rPr>
                          <w:t> </w:t>
                        </w:r>
                        <w:r>
                          <w:rPr>
                            <w:rFonts w:ascii="宋体" w:hAnsi="宋体" w:cs="宋体" w:eastAsia="宋体" w:hint="default"/>
                            <w:spacing w:val="-7"/>
                            <w:sz w:val="21"/>
                            <w:szCs w:val="21"/>
                          </w:rPr>
                          <w:t>非经常性损益的净利润（元</w:t>
                        </w:r>
                      </w:p>
                    </w:tc>
                    <w:tc>
                      <w:tcPr>
                        <w:tcW w:w="136" w:type="dxa"/>
                        <w:tcBorders>
                          <w:top w:val="single" w:sz="4" w:space="0" w:color="000000"/>
                          <w:left w:val="single" w:sz="14" w:space="0" w:color="FFFFFF"/>
                          <w:bottom w:val="single" w:sz="4" w:space="0" w:color="000000"/>
                          <w:right w:val="nil" w:sz="6" w:space="0" w:color="auto"/>
                        </w:tcBorders>
                      </w:tcPr>
                      <w:p>
                        <w:pPr/>
                      </w:p>
                    </w:tc>
                    <w:tc>
                      <w:tcPr>
                        <w:tcW w:w="1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54" w:right="0"/>
                          <w:jc w:val="left"/>
                          <w:rPr>
                            <w:rFonts w:ascii="宋体" w:hAnsi="宋体" w:cs="宋体" w:eastAsia="宋体" w:hint="default"/>
                            <w:sz w:val="21"/>
                            <w:szCs w:val="21"/>
                          </w:rPr>
                        </w:pPr>
                        <w:r>
                          <w:rPr>
                            <w:rFonts w:ascii="宋体"/>
                            <w:sz w:val="21"/>
                          </w:rPr>
                          <w:t>45,122,553.86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38,161,781.43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9" w:right="0"/>
                          <w:jc w:val="left"/>
                          <w:rPr>
                            <w:rFonts w:ascii="宋体" w:hAnsi="宋体" w:cs="宋体" w:eastAsia="宋体" w:hint="default"/>
                            <w:sz w:val="21"/>
                            <w:szCs w:val="21"/>
                          </w:rPr>
                        </w:pPr>
                        <w:r>
                          <w:rPr>
                            <w:rFonts w:ascii="宋体"/>
                            <w:sz w:val="21"/>
                          </w:rPr>
                          <w:t>18.24%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32,358,646.13</w:t>
                        </w:r>
                      </w:p>
                    </w:tc>
                  </w:tr>
                  <w:tr>
                    <w:trPr>
                      <w:trHeight w:val="634"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6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4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1"/>
                          <w:ind w:left="177" w:right="0"/>
                          <w:jc w:val="left"/>
                          <w:rPr>
                            <w:rFonts w:ascii="宋体" w:hAnsi="宋体" w:cs="宋体" w:eastAsia="宋体" w:hint="default"/>
                            <w:sz w:val="21"/>
                            <w:szCs w:val="21"/>
                          </w:rPr>
                        </w:pPr>
                        <w:r>
                          <w:rPr>
                            <w:rFonts w:ascii="宋体"/>
                            <w:sz w:val="21"/>
                          </w:rPr>
                          <w:t>30,700,578.99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49,407,606.28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96" w:right="0"/>
                          <w:jc w:val="left"/>
                          <w:rPr>
                            <w:rFonts w:ascii="宋体" w:hAnsi="宋体" w:cs="宋体" w:eastAsia="宋体" w:hint="default"/>
                            <w:sz w:val="21"/>
                            <w:szCs w:val="21"/>
                          </w:rPr>
                        </w:pPr>
                        <w:r>
                          <w:rPr>
                            <w:rFonts w:ascii="宋体"/>
                            <w:sz w:val="21"/>
                          </w:rPr>
                          <w:t>-37.86%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40,822,944.65</w:t>
                        </w:r>
                      </w:p>
                    </w:tc>
                  </w:tr>
                  <w:tr>
                    <w:trPr>
                      <w:trHeight w:val="142"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本年末比</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上年末增减</w:t>
                        </w:r>
                        <w:r>
                          <w:rPr>
                            <w:rFonts w:ascii="宋体" w:hAnsi="宋体" w:cs="宋体" w:eastAsia="宋体" w:hint="default"/>
                            <w:sz w:val="21"/>
                            <w:szCs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1"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
                    </w:tc>
                    <w:tc>
                      <w:tcPr>
                        <w:tcW w:w="174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42"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80"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gridSpan w:val="2"/>
                        <w:vMerge w:val="restart"/>
                        <w:tcBorders>
                          <w:top w:val="single" w:sz="4" w:space="0" w:color="000000"/>
                          <w:left w:val="single" w:sz="10" w:space="0" w:color="D2D2D2"/>
                          <w:right w:val="single" w:sz="4" w:space="0" w:color="000000"/>
                        </w:tcBorders>
                      </w:tcPr>
                      <w:p>
                        <w:pPr>
                          <w:pStyle w:val="TableParagraph"/>
                          <w:spacing w:line="240" w:lineRule="auto" w:before="141"/>
                          <w:ind w:left="124" w:right="0"/>
                          <w:jc w:val="left"/>
                          <w:rPr>
                            <w:rFonts w:ascii="宋体" w:hAnsi="宋体" w:cs="宋体" w:eastAsia="宋体" w:hint="default"/>
                            <w:sz w:val="21"/>
                            <w:szCs w:val="21"/>
                          </w:rPr>
                        </w:pPr>
                        <w:r>
                          <w:rPr>
                            <w:rFonts w:ascii="宋体"/>
                            <w:sz w:val="21"/>
                          </w:rPr>
                          <w:t>507,253,746.40</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129" w:right="0"/>
                          <w:jc w:val="left"/>
                          <w:rPr>
                            <w:rFonts w:ascii="宋体" w:hAnsi="宋体" w:cs="宋体" w:eastAsia="宋体" w:hint="default"/>
                            <w:sz w:val="21"/>
                            <w:szCs w:val="21"/>
                          </w:rPr>
                        </w:pPr>
                        <w:r>
                          <w:rPr>
                            <w:rFonts w:ascii="宋体"/>
                            <w:sz w:val="21"/>
                          </w:rPr>
                          <w:t>242,757,729.24</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496" w:right="0"/>
                          <w:jc w:val="left"/>
                          <w:rPr>
                            <w:rFonts w:ascii="宋体" w:hAnsi="宋体" w:cs="宋体" w:eastAsia="宋体" w:hint="default"/>
                            <w:sz w:val="21"/>
                            <w:szCs w:val="21"/>
                          </w:rPr>
                        </w:pPr>
                        <w:r>
                          <w:rPr>
                            <w:rFonts w:ascii="宋体"/>
                            <w:sz w:val="21"/>
                          </w:rPr>
                          <w:t>108.95%</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sz w:val="21"/>
                          </w:rPr>
                          <w:t>166,251,582.28</w:t>
                        </w:r>
                      </w:p>
                    </w:tc>
                  </w:tr>
                  <w:tr>
                    <w:trPr>
                      <w:trHeight w:val="274"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40" w:type="dxa"/>
                        <w:gridSpan w:val="2"/>
                        <w:vMerge/>
                        <w:tcBorders>
                          <w:left w:val="single" w:sz="10" w:space="0" w:color="D2D2D2"/>
                          <w:right w:val="single" w:sz="4" w:space="0" w:color="000000"/>
                        </w:tcBorders>
                      </w:tcPr>
                      <w:p>
                        <w:pPr/>
                      </w:p>
                    </w:tc>
                    <w:tc>
                      <w:tcPr>
                        <w:tcW w:w="173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80"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gridSpan w:val="2"/>
                        <w:vMerge/>
                        <w:tcBorders>
                          <w:left w:val="single" w:sz="10" w:space="0" w:color="D2D2D2"/>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180"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gridSpan w:val="2"/>
                        <w:vMerge w:val="restart"/>
                        <w:tcBorders>
                          <w:top w:val="single" w:sz="4" w:space="0" w:color="000000"/>
                          <w:left w:val="single" w:sz="10" w:space="0" w:color="D2D2D2"/>
                          <w:right w:val="single" w:sz="4" w:space="0" w:color="000000"/>
                        </w:tcBorders>
                      </w:tcPr>
                      <w:p>
                        <w:pPr>
                          <w:pStyle w:val="TableParagraph"/>
                          <w:spacing w:line="240" w:lineRule="auto" w:before="141"/>
                          <w:ind w:left="124" w:right="0"/>
                          <w:jc w:val="left"/>
                          <w:rPr>
                            <w:rFonts w:ascii="宋体" w:hAnsi="宋体" w:cs="宋体" w:eastAsia="宋体" w:hint="default"/>
                            <w:sz w:val="21"/>
                            <w:szCs w:val="21"/>
                          </w:rPr>
                        </w:pPr>
                        <w:r>
                          <w:rPr>
                            <w:rFonts w:ascii="宋体"/>
                            <w:sz w:val="21"/>
                          </w:rPr>
                          <w:t>162,248,506.90</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182" w:right="0"/>
                          <w:jc w:val="left"/>
                          <w:rPr>
                            <w:rFonts w:ascii="宋体" w:hAnsi="宋体" w:cs="宋体" w:eastAsia="宋体" w:hint="default"/>
                            <w:sz w:val="21"/>
                            <w:szCs w:val="21"/>
                          </w:rPr>
                        </w:pPr>
                        <w:r>
                          <w:rPr>
                            <w:rFonts w:ascii="宋体"/>
                            <w:sz w:val="21"/>
                          </w:rPr>
                          <w:t>96,532,185.42</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549" w:right="0"/>
                          <w:jc w:val="left"/>
                          <w:rPr>
                            <w:rFonts w:ascii="宋体" w:hAnsi="宋体" w:cs="宋体" w:eastAsia="宋体" w:hint="default"/>
                            <w:sz w:val="21"/>
                            <w:szCs w:val="21"/>
                          </w:rPr>
                        </w:pPr>
                        <w:r>
                          <w:rPr>
                            <w:rFonts w:ascii="宋体"/>
                            <w:sz w:val="21"/>
                          </w:rPr>
                          <w:t>68.08%</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41"/>
                          <w:ind w:left="180" w:right="0"/>
                          <w:jc w:val="left"/>
                          <w:rPr>
                            <w:rFonts w:ascii="宋体" w:hAnsi="宋体" w:cs="宋体" w:eastAsia="宋体" w:hint="default"/>
                            <w:sz w:val="21"/>
                            <w:szCs w:val="21"/>
                          </w:rPr>
                        </w:pPr>
                        <w:r>
                          <w:rPr>
                            <w:rFonts w:ascii="宋体"/>
                            <w:sz w:val="21"/>
                          </w:rPr>
                          <w:t>64,875,939.38</w:t>
                        </w:r>
                      </w:p>
                    </w:tc>
                  </w:tr>
                  <w:tr>
                    <w:trPr>
                      <w:trHeight w:val="274"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40" w:type="dxa"/>
                        <w:gridSpan w:val="2"/>
                        <w:vMerge/>
                        <w:tcBorders>
                          <w:left w:val="single" w:sz="10" w:space="0" w:color="D2D2D2"/>
                          <w:right w:val="single" w:sz="4" w:space="0" w:color="000000"/>
                        </w:tcBorders>
                      </w:tcPr>
                      <w:p>
                        <w:pPr/>
                      </w:p>
                    </w:tc>
                    <w:tc>
                      <w:tcPr>
                        <w:tcW w:w="173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80"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gridSpan w:val="2"/>
                        <w:vMerge/>
                        <w:tcBorders>
                          <w:left w:val="single" w:sz="10" w:space="0" w:color="D2D2D2"/>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634"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24"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者权益（元）</w:t>
                        </w:r>
                      </w:p>
                    </w:tc>
                    <w:tc>
                      <w:tcPr>
                        <w:tcW w:w="174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3"/>
                          <w:ind w:left="124" w:right="0"/>
                          <w:jc w:val="left"/>
                          <w:rPr>
                            <w:rFonts w:ascii="宋体" w:hAnsi="宋体" w:cs="宋体" w:eastAsia="宋体" w:hint="default"/>
                            <w:sz w:val="21"/>
                            <w:szCs w:val="21"/>
                          </w:rPr>
                        </w:pPr>
                        <w:r>
                          <w:rPr>
                            <w:rFonts w:ascii="宋体"/>
                            <w:sz w:val="21"/>
                          </w:rPr>
                          <w:t>343,539,907.39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144,696,766.14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6" w:right="0"/>
                          <w:jc w:val="left"/>
                          <w:rPr>
                            <w:rFonts w:ascii="宋体" w:hAnsi="宋体" w:cs="宋体" w:eastAsia="宋体" w:hint="default"/>
                            <w:sz w:val="21"/>
                            <w:szCs w:val="21"/>
                          </w:rPr>
                        </w:pPr>
                        <w:r>
                          <w:rPr>
                            <w:rFonts w:ascii="宋体"/>
                            <w:sz w:val="21"/>
                          </w:rPr>
                          <w:t>137.42%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99,827,743.51</w:t>
                        </w:r>
                      </w:p>
                    </w:tc>
                  </w:tr>
                  <w:tr>
                    <w:trPr>
                      <w:trHeight w:val="637"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sz w:val="21"/>
                          </w:rPr>
                          <w:t>68,000,000.00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51,000,000.00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9" w:right="0"/>
                          <w:jc w:val="left"/>
                          <w:rPr>
                            <w:rFonts w:ascii="宋体" w:hAnsi="宋体" w:cs="宋体" w:eastAsia="宋体" w:hint="default"/>
                            <w:sz w:val="21"/>
                            <w:szCs w:val="21"/>
                          </w:rPr>
                        </w:pPr>
                        <w:r>
                          <w:rPr>
                            <w:rFonts w:ascii="宋体"/>
                            <w:sz w:val="21"/>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51,000,000.00</w:t>
                        </w:r>
                      </w:p>
                    </w:tc>
                  </w:tr>
                </w:tbl>
                <w:p>
                  <w:pPr/>
                </w:p>
              </w:txbxContent>
            </v:textbox>
            <w10:wrap type="none"/>
          </v:shape>
        </w:pict>
      </w:r>
      <w:r>
        <w:rPr/>
        <w:t>□是 √</w:t>
      </w:r>
      <w:r>
        <w:rPr>
          <w:spacing w:val="2"/>
        </w:rPr>
        <w:t> </w:t>
      </w:r>
      <w:r>
        <w:rPr/>
        <w:t>否</w:t>
      </w:r>
      <w:r>
        <w:rPr>
          <w:w w:val="100"/>
        </w:rPr>
        <w:t> </w:t>
      </w:r>
      <w:r>
        <w:rPr/>
        <w:t>主要会计数据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line="177" w:lineRule="exact"/>
        <w:ind w:left="2813" w:right="0" w:firstLine="0"/>
        <w:rPr>
          <w:rFonts w:ascii="宋体" w:hAnsi="宋体" w:cs="宋体" w:eastAsia="宋体" w:hint="default"/>
          <w:sz w:val="17"/>
          <w:szCs w:val="17"/>
        </w:rPr>
      </w:pPr>
      <w:r>
        <w:rPr>
          <w:rFonts w:ascii="宋体" w:hAnsi="宋体" w:cs="宋体" w:eastAsia="宋体" w:hint="default"/>
          <w:position w:val="-3"/>
          <w:sz w:val="17"/>
          <w:szCs w:val="17"/>
        </w:rPr>
        <w:pict>
          <v:group style="width:86.4pt;height:8.9pt;mso-position-horizontal-relative:char;mso-position-vertical-relative:line" coordorigin="0,0" coordsize="1728,178">
            <v:group style="position:absolute;left:0;top:0;width:1728;height:178" coordorigin="0,0" coordsize="1728,178">
              <v:shape style="position:absolute;left:0;top:0;width:1728;height:178" coordorigin="0,0" coordsize="1728,178" path="m0,178l1728,178,1728,0,0,0,0,178xe" filled="true" fillcolor="#ffffff" stroked="false">
                <v:path arrowok="t"/>
                <v:fill type="solid"/>
              </v:shape>
            </v:group>
          </v:group>
        </w:pict>
      </w:r>
      <w:r>
        <w:rPr>
          <w:rFonts w:ascii="宋体" w:hAnsi="宋体" w:cs="宋体" w:eastAsia="宋体" w:hint="default"/>
          <w:position w:val="-3"/>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right="142"/>
        <w:jc w:val="left"/>
      </w:pPr>
      <w:r>
        <w:rPr/>
        <w:t>主要财务指标</w:t>
      </w:r>
    </w:p>
    <w:p>
      <w:pPr>
        <w:spacing w:line="240" w:lineRule="auto" w:before="9"/>
        <w:rPr>
          <w:rFonts w:ascii="宋体" w:hAnsi="宋体" w:cs="宋体" w:eastAsia="宋体"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2627"/>
        <w:gridCol w:w="1735"/>
        <w:gridCol w:w="1738"/>
        <w:gridCol w:w="1736"/>
        <w:gridCol w:w="1735"/>
      </w:tblGrid>
      <w:tr>
        <w:trPr>
          <w:trHeight w:val="142" w:hRule="exact"/>
        </w:trPr>
        <w:tc>
          <w:tcPr>
            <w:tcW w:w="2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1" w:right="0"/>
              <w:jc w:val="center"/>
              <w:rPr>
                <w:rFonts w:ascii="宋体" w:hAnsi="宋体" w:cs="宋体" w:eastAsia="宋体" w:hint="default"/>
                <w:sz w:val="21"/>
                <w:szCs w:val="21"/>
              </w:rPr>
            </w:pPr>
            <w:r>
              <w:rPr>
                <w:rFonts w:ascii="宋体"/>
                <w:sz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1" w:hRule="exact"/>
        </w:trPr>
        <w:tc>
          <w:tcPr>
            <w:tcW w:w="2627" w:type="dxa"/>
            <w:tcBorders>
              <w:top w:val="nil" w:sz="6" w:space="0" w:color="auto"/>
              <w:left w:val="single" w:sz="4" w:space="0" w:color="000000"/>
              <w:bottom w:val="nil" w:sz="6" w:space="0" w:color="auto"/>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6"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42" w:hRule="exact"/>
        </w:trPr>
        <w:tc>
          <w:tcPr>
            <w:tcW w:w="2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80" w:hRule="exact"/>
        </w:trPr>
        <w:tc>
          <w:tcPr>
            <w:tcW w:w="2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5" w:type="dxa"/>
            <w:vMerge w:val="restart"/>
            <w:tcBorders>
              <w:top w:val="single" w:sz="4" w:space="0" w:color="000000"/>
              <w:left w:val="single" w:sz="10" w:space="0" w:color="D2D2D2"/>
              <w:right w:val="single" w:sz="4" w:space="0" w:color="000000"/>
            </w:tcBorders>
          </w:tcPr>
          <w:p>
            <w:pPr>
              <w:pStyle w:val="TableParagraph"/>
              <w:spacing w:line="240" w:lineRule="auto" w:before="141"/>
              <w:ind w:left="540" w:right="0"/>
              <w:jc w:val="left"/>
              <w:rPr>
                <w:rFonts w:ascii="宋体" w:hAnsi="宋体" w:cs="宋体" w:eastAsia="宋体" w:hint="default"/>
                <w:sz w:val="21"/>
                <w:szCs w:val="21"/>
              </w:rPr>
            </w:pPr>
            <w:r>
              <w:rPr>
                <w:rFonts w:ascii="宋体"/>
                <w:sz w:val="21"/>
              </w:rPr>
              <w:t>0.7652</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547" w:right="0"/>
              <w:jc w:val="left"/>
              <w:rPr>
                <w:rFonts w:ascii="宋体" w:hAnsi="宋体" w:cs="宋体" w:eastAsia="宋体" w:hint="default"/>
                <w:sz w:val="21"/>
                <w:szCs w:val="21"/>
              </w:rPr>
            </w:pPr>
            <w:r>
              <w:rPr>
                <w:rFonts w:ascii="宋体"/>
                <w:sz w:val="21"/>
              </w:rPr>
              <w:t>0.8798</w:t>
            </w:r>
          </w:p>
        </w:tc>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141"/>
              <w:ind w:left="496" w:right="0"/>
              <w:jc w:val="left"/>
              <w:rPr>
                <w:rFonts w:ascii="宋体" w:hAnsi="宋体" w:cs="宋体" w:eastAsia="宋体" w:hint="default"/>
                <w:sz w:val="21"/>
                <w:szCs w:val="21"/>
              </w:rPr>
            </w:pPr>
            <w:r>
              <w:rPr>
                <w:rFonts w:ascii="宋体"/>
                <w:sz w:val="21"/>
              </w:rPr>
              <w:t>-13.03%</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41"/>
              <w:ind w:left="547" w:right="0"/>
              <w:jc w:val="left"/>
              <w:rPr>
                <w:rFonts w:ascii="宋体" w:hAnsi="宋体" w:cs="宋体" w:eastAsia="宋体" w:hint="default"/>
                <w:sz w:val="21"/>
                <w:szCs w:val="21"/>
              </w:rPr>
            </w:pPr>
            <w:r>
              <w:rPr>
                <w:rFonts w:ascii="宋体"/>
                <w:sz w:val="21"/>
              </w:rPr>
              <w:t>0.7342</w:t>
            </w:r>
          </w:p>
        </w:tc>
      </w:tr>
      <w:tr>
        <w:trPr>
          <w:trHeight w:val="274" w:hRule="exact"/>
        </w:trPr>
        <w:tc>
          <w:tcPr>
            <w:tcW w:w="26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35" w:type="dxa"/>
            <w:vMerge/>
            <w:tcBorders>
              <w:left w:val="single" w:sz="10" w:space="0" w:color="D2D2D2"/>
              <w:right w:val="single" w:sz="4" w:space="0" w:color="000000"/>
            </w:tcBorders>
          </w:tcPr>
          <w:p>
            <w:pPr/>
          </w:p>
        </w:tc>
        <w:tc>
          <w:tcPr>
            <w:tcW w:w="1738" w:type="dxa"/>
            <w:vMerge/>
            <w:tcBorders>
              <w:left w:val="single" w:sz="4" w:space="0" w:color="000000"/>
              <w:right w:val="single" w:sz="4" w:space="0" w:color="000000"/>
            </w:tcBorders>
          </w:tcPr>
          <w:p>
            <w:pPr/>
          </w:p>
        </w:tc>
        <w:tc>
          <w:tcPr>
            <w:tcW w:w="1736"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80" w:hRule="exact"/>
        </w:trPr>
        <w:tc>
          <w:tcPr>
            <w:tcW w:w="2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5" w:type="dxa"/>
            <w:vMerge/>
            <w:tcBorders>
              <w:left w:val="single" w:sz="10" w:space="0" w:color="D2D2D2"/>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6"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180" w:hRule="exact"/>
        </w:trPr>
        <w:tc>
          <w:tcPr>
            <w:tcW w:w="2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5" w:type="dxa"/>
            <w:vMerge w:val="restart"/>
            <w:tcBorders>
              <w:top w:val="single" w:sz="4" w:space="0" w:color="000000"/>
              <w:left w:val="single" w:sz="10" w:space="0" w:color="D2D2D2"/>
              <w:right w:val="single" w:sz="4" w:space="0" w:color="000000"/>
            </w:tcBorders>
          </w:tcPr>
          <w:p>
            <w:pPr>
              <w:pStyle w:val="TableParagraph"/>
              <w:spacing w:line="240" w:lineRule="auto" w:before="141"/>
              <w:ind w:left="540" w:right="0"/>
              <w:jc w:val="left"/>
              <w:rPr>
                <w:rFonts w:ascii="宋体" w:hAnsi="宋体" w:cs="宋体" w:eastAsia="宋体" w:hint="default"/>
                <w:sz w:val="21"/>
                <w:szCs w:val="21"/>
              </w:rPr>
            </w:pPr>
            <w:r>
              <w:rPr>
                <w:rFonts w:ascii="宋体"/>
                <w:sz w:val="21"/>
              </w:rPr>
              <w:t>0.7652</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547" w:right="0"/>
              <w:jc w:val="left"/>
              <w:rPr>
                <w:rFonts w:ascii="宋体" w:hAnsi="宋体" w:cs="宋体" w:eastAsia="宋体" w:hint="default"/>
                <w:sz w:val="21"/>
                <w:szCs w:val="21"/>
              </w:rPr>
            </w:pPr>
            <w:r>
              <w:rPr>
                <w:rFonts w:ascii="宋体"/>
                <w:sz w:val="21"/>
              </w:rPr>
              <w:t>0.8798</w:t>
            </w:r>
          </w:p>
        </w:tc>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141"/>
              <w:ind w:left="496" w:right="0"/>
              <w:jc w:val="left"/>
              <w:rPr>
                <w:rFonts w:ascii="宋体" w:hAnsi="宋体" w:cs="宋体" w:eastAsia="宋体" w:hint="default"/>
                <w:sz w:val="21"/>
                <w:szCs w:val="21"/>
              </w:rPr>
            </w:pPr>
            <w:r>
              <w:rPr>
                <w:rFonts w:ascii="宋体"/>
                <w:sz w:val="21"/>
              </w:rPr>
              <w:t>-13.03%</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41"/>
              <w:ind w:left="547" w:right="0"/>
              <w:jc w:val="left"/>
              <w:rPr>
                <w:rFonts w:ascii="宋体" w:hAnsi="宋体" w:cs="宋体" w:eastAsia="宋体" w:hint="default"/>
                <w:sz w:val="21"/>
                <w:szCs w:val="21"/>
              </w:rPr>
            </w:pPr>
            <w:r>
              <w:rPr>
                <w:rFonts w:ascii="宋体"/>
                <w:sz w:val="21"/>
              </w:rPr>
              <w:t>0.7342</w:t>
            </w:r>
          </w:p>
        </w:tc>
      </w:tr>
      <w:tr>
        <w:trPr>
          <w:trHeight w:val="274" w:hRule="exact"/>
        </w:trPr>
        <w:tc>
          <w:tcPr>
            <w:tcW w:w="26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35" w:type="dxa"/>
            <w:vMerge/>
            <w:tcBorders>
              <w:left w:val="single" w:sz="10" w:space="0" w:color="D2D2D2"/>
              <w:right w:val="single" w:sz="4" w:space="0" w:color="000000"/>
            </w:tcBorders>
          </w:tcPr>
          <w:p>
            <w:pPr/>
          </w:p>
        </w:tc>
        <w:tc>
          <w:tcPr>
            <w:tcW w:w="1738" w:type="dxa"/>
            <w:vMerge/>
            <w:tcBorders>
              <w:left w:val="single" w:sz="4" w:space="0" w:color="000000"/>
              <w:right w:val="single" w:sz="4" w:space="0" w:color="000000"/>
            </w:tcBorders>
          </w:tcPr>
          <w:p>
            <w:pPr/>
          </w:p>
        </w:tc>
        <w:tc>
          <w:tcPr>
            <w:tcW w:w="1736"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80" w:hRule="exact"/>
        </w:trPr>
        <w:tc>
          <w:tcPr>
            <w:tcW w:w="2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5" w:type="dxa"/>
            <w:vMerge/>
            <w:tcBorders>
              <w:left w:val="single" w:sz="10" w:space="0" w:color="D2D2D2"/>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6"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634"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24" w:right="6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0.6924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0.7483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7" w:right="0"/>
              <w:jc w:val="left"/>
              <w:rPr>
                <w:rFonts w:ascii="宋体" w:hAnsi="宋体" w:cs="宋体" w:eastAsia="宋体" w:hint="default"/>
                <w:sz w:val="21"/>
                <w:szCs w:val="21"/>
              </w:rPr>
            </w:pPr>
            <w:r>
              <w:rPr>
                <w:rFonts w:ascii="宋体"/>
                <w:sz w:val="21"/>
              </w:rPr>
              <w:t>-7.47%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7" w:right="0"/>
              <w:jc w:val="left"/>
              <w:rPr>
                <w:rFonts w:ascii="宋体" w:hAnsi="宋体" w:cs="宋体" w:eastAsia="宋体" w:hint="default"/>
                <w:sz w:val="21"/>
                <w:szCs w:val="21"/>
              </w:rPr>
            </w:pPr>
            <w:r>
              <w:rPr>
                <w:rFonts w:ascii="宋体"/>
                <w:sz w:val="21"/>
              </w:rPr>
              <w:t>0.6732</w:t>
            </w:r>
          </w:p>
        </w:tc>
      </w:tr>
      <w:tr>
        <w:trPr>
          <w:trHeight w:val="636" w:hRule="exact"/>
        </w:trPr>
        <w:tc>
          <w:tcPr>
            <w:tcW w:w="26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43"/>
              <w:ind w:left="24" w:right="-46"/>
              <w:jc w:val="left"/>
              <w:rPr>
                <w:rFonts w:ascii="宋体" w:hAnsi="宋体" w:cs="宋体" w:eastAsia="宋体" w:hint="default"/>
                <w:sz w:val="21"/>
                <w:szCs w:val="21"/>
              </w:rPr>
            </w:pPr>
            <w:r>
              <w:rPr>
                <w:rFonts w:ascii="宋体" w:hAnsi="宋体" w:cs="宋体" w:eastAsia="宋体" w:hint="default"/>
                <w:spacing w:val="-2"/>
                <w:sz w:val="21"/>
                <w:szCs w:val="21"/>
              </w:rPr>
              <w:t>全面摊薄净资产收益率（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73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43"/>
              <w:ind w:right="7"/>
              <w:jc w:val="center"/>
              <w:rPr>
                <w:rFonts w:ascii="宋体" w:hAnsi="宋体" w:cs="宋体" w:eastAsia="宋体" w:hint="default"/>
                <w:sz w:val="21"/>
                <w:szCs w:val="21"/>
              </w:rPr>
            </w:pPr>
            <w:r>
              <w:rPr>
                <w:rFonts w:ascii="宋体"/>
                <w:sz w:val="21"/>
              </w:rPr>
              <w:t>14.51%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31.01%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758" w:right="74" w:hanging="682"/>
              <w:jc w:val="lef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4"/>
                <w:sz w:val="21"/>
                <w:szCs w:val="21"/>
              </w:rPr>
              <w:t> </w:t>
            </w:r>
            <w:r>
              <w:rPr>
                <w:rFonts w:ascii="宋体" w:hAnsi="宋体" w:cs="宋体" w:eastAsia="宋体" w:hint="default"/>
                <w:sz w:val="21"/>
                <w:szCs w:val="21"/>
              </w:rPr>
              <w:t>16.5</w:t>
            </w:r>
            <w:r>
              <w:rPr>
                <w:rFonts w:ascii="宋体" w:hAnsi="宋体" w:cs="宋体" w:eastAsia="宋体" w:hint="default"/>
                <w:spacing w:val="-56"/>
                <w:sz w:val="21"/>
                <w:szCs w:val="21"/>
              </w:rPr>
              <w:t> </w:t>
            </w:r>
            <w:r>
              <w:rPr>
                <w:rFonts w:ascii="宋体" w:hAnsi="宋体" w:cs="宋体" w:eastAsia="宋体" w:hint="default"/>
                <w:sz w:val="21"/>
                <w:szCs w:val="21"/>
              </w:rPr>
              <w:t>个百分</w:t>
            </w:r>
            <w:r>
              <w:rPr>
                <w:rFonts w:ascii="宋体" w:hAnsi="宋体" w:cs="宋体" w:eastAsia="宋体" w:hint="default"/>
                <w:spacing w:val="-3"/>
                <w:w w:val="100"/>
                <w:sz w:val="21"/>
                <w:szCs w:val="21"/>
              </w:rPr>
              <w:t> </w:t>
            </w:r>
            <w:r>
              <w:rPr>
                <w:rFonts w:ascii="宋体" w:hAnsi="宋体" w:cs="宋体" w:eastAsia="宋体" w:hint="default"/>
                <w:sz w:val="21"/>
                <w:szCs w:val="21"/>
              </w:rPr>
              <w:t>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7" w:right="0"/>
              <w:jc w:val="left"/>
              <w:rPr>
                <w:rFonts w:ascii="宋体" w:hAnsi="宋体" w:cs="宋体" w:eastAsia="宋体" w:hint="default"/>
                <w:sz w:val="21"/>
                <w:szCs w:val="21"/>
              </w:rPr>
            </w:pPr>
            <w:r>
              <w:rPr>
                <w:rFonts w:ascii="宋体"/>
                <w:sz w:val="21"/>
              </w:rPr>
              <w:t>35.35%</w:t>
            </w:r>
          </w:p>
        </w:tc>
      </w:tr>
    </w:tbl>
    <w:p>
      <w:pPr>
        <w:spacing w:after="0" w:line="240" w:lineRule="auto"/>
        <w:jc w:val="left"/>
        <w:rPr>
          <w:rFonts w:ascii="宋体" w:hAnsi="宋体" w:cs="宋体" w:eastAsia="宋体" w:hint="default"/>
          <w:sz w:val="21"/>
          <w:szCs w:val="21"/>
        </w:rPr>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2627"/>
        <w:gridCol w:w="1735"/>
        <w:gridCol w:w="1738"/>
        <w:gridCol w:w="1736"/>
        <w:gridCol w:w="1735"/>
      </w:tblGrid>
      <w:tr>
        <w:trPr>
          <w:trHeight w:val="634" w:hRule="exact"/>
        </w:trPr>
        <w:tc>
          <w:tcPr>
            <w:tcW w:w="2627" w:type="dxa"/>
            <w:tcBorders>
              <w:top w:val="single" w:sz="4" w:space="0" w:color="000000"/>
              <w:left w:val="single" w:sz="4" w:space="0" w:color="000000"/>
              <w:bottom w:val="single" w:sz="4" w:space="0" w:color="FFFFFF"/>
              <w:right w:val="single" w:sz="13" w:space="0" w:color="FFFFFF"/>
            </w:tcBorders>
            <w:shd w:val="clear" w:color="auto" w:fill="D2D2D2"/>
          </w:tcPr>
          <w:p>
            <w:pPr>
              <w:pStyle w:val="TableParagraph"/>
              <w:spacing w:line="240" w:lineRule="auto" w:before="141"/>
              <w:ind w:left="24" w:right="-46"/>
              <w:jc w:val="left"/>
              <w:rPr>
                <w:rFonts w:ascii="宋体" w:hAnsi="宋体" w:cs="宋体" w:eastAsia="宋体" w:hint="default"/>
                <w:sz w:val="21"/>
                <w:szCs w:val="21"/>
              </w:rPr>
            </w:pPr>
            <w:r>
              <w:rPr>
                <w:rFonts w:ascii="宋体" w:hAnsi="宋体" w:cs="宋体" w:eastAsia="宋体" w:hint="default"/>
                <w:spacing w:val="-2"/>
                <w:sz w:val="21"/>
                <w:szCs w:val="21"/>
              </w:rPr>
              <w:t>加权平均净资产收益率（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735" w:type="dxa"/>
            <w:tcBorders>
              <w:top w:val="single" w:sz="4" w:space="0" w:color="000000"/>
              <w:left w:val="single" w:sz="13" w:space="0" w:color="FFFFFF"/>
              <w:bottom w:val="single" w:sz="4" w:space="0" w:color="FFFFFF"/>
              <w:right w:val="single" w:sz="4" w:space="0" w:color="000000"/>
            </w:tcBorders>
          </w:tcPr>
          <w:p>
            <w:pPr>
              <w:pStyle w:val="TableParagraph"/>
              <w:spacing w:line="240" w:lineRule="auto" w:before="141"/>
              <w:ind w:right="7"/>
              <w:jc w:val="center"/>
              <w:rPr>
                <w:rFonts w:ascii="宋体" w:hAnsi="宋体" w:cs="宋体" w:eastAsia="宋体" w:hint="default"/>
                <w:sz w:val="21"/>
                <w:szCs w:val="21"/>
              </w:rPr>
            </w:pPr>
            <w:r>
              <w:rPr>
                <w:rFonts w:ascii="宋体"/>
                <w:sz w:val="21"/>
              </w:rPr>
              <w:t>16.65%</w:t>
            </w:r>
          </w:p>
        </w:tc>
        <w:tc>
          <w:tcPr>
            <w:tcW w:w="173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36.70%</w:t>
            </w:r>
          </w:p>
        </w:tc>
        <w:tc>
          <w:tcPr>
            <w:tcW w:w="1736" w:type="dxa"/>
            <w:tcBorders>
              <w:top w:val="single" w:sz="4" w:space="0" w:color="000000"/>
              <w:left w:val="single" w:sz="4" w:space="0" w:color="000000"/>
              <w:bottom w:val="single" w:sz="4" w:space="0" w:color="FFFFFF"/>
              <w:right w:val="single" w:sz="4" w:space="0" w:color="000000"/>
            </w:tcBorders>
          </w:tcPr>
          <w:p>
            <w:pPr>
              <w:pStyle w:val="TableParagraph"/>
              <w:spacing w:line="272" w:lineRule="exact" w:before="34"/>
              <w:ind w:left="758" w:right="17" w:hanging="735"/>
              <w:jc w:val="lef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2"/>
                <w:sz w:val="21"/>
                <w:szCs w:val="21"/>
              </w:rPr>
              <w:t> </w:t>
            </w: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个百分</w:t>
            </w:r>
            <w:r>
              <w:rPr>
                <w:rFonts w:ascii="宋体" w:hAnsi="宋体" w:cs="宋体" w:eastAsia="宋体" w:hint="default"/>
                <w:w w:val="100"/>
                <w:sz w:val="21"/>
                <w:szCs w:val="21"/>
              </w:rPr>
              <w:t> </w:t>
            </w:r>
            <w:r>
              <w:rPr>
                <w:rFonts w:ascii="宋体" w:hAnsi="宋体" w:cs="宋体" w:eastAsia="宋体" w:hint="default"/>
                <w:sz w:val="21"/>
                <w:szCs w:val="21"/>
              </w:rPr>
              <w:t>点</w:t>
            </w:r>
          </w:p>
        </w:tc>
        <w:tc>
          <w:tcPr>
            <w:tcW w:w="173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47.67%</w:t>
            </w:r>
          </w:p>
        </w:tc>
      </w:tr>
      <w:tr>
        <w:trPr>
          <w:trHeight w:val="634" w:hRule="exact"/>
        </w:trPr>
        <w:tc>
          <w:tcPr>
            <w:tcW w:w="262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72" w:lineRule="exact" w:before="34"/>
              <w:ind w:left="24" w:right="6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扣除非经常性损益后全面摊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薄净资产收益率（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73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13.13%</w:t>
            </w:r>
          </w:p>
        </w:tc>
        <w:tc>
          <w:tcPr>
            <w:tcW w:w="173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26.37%</w:t>
            </w:r>
          </w:p>
        </w:tc>
        <w:tc>
          <w:tcPr>
            <w:tcW w:w="1736" w:type="dxa"/>
            <w:tcBorders>
              <w:top w:val="single" w:sz="4" w:space="0" w:color="FFFFFF"/>
              <w:left w:val="single" w:sz="4" w:space="0" w:color="000000"/>
              <w:bottom w:val="single" w:sz="4" w:space="0" w:color="000000"/>
              <w:right w:val="single" w:sz="4" w:space="0" w:color="000000"/>
            </w:tcBorders>
          </w:tcPr>
          <w:p>
            <w:pPr>
              <w:pStyle w:val="TableParagraph"/>
              <w:spacing w:line="272" w:lineRule="exact" w:before="34"/>
              <w:ind w:left="758" w:right="17" w:hanging="735"/>
              <w:jc w:val="lef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2"/>
                <w:sz w:val="21"/>
                <w:szCs w:val="21"/>
              </w:rPr>
              <w:t> </w:t>
            </w:r>
            <w:r>
              <w:rPr>
                <w:rFonts w:ascii="宋体" w:hAnsi="宋体" w:cs="宋体" w:eastAsia="宋体" w:hint="default"/>
                <w:sz w:val="21"/>
                <w:szCs w:val="21"/>
              </w:rPr>
              <w:t>13.24</w:t>
            </w:r>
            <w:r>
              <w:rPr>
                <w:rFonts w:ascii="宋体" w:hAnsi="宋体" w:cs="宋体" w:eastAsia="宋体" w:hint="default"/>
                <w:spacing w:val="-54"/>
                <w:sz w:val="21"/>
                <w:szCs w:val="21"/>
              </w:rPr>
              <w:t> </w:t>
            </w:r>
            <w:r>
              <w:rPr>
                <w:rFonts w:ascii="宋体" w:hAnsi="宋体" w:cs="宋体" w:eastAsia="宋体" w:hint="default"/>
                <w:sz w:val="21"/>
                <w:szCs w:val="21"/>
              </w:rPr>
              <w:t>个百分</w:t>
            </w:r>
            <w:r>
              <w:rPr>
                <w:rFonts w:ascii="宋体" w:hAnsi="宋体" w:cs="宋体" w:eastAsia="宋体" w:hint="default"/>
                <w:w w:val="100"/>
                <w:sz w:val="21"/>
                <w:szCs w:val="21"/>
              </w:rPr>
              <w:t> </w:t>
            </w:r>
            <w:r>
              <w:rPr>
                <w:rFonts w:ascii="宋体" w:hAnsi="宋体" w:cs="宋体" w:eastAsia="宋体" w:hint="default"/>
                <w:sz w:val="21"/>
                <w:szCs w:val="21"/>
              </w:rPr>
              <w:t>点</w:t>
            </w:r>
          </w:p>
        </w:tc>
        <w:tc>
          <w:tcPr>
            <w:tcW w:w="173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32.41%</w:t>
            </w:r>
          </w:p>
        </w:tc>
      </w:tr>
      <w:tr>
        <w:trPr>
          <w:trHeight w:val="634"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24" w:right="6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15.07%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31.21%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758" w:right="17" w:hanging="735"/>
              <w:jc w:val="lef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2"/>
                <w:sz w:val="21"/>
                <w:szCs w:val="21"/>
              </w:rPr>
              <w:t> </w:t>
            </w:r>
            <w:r>
              <w:rPr>
                <w:rFonts w:ascii="宋体" w:hAnsi="宋体" w:cs="宋体" w:eastAsia="宋体" w:hint="default"/>
                <w:sz w:val="21"/>
                <w:szCs w:val="21"/>
              </w:rPr>
              <w:t>16.14</w:t>
            </w:r>
            <w:r>
              <w:rPr>
                <w:rFonts w:ascii="宋体" w:hAnsi="宋体" w:cs="宋体" w:eastAsia="宋体" w:hint="default"/>
                <w:spacing w:val="-54"/>
                <w:sz w:val="21"/>
                <w:szCs w:val="21"/>
              </w:rPr>
              <w:t> </w:t>
            </w:r>
            <w:r>
              <w:rPr>
                <w:rFonts w:ascii="宋体" w:hAnsi="宋体" w:cs="宋体" w:eastAsia="宋体" w:hint="default"/>
                <w:sz w:val="21"/>
                <w:szCs w:val="21"/>
              </w:rPr>
              <w:t>个百分</w:t>
            </w:r>
            <w:r>
              <w:rPr>
                <w:rFonts w:ascii="宋体" w:hAnsi="宋体" w:cs="宋体" w:eastAsia="宋体" w:hint="default"/>
                <w:w w:val="100"/>
                <w:sz w:val="21"/>
                <w:szCs w:val="21"/>
              </w:rPr>
              <w:t> </w:t>
            </w:r>
            <w:r>
              <w:rPr>
                <w:rFonts w:ascii="宋体" w:hAnsi="宋体" w:cs="宋体" w:eastAsia="宋体" w:hint="default"/>
                <w:sz w:val="21"/>
                <w:szCs w:val="21"/>
              </w:rPr>
              <w:t>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43.71%</w:t>
            </w:r>
          </w:p>
        </w:tc>
      </w:tr>
      <w:tr>
        <w:trPr>
          <w:trHeight w:val="641"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4" w:right="67"/>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量净额（元</w:t>
            </w:r>
            <w:r>
              <w:rPr>
                <w:rFonts w:ascii="宋体" w:hAnsi="宋体" w:cs="宋体" w:eastAsia="宋体" w:hint="default"/>
                <w:sz w:val="21"/>
                <w:szCs w:val="21"/>
              </w:rPr>
              <w:t>/</w:t>
            </w:r>
            <w:r>
              <w:rPr>
                <w:rFonts w:ascii="宋体" w:hAnsi="宋体" w:cs="宋体" w:eastAsia="宋体" w:hint="default"/>
                <w:sz w:val="21"/>
                <w:szCs w:val="21"/>
              </w:rPr>
              <w:t>股）</w:t>
            </w:r>
          </w:p>
        </w:tc>
        <w:tc>
          <w:tcPr>
            <w:tcW w:w="17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0.4515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0.9688</w:t>
            </w:r>
          </w:p>
        </w:tc>
        <w:tc>
          <w:tcPr>
            <w:tcW w:w="1736" w:type="dxa"/>
            <w:tcBorders>
              <w:top w:val="single" w:sz="4" w:space="0" w:color="000000"/>
              <w:left w:val="single" w:sz="4" w:space="0" w:color="000000"/>
              <w:bottom w:val="single" w:sz="19" w:space="0" w:color="D2D2D2"/>
              <w:right w:val="single" w:sz="4" w:space="0" w:color="000000"/>
            </w:tcBorders>
          </w:tcPr>
          <w:p>
            <w:pPr>
              <w:pStyle w:val="TableParagraph"/>
              <w:spacing w:line="240" w:lineRule="auto" w:before="143"/>
              <w:ind w:left="496" w:right="0"/>
              <w:jc w:val="left"/>
              <w:rPr>
                <w:rFonts w:ascii="宋体" w:hAnsi="宋体" w:cs="宋体" w:eastAsia="宋体" w:hint="default"/>
                <w:sz w:val="21"/>
                <w:szCs w:val="21"/>
              </w:rPr>
            </w:pPr>
            <w:r>
              <w:rPr>
                <w:rFonts w:ascii="宋体"/>
                <w:sz w:val="21"/>
              </w:rPr>
              <w:t>-53.40%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0.8000</w:t>
            </w:r>
          </w:p>
        </w:tc>
      </w:tr>
      <w:tr>
        <w:trPr>
          <w:trHeight w:val="175" w:hRule="exact"/>
        </w:trPr>
        <w:tc>
          <w:tcPr>
            <w:tcW w:w="2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left="179" w:right="176" w:firstLine="264"/>
              <w:jc w:val="left"/>
              <w:rPr>
                <w:rFonts w:ascii="宋体" w:hAnsi="宋体" w:cs="宋体" w:eastAsia="宋体" w:hint="default"/>
                <w:sz w:val="21"/>
                <w:szCs w:val="21"/>
              </w:rPr>
            </w:pPr>
            <w:r>
              <w:rPr>
                <w:rFonts w:ascii="宋体" w:hAnsi="宋体" w:cs="宋体" w:eastAsia="宋体" w:hint="default"/>
                <w:sz w:val="21"/>
                <w:szCs w:val="21"/>
              </w:rPr>
              <w:t>本年末比</w:t>
            </w:r>
            <w:r>
              <w:rPr>
                <w:rFonts w:ascii="宋体" w:hAnsi="宋体" w:cs="宋体" w:eastAsia="宋体" w:hint="default"/>
                <w:w w:val="100"/>
                <w:sz w:val="21"/>
                <w:szCs w:val="21"/>
              </w:rPr>
              <w:t> </w:t>
            </w:r>
            <w:r>
              <w:rPr>
                <w:rFonts w:ascii="宋体" w:hAnsi="宋体" w:cs="宋体" w:eastAsia="宋体" w:hint="default"/>
                <w:sz w:val="21"/>
                <w:szCs w:val="21"/>
              </w:rPr>
              <w:t>上年末增减</w:t>
            </w:r>
            <w:r>
              <w:rPr>
                <w:rFonts w:ascii="宋体" w:hAnsi="宋体" w:cs="宋体" w:eastAsia="宋体" w:hint="default"/>
                <w:sz w:val="21"/>
                <w:szCs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4" w:hRule="exact"/>
        </w:trPr>
        <w:tc>
          <w:tcPr>
            <w:tcW w:w="2627" w:type="dxa"/>
            <w:tcBorders>
              <w:top w:val="nil" w:sz="6" w:space="0" w:color="auto"/>
              <w:left w:val="single" w:sz="4" w:space="0" w:color="000000"/>
              <w:bottom w:val="nil" w:sz="6" w:space="0" w:color="auto"/>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6"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75" w:hRule="exact"/>
        </w:trPr>
        <w:tc>
          <w:tcPr>
            <w:tcW w:w="2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39"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9"/>
              <w:ind w:left="24" w:right="67"/>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净资产（元</w:t>
            </w:r>
            <w:r>
              <w:rPr>
                <w:rFonts w:ascii="宋体" w:hAnsi="宋体" w:cs="宋体" w:eastAsia="宋体" w:hint="default"/>
                <w:sz w:val="21"/>
                <w:szCs w:val="21"/>
              </w:rPr>
              <w:t>/</w:t>
            </w:r>
            <w:r>
              <w:rPr>
                <w:rFonts w:ascii="宋体" w:hAnsi="宋体" w:cs="宋体" w:eastAsia="宋体" w:hint="default"/>
                <w:sz w:val="21"/>
                <w:szCs w:val="21"/>
              </w:rPr>
              <w:t>股）</w:t>
            </w:r>
          </w:p>
        </w:tc>
        <w:tc>
          <w:tcPr>
            <w:tcW w:w="17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sz w:val="21"/>
              </w:rPr>
              <w:t>5.05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2.84</w:t>
            </w:r>
          </w:p>
        </w:tc>
        <w:tc>
          <w:tcPr>
            <w:tcW w:w="1736"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126"/>
              <w:ind w:left="547" w:right="0"/>
              <w:jc w:val="left"/>
              <w:rPr>
                <w:rFonts w:ascii="宋体" w:hAnsi="宋体" w:cs="宋体" w:eastAsia="宋体" w:hint="default"/>
                <w:sz w:val="21"/>
                <w:szCs w:val="21"/>
              </w:rPr>
            </w:pPr>
            <w:r>
              <w:rPr>
                <w:rFonts w:ascii="宋体"/>
                <w:sz w:val="21"/>
              </w:rPr>
              <w:t>78.07%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1.96</w:t>
            </w:r>
          </w:p>
        </w:tc>
      </w:tr>
      <w:tr>
        <w:trPr>
          <w:trHeight w:val="180" w:hRule="exact"/>
        </w:trPr>
        <w:tc>
          <w:tcPr>
            <w:tcW w:w="2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5" w:type="dxa"/>
            <w:vMerge w:val="restart"/>
            <w:tcBorders>
              <w:top w:val="single" w:sz="4" w:space="0" w:color="000000"/>
              <w:left w:val="single" w:sz="10" w:space="0" w:color="D2D2D2"/>
              <w:right w:val="single" w:sz="4" w:space="0" w:color="000000"/>
            </w:tcBorders>
          </w:tcPr>
          <w:p>
            <w:pPr>
              <w:pStyle w:val="TableParagraph"/>
              <w:spacing w:line="240" w:lineRule="auto" w:before="141"/>
              <w:ind w:left="540" w:right="0"/>
              <w:jc w:val="left"/>
              <w:rPr>
                <w:rFonts w:ascii="宋体" w:hAnsi="宋体" w:cs="宋体" w:eastAsia="宋体" w:hint="default"/>
                <w:sz w:val="21"/>
                <w:szCs w:val="21"/>
              </w:rPr>
            </w:pPr>
            <w:r>
              <w:rPr>
                <w:rFonts w:ascii="宋体"/>
                <w:sz w:val="21"/>
              </w:rPr>
              <w:t>31.99%</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41"/>
              <w:ind w:left="547" w:right="0"/>
              <w:jc w:val="left"/>
              <w:rPr>
                <w:rFonts w:ascii="宋体" w:hAnsi="宋体" w:cs="宋体" w:eastAsia="宋体" w:hint="default"/>
                <w:sz w:val="21"/>
                <w:szCs w:val="21"/>
              </w:rPr>
            </w:pPr>
            <w:r>
              <w:rPr>
                <w:rFonts w:ascii="宋体"/>
                <w:sz w:val="21"/>
              </w:rPr>
              <w:t>39.76%</w:t>
            </w:r>
          </w:p>
        </w:tc>
        <w:tc>
          <w:tcPr>
            <w:tcW w:w="1736" w:type="dxa"/>
            <w:vMerge w:val="restart"/>
            <w:tcBorders>
              <w:top w:val="single" w:sz="4" w:space="0" w:color="000000"/>
              <w:left w:val="single" w:sz="4" w:space="0" w:color="000000"/>
              <w:right w:val="single" w:sz="4" w:space="0" w:color="000000"/>
            </w:tcBorders>
          </w:tcPr>
          <w:p>
            <w:pPr>
              <w:pStyle w:val="TableParagraph"/>
              <w:spacing w:line="272" w:lineRule="exact" w:before="34"/>
              <w:ind w:left="758" w:right="74" w:hanging="682"/>
              <w:jc w:val="lef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4"/>
                <w:sz w:val="21"/>
                <w:szCs w:val="21"/>
              </w:rPr>
              <w:t> </w:t>
            </w:r>
            <w:r>
              <w:rPr>
                <w:rFonts w:ascii="宋体" w:hAnsi="宋体" w:cs="宋体" w:eastAsia="宋体" w:hint="default"/>
                <w:sz w:val="21"/>
                <w:szCs w:val="21"/>
              </w:rPr>
              <w:t>7.77</w:t>
            </w:r>
            <w:r>
              <w:rPr>
                <w:rFonts w:ascii="宋体" w:hAnsi="宋体" w:cs="宋体" w:eastAsia="宋体" w:hint="default"/>
                <w:spacing w:val="-56"/>
                <w:sz w:val="21"/>
                <w:szCs w:val="21"/>
              </w:rPr>
              <w:t> </w:t>
            </w:r>
            <w:r>
              <w:rPr>
                <w:rFonts w:ascii="宋体" w:hAnsi="宋体" w:cs="宋体" w:eastAsia="宋体" w:hint="default"/>
                <w:sz w:val="21"/>
                <w:szCs w:val="21"/>
              </w:rPr>
              <w:t>个百分</w:t>
            </w:r>
            <w:r>
              <w:rPr>
                <w:rFonts w:ascii="宋体" w:hAnsi="宋体" w:cs="宋体" w:eastAsia="宋体" w:hint="default"/>
                <w:spacing w:val="-3"/>
                <w:w w:val="100"/>
                <w:sz w:val="21"/>
                <w:szCs w:val="21"/>
              </w:rPr>
              <w:t> </w:t>
            </w:r>
            <w:r>
              <w:rPr>
                <w:rFonts w:ascii="宋体" w:hAnsi="宋体" w:cs="宋体" w:eastAsia="宋体" w:hint="default"/>
                <w:sz w:val="21"/>
                <w:szCs w:val="21"/>
              </w:rPr>
              <w:t>点</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41"/>
              <w:ind w:left="547" w:right="0"/>
              <w:jc w:val="left"/>
              <w:rPr>
                <w:rFonts w:ascii="宋体" w:hAnsi="宋体" w:cs="宋体" w:eastAsia="宋体" w:hint="default"/>
                <w:sz w:val="21"/>
                <w:szCs w:val="21"/>
              </w:rPr>
            </w:pPr>
            <w:r>
              <w:rPr>
                <w:rFonts w:ascii="宋体"/>
                <w:sz w:val="21"/>
              </w:rPr>
              <w:t>37.57%</w:t>
            </w:r>
          </w:p>
        </w:tc>
      </w:tr>
      <w:tr>
        <w:trPr>
          <w:trHeight w:val="274" w:hRule="exact"/>
        </w:trPr>
        <w:tc>
          <w:tcPr>
            <w:tcW w:w="26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735" w:type="dxa"/>
            <w:vMerge/>
            <w:tcBorders>
              <w:left w:val="single" w:sz="10" w:space="0" w:color="D2D2D2"/>
              <w:right w:val="single" w:sz="4" w:space="0" w:color="000000"/>
            </w:tcBorders>
          </w:tcPr>
          <w:p>
            <w:pPr/>
          </w:p>
        </w:tc>
        <w:tc>
          <w:tcPr>
            <w:tcW w:w="1738" w:type="dxa"/>
            <w:vMerge/>
            <w:tcBorders>
              <w:left w:val="single" w:sz="4" w:space="0" w:color="000000"/>
              <w:right w:val="single" w:sz="4" w:space="0" w:color="000000"/>
            </w:tcBorders>
          </w:tcPr>
          <w:p>
            <w:pPr/>
          </w:p>
        </w:tc>
        <w:tc>
          <w:tcPr>
            <w:tcW w:w="1736"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80" w:hRule="exact"/>
        </w:trPr>
        <w:tc>
          <w:tcPr>
            <w:tcW w:w="2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5" w:type="dxa"/>
            <w:vMerge/>
            <w:tcBorders>
              <w:left w:val="single" w:sz="10" w:space="0" w:color="D2D2D2"/>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6"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bl>
    <w:p>
      <w:pPr>
        <w:pStyle w:val="BodyText"/>
        <w:spacing w:line="240" w:lineRule="auto" w:before="86"/>
        <w:ind w:right="142" w:firstLine="420"/>
        <w:jc w:val="left"/>
      </w:pPr>
      <w:r>
        <w:rPr>
          <w:spacing w:val="-2"/>
        </w:rPr>
        <w:t>公司报告期末至报告披露日股本是否因发行新股、增发、配股、股权激励行权、回购等原因发生变化</w:t>
      </w:r>
      <w:r>
        <w:rPr>
          <w:w w:val="100"/>
        </w:rPr>
        <w:t> </w:t>
      </w:r>
      <w:r>
        <w:rPr/>
        <w:t>且影响所有者权益金额</w:t>
      </w:r>
    </w:p>
    <w:p>
      <w:pPr>
        <w:pStyle w:val="BodyText"/>
        <w:spacing w:line="271" w:lineRule="exact"/>
        <w:ind w:left="573" w:right="142"/>
        <w:jc w:val="left"/>
      </w:pPr>
      <w:r>
        <w:rPr/>
        <w:t>□ 是 √ 否</w:t>
      </w:r>
    </w:p>
    <w:p>
      <w:pPr>
        <w:spacing w:line="240" w:lineRule="auto" w:before="11"/>
        <w:rPr>
          <w:rFonts w:ascii="宋体" w:hAnsi="宋体" w:cs="宋体" w:eastAsia="宋体" w:hint="default"/>
          <w:sz w:val="14"/>
          <w:szCs w:val="14"/>
        </w:rPr>
      </w:pPr>
    </w:p>
    <w:p>
      <w:pPr>
        <w:pStyle w:val="Heading4"/>
        <w:spacing w:line="240" w:lineRule="auto"/>
        <w:ind w:right="142"/>
        <w:jc w:val="left"/>
        <w:rPr>
          <w:b w:val="0"/>
          <w:bCs w:val="0"/>
        </w:rPr>
      </w:pPr>
      <w:r>
        <w:rPr/>
        <w:t>二、境内外会计准则下会计数据差异</w:t>
      </w:r>
      <w:r>
        <w:rPr>
          <w:b w:val="0"/>
          <w:bCs w:val="0"/>
        </w:rPr>
      </w:r>
    </w:p>
    <w:p>
      <w:pPr>
        <w:pStyle w:val="Heading5"/>
        <w:spacing w:line="240" w:lineRule="auto" w:before="201"/>
        <w:ind w:right="142"/>
        <w:jc w:val="left"/>
        <w:rPr>
          <w:b w:val="0"/>
          <w:bCs w:val="0"/>
        </w:rPr>
      </w:pP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13"/>
          <w:szCs w:val="13"/>
        </w:rPr>
      </w:pPr>
    </w:p>
    <w:p>
      <w:pPr>
        <w:pStyle w:val="BodyText"/>
        <w:spacing w:line="240" w:lineRule="auto"/>
        <w:ind w:left="0" w:right="568"/>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278"/>
        <w:gridCol w:w="1748"/>
        <w:gridCol w:w="2003"/>
        <w:gridCol w:w="1771"/>
        <w:gridCol w:w="1769"/>
      </w:tblGrid>
      <w:tr>
        <w:trPr>
          <w:trHeight w:val="146" w:hRule="exact"/>
        </w:trPr>
        <w:tc>
          <w:tcPr>
            <w:tcW w:w="22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36" w:hRule="exact"/>
        </w:trPr>
        <w:tc>
          <w:tcPr>
            <w:tcW w:w="2278"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r>
      <w:tr>
        <w:trPr>
          <w:trHeight w:val="136" w:hRule="exact"/>
        </w:trPr>
        <w:tc>
          <w:tcPr>
            <w:tcW w:w="2278" w:type="dxa"/>
            <w:vMerge/>
            <w:tcBorders>
              <w:left w:val="single" w:sz="4" w:space="0" w:color="000000"/>
              <w:bottom w:val="nil" w:sz="6" w:space="0" w:color="auto"/>
              <w:right w:val="single" w:sz="4" w:space="0" w:color="000000"/>
            </w:tcBorders>
            <w:shd w:val="clear" w:color="auto" w:fill="D2D2D2"/>
          </w:tcPr>
          <w:p>
            <w:pPr/>
          </w:p>
        </w:tc>
        <w:tc>
          <w:tcPr>
            <w:tcW w:w="1748"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exact"/>
              <w:ind w:left="5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exact"/>
              <w:ind w:left="56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146" w:hRule="exact"/>
        </w:trPr>
        <w:tc>
          <w:tcPr>
            <w:tcW w:w="22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8"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49,862,341.25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44,869,022.63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343,539,907.39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144,696,766.14</w:t>
            </w:r>
          </w:p>
        </w:tc>
      </w:tr>
      <w:tr>
        <w:trPr>
          <w:trHeight w:val="281" w:hRule="exact"/>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r>
        <w:trPr>
          <w:trHeight w:val="28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按国际会计准则</w:t>
            </w:r>
          </w:p>
        </w:tc>
        <w:tc>
          <w:tcPr>
            <w:tcW w:w="1748" w:type="dxa"/>
            <w:tcBorders>
              <w:top w:val="single" w:sz="4" w:space="0" w:color="000000"/>
              <w:left w:val="single" w:sz="10" w:space="0" w:color="D2D2D2"/>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62"/>
        <w:ind w:right="142"/>
        <w:jc w:val="left"/>
        <w:rPr>
          <w:b w:val="0"/>
          <w:bCs w:val="0"/>
        </w:rPr>
      </w:pP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36"/>
        <w:ind w:left="0" w:right="568"/>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2271"/>
        <w:gridCol w:w="1742"/>
        <w:gridCol w:w="2003"/>
        <w:gridCol w:w="1771"/>
        <w:gridCol w:w="1758"/>
      </w:tblGrid>
      <w:tr>
        <w:trPr>
          <w:trHeight w:val="146" w:hRule="exact"/>
        </w:trPr>
        <w:tc>
          <w:tcPr>
            <w:tcW w:w="2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32" w:hRule="exact"/>
        </w:trPr>
        <w:tc>
          <w:tcPr>
            <w:tcW w:w="2271"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29" w:type="dxa"/>
            <w:gridSpan w:val="2"/>
            <w:vMerge/>
            <w:tcBorders>
              <w:left w:val="single" w:sz="4" w:space="0" w:color="000000"/>
              <w:bottom w:val="single" w:sz="4" w:space="0" w:color="000000"/>
              <w:right w:val="single" w:sz="4" w:space="0" w:color="000000"/>
            </w:tcBorders>
            <w:shd w:val="clear" w:color="auto" w:fill="D2D2D2"/>
          </w:tcPr>
          <w:p>
            <w:pPr/>
          </w:p>
        </w:tc>
      </w:tr>
      <w:tr>
        <w:trPr>
          <w:trHeight w:val="139" w:hRule="exact"/>
        </w:trPr>
        <w:tc>
          <w:tcPr>
            <w:tcW w:w="2271"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54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5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58"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56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146" w:hRule="exact"/>
        </w:trPr>
        <w:tc>
          <w:tcPr>
            <w:tcW w:w="2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c>
          <w:tcPr>
            <w:tcW w:w="1758" w:type="dxa"/>
            <w:vMerge/>
            <w:tcBorders>
              <w:left w:val="single" w:sz="4" w:space="0" w:color="000000"/>
              <w:bottom w:val="single" w:sz="4" w:space="0" w:color="000000"/>
              <w:right w:val="single" w:sz="4" w:space="0" w:color="000000"/>
            </w:tcBorders>
            <w:shd w:val="clear" w:color="auto" w:fill="D2D2D2"/>
          </w:tcPr>
          <w:p>
            <w:pPr/>
          </w:p>
        </w:tc>
      </w:tr>
      <w:tr>
        <w:trPr>
          <w:trHeight w:val="28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174" w:right="0"/>
              <w:jc w:val="left"/>
              <w:rPr>
                <w:rFonts w:ascii="宋体" w:hAnsi="宋体" w:cs="宋体" w:eastAsia="宋体" w:hint="default"/>
                <w:sz w:val="21"/>
                <w:szCs w:val="21"/>
              </w:rPr>
            </w:pPr>
            <w:r>
              <w:rPr>
                <w:rFonts w:ascii="宋体"/>
                <w:sz w:val="21"/>
              </w:rPr>
              <w:t>49,862,341.25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44,869,022.63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343,539,907.39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144,696,766.14</w:t>
            </w:r>
          </w:p>
        </w:tc>
      </w:tr>
      <w:tr>
        <w:trPr>
          <w:trHeight w:val="281"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按境外会计准则</w:t>
            </w:r>
          </w:p>
        </w:tc>
        <w:tc>
          <w:tcPr>
            <w:tcW w:w="1742" w:type="dxa"/>
            <w:tcBorders>
              <w:top w:val="single" w:sz="4" w:space="0" w:color="000000"/>
              <w:left w:val="single" w:sz="10" w:space="0" w:color="D2D2D2"/>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bl>
    <w:p>
      <w:pPr>
        <w:pStyle w:val="Heading5"/>
        <w:spacing w:line="398" w:lineRule="auto" w:before="62"/>
        <w:ind w:left="573" w:right="6084" w:hanging="421"/>
        <w:jc w:val="left"/>
        <w:rPr>
          <w:rFonts w:ascii="宋体" w:hAnsi="宋体" w:cs="宋体" w:eastAsia="宋体" w:hint="default"/>
          <w:b w:val="0"/>
          <w:bCs w:val="0"/>
        </w:rPr>
      </w:pPr>
      <w:r>
        <w:rPr>
          <w:rFonts w:ascii="宋体" w:hAnsi="宋体" w:cs="宋体" w:eastAsia="宋体" w:hint="default"/>
        </w:rPr>
        <w:t>3</w:t>
      </w:r>
      <w:r>
        <w:rPr/>
        <w:t>、境内外会计准则下会计数据差异说明</w:t>
      </w:r>
      <w:r>
        <w:rPr>
          <w:w w:val="100"/>
        </w:rPr>
        <w:t> </w:t>
      </w:r>
      <w:r>
        <w:rPr>
          <w:rFonts w:ascii="宋体" w:hAnsi="宋体" w:cs="宋体" w:eastAsia="宋体" w:hint="default"/>
          <w:b w:val="0"/>
          <w:bCs w:val="0"/>
        </w:rPr>
        <w:t>不适用</w:t>
      </w:r>
    </w:p>
    <w:p>
      <w:pPr>
        <w:pStyle w:val="Heading4"/>
        <w:spacing w:line="240" w:lineRule="auto" w:before="55"/>
        <w:ind w:right="142"/>
        <w:jc w:val="left"/>
        <w:rPr>
          <w:b w:val="0"/>
          <w:bCs w:val="0"/>
        </w:rPr>
      </w:pPr>
      <w:r>
        <w:rPr/>
        <w:t>三、报告期内非经常性损益的项目及金额</w:t>
      </w:r>
      <w:r>
        <w:rPr>
          <w:b w:val="0"/>
          <w:bCs w:val="0"/>
        </w:rPr>
      </w:r>
    </w:p>
    <w:p>
      <w:pPr>
        <w:spacing w:line="240" w:lineRule="auto" w:before="8"/>
        <w:rPr>
          <w:rFonts w:ascii="宋体" w:hAnsi="宋体" w:cs="宋体" w:eastAsia="宋体" w:hint="default"/>
          <w:b/>
          <w:bCs/>
          <w:sz w:val="12"/>
          <w:szCs w:val="12"/>
        </w:rPr>
      </w:pPr>
    </w:p>
    <w:p>
      <w:pPr>
        <w:pStyle w:val="BodyText"/>
        <w:spacing w:line="240" w:lineRule="auto" w:before="36"/>
        <w:ind w:left="0" w:right="568"/>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2929"/>
        <w:gridCol w:w="1429"/>
        <w:gridCol w:w="1649"/>
        <w:gridCol w:w="1418"/>
        <w:gridCol w:w="2235"/>
      </w:tblGrid>
      <w:tr>
        <w:trPr>
          <w:trHeight w:val="28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7"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6"/>
                <w:sz w:val="21"/>
                <w:szCs w:val="21"/>
              </w:rPr>
              <w:t>非流动资产处置损益（包括已计</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提资产减值准备的冲销部分）</w:t>
            </w:r>
          </w:p>
        </w:tc>
        <w:tc>
          <w:tcPr>
            <w:tcW w:w="14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left="8" w:right="0"/>
              <w:jc w:val="center"/>
              <w:rPr>
                <w:rFonts w:ascii="宋体" w:hAnsi="宋体" w:cs="宋体" w:eastAsia="宋体" w:hint="default"/>
                <w:sz w:val="21"/>
                <w:szCs w:val="21"/>
              </w:rPr>
            </w:pPr>
            <w:r>
              <w:rPr>
                <w:rFonts w:ascii="宋体"/>
                <w:sz w:val="21"/>
              </w:rPr>
              <w:t>63,610.93</w:t>
            </w:r>
          </w:p>
        </w:tc>
        <w:tc>
          <w:tcPr>
            <w:tcW w:w="164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计入当期损益的政府补助（与企</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pacing w:val="-6"/>
                <w:sz w:val="21"/>
                <w:szCs w:val="21"/>
              </w:rPr>
              <w:t>业业务密切相关，按照国家统一</w:t>
            </w:r>
          </w:p>
        </w:tc>
        <w:tc>
          <w:tcPr>
            <w:tcW w:w="14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left="10" w:right="0"/>
              <w:jc w:val="center"/>
              <w:rPr>
                <w:rFonts w:ascii="宋体" w:hAnsi="宋体" w:cs="宋体" w:eastAsia="宋体" w:hint="default"/>
                <w:sz w:val="21"/>
                <w:szCs w:val="21"/>
              </w:rPr>
            </w:pPr>
            <w:r>
              <w:rPr>
                <w:rFonts w:ascii="宋体"/>
                <w:sz w:val="21"/>
              </w:rPr>
              <w:t>4,063,900.00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6,268,884.00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1,903,940.00</w:t>
            </w:r>
          </w:p>
        </w:tc>
        <w:tc>
          <w:tcPr>
            <w:tcW w:w="22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940"/>
        <w:gridCol w:w="1418"/>
        <w:gridCol w:w="1649"/>
        <w:gridCol w:w="1418"/>
        <w:gridCol w:w="2235"/>
      </w:tblGrid>
      <w:tr>
        <w:trPr>
          <w:trHeight w:val="55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助除外）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25" w:right="15"/>
              <w:jc w:val="left"/>
              <w:rPr>
                <w:rFonts w:ascii="宋体" w:hAnsi="宋体" w:cs="宋体" w:eastAsia="宋体" w:hint="default"/>
                <w:sz w:val="21"/>
                <w:szCs w:val="21"/>
              </w:rPr>
            </w:pPr>
            <w:r>
              <w:rPr>
                <w:rFonts w:ascii="宋体" w:hAnsi="宋体" w:cs="宋体" w:eastAsia="宋体" w:hint="default"/>
                <w:spacing w:val="-6"/>
                <w:sz w:val="21"/>
                <w:szCs w:val="21"/>
              </w:rPr>
              <w:t>有效套期保值业务外，持有交易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6"/>
                <w:sz w:val="21"/>
                <w:szCs w:val="21"/>
              </w:rPr>
              <w:t>性金融资产、交易性金融负债产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6"/>
                <w:sz w:val="21"/>
                <w:szCs w:val="21"/>
              </w:rPr>
              <w:t>生的公允价值变动损益，以及处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6"/>
                <w:sz w:val="21"/>
                <w:szCs w:val="21"/>
              </w:rPr>
              <w:t>置交易性金融资产、交易性金融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sz w:val="21"/>
              </w:rPr>
              <w:t>460.28</w:t>
            </w: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sz w:val="21"/>
              </w:rPr>
              <w:t>-109,325.77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sz w:val="21"/>
              </w:rPr>
              <w:t>-17,300.00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sz w:val="21"/>
              </w:rPr>
              <w:t>-25,974.78</w:t>
            </w: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72" w:lineRule="exact"/>
              <w:ind w:left="25" w:right="169"/>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损益项目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76" w:right="0"/>
              <w:jc w:val="left"/>
              <w:rPr>
                <w:rFonts w:ascii="宋体" w:hAnsi="宋体" w:cs="宋体" w:eastAsia="宋体" w:hint="default"/>
                <w:sz w:val="21"/>
                <w:szCs w:val="21"/>
              </w:rPr>
            </w:pPr>
            <w:r>
              <w:rPr>
                <w:rFonts w:ascii="宋体"/>
                <w:sz w:val="21"/>
              </w:rPr>
              <w:t>1,683,200.00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89" w:right="0"/>
              <w:jc w:val="left"/>
              <w:rPr>
                <w:rFonts w:ascii="宋体" w:hAnsi="宋体" w:cs="宋体" w:eastAsia="宋体" w:hint="default"/>
                <w:sz w:val="21"/>
                <w:szCs w:val="21"/>
              </w:rPr>
            </w:pPr>
            <w:r>
              <w:rPr>
                <w:rFonts w:ascii="宋体"/>
                <w:sz w:val="21"/>
              </w:rPr>
              <w:t>1,639,288.00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74" w:right="0"/>
              <w:jc w:val="left"/>
              <w:rPr>
                <w:rFonts w:ascii="宋体" w:hAnsi="宋体" w:cs="宋体" w:eastAsia="宋体" w:hint="default"/>
                <w:sz w:val="21"/>
                <w:szCs w:val="21"/>
              </w:rPr>
            </w:pPr>
            <w:r>
              <w:rPr>
                <w:rFonts w:ascii="宋体"/>
                <w:sz w:val="21"/>
              </w:rPr>
              <w:t>1,610,015.00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其他符合非经常性损益</w:t>
            </w:r>
          </w:p>
          <w:p>
            <w:pPr>
              <w:pStyle w:val="TableParagraph"/>
              <w:spacing w:line="237" w:lineRule="auto" w:before="1"/>
              <w:ind w:left="24" w:right="17"/>
              <w:jc w:val="left"/>
              <w:rPr>
                <w:rFonts w:ascii="宋体" w:hAnsi="宋体" w:cs="宋体" w:eastAsia="宋体" w:hint="default"/>
                <w:sz w:val="21"/>
                <w:szCs w:val="21"/>
              </w:rPr>
            </w:pPr>
            <w:r>
              <w:rPr>
                <w:rFonts w:ascii="宋体" w:hAnsi="宋体" w:cs="宋体" w:eastAsia="宋体" w:hint="default"/>
                <w:sz w:val="21"/>
                <w:szCs w:val="21"/>
              </w:rPr>
              <w:t>定义的损益项目为依据</w:t>
            </w:r>
            <w:r>
              <w:rPr>
                <w:rFonts w:ascii="宋体" w:hAnsi="宋体" w:cs="宋体" w:eastAsia="宋体" w:hint="default"/>
                <w:w w:val="100"/>
                <w:sz w:val="21"/>
                <w:szCs w:val="21"/>
              </w:rPr>
              <w:t> </w:t>
            </w:r>
            <w:r>
              <w:rPr>
                <w:rFonts w:ascii="宋体" w:hAnsi="宋体" w:cs="宋体" w:eastAsia="宋体" w:hint="default"/>
                <w:sz w:val="21"/>
                <w:szCs w:val="21"/>
              </w:rPr>
              <w:t>辽宁元正资产评估有限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出具的元正（沈）评报</w:t>
            </w:r>
            <w:r>
              <w:rPr>
                <w:rFonts w:ascii="宋体" w:hAnsi="宋体" w:cs="宋体" w:eastAsia="宋体" w:hint="default"/>
                <w:w w:val="100"/>
                <w:sz w:val="21"/>
                <w:szCs w:val="21"/>
              </w:rPr>
              <w:t> </w:t>
            </w:r>
            <w:r>
              <w:rPr>
                <w:rFonts w:ascii="宋体" w:hAnsi="宋体" w:cs="宋体" w:eastAsia="宋体" w:hint="default"/>
                <w:spacing w:val="-12"/>
                <w:sz w:val="21"/>
                <w:szCs w:val="21"/>
              </w:rPr>
              <w:t>字（</w:t>
            </w:r>
            <w:r>
              <w:rPr>
                <w:rFonts w:ascii="宋体" w:hAnsi="宋体" w:cs="宋体" w:eastAsia="宋体" w:hint="default"/>
                <w:spacing w:val="-12"/>
                <w:sz w:val="21"/>
                <w:szCs w:val="21"/>
              </w:rPr>
              <w:t>2013</w:t>
            </w:r>
            <w:r>
              <w:rPr>
                <w:rFonts w:ascii="宋体" w:hAnsi="宋体" w:cs="宋体" w:eastAsia="宋体" w:hint="default"/>
                <w:spacing w:val="-12"/>
                <w:sz w:val="21"/>
                <w:szCs w:val="21"/>
              </w:rPr>
              <w:t>）第 </w:t>
            </w:r>
            <w:r>
              <w:rPr>
                <w:rFonts w:ascii="宋体" w:hAnsi="宋体" w:cs="宋体" w:eastAsia="宋体" w:hint="default"/>
                <w:sz w:val="21"/>
                <w:szCs w:val="21"/>
              </w:rPr>
              <w:t>016</w:t>
            </w:r>
            <w:r>
              <w:rPr>
                <w:rFonts w:ascii="宋体" w:hAnsi="宋体" w:cs="宋体" w:eastAsia="宋体" w:hint="default"/>
                <w:spacing w:val="-86"/>
                <w:sz w:val="21"/>
                <w:szCs w:val="21"/>
              </w:rPr>
              <w:t> </w:t>
            </w:r>
            <w:r>
              <w:rPr>
                <w:rFonts w:ascii="宋体" w:hAnsi="宋体" w:cs="宋体" w:eastAsia="宋体" w:hint="default"/>
                <w:spacing w:val="-16"/>
                <w:sz w:val="21"/>
                <w:szCs w:val="21"/>
              </w:rPr>
              <w:t>号《关</w:t>
            </w:r>
            <w:r>
              <w:rPr>
                <w:rFonts w:ascii="宋体" w:hAnsi="宋体" w:cs="宋体" w:eastAsia="宋体" w:hint="default"/>
                <w:w w:val="100"/>
                <w:sz w:val="21"/>
                <w:szCs w:val="21"/>
              </w:rPr>
              <w:t> </w:t>
            </w:r>
            <w:r>
              <w:rPr>
                <w:rFonts w:ascii="宋体" w:hAnsi="宋体" w:cs="宋体" w:eastAsia="宋体" w:hint="default"/>
                <w:sz w:val="21"/>
                <w:szCs w:val="21"/>
              </w:rPr>
              <w:t>于荣科科技股份有限公</w:t>
            </w:r>
            <w:r>
              <w:rPr>
                <w:rFonts w:ascii="宋体" w:hAnsi="宋体" w:cs="宋体" w:eastAsia="宋体" w:hint="default"/>
                <w:w w:val="100"/>
                <w:sz w:val="21"/>
                <w:szCs w:val="21"/>
              </w:rPr>
              <w:t> </w:t>
            </w:r>
            <w:r>
              <w:rPr>
                <w:rFonts w:ascii="宋体" w:hAnsi="宋体" w:cs="宋体" w:eastAsia="宋体" w:hint="default"/>
                <w:sz w:val="21"/>
                <w:szCs w:val="21"/>
              </w:rPr>
              <w:t>司了解租金项目资产评</w:t>
            </w:r>
            <w:r>
              <w:rPr>
                <w:rFonts w:ascii="宋体" w:hAnsi="宋体" w:cs="宋体" w:eastAsia="宋体" w:hint="default"/>
                <w:w w:val="100"/>
                <w:sz w:val="21"/>
                <w:szCs w:val="21"/>
              </w:rPr>
              <w:t> </w:t>
            </w:r>
            <w:r>
              <w:rPr>
                <w:rFonts w:ascii="宋体" w:hAnsi="宋体" w:cs="宋体" w:eastAsia="宋体" w:hint="default"/>
                <w:sz w:val="21"/>
                <w:szCs w:val="21"/>
              </w:rPr>
              <w:t>估报告书》确认的荣科</w:t>
            </w:r>
            <w:r>
              <w:rPr>
                <w:rFonts w:ascii="宋体" w:hAnsi="宋体" w:cs="宋体" w:eastAsia="宋体" w:hint="default"/>
                <w:w w:val="100"/>
                <w:sz w:val="21"/>
                <w:szCs w:val="21"/>
              </w:rPr>
              <w:t> </w:t>
            </w:r>
            <w:r>
              <w:rPr>
                <w:rFonts w:ascii="宋体" w:hAnsi="宋体" w:cs="宋体" w:eastAsia="宋体" w:hint="default"/>
                <w:sz w:val="21"/>
                <w:szCs w:val="21"/>
              </w:rPr>
              <w:t>公司现办公用房——乳</w:t>
            </w:r>
            <w:r>
              <w:rPr>
                <w:rFonts w:ascii="宋体" w:hAnsi="宋体" w:cs="宋体" w:eastAsia="宋体" w:hint="default"/>
                <w:w w:val="100"/>
                <w:sz w:val="21"/>
                <w:szCs w:val="21"/>
              </w:rPr>
              <w:t> </w:t>
            </w:r>
            <w:r>
              <w:rPr>
                <w:rFonts w:ascii="宋体" w:hAnsi="宋体" w:cs="宋体" w:eastAsia="宋体" w:hint="default"/>
                <w:sz w:val="21"/>
                <w:szCs w:val="21"/>
              </w:rPr>
              <w:t>业大厦</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3-10</w:t>
            </w:r>
            <w:r>
              <w:rPr>
                <w:rFonts w:ascii="宋体" w:hAnsi="宋体" w:cs="宋体" w:eastAsia="宋体" w:hint="default"/>
                <w:spacing w:val="-55"/>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w w:val="100"/>
                <w:sz w:val="21"/>
                <w:szCs w:val="21"/>
              </w:rPr>
              <w:t> </w:t>
            </w:r>
            <w:r>
              <w:rPr>
                <w:rFonts w:ascii="宋体" w:hAnsi="宋体" w:cs="宋体" w:eastAsia="宋体" w:hint="default"/>
                <w:sz w:val="21"/>
                <w:szCs w:val="21"/>
              </w:rPr>
              <w:t>年度的免除租金费用，</w:t>
            </w:r>
            <w:r>
              <w:rPr>
                <w:rFonts w:ascii="宋体" w:hAnsi="宋体" w:cs="宋体" w:eastAsia="宋体" w:hint="default"/>
                <w:w w:val="100"/>
                <w:sz w:val="21"/>
                <w:szCs w:val="21"/>
              </w:rPr>
              <w:t> </w:t>
            </w:r>
            <w:r>
              <w:rPr>
                <w:rFonts w:ascii="宋体" w:hAnsi="宋体" w:cs="宋体" w:eastAsia="宋体" w:hint="default"/>
                <w:sz w:val="21"/>
                <w:szCs w:val="21"/>
              </w:rPr>
              <w:t>本事项所涉及内容详见</w:t>
            </w:r>
            <w:r>
              <w:rPr>
                <w:rFonts w:ascii="宋体" w:hAnsi="宋体" w:cs="宋体" w:eastAsia="宋体" w:hint="default"/>
                <w:w w:val="100"/>
                <w:sz w:val="21"/>
                <w:szCs w:val="21"/>
              </w:rPr>
              <w:t> </w:t>
            </w:r>
            <w:r>
              <w:rPr>
                <w:rFonts w:ascii="宋体" w:hAnsi="宋体" w:cs="宋体" w:eastAsia="宋体" w:hint="default"/>
                <w:spacing w:val="-25"/>
                <w:w w:val="100"/>
                <w:sz w:val="21"/>
                <w:szCs w:val="21"/>
              </w:rPr>
              <w:t>本附注十、（三）。</w:t>
            </w: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sz w:val="21"/>
              </w:rPr>
              <w:t>961,597.77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1,183,630.80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351,054.96</w:t>
            </w: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204,000.25</w:t>
            </w: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sz w:val="21"/>
              </w:rPr>
              <w:t>4,739,787.39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6,707,241.20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sz w:val="21"/>
              </w:rPr>
              <w:t>2,933,385.29</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r>
    </w:tbl>
    <w:p>
      <w:pPr>
        <w:pStyle w:val="BodyText"/>
        <w:spacing w:line="273" w:lineRule="exact" w:before="86"/>
        <w:ind w:left="573" w:right="0"/>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49"/>
        </w:rPr>
        <w:t> </w:t>
      </w:r>
      <w:r>
        <w:rPr>
          <w:spacing w:val="-2"/>
        </w:rPr>
        <w:t>号——非经常性损益》定义界定的非经常</w:t>
      </w:r>
    </w:p>
    <w:p>
      <w:pPr>
        <w:pStyle w:val="BodyText"/>
        <w:spacing w:line="240" w:lineRule="auto"/>
        <w:ind w:right="140"/>
        <w:jc w:val="left"/>
      </w:pPr>
      <w:r>
        <w:rPr/>
        <w:t>性损益项目，以及把《公开发行证券的公司信息披露解释性公告第</w:t>
      </w:r>
      <w:r>
        <w:rPr>
          <w:spacing w:val="-65"/>
        </w:rPr>
        <w:t> </w:t>
      </w:r>
      <w:r>
        <w:rPr>
          <w:rFonts w:ascii="宋体" w:hAnsi="宋体" w:cs="宋体" w:eastAsia="宋体" w:hint="default"/>
        </w:rPr>
        <w:t>1</w:t>
      </w:r>
      <w:r>
        <w:rPr>
          <w:rFonts w:ascii="宋体" w:hAnsi="宋体" w:cs="宋体" w:eastAsia="宋体" w:hint="default"/>
          <w:spacing w:val="-66"/>
        </w:rPr>
        <w:t> </w:t>
      </w:r>
      <w:r>
        <w:rPr/>
        <w:t>号——非经常性损益》中列举的非经</w:t>
      </w:r>
      <w:r>
        <w:rPr>
          <w:w w:val="100"/>
        </w:rPr>
        <w:t> </w:t>
      </w:r>
      <w:r>
        <w:rPr/>
        <w:t>常性损益项目界定为经常性损益的项目，应说明原因</w:t>
      </w:r>
    </w:p>
    <w:p>
      <w:pPr>
        <w:spacing w:line="400" w:lineRule="auto" w:before="0"/>
        <w:ind w:left="152" w:right="7569" w:firstLine="42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4"/>
          <w:szCs w:val="24"/>
        </w:rPr>
        <w:t>四、重大风险提示</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、市场竞争风险</w:t>
      </w:r>
      <w:r>
        <w:rPr>
          <w:rFonts w:ascii="宋体" w:hAnsi="宋体" w:cs="宋体" w:eastAsia="宋体" w:hint="default"/>
          <w:sz w:val="21"/>
          <w:szCs w:val="21"/>
        </w:rPr>
      </w:r>
    </w:p>
    <w:p>
      <w:pPr>
        <w:pStyle w:val="BodyText"/>
        <w:spacing w:line="237" w:lineRule="auto" w:before="43"/>
        <w:ind w:right="146" w:firstLine="420"/>
        <w:jc w:val="both"/>
      </w:pPr>
      <w:r>
        <w:rPr>
          <w:spacing w:val="-2"/>
        </w:rPr>
        <w:t>公司从事的主要业务包括：数据中心第三方服务、重点行业信息化解决方案、金融</w:t>
      </w:r>
      <w:r>
        <w:rPr>
          <w:rFonts w:ascii="宋体" w:hAnsi="宋体" w:cs="宋体" w:eastAsia="宋体" w:hint="default"/>
          <w:spacing w:val="-2"/>
        </w:rPr>
        <w:t>IT</w:t>
      </w:r>
      <w:r>
        <w:rPr>
          <w:spacing w:val="-2"/>
        </w:rPr>
        <w:t>外包服务等。经</w:t>
      </w:r>
      <w:r>
        <w:rPr>
          <w:w w:val="100"/>
        </w:rPr>
        <w:t> </w:t>
      </w:r>
      <w:r>
        <w:rPr>
          <w:spacing w:val="-2"/>
        </w:rPr>
        <w:t>过多年的努力与积累，公司形成了成熟的商业经营模式，培养了稳定的客户群体，已成为东北区域具有竞</w:t>
      </w:r>
      <w:r>
        <w:rPr>
          <w:spacing w:val="-45"/>
        </w:rPr>
        <w:t> </w:t>
      </w:r>
      <w:r>
        <w:rPr>
          <w:spacing w:val="-45"/>
        </w:rPr>
      </w:r>
      <w:r>
        <w:rPr>
          <w:spacing w:val="-2"/>
        </w:rPr>
        <w:t>争优势的</w:t>
      </w:r>
      <w:r>
        <w:rPr>
          <w:rFonts w:ascii="宋体" w:hAnsi="宋体" w:cs="宋体" w:eastAsia="宋体" w:hint="default"/>
          <w:spacing w:val="-2"/>
        </w:rPr>
        <w:t>IT</w:t>
      </w:r>
      <w:r>
        <w:rPr>
          <w:spacing w:val="-2"/>
        </w:rPr>
        <w:t>服务提供商之一。但随着客户对</w:t>
      </w:r>
      <w:r>
        <w:rPr>
          <w:rFonts w:ascii="宋体" w:hAnsi="宋体" w:cs="宋体" w:eastAsia="宋体" w:hint="default"/>
          <w:spacing w:val="-2"/>
        </w:rPr>
        <w:t>IT</w:t>
      </w:r>
      <w:r>
        <w:rPr>
          <w:spacing w:val="-2"/>
        </w:rPr>
        <w:t>服务需求的不断升级，新进入的市场竞争者不断增多，行业</w:t>
      </w:r>
      <w:r>
        <w:rPr>
          <w:spacing w:val="-39"/>
        </w:rPr>
        <w:t> </w:t>
      </w:r>
      <w:r>
        <w:rPr>
          <w:spacing w:val="-39"/>
        </w:rPr>
      </w:r>
      <w:r>
        <w:rPr>
          <w:spacing w:val="-2"/>
        </w:rPr>
        <w:t>竞争将进一步加剧。如果公司不能正确判断和准确把握行业的市场动态，并将成功的商业模式复制，或不</w:t>
      </w:r>
      <w:r>
        <w:rPr>
          <w:spacing w:val="-43"/>
        </w:rPr>
        <w:t> </w:t>
      </w:r>
      <w:r>
        <w:rPr>
          <w:spacing w:val="-43"/>
        </w:rPr>
      </w:r>
      <w:r>
        <w:rPr>
          <w:spacing w:val="-2"/>
        </w:rPr>
        <w:t>能根据客户需求变化以及技术进步及时进行技术创新和业务模式创新以提高公司竞争力，公司则存在被竞</w:t>
      </w:r>
      <w:r>
        <w:rPr>
          <w:spacing w:val="-43"/>
        </w:rPr>
        <w:t> </w:t>
      </w:r>
      <w:r>
        <w:rPr>
          <w:spacing w:val="-43"/>
        </w:rPr>
      </w:r>
      <w:r>
        <w:rPr/>
        <w:t>争对手超越的风险。</w:t>
      </w:r>
    </w:p>
    <w:p>
      <w:pPr>
        <w:pStyle w:val="Heading5"/>
        <w:spacing w:line="240" w:lineRule="auto" w:before="92"/>
        <w:ind w:right="142"/>
        <w:jc w:val="left"/>
        <w:rPr>
          <w:b w:val="0"/>
          <w:bCs w:val="0"/>
        </w:rPr>
      </w:pPr>
      <w:r>
        <w:rPr>
          <w:rFonts w:ascii="宋体" w:hAnsi="宋体" w:cs="宋体" w:eastAsia="宋体" w:hint="default"/>
        </w:rPr>
        <w:t>2</w:t>
      </w:r>
      <w:r>
        <w:rPr/>
        <w:t>、季节性波动的风险</w:t>
      </w:r>
      <w:r>
        <w:rPr>
          <w:b w:val="0"/>
          <w:bCs w:val="0"/>
        </w:rPr>
      </w:r>
    </w:p>
    <w:p>
      <w:pPr>
        <w:spacing w:line="240" w:lineRule="auto" w:before="0"/>
        <w:rPr>
          <w:rFonts w:ascii="宋体" w:hAnsi="宋体" w:cs="宋体" w:eastAsia="宋体" w:hint="default"/>
          <w:b/>
          <w:bCs/>
          <w:sz w:val="14"/>
          <w:szCs w:val="14"/>
        </w:rPr>
      </w:pPr>
    </w:p>
    <w:p>
      <w:pPr>
        <w:pStyle w:val="BodyText"/>
        <w:spacing w:line="237" w:lineRule="auto"/>
        <w:ind w:right="125" w:firstLine="420"/>
        <w:jc w:val="both"/>
      </w:pPr>
      <w:r>
        <w:rPr>
          <w:spacing w:val="-2"/>
        </w:rPr>
        <w:t>公司的主要客户集中在金融、社保医疗、电力、电信、交通运输等行业及政府部门，这些客户通常采</w:t>
      </w:r>
      <w:r>
        <w:rPr>
          <w:w w:val="100"/>
        </w:rPr>
        <w:t> </w:t>
      </w:r>
      <w:r>
        <w:rPr>
          <w:spacing w:val="-2"/>
        </w:rPr>
        <w:t>取预算管理和产品集中采购制度，一般为当年四季度及次年一季度制订次年年度预算和投资计划，立项、</w:t>
      </w:r>
      <w:r>
        <w:rPr>
          <w:spacing w:val="-21"/>
        </w:rPr>
        <w:t> </w:t>
      </w:r>
      <w:r>
        <w:rPr>
          <w:spacing w:val="-21"/>
        </w:rPr>
      </w:r>
      <w:r>
        <w:rPr>
          <w:spacing w:val="-2"/>
        </w:rPr>
        <w:t>招标通常集中在次年上半年，其招标、采购和实施具有明显的季节性特征。公司除数据中心运营维护服务</w:t>
      </w:r>
      <w:r>
        <w:rPr>
          <w:spacing w:val="-42"/>
        </w:rPr>
        <w:t> </w:t>
      </w:r>
      <w:r>
        <w:rPr>
          <w:spacing w:val="-42"/>
        </w:rPr>
      </w:r>
      <w:r>
        <w:rPr>
          <w:spacing w:val="-2"/>
        </w:rPr>
        <w:t>和产品化软件销售以外，其余各项业务受到客户的预算管理制度、招投标流程和项目实施周期等因素的影</w:t>
      </w:r>
      <w:r>
        <w:rPr>
          <w:spacing w:val="-42"/>
        </w:rPr>
        <w:t> </w:t>
      </w:r>
      <w:r>
        <w:rPr>
          <w:spacing w:val="-42"/>
        </w:rPr>
      </w:r>
      <w:r>
        <w:rPr>
          <w:spacing w:val="-2"/>
        </w:rPr>
        <w:t>响。公司的收入呈现较明显的季节性特征，主要在四季度实现，导致公司存在业绩及经营活动现金流季节</w:t>
      </w:r>
      <w:r>
        <w:rPr>
          <w:spacing w:val="-43"/>
        </w:rPr>
        <w:t> </w:t>
      </w:r>
      <w:r>
        <w:rPr>
          <w:spacing w:val="-43"/>
        </w:rPr>
      </w:r>
      <w:r>
        <w:rPr/>
        <w:t>性波动的风险。</w:t>
      </w:r>
    </w:p>
    <w:p>
      <w:pPr>
        <w:spacing w:after="0" w:line="237" w:lineRule="auto"/>
        <w:jc w:val="both"/>
        <w:sectPr>
          <w:pgSz w:w="11910" w:h="16840"/>
          <w:pgMar w:header="566" w:footer="979" w:top="136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64964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right="0"/>
        <w:jc w:val="both"/>
        <w:rPr>
          <w:b w:val="0"/>
          <w:bCs w:val="0"/>
        </w:rPr>
      </w:pPr>
      <w:r>
        <w:rPr>
          <w:rFonts w:ascii="宋体" w:hAnsi="宋体" w:cs="宋体" w:eastAsia="宋体" w:hint="default"/>
        </w:rPr>
        <w:t>3</w:t>
      </w:r>
      <w:r>
        <w:rPr/>
        <w:t>、人力资源风险</w:t>
      </w:r>
      <w:r>
        <w:rPr>
          <w:b w:val="0"/>
          <w:bCs w:val="0"/>
        </w:rPr>
      </w:r>
    </w:p>
    <w:p>
      <w:pPr>
        <w:spacing w:line="240" w:lineRule="auto" w:before="0"/>
        <w:rPr>
          <w:rFonts w:ascii="宋体" w:hAnsi="宋体" w:cs="宋体" w:eastAsia="宋体" w:hint="default"/>
          <w:b/>
          <w:bCs/>
          <w:sz w:val="14"/>
          <w:szCs w:val="14"/>
        </w:rPr>
      </w:pPr>
    </w:p>
    <w:p>
      <w:pPr>
        <w:pStyle w:val="BodyText"/>
        <w:spacing w:line="237" w:lineRule="auto"/>
        <w:ind w:right="146" w:firstLine="422"/>
        <w:jc w:val="both"/>
      </w:pPr>
      <w:r>
        <w:rPr>
          <w:spacing w:val="-2"/>
        </w:rPr>
        <w:t>科技以人为本，公司预实现持续稳定的发展，人才是关键要素之一。虽然公司一贯重视人才的引进和</w:t>
      </w:r>
      <w:r>
        <w:rPr>
          <w:w w:val="100"/>
        </w:rPr>
        <w:t> </w:t>
      </w:r>
      <w:r>
        <w:rPr>
          <w:spacing w:val="-2"/>
        </w:rPr>
        <w:t>培养，努力调动每一位员工的主动性、积极性，但随着行业内竞争的逐渐加剧，对于高素质人才的争夺会</w:t>
      </w:r>
      <w:r>
        <w:rPr>
          <w:spacing w:val="-47"/>
        </w:rPr>
        <w:t> </w:t>
      </w:r>
      <w:r>
        <w:rPr>
          <w:spacing w:val="-47"/>
        </w:rPr>
      </w:r>
      <w:r>
        <w:rPr/>
        <w:t>更加激烈，公司可能面临因竞争而流失人才的风险。</w:t>
      </w:r>
    </w:p>
    <w:p>
      <w:pPr>
        <w:spacing w:line="240" w:lineRule="auto" w:before="8"/>
        <w:rPr>
          <w:rFonts w:ascii="宋体" w:hAnsi="宋体" w:cs="宋体" w:eastAsia="宋体" w:hint="default"/>
          <w:sz w:val="14"/>
          <w:szCs w:val="14"/>
        </w:rPr>
      </w:pPr>
    </w:p>
    <w:p>
      <w:pPr>
        <w:pStyle w:val="BodyText"/>
        <w:spacing w:line="450" w:lineRule="atLeast"/>
        <w:ind w:left="573" w:right="142" w:hanging="421"/>
        <w:jc w:val="left"/>
      </w:pPr>
      <w:r>
        <w:rPr>
          <w:rFonts w:ascii="宋体" w:hAnsi="宋体" w:cs="宋体" w:eastAsia="宋体" w:hint="default"/>
          <w:b/>
          <w:bCs/>
        </w:rPr>
        <w:t>4</w:t>
      </w:r>
      <w:r>
        <w:rPr>
          <w:rFonts w:ascii="宋体" w:hAnsi="宋体" w:cs="宋体" w:eastAsia="宋体" w:hint="default"/>
          <w:b/>
          <w:bCs/>
        </w:rPr>
        <w:t>、经营管理风险</w:t>
      </w:r>
      <w:r>
        <w:rPr>
          <w:rFonts w:ascii="宋体" w:hAnsi="宋体" w:cs="宋体" w:eastAsia="宋体" w:hint="default"/>
          <w:b/>
          <w:bCs/>
          <w:spacing w:val="-104"/>
        </w:rPr>
        <w:t> </w:t>
      </w:r>
      <w:r>
        <w:rPr>
          <w:spacing w:val="-2"/>
        </w:rPr>
        <w:t>公司上市以来，随着业务规模的不断扩大和经营业绩的持续增长，建立了较为完善的内部控制体系。</w:t>
      </w:r>
    </w:p>
    <w:p>
      <w:pPr>
        <w:pStyle w:val="BodyText"/>
        <w:spacing w:line="237" w:lineRule="auto" w:before="1"/>
        <w:ind w:right="146"/>
        <w:jc w:val="both"/>
      </w:pPr>
      <w:r>
        <w:rPr>
          <w:spacing w:val="-2"/>
        </w:rPr>
        <w:t>但随着公司的快速发展和募集资金投资项目的实施，公司的业务规模和资产规模将迅速扩张，组织结构和</w:t>
      </w:r>
      <w:r>
        <w:rPr>
          <w:spacing w:val="-44"/>
        </w:rPr>
        <w:t> </w:t>
      </w:r>
      <w:r>
        <w:rPr>
          <w:spacing w:val="-44"/>
        </w:rPr>
      </w:r>
      <w:r>
        <w:rPr>
          <w:spacing w:val="-2"/>
        </w:rPr>
        <w:t>管理体系也将趋于复杂化和扩大化。如果公司董事会不能准确把握行业发展趋势，对经营管理作出错误的</w:t>
      </w:r>
      <w:r>
        <w:rPr>
          <w:spacing w:val="-41"/>
        </w:rPr>
        <w:t> </w:t>
      </w:r>
      <w:r>
        <w:rPr>
          <w:spacing w:val="-41"/>
        </w:rPr>
      </w:r>
      <w:r>
        <w:rPr/>
        <w:t>决策，可能会给公司带来经营管理上的风险。</w:t>
      </w:r>
    </w:p>
    <w:p>
      <w:pPr>
        <w:spacing w:after="0" w:line="237" w:lineRule="auto"/>
        <w:jc w:val="both"/>
        <w:sectPr>
          <w:headerReference w:type="default" r:id="rId14"/>
          <w:pgSz w:w="11910" w:h="16840"/>
          <w:pgMar w:header="884" w:footer="979" w:top="1100" w:bottom="1160" w:left="980" w:right="980"/>
        </w:sectPr>
      </w:pPr>
    </w:p>
    <w:p>
      <w:pPr>
        <w:spacing w:line="240" w:lineRule="auto" w:before="2"/>
        <w:rPr>
          <w:rFonts w:ascii="宋体" w:hAnsi="宋体" w:cs="宋体" w:eastAsia="宋体" w:hint="default"/>
          <w:sz w:val="25"/>
          <w:szCs w:val="25"/>
        </w:rPr>
      </w:pPr>
    </w:p>
    <w:p>
      <w:pPr>
        <w:pStyle w:val="Heading1"/>
        <w:spacing w:line="240" w:lineRule="auto"/>
        <w:ind w:right="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11"/>
        <w:rPr>
          <w:rFonts w:ascii="宋体" w:hAnsi="宋体" w:cs="宋体" w:eastAsia="宋体" w:hint="default"/>
          <w:b/>
          <w:bCs/>
          <w:sz w:val="29"/>
          <w:szCs w:val="29"/>
        </w:rPr>
      </w:pPr>
    </w:p>
    <w:p>
      <w:pPr>
        <w:pStyle w:val="Heading4"/>
        <w:spacing w:line="240" w:lineRule="auto" w:before="26"/>
        <w:ind w:right="142"/>
        <w:jc w:val="left"/>
        <w:rPr>
          <w:b w:val="0"/>
          <w:bCs w:val="0"/>
        </w:rPr>
      </w:pPr>
      <w:r>
        <w:rPr/>
        <w:t>一、管理层讨论与分析</w:t>
      </w:r>
      <w:r>
        <w:rPr>
          <w:b w:val="0"/>
          <w:bCs w:val="0"/>
        </w:rPr>
      </w:r>
    </w:p>
    <w:p>
      <w:pPr>
        <w:pStyle w:val="BodyText"/>
        <w:spacing w:line="237" w:lineRule="auto" w:before="206"/>
        <w:ind w:right="146" w:firstLine="420"/>
        <w:jc w:val="both"/>
      </w:pPr>
      <w:r>
        <w:rPr>
          <w:rFonts w:ascii="宋体" w:hAnsi="宋体" w:cs="宋体" w:eastAsia="宋体" w:hint="default"/>
          <w:spacing w:val="-2"/>
        </w:rPr>
        <w:t>2012</w:t>
      </w:r>
      <w:r>
        <w:rPr>
          <w:spacing w:val="-2"/>
        </w:rPr>
        <w:t>年是公司实现重大转折的一年，根据中国证监会</w:t>
      </w:r>
      <w:r>
        <w:rPr>
          <w:rFonts w:ascii="宋体" w:hAnsi="宋体" w:cs="宋体" w:eastAsia="宋体" w:hint="default"/>
          <w:spacing w:val="-2"/>
        </w:rPr>
        <w:t>[2011]2143</w:t>
      </w:r>
      <w:r>
        <w:rPr>
          <w:spacing w:val="-2"/>
        </w:rPr>
        <w:t>号文《关于核准荣科科技股份有限公</w:t>
      </w:r>
      <w:r>
        <w:rPr>
          <w:w w:val="100"/>
        </w:rPr>
        <w:t> </w:t>
      </w:r>
      <w:r>
        <w:rPr>
          <w:spacing w:val="-4"/>
          <w:w w:val="100"/>
        </w:rPr>
        <w:t>司首次公开发行股票并在创业板上市的批复》，</w:t>
      </w:r>
      <w:r>
        <w:rPr>
          <w:rFonts w:ascii="宋体" w:hAnsi="宋体" w:cs="宋体" w:eastAsia="宋体" w:hint="default"/>
          <w:spacing w:val="-4"/>
          <w:w w:val="100"/>
        </w:rPr>
        <w:t>2012</w:t>
      </w:r>
      <w:r>
        <w:rPr>
          <w:spacing w:val="-4"/>
          <w:w w:val="100"/>
        </w:rPr>
        <w:t>年</w:t>
      </w:r>
      <w:r>
        <w:rPr>
          <w:rFonts w:ascii="宋体" w:hAnsi="宋体" w:cs="宋体" w:eastAsia="宋体" w:hint="default"/>
          <w:spacing w:val="-4"/>
          <w:w w:val="100"/>
        </w:rPr>
        <w:t>2</w:t>
      </w:r>
      <w:r>
        <w:rPr>
          <w:spacing w:val="-4"/>
          <w:w w:val="100"/>
        </w:rPr>
        <w:t>月</w:t>
      </w:r>
      <w:r>
        <w:rPr>
          <w:rFonts w:ascii="宋体" w:hAnsi="宋体" w:cs="宋体" w:eastAsia="宋体" w:hint="default"/>
          <w:spacing w:val="-4"/>
          <w:w w:val="100"/>
        </w:rPr>
        <w:t>16</w:t>
      </w:r>
      <w:r>
        <w:rPr>
          <w:spacing w:val="-4"/>
          <w:w w:val="100"/>
        </w:rPr>
        <w:t>日，公司股票在深圳证券交易所创业板上市交</w:t>
      </w:r>
      <w:r>
        <w:rPr>
          <w:spacing w:val="-98"/>
          <w:w w:val="100"/>
        </w:rPr>
        <w:t> </w:t>
      </w:r>
      <w:r>
        <w:rPr>
          <w:spacing w:val="-98"/>
          <w:w w:val="100"/>
        </w:rPr>
      </w:r>
      <w:r>
        <w:rPr>
          <w:spacing w:val="-2"/>
        </w:rPr>
        <w:t>易，这是公司发展史上的重要里程碑，也是公司充满挑战的崭新起点。一年来，公司董事会承载着全体投</w:t>
      </w:r>
      <w:r>
        <w:rPr>
          <w:spacing w:val="-50"/>
        </w:rPr>
        <w:t> </w:t>
      </w:r>
      <w:r>
        <w:rPr>
          <w:spacing w:val="-50"/>
        </w:rPr>
      </w:r>
      <w:r>
        <w:rPr>
          <w:spacing w:val="-2"/>
        </w:rPr>
        <w:t>资者的希望，紧密围绕公司的战略规划及</w:t>
      </w:r>
      <w:r>
        <w:rPr>
          <w:rFonts w:ascii="宋体" w:hAnsi="宋体" w:cs="宋体" w:eastAsia="宋体" w:hint="default"/>
          <w:spacing w:val="-2"/>
        </w:rPr>
        <w:t>2012</w:t>
      </w:r>
      <w:r>
        <w:rPr>
          <w:spacing w:val="-2"/>
        </w:rPr>
        <w:t>年经营计划，夯实基础，积极进取，不断深挖客户需求、创</w:t>
      </w:r>
      <w:r>
        <w:rPr>
          <w:spacing w:val="-38"/>
        </w:rPr>
        <w:t> </w:t>
      </w:r>
      <w:r>
        <w:rPr>
          <w:spacing w:val="-38"/>
        </w:rPr>
      </w:r>
      <w:r>
        <w:rPr>
          <w:spacing w:val="-2"/>
        </w:rPr>
        <w:t>新业务模式、加强人才队伍建设、提升公司研发与服务能力，一方面进一步提高了公司在东北区域市场的</w:t>
      </w:r>
      <w:r>
        <w:rPr>
          <w:spacing w:val="-43"/>
        </w:rPr>
        <w:t> </w:t>
      </w:r>
      <w:r>
        <w:rPr>
          <w:spacing w:val="-43"/>
        </w:rPr>
      </w:r>
      <w:r>
        <w:rPr/>
        <w:t>知名度，另一方面积极开拓区域外市场，使公司在报告期内实现了持续稳定的发展。</w:t>
      </w:r>
    </w:p>
    <w:p>
      <w:pPr>
        <w:pStyle w:val="BodyText"/>
        <w:spacing w:line="390" w:lineRule="atLeast" w:before="4"/>
        <w:ind w:left="573" w:right="142" w:hanging="75"/>
        <w:jc w:val="left"/>
      </w:pPr>
      <w:r>
        <w:rPr>
          <w:rFonts w:ascii="宋体" w:hAnsi="宋体" w:cs="宋体" w:eastAsia="宋体" w:hint="default"/>
          <w:b/>
          <w:bCs/>
        </w:rPr>
        <w:t>（一）行业发展情况</w:t>
      </w:r>
      <w:r>
        <w:rPr>
          <w:rFonts w:ascii="宋体" w:hAnsi="宋体" w:cs="宋体" w:eastAsia="宋体" w:hint="default"/>
          <w:b/>
          <w:bCs/>
          <w:spacing w:val="-103"/>
        </w:rPr>
        <w:t> </w:t>
      </w:r>
      <w:r>
        <w:rPr>
          <w:spacing w:val="-2"/>
        </w:rPr>
        <w:t>国家工信部数据显示，</w:t>
      </w:r>
      <w:r>
        <w:rPr>
          <w:rFonts w:ascii="宋体" w:hAnsi="宋体" w:cs="宋体" w:eastAsia="宋体" w:hint="default"/>
          <w:spacing w:val="-2"/>
        </w:rPr>
        <w:t>2012</w:t>
      </w:r>
      <w:r>
        <w:rPr>
          <w:spacing w:val="-2"/>
        </w:rPr>
        <w:t>年软件产业服务化和网络化发展加速，使数据处理和运营服务类收入增长</w:t>
      </w:r>
    </w:p>
    <w:p>
      <w:pPr>
        <w:pStyle w:val="BodyText"/>
        <w:spacing w:line="272" w:lineRule="exact" w:before="26"/>
        <w:ind w:right="142"/>
        <w:jc w:val="left"/>
      </w:pPr>
      <w:r>
        <w:rPr>
          <w:spacing w:val="-2"/>
        </w:rPr>
        <w:t>突出、比重明显上升，</w:t>
      </w:r>
      <w:r>
        <w:rPr>
          <w:rFonts w:ascii="宋体" w:hAnsi="宋体" w:cs="宋体" w:eastAsia="宋体" w:hint="default"/>
          <w:spacing w:val="-2"/>
        </w:rPr>
        <w:t>1-12</w:t>
      </w:r>
      <w:r>
        <w:rPr>
          <w:spacing w:val="-2"/>
        </w:rPr>
        <w:t>月完成收入</w:t>
      </w:r>
      <w:r>
        <w:rPr>
          <w:rFonts w:ascii="宋体" w:hAnsi="宋体" w:cs="宋体" w:eastAsia="宋体" w:hint="default"/>
          <w:spacing w:val="-2"/>
        </w:rPr>
        <w:t>4,285</w:t>
      </w:r>
      <w:r>
        <w:rPr>
          <w:spacing w:val="-2"/>
        </w:rPr>
        <w:t>亿元，同比增长</w:t>
      </w:r>
      <w:r>
        <w:rPr>
          <w:rFonts w:ascii="宋体" w:hAnsi="宋体" w:cs="宋体" w:eastAsia="宋体" w:hint="default"/>
          <w:spacing w:val="-2"/>
        </w:rPr>
        <w:t>35.9%</w:t>
      </w:r>
      <w:r>
        <w:rPr>
          <w:spacing w:val="-2"/>
        </w:rPr>
        <w:t>，比重达</w:t>
      </w:r>
      <w:r>
        <w:rPr>
          <w:rFonts w:ascii="宋体" w:hAnsi="宋体" w:cs="宋体" w:eastAsia="宋体" w:hint="default"/>
          <w:spacing w:val="-2"/>
        </w:rPr>
        <w:t>17.1%</w:t>
      </w:r>
      <w:r>
        <w:rPr>
          <w:spacing w:val="-2"/>
        </w:rPr>
        <w:t>，比去年同期提高</w:t>
      </w:r>
      <w:r>
        <w:rPr>
          <w:rFonts w:ascii="宋体" w:hAnsi="宋体" w:cs="宋体" w:eastAsia="宋体" w:hint="default"/>
          <w:spacing w:val="-2"/>
        </w:rPr>
        <w:t>0.9</w:t>
      </w:r>
      <w:r>
        <w:rPr>
          <w:spacing w:val="-2"/>
        </w:rPr>
        <w:t>个</w:t>
      </w:r>
      <w:r>
        <w:rPr>
          <w:spacing w:val="-26"/>
        </w:rPr>
        <w:t> </w:t>
      </w:r>
      <w:r>
        <w:rPr/>
        <w:t>百分点。系统集成服务平稳增长，同比增长</w:t>
      </w:r>
      <w:r>
        <w:rPr>
          <w:rFonts w:ascii="宋体" w:hAnsi="宋体" w:cs="宋体" w:eastAsia="宋体" w:hint="default"/>
        </w:rPr>
        <w:t>24.8%</w:t>
      </w:r>
      <w:r>
        <w:rPr/>
        <w:t>。</w:t>
      </w:r>
    </w:p>
    <w:p>
      <w:pPr>
        <w:spacing w:line="240" w:lineRule="auto" w:before="7"/>
        <w:rPr>
          <w:rFonts w:ascii="宋体" w:hAnsi="宋体" w:cs="宋体" w:eastAsia="宋体" w:hint="default"/>
          <w:sz w:val="9"/>
          <w:szCs w:val="9"/>
        </w:rPr>
      </w:pPr>
    </w:p>
    <w:p>
      <w:pPr>
        <w:spacing w:line="4875" w:lineRule="exact"/>
        <w:ind w:left="153"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5277297" cy="30956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5277297" cy="3095625"/>
                    </a:xfrm>
                    <a:prstGeom prst="rect">
                      <a:avLst/>
                    </a:prstGeom>
                  </pic:spPr>
                </pic:pic>
              </a:graphicData>
            </a:graphic>
          </wp:inline>
        </w:drawing>
      </w:r>
      <w:r>
        <w:rPr>
          <w:rFonts w:ascii="宋体" w:hAnsi="宋体" w:cs="宋体" w:eastAsia="宋体" w:hint="default"/>
          <w:position w:val="-97"/>
          <w:sz w:val="20"/>
          <w:szCs w:val="20"/>
        </w:rPr>
      </w:r>
    </w:p>
    <w:p>
      <w:pPr>
        <w:spacing w:after="0" w:line="4875" w:lineRule="exact"/>
        <w:rPr>
          <w:rFonts w:ascii="宋体" w:hAnsi="宋体" w:cs="宋体" w:eastAsia="宋体" w:hint="default"/>
          <w:sz w:val="20"/>
          <w:szCs w:val="20"/>
        </w:rPr>
        <w:sectPr>
          <w:pgSz w:w="11910" w:h="16840"/>
          <w:pgMar w:header="884" w:footer="979" w:top="1100" w:bottom="1160" w:left="980" w:right="980"/>
        </w:sectPr>
      </w:pPr>
    </w:p>
    <w:p>
      <w:pPr>
        <w:spacing w:line="240" w:lineRule="auto" w:before="8"/>
        <w:rPr>
          <w:rFonts w:ascii="宋体" w:hAnsi="宋体" w:cs="宋体" w:eastAsia="宋体" w:hint="default"/>
          <w:sz w:val="24"/>
          <w:szCs w:val="24"/>
        </w:rPr>
      </w:pPr>
    </w:p>
    <w:p>
      <w:pPr>
        <w:pStyle w:val="Heading5"/>
        <w:spacing w:line="240" w:lineRule="auto"/>
        <w:ind w:left="498" w:right="-7"/>
        <w:jc w:val="left"/>
        <w:rPr>
          <w:b w:val="0"/>
          <w:bCs w:val="0"/>
        </w:rPr>
      </w:pPr>
      <w:r>
        <w:rPr>
          <w:spacing w:val="-1"/>
        </w:rPr>
        <w:t>（二）公司总体经营情况</w:t>
      </w:r>
      <w:r>
        <w:rPr>
          <w:b w:val="0"/>
          <w:bCs w:val="0"/>
          <w:spacing w:val="-1"/>
        </w:rPr>
      </w:r>
    </w:p>
    <w:p>
      <w:pPr>
        <w:spacing w:line="206" w:lineRule="exact" w:before="0"/>
        <w:ind w:left="49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2012</w:t>
      </w:r>
      <w:r>
        <w:rPr>
          <w:rFonts w:ascii="宋体" w:hAnsi="宋体" w:cs="宋体" w:eastAsia="宋体" w:hint="default"/>
          <w:sz w:val="18"/>
          <w:szCs w:val="18"/>
        </w:rPr>
        <w:t>年软件业子行业增速</w:t>
      </w:r>
    </w:p>
    <w:p>
      <w:pPr>
        <w:spacing w:after="0" w:line="206" w:lineRule="exact"/>
        <w:jc w:val="left"/>
        <w:rPr>
          <w:rFonts w:ascii="宋体" w:hAnsi="宋体" w:cs="宋体" w:eastAsia="宋体" w:hint="default"/>
          <w:sz w:val="18"/>
          <w:szCs w:val="18"/>
        </w:rPr>
        <w:sectPr>
          <w:type w:val="continuous"/>
          <w:pgSz w:w="11910" w:h="16840"/>
          <w:pgMar w:top="1100" w:bottom="1160" w:left="980" w:right="980"/>
          <w:cols w:num="2" w:equalWidth="0">
            <w:col w:w="2820" w:space="600"/>
            <w:col w:w="6530"/>
          </w:cols>
        </w:sectPr>
      </w:pPr>
    </w:p>
    <w:p>
      <w:pPr>
        <w:pStyle w:val="BodyText"/>
        <w:spacing w:line="237" w:lineRule="auto" w:before="119"/>
        <w:ind w:right="142" w:firstLine="420"/>
        <w:jc w:val="left"/>
      </w:pPr>
      <w:r>
        <w:rPr/>
        <w:pict>
          <v:group style="position:absolute;margin-left:54.84pt;margin-top:28.299982pt;width:485.65pt;height:40.15pt;mso-position-horizontal-relative:page;mso-position-vertical-relative:page;z-index:119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r>
        <w:rPr/>
        <w:t>报告期内，公司实现营业收入</w:t>
      </w:r>
      <w:r>
        <w:rPr>
          <w:rFonts w:ascii="宋体" w:hAnsi="宋体" w:cs="宋体" w:eastAsia="宋体" w:hint="default"/>
        </w:rPr>
        <w:t>33,473.43</w:t>
      </w:r>
      <w:r>
        <w:rPr/>
        <w:t>万元，同比增长</w:t>
      </w:r>
      <w:r>
        <w:rPr>
          <w:rFonts w:ascii="宋体" w:hAnsi="宋体" w:cs="宋体" w:eastAsia="宋体" w:hint="default"/>
        </w:rPr>
        <w:t>37.24%</w:t>
      </w:r>
      <w:r>
        <w:rPr/>
        <w:t>；归属于母公司所有者的净利润</w:t>
      </w:r>
      <w:r>
        <w:rPr>
          <w:w w:val="100"/>
        </w:rPr>
        <w:t> </w:t>
      </w:r>
      <w:r>
        <w:rPr>
          <w:rFonts w:ascii="宋体" w:hAnsi="宋体" w:cs="宋体" w:eastAsia="宋体" w:hint="default"/>
          <w:spacing w:val="-2"/>
        </w:rPr>
        <w:t>4,986.23</w:t>
      </w:r>
      <w:r>
        <w:rPr>
          <w:spacing w:val="-2"/>
        </w:rPr>
        <w:t>万元，同比增长</w:t>
      </w:r>
      <w:r>
        <w:rPr>
          <w:rFonts w:ascii="宋体" w:hAnsi="宋体" w:cs="宋体" w:eastAsia="宋体" w:hint="default"/>
          <w:spacing w:val="-2"/>
        </w:rPr>
        <w:t>11.13%</w:t>
      </w:r>
      <w:r>
        <w:rPr>
          <w:spacing w:val="-2"/>
        </w:rPr>
        <w:t>；归属于上市公司股东的每股净资产</w:t>
      </w:r>
      <w:r>
        <w:rPr>
          <w:rFonts w:ascii="宋体" w:hAnsi="宋体" w:cs="宋体" w:eastAsia="宋体" w:hint="default"/>
          <w:spacing w:val="-2"/>
        </w:rPr>
        <w:t>5.05</w:t>
      </w:r>
      <w:r>
        <w:rPr>
          <w:spacing w:val="-2"/>
        </w:rPr>
        <w:t>元；基本每股收益</w:t>
      </w:r>
      <w:r>
        <w:rPr>
          <w:rFonts w:ascii="宋体" w:hAnsi="宋体" w:cs="宋体" w:eastAsia="宋体" w:hint="default"/>
          <w:spacing w:val="-2"/>
        </w:rPr>
        <w:t>0.7652</w:t>
      </w:r>
      <w:r>
        <w:rPr>
          <w:spacing w:val="-2"/>
        </w:rPr>
        <w:t>元；加</w:t>
      </w:r>
      <w:r>
        <w:rPr>
          <w:spacing w:val="-26"/>
        </w:rPr>
        <w:t> </w:t>
      </w:r>
      <w:r>
        <w:rPr>
          <w:spacing w:val="-26"/>
        </w:rPr>
      </w:r>
      <w:r>
        <w:rPr/>
        <w:t>权平均净资产收益率为</w:t>
      </w:r>
      <w:r>
        <w:rPr>
          <w:rFonts w:ascii="宋体" w:hAnsi="宋体" w:cs="宋体" w:eastAsia="宋体" w:hint="default"/>
        </w:rPr>
        <w:t>16.65%</w:t>
      </w:r>
      <w:r>
        <w:rPr/>
        <w:t>。</w:t>
      </w:r>
    </w:p>
    <w:p>
      <w:pPr>
        <w:pStyle w:val="BodyText"/>
        <w:spacing w:line="394" w:lineRule="exact" w:before="46"/>
        <w:ind w:left="573" w:right="142" w:firstLine="2"/>
        <w:jc w:val="left"/>
      </w:pPr>
      <w:r>
        <w:rPr>
          <w:rFonts w:ascii="宋体" w:hAnsi="宋体" w:cs="宋体" w:eastAsia="宋体" w:hint="default"/>
          <w:b/>
          <w:bCs/>
        </w:rPr>
        <w:t>1</w:t>
      </w:r>
      <w:r>
        <w:rPr>
          <w:rFonts w:ascii="宋体" w:hAnsi="宋体" w:cs="宋体" w:eastAsia="宋体" w:hint="default"/>
          <w:b/>
          <w:bCs/>
        </w:rPr>
        <w:t>、市场开拓方面</w:t>
      </w:r>
      <w:r>
        <w:rPr>
          <w:rFonts w:ascii="宋体" w:hAnsi="宋体" w:cs="宋体" w:eastAsia="宋体" w:hint="default"/>
          <w:b/>
          <w:bCs/>
          <w:w w:val="100"/>
        </w:rPr>
        <w:t> </w:t>
      </w:r>
      <w:r>
        <w:rPr>
          <w:spacing w:val="-2"/>
        </w:rPr>
        <w:t>报告期内，公司继续以数据中心第三方服务、行业信息化解决方案、金融</w:t>
      </w:r>
      <w:r>
        <w:rPr>
          <w:rFonts w:ascii="宋体" w:hAnsi="宋体" w:cs="宋体" w:eastAsia="宋体" w:hint="default"/>
          <w:spacing w:val="-2"/>
        </w:rPr>
        <w:t>IT</w:t>
      </w:r>
      <w:r>
        <w:rPr>
          <w:spacing w:val="-2"/>
        </w:rPr>
        <w:t>外包服务为重点，持续提</w:t>
      </w:r>
    </w:p>
    <w:p>
      <w:pPr>
        <w:pStyle w:val="BodyText"/>
        <w:spacing w:line="221" w:lineRule="exact"/>
        <w:ind w:right="0"/>
        <w:jc w:val="both"/>
      </w:pPr>
      <w:r>
        <w:rPr/>
        <w:t>升市场竞争优势。一方面，在稳定东北市场的同时，着力发展西北、华北市场，进军西南市场，在贵州设</w:t>
      </w:r>
    </w:p>
    <w:p>
      <w:pPr>
        <w:pStyle w:val="BodyText"/>
        <w:spacing w:line="237" w:lineRule="auto" w:before="2"/>
        <w:ind w:right="146"/>
        <w:jc w:val="both"/>
      </w:pPr>
      <w:r>
        <w:rPr>
          <w:spacing w:val="-2"/>
        </w:rPr>
        <w:t>立了办事处。逐步搭建以东北、华北、西北为重点，覆盖全国主要地区的销售和服务网络，有效提升了公</w:t>
      </w:r>
      <w:r>
        <w:rPr>
          <w:spacing w:val="-43"/>
        </w:rPr>
        <w:t> </w:t>
      </w:r>
      <w:r>
        <w:rPr>
          <w:spacing w:val="-43"/>
        </w:rPr>
      </w:r>
      <w:r>
        <w:rPr>
          <w:spacing w:val="-2"/>
        </w:rPr>
        <w:t>司在国内市场的知名度。另一方面，公司销售团队与技术团队紧密配合，认真收集和分析用户需求，依托</w:t>
      </w:r>
      <w:r>
        <w:rPr>
          <w:spacing w:val="-50"/>
        </w:rPr>
        <w:t> </w:t>
      </w:r>
      <w:r>
        <w:rPr>
          <w:spacing w:val="-50"/>
        </w:rPr>
      </w:r>
      <w:r>
        <w:rPr>
          <w:spacing w:val="-2"/>
        </w:rPr>
        <w:t>公司的技术优势和行业经验，准确、快速地为客户推出以客户价值为核心的行业应用解决方案，以满足市</w:t>
      </w:r>
      <w:r>
        <w:rPr>
          <w:spacing w:val="-43"/>
        </w:rPr>
        <w:t> </w:t>
      </w:r>
      <w:r>
        <w:rPr>
          <w:spacing w:val="-43"/>
        </w:rPr>
      </w:r>
      <w:r>
        <w:rPr/>
        <w:t>场快速发展的需求；同时，不断挖掘客户的潜在需求，积极创造新的市场机会。</w:t>
      </w:r>
    </w:p>
    <w:p>
      <w:pPr>
        <w:spacing w:line="340" w:lineRule="auto" w:before="119"/>
        <w:ind w:left="678" w:right="142" w:hanging="104"/>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、技术创新与产品研发方面</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报告期内，公司继续加大在高可复用二次开发平台开发、数据挖掘分析、“大集中”模式业务处理</w:t>
      </w:r>
    </w:p>
    <w:p>
      <w:pPr>
        <w:spacing w:after="0" w:line="340" w:lineRule="auto"/>
        <w:jc w:val="left"/>
        <w:rPr>
          <w:rFonts w:ascii="宋体" w:hAnsi="宋体" w:cs="宋体" w:eastAsia="宋体" w:hint="default"/>
          <w:sz w:val="21"/>
          <w:szCs w:val="21"/>
        </w:rPr>
        <w:sectPr>
          <w:type w:val="continuous"/>
          <w:pgSz w:w="11910" w:h="16840"/>
          <w:pgMar w:top="110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121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37" w:lineRule="auto" w:before="38"/>
        <w:ind w:right="4"/>
        <w:jc w:val="left"/>
      </w:pPr>
      <w:r>
        <w:rPr>
          <w:spacing w:val="-2"/>
        </w:rPr>
        <w:t>等方面的投入。提升基于物联网技术、云计算、移动互联网应用等</w:t>
      </w:r>
      <w:r>
        <w:rPr>
          <w:rFonts w:ascii="宋体" w:hAnsi="宋体" w:cs="宋体" w:eastAsia="宋体" w:hint="default"/>
          <w:spacing w:val="-2"/>
        </w:rPr>
        <w:t>IT</w:t>
      </w:r>
      <w:r>
        <w:rPr>
          <w:spacing w:val="-2"/>
        </w:rPr>
        <w:t>行业先进技术的研究与使用化能力。</w:t>
      </w:r>
      <w:r>
        <w:rPr>
          <w:spacing w:val="-18"/>
        </w:rPr>
        <w:t> </w:t>
      </w:r>
      <w:r>
        <w:rPr>
          <w:spacing w:val="-18"/>
        </w:rPr>
      </w:r>
      <w:r>
        <w:rPr/>
        <w:t>公司在技术积累方面立项 </w:t>
      </w:r>
      <w:r>
        <w:rPr>
          <w:spacing w:val="-5"/>
        </w:rPr>
        <w:t>“基于</w:t>
      </w:r>
      <w:r>
        <w:rPr>
          <w:rFonts w:ascii="宋体" w:hAnsi="宋体" w:cs="宋体" w:eastAsia="宋体" w:hint="default"/>
          <w:spacing w:val="-5"/>
        </w:rPr>
        <w:t>JAVA</w:t>
      </w:r>
      <w:r>
        <w:rPr>
          <w:spacing w:val="-5"/>
        </w:rPr>
        <w:t>的二次开发平台”、“基于无线传感网络的定位与监控技术”、“基</w:t>
      </w:r>
      <w:r>
        <w:rPr>
          <w:spacing w:val="-59"/>
        </w:rPr>
        <w:t> </w:t>
      </w:r>
      <w:r>
        <w:rPr>
          <w:spacing w:val="-59"/>
        </w:rPr>
      </w:r>
      <w:r>
        <w:rPr/>
        <w:t>于二维码的区域以及室内</w:t>
      </w:r>
      <w:r>
        <w:rPr>
          <w:rFonts w:ascii="宋体" w:hAnsi="宋体" w:cs="宋体" w:eastAsia="宋体" w:hint="default"/>
        </w:rPr>
        <w:t>PDA</w:t>
      </w:r>
      <w:r>
        <w:rPr/>
        <w:t>导航技术”等基础技术研发，为公司未来发展奠定基础，进一步提高公司的</w:t>
      </w:r>
      <w:r>
        <w:rPr>
          <w:w w:val="100"/>
        </w:rPr>
        <w:t> </w:t>
      </w:r>
      <w:r>
        <w:rPr/>
        <w:t>核心竞争力。</w:t>
      </w:r>
    </w:p>
    <w:p>
      <w:pPr>
        <w:pStyle w:val="BodyText"/>
        <w:spacing w:line="237" w:lineRule="auto" w:before="1"/>
        <w:ind w:right="4" w:firstLine="422"/>
        <w:jc w:val="left"/>
      </w:pPr>
      <w:r>
        <w:rPr/>
        <w:t>在产品方面公司在继续保持社保民生投入的同时，加大在医疗卫生领域的研发投入。报告期内，公司</w:t>
      </w:r>
      <w:r>
        <w:rPr>
          <w:w w:val="100"/>
        </w:rPr>
        <w:t> </w:t>
      </w:r>
      <w:r>
        <w:rPr/>
        <w:t>自主研发了</w:t>
      </w:r>
      <w:r>
        <w:rPr>
          <w:spacing w:val="-4"/>
        </w:rPr>
        <w:t> </w:t>
      </w:r>
      <w:r>
        <w:rPr/>
        <w:t>“荣科社区数字化信息平台系统”、“荣科社保电子档案管理系统”、“荣科电子病历管理</w:t>
      </w:r>
      <w:r>
        <w:rPr>
          <w:w w:val="100"/>
        </w:rPr>
        <w:t> </w:t>
      </w:r>
      <w:r>
        <w:rPr>
          <w:spacing w:val="-5"/>
        </w:rPr>
        <w:t>系统”、“移动医疗信息管理系统”、“荣科检验信息管理系统”、“血液净化治疗中心智能管理系统”、 </w:t>
      </w:r>
      <w:r>
        <w:rPr>
          <w:spacing w:val="-5"/>
        </w:rPr>
      </w:r>
      <w:r>
        <w:rPr>
          <w:spacing w:val="-2"/>
        </w:rPr>
        <w:t>“荣科临床路径管理系统”、“荣科健康小屋自助式体检系统”、“掌上移动健康档案系统”、“全民一</w:t>
      </w:r>
      <w:r>
        <w:rPr>
          <w:spacing w:val="-47"/>
        </w:rPr>
        <w:t> </w:t>
      </w:r>
      <w:r>
        <w:rPr>
          <w:spacing w:val="-47"/>
        </w:rPr>
      </w:r>
      <w:r>
        <w:rPr/>
        <w:t>卡通信息管理系统”、“基层医疗信息管理系统”等软件产品。</w:t>
      </w:r>
    </w:p>
    <w:p>
      <w:pPr>
        <w:pStyle w:val="Heading5"/>
        <w:spacing w:line="240" w:lineRule="auto" w:before="116"/>
        <w:ind w:left="575" w:right="4"/>
        <w:jc w:val="left"/>
        <w:rPr>
          <w:b w:val="0"/>
          <w:bCs w:val="0"/>
        </w:rPr>
      </w:pPr>
      <w:r>
        <w:rPr>
          <w:rFonts w:ascii="宋体" w:hAnsi="宋体" w:cs="宋体" w:eastAsia="宋体" w:hint="default"/>
        </w:rPr>
        <w:t>3</w:t>
      </w:r>
      <w:r>
        <w:rPr/>
        <w:t>、人力资源方面</w:t>
      </w:r>
      <w:r>
        <w:rPr>
          <w:b w:val="0"/>
          <w:bCs w:val="0"/>
        </w:rPr>
      </w:r>
    </w:p>
    <w:p>
      <w:pPr>
        <w:pStyle w:val="BodyText"/>
        <w:spacing w:line="237" w:lineRule="auto" w:before="121"/>
        <w:ind w:right="206" w:firstLine="422"/>
        <w:jc w:val="both"/>
      </w:pPr>
      <w:r>
        <w:rPr>
          <w:rFonts w:ascii="宋体" w:hAnsi="宋体" w:cs="宋体" w:eastAsia="宋体" w:hint="default"/>
          <w:spacing w:val="-2"/>
        </w:rPr>
        <w:t>2012</w:t>
      </w:r>
      <w:r>
        <w:rPr>
          <w:spacing w:val="-2"/>
        </w:rPr>
        <w:t>年是公司人力资源发展至关重要的一年。公司聘请专业的顾问团队，为公司持续稳健发展提供有</w:t>
      </w:r>
      <w:r>
        <w:rPr>
          <w:w w:val="100"/>
        </w:rPr>
        <w:t> </w:t>
      </w:r>
      <w:r>
        <w:rPr>
          <w:spacing w:val="-2"/>
        </w:rPr>
        <w:t>力的专业支持，强化管理与业务相辅相成的发展趋势，开拓管理者的战略思路及视野；公司引进多名技术</w:t>
      </w:r>
      <w:r>
        <w:rPr>
          <w:spacing w:val="-44"/>
        </w:rPr>
        <w:t> </w:t>
      </w:r>
      <w:r>
        <w:rPr>
          <w:spacing w:val="-44"/>
        </w:rPr>
      </w:r>
      <w:r>
        <w:rPr>
          <w:spacing w:val="-2"/>
        </w:rPr>
        <w:t>管理类高端人才，强化行业内的技术领先地位，为公司技术研发提供强大的后盾支持；公司还为员工提供</w:t>
      </w:r>
      <w:r>
        <w:rPr>
          <w:spacing w:val="-45"/>
        </w:rPr>
        <w:t> </w:t>
      </w:r>
      <w:r>
        <w:rPr>
          <w:spacing w:val="-45"/>
        </w:rPr>
      </w:r>
      <w:r>
        <w:rPr>
          <w:spacing w:val="-2"/>
        </w:rPr>
        <w:t>各类专业培训及外出学习观摩的机会，不断提高员工专业能力及综合素质，开拓员工专业视野，同时畅通</w:t>
      </w:r>
      <w:r>
        <w:rPr>
          <w:spacing w:val="-42"/>
        </w:rPr>
        <w:t> </w:t>
      </w:r>
      <w:r>
        <w:rPr>
          <w:spacing w:val="-42"/>
        </w:rPr>
      </w:r>
      <w:r>
        <w:rPr/>
        <w:t>员工职业发展通道，为员工的职业生涯发展提供广阔的平台。</w:t>
      </w:r>
    </w:p>
    <w:p>
      <w:pPr>
        <w:pStyle w:val="BodyText"/>
        <w:spacing w:line="237" w:lineRule="auto"/>
        <w:ind w:right="206" w:firstLine="420"/>
        <w:jc w:val="both"/>
      </w:pPr>
      <w:r>
        <w:rPr>
          <w:spacing w:val="-2"/>
        </w:rPr>
        <w:t>报告期内，公司规范管理者任职管理，建立岗位任职标准，将储备培养的概念扩大至员工能力的储备</w:t>
      </w:r>
      <w:r>
        <w:rPr>
          <w:w w:val="100"/>
        </w:rPr>
        <w:t> </w:t>
      </w:r>
      <w:r>
        <w:rPr>
          <w:spacing w:val="-2"/>
        </w:rPr>
        <w:t>与提升。不仅培养公司管理者的储备队伍，而且增强员工的岗位能力，提高员工的整体能力水平。公司不</w:t>
      </w:r>
      <w:r>
        <w:rPr>
          <w:spacing w:val="-50"/>
        </w:rPr>
        <w:t> </w:t>
      </w:r>
      <w:r>
        <w:rPr>
          <w:spacing w:val="-50"/>
        </w:rPr>
      </w:r>
      <w:r>
        <w:rPr>
          <w:spacing w:val="-2"/>
        </w:rPr>
        <w:t>断完善员工培训与职业生涯发展体系，提高员工的企业归属感与幸福感，不断为企业的发展创新提供强大</w:t>
      </w:r>
      <w:r>
        <w:rPr>
          <w:spacing w:val="-44"/>
        </w:rPr>
        <w:t> </w:t>
      </w:r>
      <w:r>
        <w:rPr>
          <w:spacing w:val="-44"/>
        </w:rPr>
      </w:r>
      <w:r>
        <w:rPr/>
        <w:t>的人力资源保障体系。</w:t>
      </w:r>
    </w:p>
    <w:p>
      <w:pPr>
        <w:spacing w:line="394" w:lineRule="exact" w:before="46"/>
        <w:ind w:left="573" w:right="4"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、内部控制与管理方面</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报告期内，公司相对完善的治理结构、风险导向的管理理念、明确的组织机构、职能职责、分配与授</w:t>
      </w:r>
    </w:p>
    <w:p>
      <w:pPr>
        <w:pStyle w:val="BodyText"/>
        <w:spacing w:line="220" w:lineRule="exact"/>
        <w:ind w:right="4"/>
        <w:jc w:val="left"/>
      </w:pPr>
      <w:r>
        <w:rPr/>
        <w:t>权体系，为公司建立了一个良好的内部控制环境；公司的内控措施基本覆盖了现阶段的主要业务环节，控</w:t>
      </w:r>
    </w:p>
    <w:p>
      <w:pPr>
        <w:pStyle w:val="BodyText"/>
        <w:spacing w:line="240" w:lineRule="auto"/>
        <w:ind w:right="4"/>
        <w:jc w:val="left"/>
      </w:pPr>
      <w:r>
        <w:rPr>
          <w:spacing w:val="-2"/>
        </w:rPr>
        <w:t>制活动的针对性较高，控制过程及结果的信息传递比较顺畅、规范；公司制定了较为合理、有效的内部控</w:t>
      </w:r>
      <w:r>
        <w:rPr>
          <w:spacing w:val="-47"/>
        </w:rPr>
        <w:t> </w:t>
      </w:r>
      <w:r>
        <w:rPr>
          <w:spacing w:val="-47"/>
        </w:rPr>
      </w:r>
      <w:r>
        <w:rPr/>
        <w:t>制制度，各项内控制度在报告期内得到了有效的执行，切实保证了内部控制目标的完成。</w:t>
      </w:r>
    </w:p>
    <w:p>
      <w:pPr>
        <w:pStyle w:val="BodyText"/>
        <w:spacing w:line="394" w:lineRule="exact" w:before="46"/>
        <w:ind w:left="573" w:right="4" w:firstLine="2"/>
        <w:jc w:val="left"/>
      </w:pPr>
      <w:r>
        <w:rPr>
          <w:rFonts w:ascii="宋体" w:hAnsi="宋体" w:cs="宋体" w:eastAsia="宋体" w:hint="default"/>
          <w:b/>
          <w:bCs/>
        </w:rPr>
        <w:t>5</w:t>
      </w:r>
      <w:r>
        <w:rPr>
          <w:rFonts w:ascii="宋体" w:hAnsi="宋体" w:cs="宋体" w:eastAsia="宋体" w:hint="default"/>
          <w:b/>
          <w:bCs/>
        </w:rPr>
        <w:t>、募投项目方面</w:t>
      </w:r>
      <w:r>
        <w:rPr>
          <w:rFonts w:ascii="宋体" w:hAnsi="宋体" w:cs="宋体" w:eastAsia="宋体" w:hint="default"/>
          <w:b/>
          <w:bCs/>
          <w:w w:val="100"/>
        </w:rPr>
        <w:t> </w:t>
      </w:r>
      <w:r>
        <w:rPr>
          <w:spacing w:val="-2"/>
        </w:rPr>
        <w:t>公司募投项目主要包括：数据中心</w:t>
      </w:r>
      <w:r>
        <w:rPr>
          <w:rFonts w:ascii="宋体" w:hAnsi="宋体" w:cs="宋体" w:eastAsia="宋体" w:hint="default"/>
          <w:spacing w:val="-2"/>
        </w:rPr>
        <w:t>IT</w:t>
      </w:r>
      <w:r>
        <w:rPr>
          <w:spacing w:val="-2"/>
        </w:rPr>
        <w:t>服务能力提升及市场拓展项目、社保医疗行业信息化解决方案研</w:t>
      </w:r>
    </w:p>
    <w:p>
      <w:pPr>
        <w:pStyle w:val="BodyText"/>
        <w:spacing w:line="221" w:lineRule="exact"/>
        <w:ind w:right="4"/>
        <w:jc w:val="left"/>
      </w:pPr>
      <w:r>
        <w:rPr/>
        <w:t>发升级项目、金融</w:t>
      </w:r>
      <w:r>
        <w:rPr>
          <w:rFonts w:ascii="宋体" w:hAnsi="宋体" w:cs="宋体" w:eastAsia="宋体" w:hint="default"/>
        </w:rPr>
        <w:t>IT</w:t>
      </w:r>
      <w:r>
        <w:rPr/>
        <w:t>外包服务基地建设项目、其他与主营业务相关的营运资金。报告期内，公司募投项目</w:t>
      </w:r>
    </w:p>
    <w:p>
      <w:pPr>
        <w:pStyle w:val="BodyText"/>
        <w:spacing w:line="272" w:lineRule="exact" w:before="27"/>
        <w:ind w:left="573" w:right="4" w:hanging="421"/>
        <w:jc w:val="left"/>
      </w:pPr>
      <w:r>
        <w:rPr/>
        <w:t>有序进行，不存在变更募投项目方向的情形。</w:t>
      </w:r>
      <w:r>
        <w:rPr>
          <w:w w:val="100"/>
        </w:rPr>
        <w:t> </w:t>
      </w:r>
      <w:r>
        <w:rPr>
          <w:spacing w:val="-2"/>
        </w:rPr>
        <w:t>报告期内，公司按照《深圳证券交易所创业板上市规则》、《深圳证券交易所上市公司募集资金管理</w:t>
      </w:r>
    </w:p>
    <w:p>
      <w:pPr>
        <w:pStyle w:val="BodyText"/>
        <w:spacing w:line="272" w:lineRule="exact" w:before="1"/>
        <w:ind w:right="4"/>
        <w:jc w:val="left"/>
      </w:pPr>
      <w:r>
        <w:rPr>
          <w:spacing w:val="-2"/>
        </w:rPr>
        <w:t>办法》以及公司《募集资金管理制度》等法律、法规的相关要求，与保荐机构、银行签订了《募集资金三</w:t>
      </w:r>
      <w:r>
        <w:rPr>
          <w:spacing w:val="-47"/>
        </w:rPr>
        <w:t> </w:t>
      </w:r>
      <w:r>
        <w:rPr>
          <w:spacing w:val="-47"/>
        </w:rPr>
      </w:r>
      <w:r>
        <w:rPr/>
        <w:t>方</w:t>
      </w:r>
      <w:r>
        <w:rPr>
          <w:rFonts w:ascii="宋体" w:hAnsi="宋体" w:cs="宋体" w:eastAsia="宋体" w:hint="default"/>
        </w:rPr>
        <w:t>/</w:t>
      </w:r>
      <w:r>
        <w:rPr/>
        <w:t>四方监管协议》，对募投资金的存放与使用进行了严格的管理，有效保证了募投资金有的放矢，切实</w:t>
      </w:r>
    </w:p>
    <w:p>
      <w:pPr>
        <w:pStyle w:val="BodyText"/>
        <w:spacing w:line="249" w:lineRule="exact"/>
        <w:ind w:right="4"/>
        <w:jc w:val="left"/>
      </w:pPr>
      <w:r>
        <w:rPr/>
        <w:t>维护了投资者的合法权益。</w:t>
      </w:r>
    </w:p>
    <w:p>
      <w:pPr>
        <w:spacing w:line="240" w:lineRule="auto" w:before="9"/>
        <w:rPr>
          <w:rFonts w:ascii="宋体" w:hAnsi="宋体" w:cs="宋体" w:eastAsia="宋体" w:hint="default"/>
          <w:sz w:val="14"/>
          <w:szCs w:val="14"/>
        </w:rPr>
      </w:pPr>
    </w:p>
    <w:p>
      <w:pPr>
        <w:pStyle w:val="Heading4"/>
        <w:spacing w:line="240" w:lineRule="auto"/>
        <w:ind w:right="4"/>
        <w:jc w:val="left"/>
        <w:rPr>
          <w:b w:val="0"/>
          <w:bCs w:val="0"/>
        </w:rPr>
      </w:pPr>
      <w:r>
        <w:rPr/>
        <w:t>二、报告期内主要经营情况</w:t>
      </w:r>
      <w:r>
        <w:rPr>
          <w:b w:val="0"/>
          <w:bCs w:val="0"/>
        </w:rPr>
      </w:r>
    </w:p>
    <w:p>
      <w:pPr>
        <w:pStyle w:val="Heading5"/>
        <w:spacing w:line="240" w:lineRule="auto" w:before="204"/>
        <w:ind w:right="4"/>
        <w:jc w:val="left"/>
        <w:rPr>
          <w:b w:val="0"/>
          <w:bCs w:val="0"/>
        </w:rPr>
      </w:pPr>
      <w:r>
        <w:rPr>
          <w:rFonts w:ascii="宋体" w:hAnsi="宋体" w:cs="宋体" w:eastAsia="宋体" w:hint="default"/>
        </w:rPr>
        <w:t>1</w:t>
      </w:r>
      <w:r>
        <w:rPr/>
        <w:t>、主营业务分析</w:t>
      </w:r>
      <w:r>
        <w:rPr>
          <w:b w:val="0"/>
          <w:bCs w:val="0"/>
        </w:rPr>
      </w:r>
    </w:p>
    <w:p>
      <w:pPr>
        <w:spacing w:line="240" w:lineRule="auto" w:before="9"/>
        <w:rPr>
          <w:rFonts w:ascii="宋体" w:hAnsi="宋体" w:cs="宋体" w:eastAsia="宋体" w:hint="default"/>
          <w:b/>
          <w:bCs/>
          <w:sz w:val="17"/>
          <w:szCs w:val="17"/>
        </w:rPr>
      </w:pPr>
    </w:p>
    <w:p>
      <w:pPr>
        <w:pStyle w:val="Heading5"/>
        <w:spacing w:line="240" w:lineRule="auto"/>
        <w:ind w:right="4"/>
        <w:jc w:val="left"/>
        <w:rPr>
          <w:b w:val="0"/>
          <w:bCs w:val="0"/>
        </w:rPr>
      </w:pPr>
      <w:r>
        <w:rPr/>
        <w:t>（</w:t>
      </w:r>
      <w:r>
        <w:rPr>
          <w:rFonts w:ascii="宋体" w:hAnsi="宋体" w:cs="宋体" w:eastAsia="宋体" w:hint="default"/>
        </w:rPr>
        <w:t>1</w:t>
      </w:r>
      <w:r>
        <w:rPr/>
        <w:t>）收入</w:t>
      </w:r>
      <w:r>
        <w:rPr>
          <w:b w:val="0"/>
          <w:bCs w:val="0"/>
        </w:rPr>
      </w:r>
    </w:p>
    <w:p>
      <w:pPr>
        <w:pStyle w:val="BodyText"/>
        <w:spacing w:line="237" w:lineRule="auto" w:before="102"/>
        <w:ind w:right="4" w:firstLine="420"/>
        <w:jc w:val="left"/>
      </w:pPr>
      <w:r>
        <w:rPr/>
        <w:t>本公司的主营业务包括：数据中心第三方服务、重点行业信息化解决方案以及金融</w:t>
      </w:r>
      <w:r>
        <w:rPr>
          <w:rFonts w:ascii="宋体" w:hAnsi="宋体" w:cs="宋体" w:eastAsia="宋体" w:hint="default"/>
        </w:rPr>
        <w:t>IT</w:t>
      </w:r>
      <w:r>
        <w:rPr/>
        <w:t>外包服务。报告</w:t>
      </w:r>
      <w:r>
        <w:rPr>
          <w:w w:val="100"/>
        </w:rPr>
        <w:t> </w:t>
      </w:r>
      <w:r>
        <w:rPr>
          <w:spacing w:val="-2"/>
        </w:rPr>
        <w:t>期内公司各项主营业务收入保持着稳定的增长态势，其中：数据中心第三方服务实现收入</w:t>
      </w:r>
      <w:r>
        <w:rPr>
          <w:rFonts w:ascii="宋体" w:hAnsi="宋体" w:cs="宋体" w:eastAsia="宋体" w:hint="default"/>
          <w:spacing w:val="-2"/>
        </w:rPr>
        <w:t>15,277.00</w:t>
      </w:r>
      <w:r>
        <w:rPr>
          <w:spacing w:val="-2"/>
        </w:rPr>
        <w:t>万元，</w:t>
      </w:r>
      <w:r>
        <w:rPr>
          <w:spacing w:val="-35"/>
        </w:rPr>
        <w:t> </w:t>
      </w:r>
      <w:r>
        <w:rPr>
          <w:spacing w:val="-35"/>
        </w:rPr>
      </w:r>
      <w:r>
        <w:rPr>
          <w:spacing w:val="-2"/>
        </w:rPr>
        <w:t>同比增加</w:t>
      </w:r>
      <w:r>
        <w:rPr>
          <w:rFonts w:ascii="宋体" w:hAnsi="宋体" w:cs="宋体" w:eastAsia="宋体" w:hint="default"/>
          <w:spacing w:val="-2"/>
        </w:rPr>
        <w:t>10.32%</w:t>
      </w:r>
      <w:r>
        <w:rPr>
          <w:spacing w:val="-2"/>
        </w:rPr>
        <w:t>；重点行业信息化解决方案实现收入</w:t>
      </w:r>
      <w:r>
        <w:rPr>
          <w:rFonts w:ascii="宋体" w:hAnsi="宋体" w:cs="宋体" w:eastAsia="宋体" w:hint="default"/>
          <w:spacing w:val="-2"/>
        </w:rPr>
        <w:t>3879.27</w:t>
      </w:r>
      <w:r>
        <w:rPr>
          <w:spacing w:val="-2"/>
        </w:rPr>
        <w:t>万元，同比增加</w:t>
      </w:r>
      <w:r>
        <w:rPr>
          <w:rFonts w:ascii="宋体" w:hAnsi="宋体" w:cs="宋体" w:eastAsia="宋体" w:hint="default"/>
          <w:spacing w:val="-2"/>
        </w:rPr>
        <w:t>3.57%</w:t>
      </w:r>
      <w:r>
        <w:rPr>
          <w:spacing w:val="-2"/>
        </w:rPr>
        <w:t>；金融</w:t>
      </w:r>
      <w:r>
        <w:rPr>
          <w:rFonts w:ascii="宋体" w:hAnsi="宋体" w:cs="宋体" w:eastAsia="宋体" w:hint="default"/>
          <w:spacing w:val="-2"/>
        </w:rPr>
        <w:t>IT</w:t>
      </w:r>
      <w:r>
        <w:rPr>
          <w:spacing w:val="-2"/>
        </w:rPr>
        <w:t>外包服务实现</w:t>
      </w:r>
      <w:r>
        <w:rPr>
          <w:spacing w:val="-28"/>
        </w:rPr>
        <w:t> </w:t>
      </w:r>
      <w:r>
        <w:rPr>
          <w:spacing w:val="-28"/>
        </w:rPr>
      </w:r>
      <w:r>
        <w:rPr/>
        <w:t>收入</w:t>
      </w:r>
      <w:r>
        <w:rPr>
          <w:rFonts w:ascii="宋体" w:hAnsi="宋体" w:cs="宋体" w:eastAsia="宋体" w:hint="default"/>
        </w:rPr>
        <w:t>14,273.75</w:t>
      </w:r>
      <w:r>
        <w:rPr/>
        <w:t>万元，同比增加</w:t>
      </w:r>
      <w:r>
        <w:rPr>
          <w:rFonts w:ascii="宋体" w:hAnsi="宋体" w:cs="宋体" w:eastAsia="宋体" w:hint="default"/>
        </w:rPr>
        <w:t>123.51%</w:t>
      </w:r>
      <w:r>
        <w:rPr/>
        <w:t>。</w:t>
      </w:r>
    </w:p>
    <w:p>
      <w:pPr>
        <w:pStyle w:val="BodyText"/>
        <w:spacing w:line="273" w:lineRule="exact" w:before="119"/>
        <w:ind w:left="573" w:right="4"/>
        <w:jc w:val="left"/>
      </w:pPr>
      <w:r>
        <w:rPr/>
        <w:t>公司实物销售收入是否大于劳务收入</w:t>
      </w:r>
    </w:p>
    <w:p>
      <w:pPr>
        <w:pStyle w:val="BodyText"/>
        <w:spacing w:line="273" w:lineRule="exact"/>
        <w:ind w:left="573" w:right="4"/>
        <w:jc w:val="left"/>
      </w:pPr>
      <w:r>
        <w:rPr/>
        <w:t>□ 是 √ 否</w:t>
      </w:r>
    </w:p>
    <w:p>
      <w:pPr>
        <w:pStyle w:val="BodyText"/>
        <w:spacing w:line="274" w:lineRule="exact" w:before="116"/>
        <w:ind w:left="573" w:right="4"/>
        <w:jc w:val="left"/>
      </w:pPr>
      <w:r>
        <w:rPr/>
        <w:t>公司重大的在手订单情况</w:t>
      </w:r>
    </w:p>
    <w:p>
      <w:pPr>
        <w:pStyle w:val="BodyText"/>
        <w:spacing w:line="340" w:lineRule="auto"/>
        <w:ind w:left="573" w:right="7532"/>
        <w:jc w:val="left"/>
      </w:pPr>
      <w:r>
        <w:rPr/>
        <w:t>□ 适用 √</w:t>
      </w:r>
      <w:r>
        <w:rPr>
          <w:spacing w:val="-1"/>
        </w:rPr>
        <w:t> </w:t>
      </w:r>
      <w:r>
        <w:rPr/>
        <w:t>不适用</w:t>
      </w:r>
      <w:r>
        <w:rPr>
          <w:w w:val="100"/>
        </w:rPr>
        <w:t> </w:t>
      </w:r>
      <w:r>
        <w:rPr>
          <w:spacing w:val="-1"/>
        </w:rPr>
        <w:t>数量分散的订单情况</w:t>
      </w:r>
    </w:p>
    <w:p>
      <w:pPr>
        <w:spacing w:after="0" w:line="340" w:lineRule="auto"/>
        <w:jc w:val="left"/>
        <w:sectPr>
          <w:pgSz w:w="11910" w:h="16840"/>
          <w:pgMar w:header="884" w:footer="979" w:top="1100" w:bottom="1160" w:left="980" w:right="920"/>
        </w:sectPr>
      </w:pP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4" w:footer="979" w:top="1100" w:bottom="1160" w:left="980" w:right="960"/>
        </w:sectPr>
      </w:pPr>
    </w:p>
    <w:p>
      <w:pPr>
        <w:pStyle w:val="BodyText"/>
        <w:spacing w:line="240" w:lineRule="auto" w:before="36"/>
        <w:ind w:left="573" w:right="0"/>
        <w:jc w:val="left"/>
      </w:pPr>
      <w:r>
        <w:rPr/>
        <w:t>□ 适用 √ 不适用</w:t>
      </w:r>
    </w:p>
    <w:p>
      <w:pPr>
        <w:pStyle w:val="BodyText"/>
        <w:spacing w:line="274" w:lineRule="exact" w:before="116"/>
        <w:ind w:left="573" w:right="0"/>
        <w:jc w:val="left"/>
      </w:pPr>
      <w:r>
        <w:rPr>
          <w:spacing w:val="-2"/>
        </w:rPr>
        <w:t>公司报告期内产品或服务发生重大变化或调整有关情况</w:t>
      </w:r>
    </w:p>
    <w:p>
      <w:pPr>
        <w:pStyle w:val="BodyText"/>
        <w:spacing w:line="274" w:lineRule="exact"/>
        <w:ind w:left="573" w:right="0"/>
        <w:jc w:val="left"/>
      </w:pPr>
      <w:r>
        <w:rPr/>
        <w:t>□ 适用 √ 不适用</w:t>
      </w:r>
    </w:p>
    <w:p>
      <w:pPr>
        <w:pStyle w:val="Heading5"/>
        <w:spacing w:line="240" w:lineRule="auto" w:before="94"/>
        <w:ind w:right="0"/>
        <w:jc w:val="left"/>
        <w:rPr>
          <w:b w:val="0"/>
          <w:bCs w:val="0"/>
        </w:rPr>
      </w:pPr>
      <w:r>
        <w:rPr/>
        <w:t>（</w:t>
      </w:r>
      <w:r>
        <w:rPr>
          <w:rFonts w:ascii="宋体" w:hAnsi="宋体" w:cs="宋体" w:eastAsia="宋体" w:hint="default"/>
        </w:rPr>
        <w:t>2</w:t>
      </w:r>
      <w:r>
        <w:rPr/>
        <w:t>）成本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6"/>
        <w:ind w:right="0"/>
        <w:jc w:val="left"/>
      </w:pPr>
      <w:r>
        <w:rPr/>
        <w:t>单位：元</w:t>
      </w:r>
    </w:p>
    <w:p>
      <w:pPr>
        <w:spacing w:after="0" w:line="240" w:lineRule="auto"/>
        <w:jc w:val="left"/>
        <w:sectPr>
          <w:type w:val="continuous"/>
          <w:pgSz w:w="11910" w:h="16840"/>
          <w:pgMar w:top="1100" w:bottom="1160" w:left="980" w:right="960"/>
          <w:cols w:num="2" w:equalWidth="0">
            <w:col w:w="5619" w:space="2970"/>
            <w:col w:w="1381"/>
          </w:cols>
        </w:sectPr>
      </w:pPr>
    </w:p>
    <w:p>
      <w:pPr>
        <w:spacing w:line="240" w:lineRule="auto" w:before="7"/>
        <w:rPr>
          <w:rFonts w:ascii="宋体" w:hAnsi="宋体" w:cs="宋体" w:eastAsia="宋体" w:hint="default"/>
          <w:sz w:val="2"/>
          <w:szCs w:val="2"/>
        </w:rPr>
      </w:pPr>
      <w:r>
        <w:rPr/>
        <w:pict>
          <v:group style="position:absolute;margin-left:54.84pt;margin-top:28.299982pt;width:485.65pt;height:40.15pt;mso-position-horizontal-relative:page;mso-position-vertical-relative:page;z-index:124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246" w:type="dxa"/>
        <w:tblLayout w:type="fixed"/>
        <w:tblCellMar>
          <w:top w:w="0" w:type="dxa"/>
          <w:left w:w="0" w:type="dxa"/>
          <w:bottom w:w="0" w:type="dxa"/>
          <w:right w:w="0" w:type="dxa"/>
        </w:tblCellMar>
        <w:tblLook w:val="01E0"/>
      </w:tblPr>
      <w:tblGrid>
        <w:gridCol w:w="1133"/>
        <w:gridCol w:w="1419"/>
        <w:gridCol w:w="1550"/>
        <w:gridCol w:w="1239"/>
        <w:gridCol w:w="1618"/>
        <w:gridCol w:w="1117"/>
        <w:gridCol w:w="1368"/>
      </w:tblGrid>
      <w:tr>
        <w:trPr>
          <w:trHeight w:val="282" w:hRule="exact"/>
        </w:trPr>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p>
        </w:tc>
      </w:tr>
      <w:tr>
        <w:trPr>
          <w:trHeight w:val="553"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43" w:right="0" w:hanging="53"/>
              <w:jc w:val="left"/>
              <w:rPr>
                <w:rFonts w:ascii="宋体" w:hAnsi="宋体" w:cs="宋体" w:eastAsia="宋体" w:hint="default"/>
                <w:sz w:val="21"/>
                <w:szCs w:val="21"/>
              </w:rPr>
            </w:pPr>
            <w:r>
              <w:rPr>
                <w:rFonts w:ascii="宋体" w:hAnsi="宋体" w:cs="宋体" w:eastAsia="宋体" w:hint="default"/>
                <w:sz w:val="21"/>
                <w:szCs w:val="21"/>
              </w:rPr>
              <w:t>占营业成本</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81" w:right="0" w:hanging="53"/>
              <w:jc w:val="left"/>
              <w:rPr>
                <w:rFonts w:ascii="宋体" w:hAnsi="宋体" w:cs="宋体" w:eastAsia="宋体" w:hint="default"/>
                <w:sz w:val="21"/>
                <w:szCs w:val="21"/>
              </w:rPr>
            </w:pPr>
            <w:r>
              <w:rPr>
                <w:rFonts w:ascii="宋体" w:hAnsi="宋体" w:cs="宋体" w:eastAsia="宋体" w:hint="default"/>
                <w:sz w:val="21"/>
                <w:szCs w:val="21"/>
              </w:rPr>
              <w:t>占营业成本</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108,747,471.84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47.81%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48,122,934.52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125.98%</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社保医疗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14,391,396.09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6.33%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14,764,939.51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-2.53%</w:t>
            </w:r>
          </w:p>
        </w:tc>
      </w:tr>
      <w:tr>
        <w:trPr>
          <w:trHeight w:val="28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13,304,079.41</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5.85%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19,361,520.17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-31.29%</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电力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13,123,547.30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5.77%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4,973,657.89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163.86%</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8,426,454.75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3.70%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21,236,560.30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-60.32%</w:t>
            </w:r>
          </w:p>
        </w:tc>
      </w:tr>
      <w:tr>
        <w:trPr>
          <w:trHeight w:val="28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69,468,414.84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30.54%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51,495,571.90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34.90%</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227,461,364.23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159,955,184.29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42.20%</w:t>
            </w:r>
          </w:p>
        </w:tc>
      </w:tr>
    </w:tbl>
    <w:p>
      <w:pPr>
        <w:pStyle w:val="Heading5"/>
        <w:spacing w:line="240" w:lineRule="auto" w:before="64"/>
        <w:ind w:right="0"/>
        <w:jc w:val="left"/>
        <w:rPr>
          <w:b w:val="0"/>
          <w:bCs w:val="0"/>
        </w:rPr>
      </w:pPr>
      <w:r>
        <w:rPr/>
        <w:t>（</w:t>
      </w:r>
      <w:r>
        <w:rPr>
          <w:rFonts w:ascii="宋体" w:hAnsi="宋体" w:cs="宋体" w:eastAsia="宋体" w:hint="default"/>
        </w:rPr>
        <w:t>3</w:t>
      </w:r>
      <w:r>
        <w:rPr/>
        <w:t>）费用</w:t>
      </w:r>
      <w:r>
        <w:rPr>
          <w:b w:val="0"/>
          <w:bCs w:val="0"/>
        </w:rPr>
      </w:r>
    </w:p>
    <w:p>
      <w:pPr>
        <w:pStyle w:val="BodyText"/>
        <w:spacing w:line="240" w:lineRule="auto" w:before="99"/>
        <w:ind w:left="0" w:right="379"/>
        <w:jc w:val="right"/>
      </w:pPr>
      <w:r>
        <w:rPr>
          <w:spacing w:val="-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97"/>
        <w:jc w:val="right"/>
      </w:pPr>
      <w:r>
        <w:rPr/>
        <w:pict>
          <v:shape style="position:absolute;margin-left:60.383999pt;margin-top:-60.056351pt;width:474.7pt;height:205.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4"/>
                    <w:gridCol w:w="1637"/>
                    <w:gridCol w:w="1640"/>
                    <w:gridCol w:w="1459"/>
                    <w:gridCol w:w="2919"/>
                  </w:tblGrid>
                  <w:tr>
                    <w:trPr>
                      <w:trHeight w:val="275" w:hRule="exact"/>
                    </w:trPr>
                    <w:tc>
                      <w:tcPr>
                        <w:tcW w:w="1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1" w:hRule="exact"/>
                    </w:trPr>
                    <w:tc>
                      <w:tcPr>
                        <w:tcW w:w="1824" w:type="dxa"/>
                        <w:tcBorders>
                          <w:top w:val="nil" w:sz="6" w:space="0" w:color="auto"/>
                          <w:left w:val="single" w:sz="4" w:space="0" w:color="000000"/>
                          <w:bottom w:val="nil" w:sz="6" w:space="0" w:color="auto"/>
                          <w:right w:val="single" w:sz="4" w:space="0" w:color="000000"/>
                        </w:tcBorders>
                        <w:shd w:val="clear" w:color="auto" w:fill="D2D2D2"/>
                      </w:tcPr>
                      <w:p>
                        <w:pPr/>
                      </w:p>
                    </w:tc>
                    <w:tc>
                      <w:tcPr>
                        <w:tcW w:w="16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274" w:hRule="exact"/>
                    </w:trPr>
                    <w:tc>
                      <w:tcPr>
                        <w:tcW w:w="1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74" w:hRule="exact"/>
                    </w:trPr>
                    <w:tc>
                      <w:tcPr>
                        <w:tcW w:w="1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1"/>
                            <w:szCs w:val="21"/>
                          </w:rPr>
                        </w:pPr>
                        <w:r>
                          <w:rPr>
                            <w:rFonts w:ascii="宋体"/>
                            <w:sz w:val="21"/>
                          </w:rPr>
                          <w:t>12,951,108.63</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21"/>
                            <w:szCs w:val="21"/>
                          </w:rPr>
                        </w:pPr>
                        <w:r>
                          <w:rPr>
                            <w:rFonts w:ascii="宋体"/>
                            <w:sz w:val="21"/>
                          </w:rPr>
                          <w:t>8,738,383.98</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96" w:right="0"/>
                          <w:jc w:val="left"/>
                          <w:rPr>
                            <w:rFonts w:ascii="宋体" w:hAnsi="宋体" w:cs="宋体" w:eastAsia="宋体" w:hint="default"/>
                            <w:sz w:val="21"/>
                            <w:szCs w:val="21"/>
                          </w:rPr>
                        </w:pPr>
                        <w:r>
                          <w:rPr>
                            <w:rFonts w:ascii="宋体"/>
                            <w:sz w:val="21"/>
                          </w:rPr>
                          <w:t>48.21%</w:t>
                        </w:r>
                      </w:p>
                    </w:tc>
                    <w:tc>
                      <w:tcPr>
                        <w:tcW w:w="2919" w:type="dxa"/>
                        <w:vMerge w:val="restart"/>
                        <w:tcBorders>
                          <w:top w:val="single" w:sz="4" w:space="0" w:color="000000"/>
                          <w:left w:val="single" w:sz="4" w:space="0" w:color="000000"/>
                          <w:right w:val="single" w:sz="4" w:space="0" w:color="000000"/>
                        </w:tcBorders>
                      </w:tcPr>
                      <w:p>
                        <w:pPr>
                          <w:pStyle w:val="TableParagraph"/>
                          <w:spacing w:line="272" w:lineRule="exact" w:before="128"/>
                          <w:ind w:left="23" w:right="149"/>
                          <w:jc w:val="left"/>
                          <w:rPr>
                            <w:rFonts w:ascii="宋体" w:hAnsi="宋体" w:cs="宋体" w:eastAsia="宋体" w:hint="default"/>
                            <w:sz w:val="21"/>
                            <w:szCs w:val="21"/>
                          </w:rPr>
                        </w:pPr>
                        <w:r>
                          <w:rPr>
                            <w:rFonts w:ascii="宋体" w:hAnsi="宋体" w:cs="宋体" w:eastAsia="宋体" w:hint="default"/>
                            <w:spacing w:val="-2"/>
                            <w:sz w:val="21"/>
                            <w:szCs w:val="21"/>
                          </w:rPr>
                          <w:t>主要系本报告期内随着公司业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务规模扩大相应费用增加所致</w:t>
                        </w:r>
                      </w:p>
                    </w:tc>
                  </w:tr>
                  <w:tr>
                    <w:trPr>
                      <w:trHeight w:val="274" w:hRule="exact"/>
                    </w:trPr>
                    <w:tc>
                      <w:tcPr>
                        <w:tcW w:w="18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vMerge/>
                        <w:tcBorders>
                          <w:left w:val="single" w:sz="10" w:space="0" w:color="D2D2D2"/>
                          <w:right w:val="single" w:sz="4" w:space="0" w:color="000000"/>
                        </w:tcBorders>
                      </w:tcPr>
                      <w:p>
                        <w:pPr/>
                      </w:p>
                    </w:tc>
                    <w:tc>
                      <w:tcPr>
                        <w:tcW w:w="1640"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74" w:hRule="exact"/>
                    </w:trPr>
                    <w:tc>
                      <w:tcPr>
                        <w:tcW w:w="1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276" w:hRule="exact"/>
                    </w:trPr>
                    <w:tc>
                      <w:tcPr>
                        <w:tcW w:w="1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sz w:val="21"/>
                          </w:rPr>
                          <w:t>34,355,445.00</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sz w:val="21"/>
                          </w:rPr>
                          <w:t>22,269,347.99</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6" w:right="0"/>
                          <w:jc w:val="left"/>
                          <w:rPr>
                            <w:rFonts w:ascii="宋体" w:hAnsi="宋体" w:cs="宋体" w:eastAsia="宋体" w:hint="default"/>
                            <w:sz w:val="21"/>
                            <w:szCs w:val="21"/>
                          </w:rPr>
                        </w:pPr>
                        <w:r>
                          <w:rPr>
                            <w:rFonts w:ascii="宋体"/>
                            <w:sz w:val="21"/>
                          </w:rPr>
                          <w:t>54.27%</w:t>
                        </w:r>
                      </w:p>
                    </w:tc>
                    <w:tc>
                      <w:tcPr>
                        <w:tcW w:w="2919" w:type="dxa"/>
                        <w:vMerge w:val="restart"/>
                        <w:tcBorders>
                          <w:top w:val="single" w:sz="4" w:space="0" w:color="000000"/>
                          <w:left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主要系本报告期内职工薪酬增</w:t>
                        </w:r>
                      </w:p>
                      <w:p>
                        <w:pPr>
                          <w:pStyle w:val="TableParagraph"/>
                          <w:spacing w:line="240" w:lineRule="auto"/>
                          <w:ind w:left="23" w:right="17"/>
                          <w:jc w:val="left"/>
                          <w:rPr>
                            <w:rFonts w:ascii="宋体" w:hAnsi="宋体" w:cs="宋体" w:eastAsia="宋体" w:hint="default"/>
                            <w:sz w:val="21"/>
                            <w:szCs w:val="21"/>
                          </w:rPr>
                        </w:pPr>
                        <w:r>
                          <w:rPr>
                            <w:rFonts w:ascii="宋体" w:hAnsi="宋体" w:cs="宋体" w:eastAsia="宋体" w:hint="default"/>
                            <w:spacing w:val="-7"/>
                            <w:sz w:val="21"/>
                            <w:szCs w:val="21"/>
                          </w:rPr>
                          <w:t>长，以及随着公司业务规模扩大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相应费用增加所致；</w:t>
                        </w:r>
                      </w:p>
                    </w:tc>
                  </w:tr>
                  <w:tr>
                    <w:trPr>
                      <w:trHeight w:val="274" w:hRule="exact"/>
                    </w:trPr>
                    <w:tc>
                      <w:tcPr>
                        <w:tcW w:w="18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vMerge/>
                        <w:tcBorders>
                          <w:left w:val="single" w:sz="10" w:space="0" w:color="D2D2D2"/>
                          <w:right w:val="single" w:sz="4" w:space="0" w:color="000000"/>
                        </w:tcBorders>
                      </w:tcPr>
                      <w:p>
                        <w:pPr/>
                      </w:p>
                    </w:tc>
                    <w:tc>
                      <w:tcPr>
                        <w:tcW w:w="1640"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76" w:hRule="exact"/>
                    </w:trPr>
                    <w:tc>
                      <w:tcPr>
                        <w:tcW w:w="1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276" w:hRule="exact"/>
                    </w:trPr>
                    <w:tc>
                      <w:tcPr>
                        <w:tcW w:w="1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21"/>
                            <w:szCs w:val="21"/>
                          </w:rPr>
                        </w:pPr>
                        <w:r>
                          <w:rPr>
                            <w:rFonts w:ascii="宋体"/>
                            <w:sz w:val="21"/>
                          </w:rPr>
                          <w:t>-60,571.26</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sz w:val="21"/>
                          </w:rPr>
                          <w:t>1,192,454.27</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87" w:right="0"/>
                          <w:jc w:val="left"/>
                          <w:rPr>
                            <w:rFonts w:ascii="宋体" w:hAnsi="宋体" w:cs="宋体" w:eastAsia="宋体" w:hint="default"/>
                            <w:sz w:val="21"/>
                            <w:szCs w:val="21"/>
                          </w:rPr>
                        </w:pPr>
                        <w:r>
                          <w:rPr>
                            <w:rFonts w:ascii="宋体"/>
                            <w:sz w:val="21"/>
                          </w:rPr>
                          <w:t>-105.08%</w:t>
                        </w:r>
                      </w:p>
                    </w:tc>
                    <w:tc>
                      <w:tcPr>
                        <w:tcW w:w="2919" w:type="dxa"/>
                        <w:vMerge w:val="restart"/>
                        <w:tcBorders>
                          <w:top w:val="single" w:sz="4" w:space="0" w:color="000000"/>
                          <w:left w:val="single" w:sz="4" w:space="0" w:color="000000"/>
                          <w:right w:val="single" w:sz="4" w:space="0" w:color="000000"/>
                        </w:tcBorders>
                      </w:tcPr>
                      <w:p>
                        <w:pPr>
                          <w:pStyle w:val="TableParagraph"/>
                          <w:spacing w:line="272" w:lineRule="exact" w:before="128"/>
                          <w:ind w:left="23" w:right="149"/>
                          <w:jc w:val="left"/>
                          <w:rPr>
                            <w:rFonts w:ascii="宋体" w:hAnsi="宋体" w:cs="宋体" w:eastAsia="宋体" w:hint="default"/>
                            <w:sz w:val="21"/>
                            <w:szCs w:val="21"/>
                          </w:rPr>
                        </w:pPr>
                        <w:r>
                          <w:rPr>
                            <w:rFonts w:ascii="宋体" w:hAnsi="宋体" w:cs="宋体" w:eastAsia="宋体" w:hint="default"/>
                            <w:spacing w:val="-2"/>
                            <w:sz w:val="21"/>
                            <w:szCs w:val="21"/>
                          </w:rPr>
                          <w:t>主要系本报告期内利息收入增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加所致；</w:t>
                        </w:r>
                      </w:p>
                    </w:tc>
                  </w:tr>
                  <w:tr>
                    <w:trPr>
                      <w:trHeight w:val="271" w:hRule="exact"/>
                    </w:trPr>
                    <w:tc>
                      <w:tcPr>
                        <w:tcW w:w="18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vMerge/>
                        <w:tcBorders>
                          <w:left w:val="single" w:sz="10" w:space="0" w:color="D2D2D2"/>
                          <w:right w:val="single" w:sz="4" w:space="0" w:color="000000"/>
                        </w:tcBorders>
                      </w:tcPr>
                      <w:p>
                        <w:pPr/>
                      </w:p>
                    </w:tc>
                    <w:tc>
                      <w:tcPr>
                        <w:tcW w:w="1640"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74" w:hRule="exact"/>
                    </w:trPr>
                    <w:tc>
                      <w:tcPr>
                        <w:tcW w:w="1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274" w:hRule="exact"/>
                    </w:trPr>
                    <w:tc>
                      <w:tcPr>
                        <w:tcW w:w="1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sz w:val="21"/>
                          </w:rPr>
                          <w:t>9,440,894.88</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21"/>
                            <w:szCs w:val="21"/>
                          </w:rPr>
                        </w:pPr>
                        <w:r>
                          <w:rPr>
                            <w:rFonts w:ascii="宋体"/>
                            <w:sz w:val="21"/>
                          </w:rPr>
                          <w:t>8,664,751.50</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02" w:right="0"/>
                          <w:jc w:val="left"/>
                          <w:rPr>
                            <w:rFonts w:ascii="宋体" w:hAnsi="宋体" w:cs="宋体" w:eastAsia="宋体" w:hint="default"/>
                            <w:sz w:val="21"/>
                            <w:szCs w:val="21"/>
                          </w:rPr>
                        </w:pPr>
                        <w:r>
                          <w:rPr>
                            <w:rFonts w:ascii="宋体"/>
                            <w:sz w:val="21"/>
                          </w:rPr>
                          <w:t>8.96%</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主要系利润总额增加所致。</w:t>
                        </w:r>
                      </w:p>
                    </w:tc>
                  </w:tr>
                  <w:tr>
                    <w:trPr>
                      <w:trHeight w:val="274" w:hRule="exact"/>
                    </w:trPr>
                    <w:tc>
                      <w:tcPr>
                        <w:tcW w:w="18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37" w:type="dxa"/>
                        <w:vMerge/>
                        <w:tcBorders>
                          <w:left w:val="single" w:sz="10" w:space="0" w:color="D2D2D2"/>
                          <w:right w:val="single" w:sz="4" w:space="0" w:color="000000"/>
                        </w:tcBorders>
                      </w:tcPr>
                      <w:p>
                        <w:pPr/>
                      </w:p>
                    </w:tc>
                    <w:tc>
                      <w:tcPr>
                        <w:tcW w:w="1640"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74" w:hRule="exact"/>
                    </w:trPr>
                    <w:tc>
                      <w:tcPr>
                        <w:tcW w:w="1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宋体" w:hAnsi="宋体" w:cs="宋体" w:eastAsia="宋体" w:hint="default"/>
        </w:rPr>
        <w:t>4</w:t>
      </w:r>
      <w:r>
        <w:rPr/>
        <w:t>）研发投入</w:t>
      </w:r>
      <w:r>
        <w:rPr>
          <w:b w:val="0"/>
          <w:bCs w:val="0"/>
        </w:rPr>
      </w:r>
    </w:p>
    <w:p>
      <w:pPr>
        <w:pStyle w:val="BodyText"/>
        <w:spacing w:line="272" w:lineRule="exact" w:before="128"/>
        <w:ind w:right="0" w:firstLine="420"/>
        <w:jc w:val="left"/>
      </w:pPr>
      <w:r>
        <w:rPr>
          <w:rFonts w:ascii="宋体" w:hAnsi="宋体" w:cs="宋体" w:eastAsia="宋体" w:hint="default"/>
        </w:rPr>
        <w:t>2012</w:t>
      </w:r>
      <w:r>
        <w:rPr>
          <w:rFonts w:ascii="宋体" w:hAnsi="宋体" w:cs="宋体" w:eastAsia="宋体" w:hint="default"/>
          <w:spacing w:val="2"/>
        </w:rPr>
        <w:t> </w:t>
      </w:r>
      <w:r>
        <w:rPr>
          <w:spacing w:val="-4"/>
        </w:rPr>
        <w:t>年度公司为了进一步提高公司的核心竞争力，全面提升核心技术水平，增强了研发投入。报告期</w:t>
      </w:r>
      <w:r>
        <w:rPr>
          <w:w w:val="100"/>
        </w:rPr>
        <w:t> </w:t>
      </w:r>
      <w:r>
        <w:rPr/>
        <w:t>内，公司正在研发的项目有：</w:t>
      </w:r>
    </w:p>
    <w:p>
      <w:pPr>
        <w:spacing w:line="240" w:lineRule="auto" w:before="10"/>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711"/>
        <w:gridCol w:w="1382"/>
        <w:gridCol w:w="5649"/>
        <w:gridCol w:w="991"/>
        <w:gridCol w:w="994"/>
      </w:tblGrid>
      <w:tr>
        <w:trPr>
          <w:trHeight w:val="538" w:hRule="exact"/>
        </w:trPr>
        <w:tc>
          <w:tcPr>
            <w:tcW w:w="7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0"/>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3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0"/>
              <w:ind w:left="26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5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0"/>
              <w:ind w:left="4" w:right="0"/>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0"/>
              <w:ind w:left="69" w:right="0"/>
              <w:jc w:val="left"/>
              <w:rPr>
                <w:rFonts w:ascii="宋体" w:hAnsi="宋体" w:cs="宋体" w:eastAsia="宋体" w:hint="default"/>
                <w:sz w:val="21"/>
                <w:szCs w:val="21"/>
              </w:rPr>
            </w:pPr>
            <w:r>
              <w:rPr>
                <w:rFonts w:ascii="宋体" w:hAnsi="宋体" w:cs="宋体" w:eastAsia="宋体" w:hint="default"/>
                <w:sz w:val="21"/>
                <w:szCs w:val="21"/>
              </w:rPr>
              <w:t>目前阶段</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拟达目标</w:t>
            </w:r>
          </w:p>
        </w:tc>
      </w:tr>
      <w:tr>
        <w:trPr>
          <w:trHeight w:val="1126"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4"/>
              <w:ind w:left="2" w:right="0"/>
              <w:jc w:val="both"/>
              <w:rPr>
                <w:rFonts w:ascii="宋体" w:hAnsi="宋体" w:cs="宋体" w:eastAsia="宋体" w:hint="default"/>
                <w:sz w:val="21"/>
                <w:szCs w:val="21"/>
              </w:rPr>
            </w:pPr>
            <w:r>
              <w:rPr>
                <w:rFonts w:ascii="宋体" w:hAnsi="宋体" w:cs="宋体" w:eastAsia="宋体" w:hint="default"/>
                <w:spacing w:val="15"/>
                <w:sz w:val="21"/>
                <w:szCs w:val="21"/>
              </w:rPr>
              <w:t>血液净化治疗</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5"/>
                <w:sz w:val="21"/>
                <w:szCs w:val="21"/>
              </w:rPr>
              <w:t>中心智能管理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系统</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4" w:right="-4"/>
              <w:jc w:val="left"/>
              <w:rPr>
                <w:rFonts w:ascii="宋体" w:hAnsi="宋体" w:cs="宋体" w:eastAsia="宋体" w:hint="default"/>
                <w:sz w:val="21"/>
                <w:szCs w:val="21"/>
              </w:rPr>
            </w:pPr>
            <w:r>
              <w:rPr>
                <w:rFonts w:ascii="宋体" w:hAnsi="宋体" w:cs="宋体" w:eastAsia="宋体" w:hint="default"/>
                <w:sz w:val="21"/>
                <w:szCs w:val="21"/>
              </w:rPr>
              <w:t>针对血液净化中心业务</w:t>
            </w:r>
            <w:r>
              <w:rPr>
                <w:rFonts w:ascii="宋体" w:hAnsi="宋体" w:cs="宋体" w:eastAsia="宋体" w:hint="default"/>
                <w:sz w:val="21"/>
                <w:szCs w:val="21"/>
              </w:rPr>
              <w:t>,</w:t>
            </w:r>
            <w:r>
              <w:rPr>
                <w:rFonts w:ascii="宋体" w:hAnsi="宋体" w:cs="宋体" w:eastAsia="宋体" w:hint="default"/>
                <w:sz w:val="21"/>
                <w:szCs w:val="21"/>
              </w:rPr>
              <w:t>从患者情报、透析日程准备、患者治</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疗排班等各个不同环节对血液透析治疗进行管理和监控，便于</w:t>
            </w:r>
          </w:p>
          <w:p>
            <w:pPr>
              <w:pStyle w:val="TableParagraph"/>
              <w:spacing w:line="272" w:lineRule="exact" w:before="1"/>
              <w:ind w:left="4" w:right="-4"/>
              <w:jc w:val="left"/>
              <w:rPr>
                <w:rFonts w:ascii="宋体" w:hAnsi="宋体" w:cs="宋体" w:eastAsia="宋体" w:hint="default"/>
                <w:sz w:val="21"/>
                <w:szCs w:val="21"/>
              </w:rPr>
            </w:pPr>
            <w:r>
              <w:rPr>
                <w:rFonts w:ascii="宋体" w:hAnsi="宋体" w:cs="宋体" w:eastAsia="宋体" w:hint="default"/>
                <w:spacing w:val="-3"/>
                <w:sz w:val="21"/>
                <w:szCs w:val="21"/>
              </w:rPr>
              <w:t>用户掌握最及时和准确的信息，同时省去大量繁琐的书面记录</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7"/>
                <w:sz w:val="21"/>
                <w:szCs w:val="21"/>
              </w:rPr>
              <w:t>工作，解决了各类资料的储存问题，与</w:t>
            </w:r>
            <w:r>
              <w:rPr>
                <w:rFonts w:ascii="宋体" w:hAnsi="宋体" w:cs="宋体" w:eastAsia="宋体" w:hint="default"/>
                <w:spacing w:val="-7"/>
                <w:sz w:val="21"/>
                <w:szCs w:val="21"/>
              </w:rPr>
              <w:t>LIS</w:t>
            </w:r>
            <w:r>
              <w:rPr>
                <w:rFonts w:ascii="宋体" w:hAnsi="宋体" w:cs="宋体" w:eastAsia="宋体" w:hint="default"/>
                <w:spacing w:val="-7"/>
                <w:sz w:val="21"/>
                <w:szCs w:val="21"/>
              </w:rPr>
              <w:t>，</w:t>
            </w:r>
            <w:r>
              <w:rPr>
                <w:rFonts w:ascii="宋体" w:hAnsi="宋体" w:cs="宋体" w:eastAsia="宋体" w:hint="default"/>
                <w:spacing w:val="-7"/>
                <w:sz w:val="21"/>
                <w:szCs w:val="21"/>
              </w:rPr>
              <w:t>HIS</w:t>
            </w:r>
            <w:r>
              <w:rPr>
                <w:rFonts w:ascii="宋体" w:hAnsi="宋体" w:cs="宋体" w:eastAsia="宋体" w:hint="default"/>
                <w:spacing w:val="-7"/>
                <w:sz w:val="21"/>
                <w:szCs w:val="21"/>
              </w:rPr>
              <w:t>实施无缝对接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产品开发</w:t>
            </w:r>
          </w:p>
          <w:p>
            <w:pPr>
              <w:pStyle w:val="TableParagraph"/>
              <w:spacing w:line="240" w:lineRule="auto" w:before="133"/>
              <w:ind w:left="-11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产品化</w:t>
            </w:r>
          </w:p>
        </w:tc>
      </w:tr>
      <w:tr>
        <w:trPr>
          <w:trHeight w:val="85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40"/>
              <w:ind w:left="2" w:right="0"/>
              <w:jc w:val="left"/>
              <w:rPr>
                <w:rFonts w:ascii="宋体" w:hAnsi="宋体" w:cs="宋体" w:eastAsia="宋体" w:hint="default"/>
                <w:sz w:val="21"/>
                <w:szCs w:val="21"/>
              </w:rPr>
            </w:pPr>
            <w:r>
              <w:rPr>
                <w:rFonts w:ascii="宋体" w:hAnsi="宋体" w:cs="宋体" w:eastAsia="宋体" w:hint="default"/>
                <w:spacing w:val="15"/>
                <w:sz w:val="21"/>
                <w:szCs w:val="21"/>
              </w:rPr>
              <w:t>掌上移动健康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档案系统</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5"/>
              <w:jc w:val="left"/>
              <w:rPr>
                <w:rFonts w:ascii="宋体" w:hAnsi="宋体" w:cs="宋体" w:eastAsia="宋体" w:hint="default"/>
                <w:sz w:val="21"/>
                <w:szCs w:val="21"/>
              </w:rPr>
            </w:pPr>
            <w:r>
              <w:rPr>
                <w:rFonts w:ascii="宋体" w:hAnsi="宋体" w:cs="宋体" w:eastAsia="宋体" w:hint="default"/>
                <w:spacing w:val="-7"/>
                <w:sz w:val="21"/>
                <w:szCs w:val="21"/>
              </w:rPr>
              <w:t>针对公共卫生领域，将慢病管理，个人健康档案，老年人管理</w:t>
            </w:r>
          </w:p>
          <w:p>
            <w:pPr>
              <w:pStyle w:val="TableParagraph"/>
              <w:spacing w:line="272" w:lineRule="exact" w:before="27"/>
              <w:ind w:left="4" w:right="-5"/>
              <w:jc w:val="left"/>
              <w:rPr>
                <w:rFonts w:ascii="宋体" w:hAnsi="宋体" w:cs="宋体" w:eastAsia="宋体" w:hint="default"/>
                <w:sz w:val="21"/>
                <w:szCs w:val="21"/>
              </w:rPr>
            </w:pPr>
            <w:r>
              <w:rPr>
                <w:rFonts w:ascii="宋体" w:hAnsi="宋体" w:cs="宋体" w:eastAsia="宋体" w:hint="default"/>
                <w:spacing w:val="-3"/>
                <w:sz w:val="21"/>
                <w:szCs w:val="21"/>
              </w:rPr>
              <w:t>孕产妇管理，婴幼儿管理等公共卫生服务。通过</w:t>
            </w:r>
            <w:r>
              <w:rPr>
                <w:rFonts w:ascii="宋体" w:hAnsi="宋体" w:cs="宋体" w:eastAsia="宋体" w:hint="default"/>
                <w:spacing w:val="-3"/>
                <w:sz w:val="21"/>
                <w:szCs w:val="21"/>
              </w:rPr>
              <w:t>3G</w:t>
            </w:r>
            <w:r>
              <w:rPr>
                <w:rFonts w:ascii="宋体" w:hAnsi="宋体" w:cs="宋体" w:eastAsia="宋体" w:hint="default"/>
                <w:spacing w:val="-3"/>
                <w:sz w:val="21"/>
                <w:szCs w:val="21"/>
              </w:rPr>
              <w:t>技术将系统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移植到移动设备上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1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产品开发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产品化</w:t>
            </w:r>
          </w:p>
        </w:tc>
      </w:tr>
      <w:tr>
        <w:trPr>
          <w:trHeight w:val="85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pacing w:val="15"/>
                <w:sz w:val="21"/>
                <w:szCs w:val="21"/>
              </w:rPr>
              <w:t>基于无线传感</w:t>
            </w:r>
          </w:p>
          <w:p>
            <w:pPr>
              <w:pStyle w:val="TableParagraph"/>
              <w:spacing w:line="272" w:lineRule="exact" w:before="27"/>
              <w:ind w:left="2" w:right="0"/>
              <w:jc w:val="left"/>
              <w:rPr>
                <w:rFonts w:ascii="宋体" w:hAnsi="宋体" w:cs="宋体" w:eastAsia="宋体" w:hint="default"/>
                <w:sz w:val="21"/>
                <w:szCs w:val="21"/>
              </w:rPr>
            </w:pPr>
            <w:r>
              <w:rPr>
                <w:rFonts w:ascii="宋体" w:hAnsi="宋体" w:cs="宋体" w:eastAsia="宋体" w:hint="default"/>
                <w:spacing w:val="15"/>
                <w:sz w:val="21"/>
                <w:szCs w:val="21"/>
              </w:rPr>
              <w:t>网络的定位与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监控技术</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48"/>
              <w:jc w:val="left"/>
              <w:rPr>
                <w:rFonts w:ascii="宋体" w:hAnsi="宋体" w:cs="宋体" w:eastAsia="宋体" w:hint="default"/>
                <w:sz w:val="21"/>
                <w:szCs w:val="21"/>
              </w:rPr>
            </w:pPr>
            <w:r>
              <w:rPr>
                <w:rFonts w:ascii="宋体" w:hAnsi="宋体" w:cs="宋体" w:eastAsia="宋体" w:hint="default"/>
                <w:spacing w:val="-2"/>
                <w:sz w:val="21"/>
                <w:szCs w:val="21"/>
              </w:rPr>
              <w:t>基于物联网技术应用，采用</w:t>
            </w:r>
            <w:r>
              <w:rPr>
                <w:rFonts w:ascii="宋体" w:hAnsi="宋体" w:cs="宋体" w:eastAsia="宋体" w:hint="default"/>
                <w:spacing w:val="-2"/>
                <w:sz w:val="21"/>
                <w:szCs w:val="21"/>
              </w:rPr>
              <w:t>RFID</w:t>
            </w:r>
            <w:r>
              <w:rPr>
                <w:rFonts w:ascii="宋体" w:hAnsi="宋体" w:cs="宋体" w:eastAsia="宋体" w:hint="default"/>
                <w:spacing w:val="-2"/>
                <w:sz w:val="21"/>
                <w:szCs w:val="21"/>
              </w:rPr>
              <w:t>射频技术、无线传感网技术，</w:t>
            </w:r>
          </w:p>
          <w:p>
            <w:pPr>
              <w:pStyle w:val="TableParagraph"/>
              <w:spacing w:line="272" w:lineRule="exact" w:before="27"/>
              <w:ind w:left="4" w:right="0"/>
              <w:jc w:val="left"/>
              <w:rPr>
                <w:rFonts w:ascii="宋体" w:hAnsi="宋体" w:cs="宋体" w:eastAsia="宋体" w:hint="default"/>
                <w:sz w:val="21"/>
                <w:szCs w:val="21"/>
              </w:rPr>
            </w:pPr>
            <w:r>
              <w:rPr>
                <w:rFonts w:ascii="宋体" w:hAnsi="宋体" w:cs="宋体" w:eastAsia="宋体" w:hint="default"/>
                <w:sz w:val="21"/>
                <w:szCs w:val="21"/>
              </w:rPr>
              <w:t>开发人员物品定位与监控产品</w:t>
            </w:r>
            <w:r>
              <w:rPr>
                <w:rFonts w:ascii="宋体" w:hAnsi="宋体" w:cs="宋体" w:eastAsia="宋体" w:hint="default"/>
                <w:sz w:val="21"/>
                <w:szCs w:val="21"/>
              </w:rPr>
              <w:t>,</w:t>
            </w:r>
            <w:r>
              <w:rPr>
                <w:rFonts w:ascii="宋体" w:hAnsi="宋体" w:cs="宋体" w:eastAsia="宋体" w:hint="default"/>
                <w:sz w:val="21"/>
                <w:szCs w:val="21"/>
              </w:rPr>
              <w:t>自动感应人员、物品信息、位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7"/>
                <w:sz w:val="21"/>
                <w:szCs w:val="21"/>
              </w:rPr>
              <w:t>置、状态，追踪人员、物品的行动轨迹。实现人员物品的定位</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技术储备</w:t>
            </w:r>
          </w:p>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产品化</w:t>
            </w:r>
          </w:p>
        </w:tc>
      </w:tr>
    </w:tbl>
    <w:p>
      <w:pPr>
        <w:spacing w:after="0" w:line="240" w:lineRule="auto"/>
        <w:jc w:val="center"/>
        <w:rPr>
          <w:rFonts w:ascii="宋体" w:hAnsi="宋体" w:cs="宋体" w:eastAsia="宋体" w:hint="default"/>
          <w:sz w:val="21"/>
          <w:szCs w:val="21"/>
        </w:rPr>
        <w:sectPr>
          <w:type w:val="continuous"/>
          <w:pgSz w:w="11910" w:h="16840"/>
          <w:pgMar w:top="1100" w:bottom="1160" w:left="980" w:right="960"/>
        </w:sectPr>
      </w:pPr>
    </w:p>
    <w:p>
      <w:pPr>
        <w:spacing w:line="240" w:lineRule="auto" w:before="6"/>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128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711"/>
        <w:gridCol w:w="1382"/>
        <w:gridCol w:w="5649"/>
        <w:gridCol w:w="141"/>
        <w:gridCol w:w="850"/>
        <w:gridCol w:w="994"/>
      </w:tblGrid>
      <w:tr>
        <w:trPr>
          <w:trHeight w:val="308" w:hRule="exact"/>
        </w:trPr>
        <w:tc>
          <w:tcPr>
            <w:tcW w:w="711"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4" w:right="0"/>
              <w:jc w:val="left"/>
              <w:rPr>
                <w:rFonts w:ascii="宋体" w:hAnsi="宋体" w:cs="宋体" w:eastAsia="宋体" w:hint="default"/>
                <w:sz w:val="21"/>
                <w:szCs w:val="21"/>
              </w:rPr>
            </w:pPr>
            <w:r>
              <w:rPr>
                <w:rFonts w:ascii="宋体" w:hAnsi="宋体" w:cs="宋体" w:eastAsia="宋体" w:hint="default"/>
                <w:sz w:val="21"/>
                <w:szCs w:val="21"/>
              </w:rPr>
              <w:t>监控、跟踪等功能。</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85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w w:val="100"/>
                <w:sz w:val="21"/>
              </w:rPr>
              <w:t>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pacing w:val="15"/>
                <w:sz w:val="21"/>
                <w:szCs w:val="21"/>
              </w:rPr>
              <w:t>基于二维码的</w:t>
            </w:r>
          </w:p>
          <w:p>
            <w:pPr>
              <w:pStyle w:val="TableParagraph"/>
              <w:spacing w:line="272" w:lineRule="exact" w:before="27"/>
              <w:ind w:left="2" w:right="0"/>
              <w:jc w:val="left"/>
              <w:rPr>
                <w:rFonts w:ascii="宋体" w:hAnsi="宋体" w:cs="宋体" w:eastAsia="宋体" w:hint="default"/>
                <w:sz w:val="21"/>
                <w:szCs w:val="21"/>
              </w:rPr>
            </w:pPr>
            <w:r>
              <w:rPr>
                <w:rFonts w:ascii="宋体" w:hAnsi="宋体" w:cs="宋体" w:eastAsia="宋体" w:hint="default"/>
                <w:spacing w:val="15"/>
                <w:sz w:val="21"/>
                <w:szCs w:val="21"/>
              </w:rPr>
              <w:t>区域以及室内</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PDA</w:t>
            </w:r>
            <w:r>
              <w:rPr>
                <w:rFonts w:ascii="宋体" w:hAnsi="宋体" w:cs="宋体" w:eastAsia="宋体" w:hint="default"/>
                <w:sz w:val="21"/>
                <w:szCs w:val="21"/>
              </w:rPr>
              <w:t>导航系统</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5"/>
              <w:jc w:val="left"/>
              <w:rPr>
                <w:rFonts w:ascii="宋体" w:hAnsi="宋体" w:cs="宋体" w:eastAsia="宋体" w:hint="default"/>
                <w:sz w:val="21"/>
                <w:szCs w:val="21"/>
              </w:rPr>
            </w:pPr>
            <w:r>
              <w:rPr>
                <w:rFonts w:ascii="宋体" w:hAnsi="宋体" w:cs="宋体" w:eastAsia="宋体" w:hint="default"/>
                <w:spacing w:val="3"/>
                <w:sz w:val="21"/>
                <w:szCs w:val="21"/>
              </w:rPr>
              <w:t>基于二维码技术的园区及室内导航系统以</w:t>
            </w:r>
            <w:r>
              <w:rPr>
                <w:rFonts w:ascii="宋体" w:hAnsi="宋体" w:cs="宋体" w:eastAsia="宋体" w:hint="default"/>
                <w:spacing w:val="3"/>
                <w:sz w:val="21"/>
                <w:szCs w:val="21"/>
              </w:rPr>
              <w:t>Android</w:t>
            </w:r>
            <w:r>
              <w:rPr>
                <w:rFonts w:ascii="宋体" w:hAnsi="宋体" w:cs="宋体" w:eastAsia="宋体" w:hint="default"/>
                <w:spacing w:val="3"/>
                <w:sz w:val="21"/>
                <w:szCs w:val="21"/>
              </w:rPr>
              <w:t>和</w:t>
            </w:r>
            <w:r>
              <w:rPr>
                <w:rFonts w:ascii="宋体" w:hAnsi="宋体" w:cs="宋体" w:eastAsia="宋体" w:hint="default"/>
                <w:spacing w:val="3"/>
                <w:sz w:val="21"/>
                <w:szCs w:val="21"/>
              </w:rPr>
              <w:t>IOS</w:t>
            </w:r>
            <w:r>
              <w:rPr>
                <w:rFonts w:ascii="宋体" w:hAnsi="宋体" w:cs="宋体" w:eastAsia="宋体" w:hint="default"/>
                <w:spacing w:val="3"/>
                <w:sz w:val="21"/>
                <w:szCs w:val="21"/>
              </w:rPr>
              <w:t>两大</w:t>
            </w:r>
            <w:r>
              <w:rPr>
                <w:rFonts w:ascii="宋体" w:hAnsi="宋体" w:cs="宋体" w:eastAsia="宋体" w:hint="default"/>
                <w:sz w:val="21"/>
                <w:szCs w:val="21"/>
              </w:rPr>
            </w:r>
          </w:p>
          <w:p>
            <w:pPr>
              <w:pStyle w:val="TableParagraph"/>
              <w:spacing w:line="272" w:lineRule="exact" w:before="27"/>
              <w:ind w:left="4" w:right="-4"/>
              <w:jc w:val="left"/>
              <w:rPr>
                <w:rFonts w:ascii="宋体" w:hAnsi="宋体" w:cs="宋体" w:eastAsia="宋体" w:hint="default"/>
                <w:sz w:val="21"/>
                <w:szCs w:val="21"/>
              </w:rPr>
            </w:pPr>
            <w:r>
              <w:rPr>
                <w:rFonts w:ascii="宋体" w:hAnsi="宋体" w:cs="宋体" w:eastAsia="宋体" w:hint="default"/>
                <w:spacing w:val="-3"/>
                <w:sz w:val="21"/>
                <w:szCs w:val="21"/>
              </w:rPr>
              <w:t>系统为平台，为大型公共场所提供信息展示、信息查询、导航</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定位等多种实用服务。</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产品开发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产品化</w:t>
            </w:r>
          </w:p>
        </w:tc>
      </w:tr>
      <w:tr>
        <w:trPr>
          <w:trHeight w:val="1126"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95" w:right="0"/>
              <w:jc w:val="left"/>
              <w:rPr>
                <w:rFonts w:ascii="宋体" w:hAnsi="宋体" w:cs="宋体" w:eastAsia="宋体" w:hint="default"/>
                <w:sz w:val="21"/>
                <w:szCs w:val="21"/>
              </w:rPr>
            </w:pPr>
            <w:r>
              <w:rPr>
                <w:rFonts w:ascii="宋体"/>
                <w:w w:val="100"/>
                <w:sz w:val="21"/>
              </w:rPr>
              <w:t>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4"/>
              <w:ind w:left="2" w:right="0"/>
              <w:jc w:val="both"/>
              <w:rPr>
                <w:rFonts w:ascii="宋体" w:hAnsi="宋体" w:cs="宋体" w:eastAsia="宋体" w:hint="default"/>
                <w:sz w:val="21"/>
                <w:szCs w:val="21"/>
              </w:rPr>
            </w:pPr>
            <w:r>
              <w:rPr>
                <w:rFonts w:ascii="宋体" w:hAnsi="宋体" w:cs="宋体" w:eastAsia="宋体" w:hint="default"/>
                <w:spacing w:val="15"/>
                <w:sz w:val="21"/>
                <w:szCs w:val="21"/>
              </w:rPr>
              <w:t>荣科健康小屋</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5"/>
                <w:sz w:val="21"/>
                <w:szCs w:val="21"/>
              </w:rPr>
              <w:t>自助式体检系</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统</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both"/>
              <w:rPr>
                <w:rFonts w:ascii="宋体" w:hAnsi="宋体" w:cs="宋体" w:eastAsia="宋体" w:hint="default"/>
                <w:sz w:val="21"/>
                <w:szCs w:val="21"/>
              </w:rPr>
            </w:pPr>
            <w:r>
              <w:rPr>
                <w:rFonts w:ascii="宋体" w:hAnsi="宋体" w:cs="宋体" w:eastAsia="宋体" w:hint="default"/>
                <w:spacing w:val="-3"/>
                <w:sz w:val="21"/>
                <w:szCs w:val="21"/>
              </w:rPr>
              <w:t>由医疗器件设备生产商提供医疗检测设备及相关软件，我们进</w:t>
            </w:r>
          </w:p>
          <w:p>
            <w:pPr>
              <w:pStyle w:val="TableParagraph"/>
              <w:spacing w:line="237" w:lineRule="auto" w:before="2"/>
              <w:ind w:left="4" w:right="-4"/>
              <w:jc w:val="both"/>
              <w:rPr>
                <w:rFonts w:ascii="宋体" w:hAnsi="宋体" w:cs="宋体" w:eastAsia="宋体" w:hint="default"/>
                <w:sz w:val="21"/>
                <w:szCs w:val="21"/>
              </w:rPr>
            </w:pPr>
            <w:r>
              <w:rPr>
                <w:rFonts w:ascii="宋体" w:hAnsi="宋体" w:cs="宋体" w:eastAsia="宋体" w:hint="default"/>
                <w:spacing w:val="-4"/>
                <w:sz w:val="21"/>
                <w:szCs w:val="21"/>
              </w:rPr>
              <w:t>行二次开发整合，结合后台的“荣科健康档案管理平台”，它</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可对社区人群的健康信息进行个性化管理，并结合每个人的实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际情况，提供个性化的健康促进方案与健康资讯。</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产品化</w:t>
            </w: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1124"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95" w:right="0"/>
              <w:jc w:val="left"/>
              <w:rPr>
                <w:rFonts w:ascii="宋体" w:hAnsi="宋体" w:cs="宋体" w:eastAsia="宋体" w:hint="default"/>
                <w:sz w:val="21"/>
                <w:szCs w:val="21"/>
              </w:rPr>
            </w:pPr>
            <w:r>
              <w:rPr>
                <w:rFonts w:ascii="宋体"/>
                <w:w w:val="100"/>
                <w:sz w:val="21"/>
              </w:rPr>
              <w:t>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java</w:t>
            </w:r>
            <w:r>
              <w:rPr>
                <w:rFonts w:ascii="宋体" w:hAnsi="宋体" w:cs="宋体" w:eastAsia="宋体" w:hint="default"/>
                <w:spacing w:val="-79"/>
                <w:sz w:val="21"/>
                <w:szCs w:val="21"/>
              </w:rPr>
              <w:t> </w:t>
            </w:r>
            <w:r>
              <w:rPr>
                <w:rFonts w:ascii="宋体" w:hAnsi="宋体" w:cs="宋体" w:eastAsia="宋体" w:hint="default"/>
                <w:sz w:val="21"/>
                <w:szCs w:val="21"/>
              </w:rPr>
              <w:t>二</w:t>
            </w:r>
            <w:r>
              <w:rPr>
                <w:rFonts w:ascii="宋体" w:hAnsi="宋体" w:cs="宋体" w:eastAsia="宋体" w:hint="default"/>
                <w:spacing w:val="-75"/>
                <w:sz w:val="21"/>
                <w:szCs w:val="21"/>
              </w:rPr>
              <w:t> </w:t>
            </w:r>
            <w:r>
              <w:rPr>
                <w:rFonts w:ascii="宋体" w:hAnsi="宋体" w:cs="宋体" w:eastAsia="宋体" w:hint="default"/>
                <w:spacing w:val="14"/>
                <w:sz w:val="21"/>
                <w:szCs w:val="21"/>
              </w:rPr>
              <w:t>次开发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平台</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
              <w:ind w:left="4" w:right="-4"/>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z w:val="21"/>
                <w:szCs w:val="21"/>
              </w:rPr>
              <w:t>J2EE</w:t>
            </w:r>
            <w:r>
              <w:rPr>
                <w:rFonts w:ascii="宋体" w:hAnsi="宋体" w:cs="宋体" w:eastAsia="宋体" w:hint="default"/>
                <w:spacing w:val="60"/>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架构，全面采用开源技术框架（</w:t>
            </w:r>
            <w:r>
              <w:rPr>
                <w:rFonts w:ascii="宋体" w:hAnsi="宋体" w:cs="宋体" w:eastAsia="宋体" w:hint="default"/>
                <w:spacing w:val="3"/>
                <w:sz w:val="21"/>
                <w:szCs w:val="21"/>
              </w:rPr>
              <w:t>Dojo</w:t>
            </w:r>
            <w:r>
              <w:rPr>
                <w:rFonts w:ascii="宋体" w:hAnsi="宋体" w:cs="宋体" w:eastAsia="宋体" w:hint="default"/>
                <w:spacing w:val="3"/>
                <w:sz w:val="21"/>
                <w:szCs w:val="21"/>
              </w:rPr>
              <w:t>，</w:t>
            </w:r>
            <w:r>
              <w:rPr>
                <w:rFonts w:ascii="宋体" w:hAnsi="宋体" w:cs="宋体" w:eastAsia="宋体" w:hint="default"/>
                <w:spacing w:val="3"/>
                <w:sz w:val="21"/>
                <w:szCs w:val="21"/>
              </w:rPr>
              <w:t>Struts</w:t>
            </w:r>
            <w:r>
              <w:rPr>
                <w:rFonts w:ascii="宋体" w:hAnsi="宋体" w:cs="宋体" w:eastAsia="宋体" w:hint="default"/>
                <w:spacing w:val="3"/>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Spring</w:t>
            </w:r>
            <w:r>
              <w:rPr>
                <w:rFonts w:ascii="宋体" w:hAnsi="宋体" w:cs="宋体" w:eastAsia="宋体" w:hint="default"/>
                <w:sz w:val="21"/>
                <w:szCs w:val="21"/>
              </w:rPr>
              <w:t>，</w:t>
            </w:r>
            <w:r>
              <w:rPr>
                <w:rFonts w:ascii="宋体" w:hAnsi="宋体" w:cs="宋体" w:eastAsia="宋体" w:hint="default"/>
                <w:sz w:val="21"/>
                <w:szCs w:val="21"/>
              </w:rPr>
              <w:t>Hibernate</w:t>
            </w:r>
            <w:r>
              <w:rPr>
                <w:rFonts w:ascii="宋体" w:hAnsi="宋体" w:cs="宋体" w:eastAsia="宋体" w:hint="default"/>
                <w:sz w:val="21"/>
                <w:szCs w:val="21"/>
              </w:rPr>
              <w:t>），在此基础上，做二次的开发和整合形</w:t>
            </w:r>
          </w:p>
          <w:p>
            <w:pPr>
              <w:pStyle w:val="TableParagraph"/>
              <w:spacing w:line="272" w:lineRule="exact" w:before="1"/>
              <w:ind w:left="4" w:right="-4"/>
              <w:jc w:val="left"/>
              <w:rPr>
                <w:rFonts w:ascii="宋体" w:hAnsi="宋体" w:cs="宋体" w:eastAsia="宋体" w:hint="default"/>
                <w:sz w:val="21"/>
                <w:szCs w:val="21"/>
              </w:rPr>
            </w:pPr>
            <w:r>
              <w:rPr>
                <w:rFonts w:ascii="宋体" w:hAnsi="宋体" w:cs="宋体" w:eastAsia="宋体" w:hint="default"/>
                <w:spacing w:val="-3"/>
                <w:sz w:val="21"/>
                <w:szCs w:val="21"/>
              </w:rPr>
              <w:t>成底层架构，搭建标准的一体化的应用开发平台，方便部署系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统，降低开发难度，提高项目复用能力。</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产品开发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产品化</w:t>
            </w:r>
          </w:p>
        </w:tc>
      </w:tr>
      <w:tr>
        <w:trPr>
          <w:trHeight w:val="85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w w:val="100"/>
                <w:sz w:val="21"/>
              </w:rPr>
              <w:t>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left"/>
              <w:rPr>
                <w:rFonts w:ascii="宋体" w:hAnsi="宋体" w:cs="宋体" w:eastAsia="宋体" w:hint="default"/>
                <w:sz w:val="21"/>
                <w:szCs w:val="21"/>
              </w:rPr>
            </w:pPr>
            <w:r>
              <w:rPr>
                <w:rFonts w:ascii="宋体" w:hAnsi="宋体" w:cs="宋体" w:eastAsia="宋体" w:hint="default"/>
                <w:spacing w:val="15"/>
                <w:sz w:val="21"/>
                <w:szCs w:val="21"/>
              </w:rPr>
              <w:t>移动医疗信息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管理系统</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48"/>
              <w:jc w:val="left"/>
              <w:rPr>
                <w:rFonts w:ascii="宋体" w:hAnsi="宋体" w:cs="宋体" w:eastAsia="宋体" w:hint="default"/>
                <w:sz w:val="21"/>
                <w:szCs w:val="21"/>
              </w:rPr>
            </w:pPr>
            <w:r>
              <w:rPr>
                <w:rFonts w:ascii="宋体" w:hAnsi="宋体" w:cs="宋体" w:eastAsia="宋体" w:hint="default"/>
                <w:spacing w:val="-2"/>
                <w:sz w:val="21"/>
                <w:szCs w:val="21"/>
              </w:rPr>
              <w:t>移动医疗结合了无线网络技术、条码技术和移动计算机技术，</w:t>
            </w:r>
          </w:p>
          <w:p>
            <w:pPr>
              <w:pStyle w:val="TableParagraph"/>
              <w:spacing w:line="272" w:lineRule="exact" w:before="27"/>
              <w:ind w:left="4" w:right="-5"/>
              <w:jc w:val="left"/>
              <w:rPr>
                <w:rFonts w:ascii="宋体" w:hAnsi="宋体" w:cs="宋体" w:eastAsia="宋体" w:hint="default"/>
                <w:sz w:val="21"/>
                <w:szCs w:val="21"/>
              </w:rPr>
            </w:pPr>
            <w:r>
              <w:rPr>
                <w:rFonts w:ascii="宋体" w:hAnsi="宋体" w:cs="宋体" w:eastAsia="宋体" w:hint="default"/>
                <w:spacing w:val="-3"/>
                <w:sz w:val="21"/>
                <w:szCs w:val="21"/>
              </w:rPr>
              <w:t>使医护人员在移动时，在病人床边服务时，随时随地获取全面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医疗数据，通过移动设备实现医生工作站和护士工作站等功能</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产品开发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产品化</w:t>
            </w:r>
          </w:p>
        </w:tc>
      </w:tr>
      <w:tr>
        <w:trPr>
          <w:trHeight w:val="1126"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95" w:right="0"/>
              <w:jc w:val="left"/>
              <w:rPr>
                <w:rFonts w:ascii="宋体" w:hAnsi="宋体" w:cs="宋体" w:eastAsia="宋体" w:hint="default"/>
                <w:sz w:val="21"/>
                <w:szCs w:val="21"/>
              </w:rPr>
            </w:pPr>
            <w:r>
              <w:rPr>
                <w:rFonts w:ascii="宋体"/>
                <w:w w:val="100"/>
                <w:sz w:val="21"/>
              </w:rPr>
              <w:t>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pacing w:val="15"/>
                <w:sz w:val="21"/>
                <w:szCs w:val="21"/>
              </w:rPr>
              <w:t>基层医疗信息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管理系统</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both"/>
              <w:rPr>
                <w:rFonts w:ascii="宋体" w:hAnsi="宋体" w:cs="宋体" w:eastAsia="宋体" w:hint="default"/>
                <w:sz w:val="21"/>
                <w:szCs w:val="21"/>
              </w:rPr>
            </w:pPr>
            <w:r>
              <w:rPr>
                <w:rFonts w:ascii="宋体" w:hAnsi="宋体" w:cs="宋体" w:eastAsia="宋体" w:hint="default"/>
                <w:spacing w:val="-3"/>
                <w:sz w:val="21"/>
                <w:szCs w:val="21"/>
              </w:rPr>
              <w:t>为解决基层卫生医疗结构管理规范化需求：包括门</w:t>
            </w:r>
            <w:r>
              <w:rPr>
                <w:rFonts w:ascii="宋体" w:hAnsi="宋体" w:cs="宋体" w:eastAsia="宋体" w:hint="default"/>
                <w:spacing w:val="-3"/>
                <w:sz w:val="21"/>
                <w:szCs w:val="21"/>
              </w:rPr>
              <w:t>(</w:t>
            </w:r>
            <w:r>
              <w:rPr>
                <w:rFonts w:ascii="宋体" w:hAnsi="宋体" w:cs="宋体" w:eastAsia="宋体" w:hint="default"/>
                <w:spacing w:val="-3"/>
                <w:sz w:val="21"/>
                <w:szCs w:val="21"/>
              </w:rPr>
              <w:t>急</w:t>
            </w:r>
            <w:r>
              <w:rPr>
                <w:rFonts w:ascii="宋体" w:hAnsi="宋体" w:cs="宋体" w:eastAsia="宋体" w:hint="default"/>
                <w:spacing w:val="-3"/>
                <w:sz w:val="21"/>
                <w:szCs w:val="21"/>
              </w:rPr>
              <w:t>)</w:t>
            </w:r>
            <w:r>
              <w:rPr>
                <w:rFonts w:ascii="宋体" w:hAnsi="宋体" w:cs="宋体" w:eastAsia="宋体" w:hint="default"/>
                <w:spacing w:val="-3"/>
                <w:sz w:val="21"/>
                <w:szCs w:val="21"/>
              </w:rPr>
              <w:t>诊、住</w:t>
            </w:r>
          </w:p>
          <w:p>
            <w:pPr>
              <w:pStyle w:val="TableParagraph"/>
              <w:spacing w:line="237" w:lineRule="auto" w:before="2"/>
              <w:ind w:left="4" w:right="-4"/>
              <w:jc w:val="both"/>
              <w:rPr>
                <w:rFonts w:ascii="宋体" w:hAnsi="宋体" w:cs="宋体" w:eastAsia="宋体" w:hint="default"/>
                <w:sz w:val="21"/>
                <w:szCs w:val="21"/>
              </w:rPr>
            </w:pPr>
            <w:r>
              <w:rPr>
                <w:rFonts w:ascii="宋体" w:hAnsi="宋体" w:cs="宋体" w:eastAsia="宋体" w:hint="default"/>
                <w:spacing w:val="-3"/>
                <w:sz w:val="21"/>
                <w:szCs w:val="21"/>
              </w:rPr>
              <w:t>院、医技等业务。支持医务人员按规定流程，遵循或参考系统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自带的诊疗规范、指南、临床路径或知识库，实时处理诊疗业</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务，记录服务情况和数据。</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产品开发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产品化</w:t>
            </w:r>
          </w:p>
        </w:tc>
      </w:tr>
      <w:tr>
        <w:trPr>
          <w:trHeight w:val="1668"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95" w:right="0"/>
              <w:jc w:val="left"/>
              <w:rPr>
                <w:rFonts w:ascii="宋体" w:hAnsi="宋体" w:cs="宋体" w:eastAsia="宋体" w:hint="default"/>
                <w:sz w:val="21"/>
                <w:szCs w:val="21"/>
              </w:rPr>
            </w:pPr>
            <w:r>
              <w:rPr>
                <w:rFonts w:ascii="宋体"/>
                <w:w w:val="100"/>
                <w:sz w:val="21"/>
              </w:rPr>
              <w:t>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pacing w:val="15"/>
                <w:sz w:val="21"/>
                <w:szCs w:val="21"/>
              </w:rPr>
              <w:t>全民一卡通信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息管理系统</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
              <w:ind w:left="4" w:right="-48"/>
              <w:jc w:val="left"/>
              <w:rPr>
                <w:rFonts w:ascii="宋体" w:hAnsi="宋体" w:cs="宋体" w:eastAsia="宋体" w:hint="default"/>
                <w:sz w:val="21"/>
                <w:szCs w:val="21"/>
              </w:rPr>
            </w:pPr>
            <w:r>
              <w:rPr>
                <w:rFonts w:ascii="宋体" w:hAnsi="宋体" w:cs="宋体" w:eastAsia="宋体" w:hint="default"/>
                <w:spacing w:val="-2"/>
                <w:sz w:val="21"/>
                <w:szCs w:val="21"/>
              </w:rPr>
              <w:t>基于电子健康档案、电子病历和三级信息平台，实现跨系统、</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跨机构、跨地域互联互通和信息共享，主要用于居民在医疗卫</w:t>
            </w:r>
          </w:p>
          <w:p>
            <w:pPr>
              <w:pStyle w:val="TableParagraph"/>
              <w:spacing w:line="272" w:lineRule="exact" w:before="1"/>
              <w:ind w:left="4" w:right="-5"/>
              <w:jc w:val="left"/>
              <w:rPr>
                <w:rFonts w:ascii="宋体" w:hAnsi="宋体" w:cs="宋体" w:eastAsia="宋体" w:hint="default"/>
                <w:sz w:val="21"/>
                <w:szCs w:val="21"/>
              </w:rPr>
            </w:pPr>
            <w:r>
              <w:rPr>
                <w:rFonts w:ascii="宋体" w:hAnsi="宋体" w:cs="宋体" w:eastAsia="宋体" w:hint="default"/>
                <w:spacing w:val="-3"/>
                <w:sz w:val="21"/>
                <w:szCs w:val="21"/>
              </w:rPr>
              <w:t>生服务活动中身份识别、基础健康信息存储、跨地区和跨机构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7"/>
                <w:sz w:val="21"/>
                <w:szCs w:val="21"/>
              </w:rPr>
              <w:t>就医、费用结算和金融服务等应用，将覆盖各级卫生管理机构</w:t>
            </w:r>
          </w:p>
          <w:p>
            <w:pPr>
              <w:pStyle w:val="TableParagraph"/>
              <w:spacing w:line="272" w:lineRule="exact" w:before="2"/>
              <w:ind w:left="4" w:right="-4"/>
              <w:jc w:val="left"/>
              <w:rPr>
                <w:rFonts w:ascii="宋体" w:hAnsi="宋体" w:cs="宋体" w:eastAsia="宋体" w:hint="default"/>
                <w:sz w:val="21"/>
                <w:szCs w:val="21"/>
              </w:rPr>
            </w:pPr>
            <w:r>
              <w:rPr>
                <w:rFonts w:ascii="宋体" w:hAnsi="宋体" w:cs="宋体" w:eastAsia="宋体" w:hint="default"/>
                <w:spacing w:val="-3"/>
                <w:sz w:val="21"/>
                <w:szCs w:val="21"/>
              </w:rPr>
              <w:t>医疗机构、公共卫生服务机构、金融机构的一体化居民健康卡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应用体系。</w:t>
            </w:r>
          </w:p>
        </w:tc>
        <w:tc>
          <w:tcPr>
            <w:tcW w:w="14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5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1" w:right="0"/>
              <w:jc w:val="left"/>
              <w:rPr>
                <w:rFonts w:ascii="宋体" w:hAnsi="宋体" w:cs="宋体" w:eastAsia="宋体" w:hint="default"/>
                <w:sz w:val="21"/>
                <w:szCs w:val="21"/>
              </w:rPr>
            </w:pPr>
            <w:r>
              <w:rPr>
                <w:rFonts w:ascii="宋体" w:hAnsi="宋体" w:cs="宋体" w:eastAsia="宋体" w:hint="default"/>
                <w:sz w:val="21"/>
                <w:szCs w:val="21"/>
              </w:rPr>
              <w:t>产品化</w:t>
            </w: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1397"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sz w:val="21"/>
              </w:rPr>
              <w:t>10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 w:right="0"/>
              <w:jc w:val="left"/>
              <w:rPr>
                <w:rFonts w:ascii="宋体" w:hAnsi="宋体" w:cs="宋体" w:eastAsia="宋体" w:hint="default"/>
                <w:sz w:val="21"/>
                <w:szCs w:val="21"/>
              </w:rPr>
            </w:pPr>
            <w:r>
              <w:rPr>
                <w:rFonts w:ascii="宋体" w:hAnsi="宋体" w:cs="宋体" w:eastAsia="宋体" w:hint="default"/>
                <w:spacing w:val="15"/>
                <w:sz w:val="21"/>
                <w:szCs w:val="21"/>
              </w:rPr>
              <w:t>荣科临床路径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管理系统</w:t>
            </w:r>
          </w:p>
        </w:tc>
        <w:tc>
          <w:tcPr>
            <w:tcW w:w="564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4"/>
              <w:jc w:val="left"/>
              <w:rPr>
                <w:rFonts w:ascii="宋体" w:hAnsi="宋体" w:cs="宋体" w:eastAsia="宋体" w:hint="default"/>
                <w:sz w:val="21"/>
                <w:szCs w:val="21"/>
              </w:rPr>
            </w:pPr>
            <w:r>
              <w:rPr>
                <w:rFonts w:ascii="宋体" w:hAnsi="宋体" w:cs="宋体" w:eastAsia="宋体" w:hint="default"/>
                <w:spacing w:val="-3"/>
                <w:sz w:val="21"/>
                <w:szCs w:val="21"/>
              </w:rPr>
              <w:t>针对诊疗标准化，确定病种的标准住院天数和检查项目；缩短</w:t>
            </w:r>
          </w:p>
          <w:p>
            <w:pPr>
              <w:pStyle w:val="TableParagraph"/>
              <w:spacing w:line="237" w:lineRule="auto" w:before="2"/>
              <w:ind w:left="4" w:right="-4"/>
              <w:jc w:val="left"/>
              <w:rPr>
                <w:rFonts w:ascii="宋体" w:hAnsi="宋体" w:cs="宋体" w:eastAsia="宋体" w:hint="default"/>
                <w:sz w:val="21"/>
                <w:szCs w:val="21"/>
              </w:rPr>
            </w:pPr>
            <w:r>
              <w:rPr>
                <w:rFonts w:ascii="宋体" w:hAnsi="宋体" w:cs="宋体" w:eastAsia="宋体" w:hint="default"/>
                <w:spacing w:val="-7"/>
                <w:sz w:val="21"/>
                <w:szCs w:val="21"/>
              </w:rPr>
              <w:t>患者住院天数，降低医疗成本；提高医疗质量、减少医疗纠纷</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提高服务质量和患者满意度等方面进行管理和监控，便于医生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掌握最及时和准确的病人治疗信息，同时省去大量繁琐的书面</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记录工作，与电子病历系统，</w:t>
            </w:r>
            <w:r>
              <w:rPr>
                <w:rFonts w:ascii="宋体" w:hAnsi="宋体" w:cs="宋体" w:eastAsia="宋体" w:hint="default"/>
                <w:sz w:val="21"/>
                <w:szCs w:val="21"/>
              </w:rPr>
              <w:t>HIS</w:t>
            </w:r>
            <w:r>
              <w:rPr>
                <w:rFonts w:ascii="宋体" w:hAnsi="宋体" w:cs="宋体" w:eastAsia="宋体" w:hint="default"/>
                <w:sz w:val="21"/>
                <w:szCs w:val="21"/>
              </w:rPr>
              <w:t>实施无缝对接。</w:t>
            </w:r>
          </w:p>
        </w:tc>
        <w:tc>
          <w:tcPr>
            <w:tcW w:w="1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5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 w:right="0"/>
              <w:jc w:val="left"/>
              <w:rPr>
                <w:rFonts w:ascii="宋体" w:hAnsi="宋体" w:cs="宋体" w:eastAsia="宋体" w:hint="default"/>
                <w:sz w:val="21"/>
                <w:szCs w:val="21"/>
              </w:rPr>
            </w:pPr>
            <w:r>
              <w:rPr>
                <w:rFonts w:ascii="宋体" w:hAnsi="宋体" w:cs="宋体" w:eastAsia="宋体" w:hint="default"/>
                <w:sz w:val="21"/>
                <w:szCs w:val="21"/>
              </w:rPr>
              <w:t>产品化</w:t>
            </w:r>
          </w:p>
        </w:tc>
        <w:tc>
          <w:tcPr>
            <w:tcW w:w="9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right="0"/>
        <w:jc w:val="left"/>
      </w:pPr>
      <w:r>
        <w:rPr/>
        <w:t>近三年公司研发投入金额及占营业收入的比例</w:t>
      </w: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928"/>
        <w:gridCol w:w="2279"/>
        <w:gridCol w:w="2268"/>
        <w:gridCol w:w="2223"/>
      </w:tblGrid>
      <w:tr>
        <w:trPr>
          <w:trHeight w:val="28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5"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16,566,993.48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8,485,213.68</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8,018,601.33</w:t>
            </w:r>
          </w:p>
        </w:tc>
      </w:tr>
      <w:tr>
        <w:trPr>
          <w:trHeight w:val="28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3.48%</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4.95%</w:t>
            </w:r>
          </w:p>
        </w:tc>
      </w:tr>
    </w:tbl>
    <w:p>
      <w:pPr>
        <w:pStyle w:val="Heading5"/>
        <w:spacing w:line="240" w:lineRule="auto" w:before="64"/>
        <w:ind w:right="0"/>
        <w:jc w:val="left"/>
        <w:rPr>
          <w:b w:val="0"/>
          <w:bCs w:val="0"/>
        </w:rPr>
      </w:pPr>
      <w:r>
        <w:rPr/>
        <w:t>（</w:t>
      </w:r>
      <w:r>
        <w:rPr>
          <w:rFonts w:ascii="宋体" w:hAnsi="宋体" w:cs="宋体" w:eastAsia="宋体" w:hint="default"/>
        </w:rPr>
        <w:t>5</w:t>
      </w:r>
      <w:r>
        <w:rPr/>
        <w:t>）现金流</w:t>
      </w:r>
      <w:r>
        <w:rPr>
          <w:b w:val="0"/>
          <w:bCs w:val="0"/>
        </w:rPr>
      </w:r>
    </w:p>
    <w:p>
      <w:pPr>
        <w:pStyle w:val="BodyText"/>
        <w:spacing w:line="240" w:lineRule="auto" w:before="99"/>
        <w:ind w:left="0" w:right="168"/>
        <w:jc w:val="right"/>
      </w:pPr>
      <w:r>
        <w:rPr>
          <w:spacing w:val="-1"/>
        </w:rPr>
        <w:t>单位：元</w:t>
      </w:r>
    </w:p>
    <w:p>
      <w:pPr>
        <w:spacing w:line="240" w:lineRule="auto" w:before="5"/>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910"/>
        <w:gridCol w:w="1949"/>
        <w:gridCol w:w="2393"/>
        <w:gridCol w:w="2393"/>
      </w:tblGrid>
      <w:tr>
        <w:trPr>
          <w:trHeight w:val="274"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62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509"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46"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49" w:type="dxa"/>
            <w:tcBorders>
              <w:top w:val="single" w:sz="12" w:space="0" w:color="D2D2D2"/>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pacing w:val="-1"/>
                <w:sz w:val="21"/>
              </w:rPr>
              <w:t>307,413,033.94</w:t>
            </w:r>
          </w:p>
        </w:tc>
        <w:tc>
          <w:tcPr>
            <w:tcW w:w="2393" w:type="dxa"/>
            <w:tcBorders>
              <w:top w:val="single" w:sz="12" w:space="0" w:color="D2D2D2"/>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253,709,912.44</w:t>
            </w:r>
          </w:p>
        </w:tc>
        <w:tc>
          <w:tcPr>
            <w:tcW w:w="2393" w:type="dxa"/>
            <w:tcBorders>
              <w:top w:val="single" w:sz="12" w:space="0" w:color="D2D2D2"/>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z w:val="21"/>
              </w:rPr>
              <w:t>21.17%</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276,712,454.95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204,302,306.16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35.44%</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30,700,578.99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49,407,606.28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-37.86%</w:t>
            </w:r>
          </w:p>
        </w:tc>
      </w:tr>
      <w:tr>
        <w:trPr>
          <w:trHeight w:val="324"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470,000.00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
              <w:jc w:val="right"/>
              <w:rPr>
                <w:rFonts w:ascii="宋体" w:hAnsi="宋体" w:cs="宋体" w:eastAsia="宋体" w:hint="default"/>
                <w:sz w:val="21"/>
                <w:szCs w:val="21"/>
              </w:rPr>
            </w:pPr>
            <w:r>
              <w:rPr>
                <w:rFonts w:ascii="宋体"/>
                <w:spacing w:val="-1"/>
                <w:sz w:val="21"/>
              </w:rPr>
              <w:t>28,843,971.00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5,961,693.10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383.82%</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
              <w:jc w:val="right"/>
              <w:rPr>
                <w:rFonts w:ascii="宋体" w:hAnsi="宋体" w:cs="宋体" w:eastAsia="宋体" w:hint="default"/>
                <w:sz w:val="21"/>
                <w:szCs w:val="21"/>
              </w:rPr>
            </w:pPr>
            <w:r>
              <w:rPr>
                <w:rFonts w:ascii="宋体"/>
                <w:spacing w:val="-1"/>
                <w:sz w:val="21"/>
              </w:rPr>
              <w:t>-28,373,971.00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-5,961,693.10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-375.94%</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
              <w:jc w:val="right"/>
              <w:rPr>
                <w:rFonts w:ascii="宋体" w:hAnsi="宋体" w:cs="宋体" w:eastAsia="宋体" w:hint="default"/>
                <w:sz w:val="21"/>
                <w:szCs w:val="21"/>
              </w:rPr>
            </w:pPr>
            <w:r>
              <w:rPr>
                <w:rFonts w:ascii="宋体"/>
                <w:spacing w:val="-1"/>
                <w:sz w:val="21"/>
              </w:rPr>
              <w:t>189,237,800.00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24,000,000.00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688.49%</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98,120,471.14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20,900,850.00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369.46%</w:t>
            </w:r>
          </w:p>
        </w:tc>
      </w:tr>
    </w:tbl>
    <w:p>
      <w:pPr>
        <w:spacing w:after="0" w:line="262" w:lineRule="exact"/>
        <w:jc w:val="right"/>
        <w:rPr>
          <w:rFonts w:ascii="宋体" w:hAnsi="宋体" w:cs="宋体" w:eastAsia="宋体" w:hint="default"/>
          <w:sz w:val="21"/>
          <w:szCs w:val="21"/>
        </w:rPr>
        <w:sectPr>
          <w:pgSz w:w="11910" w:h="16840"/>
          <w:pgMar w:header="884" w:footer="979" w:top="1100" w:bottom="1160" w:left="980" w:right="960"/>
        </w:sectPr>
      </w:pP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10"/>
        <w:gridCol w:w="1949"/>
        <w:gridCol w:w="2393"/>
        <w:gridCol w:w="2393"/>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
              <w:jc w:val="right"/>
              <w:rPr>
                <w:rFonts w:ascii="宋体" w:hAnsi="宋体" w:cs="宋体" w:eastAsia="宋体" w:hint="default"/>
                <w:sz w:val="21"/>
                <w:szCs w:val="21"/>
              </w:rPr>
            </w:pPr>
            <w:r>
              <w:rPr>
                <w:rFonts w:ascii="宋体"/>
                <w:spacing w:val="-1"/>
                <w:sz w:val="21"/>
              </w:rPr>
              <w:t>91,117,328.86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3,099,150.00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pacing w:val="-1"/>
                <w:sz w:val="21"/>
              </w:rPr>
              <w:t>2,840.07%</w:t>
            </w:r>
          </w:p>
        </w:tc>
      </w:tr>
      <w:tr>
        <w:trPr>
          <w:trHeight w:val="324" w:hRule="exact"/>
        </w:trPr>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93,441,389.58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46,488,417.41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101.00%</w:t>
            </w:r>
          </w:p>
        </w:tc>
      </w:tr>
    </w:tbl>
    <w:p>
      <w:pPr>
        <w:pStyle w:val="BodyText"/>
        <w:spacing w:line="273" w:lineRule="exact" w:before="86"/>
        <w:ind w:right="4"/>
        <w:jc w:val="left"/>
      </w:pPr>
      <w:r>
        <w:rPr/>
        <w:t>相关数据同比发生变动</w:t>
      </w:r>
      <w:r>
        <w:rPr>
          <w:spacing w:val="-58"/>
        </w:rPr>
        <w:t> </w:t>
      </w:r>
      <w:r>
        <w:rPr>
          <w:rFonts w:ascii="宋体" w:hAnsi="宋体" w:cs="宋体" w:eastAsia="宋体" w:hint="default"/>
        </w:rPr>
        <w:t>30%</w:t>
      </w:r>
      <w:r>
        <w:rPr/>
        <w:t>以上的原因说明</w:t>
      </w:r>
    </w:p>
    <w:p>
      <w:pPr>
        <w:pStyle w:val="BodyText"/>
        <w:spacing w:line="273" w:lineRule="exact"/>
        <w:ind w:right="4"/>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573" w:right="4"/>
        <w:jc w:val="left"/>
      </w:pPr>
      <w:r>
        <w:rPr>
          <w:rFonts w:ascii="宋体" w:hAnsi="宋体" w:cs="宋体" w:eastAsia="宋体" w:hint="default"/>
        </w:rPr>
        <w:t>1</w:t>
      </w:r>
      <w:r>
        <w:rPr/>
        <w:t>、经营活动产生的现金流量净额较上年同期减少</w:t>
      </w:r>
      <w:r>
        <w:rPr>
          <w:spacing w:val="-57"/>
        </w:rPr>
        <w:t> </w:t>
      </w:r>
      <w:r>
        <w:rPr>
          <w:rFonts w:ascii="宋体" w:hAnsi="宋体" w:cs="宋体" w:eastAsia="宋体" w:hint="default"/>
        </w:rPr>
        <w:t>1,870.70</w:t>
      </w:r>
      <w:r>
        <w:rPr>
          <w:rFonts w:ascii="宋体" w:hAnsi="宋体" w:cs="宋体" w:eastAsia="宋体" w:hint="default"/>
          <w:spacing w:val="-57"/>
        </w:rPr>
        <w:t> </w:t>
      </w:r>
      <w:r>
        <w:rPr/>
        <w:t>万元，同比下降</w:t>
      </w:r>
      <w:r>
        <w:rPr>
          <w:spacing w:val="-57"/>
        </w:rPr>
        <w:t> </w:t>
      </w:r>
      <w:r>
        <w:rPr>
          <w:rFonts w:ascii="宋体" w:hAnsi="宋体" w:cs="宋体" w:eastAsia="宋体" w:hint="default"/>
        </w:rPr>
        <w:t>37.86%</w:t>
      </w:r>
      <w:r>
        <w:rPr/>
        <w:t>，主要原因是：</w:t>
      </w:r>
    </w:p>
    <w:p>
      <w:pPr>
        <w:pStyle w:val="BodyText"/>
        <w:spacing w:line="272" w:lineRule="exact"/>
        <w:ind w:left="573" w:right="4"/>
        <w:jc w:val="left"/>
      </w:pPr>
      <w:r>
        <w:rPr>
          <w:spacing w:val="-4"/>
        </w:rPr>
        <w:t>（</w:t>
      </w:r>
      <w:r>
        <w:rPr>
          <w:rFonts w:ascii="宋体" w:hAnsi="宋体" w:cs="宋体" w:eastAsia="宋体" w:hint="default"/>
          <w:spacing w:val="-4"/>
        </w:rPr>
        <w:t>1</w:t>
      </w:r>
      <w:r>
        <w:rPr>
          <w:spacing w:val="-4"/>
        </w:rPr>
        <w:t>）报告期内经营规模扩大，项目增加，导致购买商品接受劳务支付的现金较上年同期增长</w:t>
      </w:r>
      <w:r>
        <w:rPr>
          <w:spacing w:val="26"/>
        </w:rPr>
        <w:t> </w:t>
      </w:r>
      <w:r>
        <w:rPr>
          <w:rFonts w:ascii="宋体" w:hAnsi="宋体" w:cs="宋体" w:eastAsia="宋体" w:hint="default"/>
        </w:rPr>
        <w:t>46.59%</w:t>
      </w:r>
      <w:r>
        <w:rPr/>
        <w:t>。</w:t>
      </w:r>
    </w:p>
    <w:p>
      <w:pPr>
        <w:pStyle w:val="BodyText"/>
        <w:spacing w:line="272" w:lineRule="exact" w:before="27"/>
        <w:ind w:right="240" w:firstLine="420"/>
        <w:jc w:val="left"/>
      </w:pPr>
      <w:r>
        <w:rPr>
          <w:spacing w:val="-2"/>
        </w:rPr>
        <w:t>（</w:t>
      </w:r>
      <w:r>
        <w:rPr>
          <w:rFonts w:ascii="宋体" w:hAnsi="宋体" w:cs="宋体" w:eastAsia="宋体" w:hint="default"/>
          <w:spacing w:val="-2"/>
        </w:rPr>
        <w:t>2</w:t>
      </w:r>
      <w:r>
        <w:rPr>
          <w:spacing w:val="-2"/>
        </w:rPr>
        <w:t>）报告期内员工薪酬水平增长，人力成本增加，支付给职工以及为职工支付的现金较上年同期增</w:t>
      </w:r>
      <w:r>
        <w:rPr>
          <w:w w:val="100"/>
        </w:rPr>
        <w:t> </w:t>
      </w:r>
      <w:r>
        <w:rPr/>
        <w:t>长</w:t>
      </w:r>
      <w:r>
        <w:rPr>
          <w:spacing w:val="-52"/>
        </w:rPr>
        <w:t> </w:t>
      </w:r>
      <w:r>
        <w:rPr>
          <w:rFonts w:ascii="宋体" w:hAnsi="宋体" w:cs="宋体" w:eastAsia="宋体" w:hint="default"/>
        </w:rPr>
        <w:t>41.39%</w:t>
      </w:r>
      <w:r>
        <w:rPr/>
        <w:t>。</w:t>
      </w:r>
    </w:p>
    <w:p>
      <w:pPr>
        <w:pStyle w:val="BodyText"/>
        <w:spacing w:line="272" w:lineRule="exact" w:before="1"/>
        <w:ind w:right="240" w:firstLine="420"/>
        <w:jc w:val="left"/>
      </w:pPr>
      <w:r>
        <w:rPr>
          <w:rFonts w:ascii="宋体" w:hAnsi="宋体" w:cs="宋体" w:eastAsia="宋体" w:hint="default"/>
        </w:rPr>
        <w:t>2</w:t>
      </w:r>
      <w:r>
        <w:rPr/>
        <w:t>、投资活动产生的现金流量净额较上年同期减少</w:t>
      </w:r>
      <w:r>
        <w:rPr>
          <w:spacing w:val="-57"/>
        </w:rPr>
        <w:t> </w:t>
      </w:r>
      <w:r>
        <w:rPr>
          <w:rFonts w:ascii="宋体" w:hAnsi="宋体" w:cs="宋体" w:eastAsia="宋体" w:hint="default"/>
        </w:rPr>
        <w:t>2,241.23</w:t>
      </w:r>
      <w:r>
        <w:rPr>
          <w:rFonts w:ascii="宋体" w:hAnsi="宋体" w:cs="宋体" w:eastAsia="宋体" w:hint="default"/>
          <w:spacing w:val="-57"/>
        </w:rPr>
        <w:t> </w:t>
      </w:r>
      <w:r>
        <w:rPr/>
        <w:t>万元，同比下降</w:t>
      </w:r>
      <w:r>
        <w:rPr>
          <w:spacing w:val="-57"/>
        </w:rPr>
        <w:t> </w:t>
      </w:r>
      <w:r>
        <w:rPr>
          <w:rFonts w:ascii="宋体" w:hAnsi="宋体" w:cs="宋体" w:eastAsia="宋体" w:hint="default"/>
        </w:rPr>
        <w:t>375.94%</w:t>
      </w:r>
      <w:r>
        <w:rPr/>
        <w:t>，主要原因是报</w:t>
      </w:r>
      <w:r>
        <w:rPr>
          <w:w w:val="100"/>
        </w:rPr>
        <w:t> </w:t>
      </w:r>
      <w:r>
        <w:rPr/>
        <w:t>告期内公司增加募集资金项目建设投入所致。</w:t>
      </w:r>
    </w:p>
    <w:p>
      <w:pPr>
        <w:pStyle w:val="BodyText"/>
        <w:spacing w:line="272" w:lineRule="exact" w:before="2"/>
        <w:ind w:right="4" w:firstLine="420"/>
        <w:jc w:val="left"/>
      </w:pPr>
      <w:r>
        <w:rPr>
          <w:rFonts w:ascii="宋体" w:hAnsi="宋体" w:cs="宋体" w:eastAsia="宋体" w:hint="default"/>
        </w:rPr>
        <w:t>3</w:t>
      </w:r>
      <w:r>
        <w:rPr/>
        <w:t>、筹资活动产生的现金流量净额较上年同期增加</w:t>
      </w:r>
      <w:r>
        <w:rPr>
          <w:spacing w:val="-58"/>
        </w:rPr>
        <w:t> </w:t>
      </w:r>
      <w:r>
        <w:rPr>
          <w:rFonts w:ascii="宋体" w:hAnsi="宋体" w:cs="宋体" w:eastAsia="宋体" w:hint="default"/>
        </w:rPr>
        <w:t>8,801.82</w:t>
      </w:r>
      <w:r>
        <w:rPr>
          <w:rFonts w:ascii="宋体" w:hAnsi="宋体" w:cs="宋体" w:eastAsia="宋体" w:hint="default"/>
          <w:spacing w:val="-58"/>
        </w:rPr>
        <w:t> </w:t>
      </w:r>
      <w:r>
        <w:rPr/>
        <w:t>万元，同比增幅</w:t>
      </w:r>
      <w:r>
        <w:rPr>
          <w:spacing w:val="-58"/>
        </w:rPr>
        <w:t> </w:t>
      </w:r>
      <w:r>
        <w:rPr>
          <w:rFonts w:ascii="宋体" w:hAnsi="宋体" w:cs="宋体" w:eastAsia="宋体" w:hint="default"/>
        </w:rPr>
        <w:t>2,840.07%</w:t>
      </w:r>
      <w:r>
        <w:rPr/>
        <w:t>，主要原因是</w:t>
      </w:r>
      <w:r>
        <w:rPr>
          <w:w w:val="100"/>
        </w:rPr>
        <w:t> </w:t>
      </w:r>
      <w:r>
        <w:rPr/>
        <w:t>公司公开发行股票资金流入引起大幅增长所致。</w:t>
      </w:r>
    </w:p>
    <w:p>
      <w:pPr>
        <w:pStyle w:val="BodyText"/>
        <w:spacing w:line="273" w:lineRule="exact" w:before="94"/>
        <w:ind w:right="4"/>
        <w:jc w:val="left"/>
      </w:pPr>
      <w:r>
        <w:rPr/>
        <w:t>报告期内公司经营活动的现金流量与本年度净利润存在重大差异的原因说明</w:t>
      </w:r>
    </w:p>
    <w:p>
      <w:pPr>
        <w:pStyle w:val="BodyText"/>
        <w:spacing w:line="273" w:lineRule="exact"/>
        <w:ind w:right="4"/>
        <w:jc w:val="left"/>
      </w:pPr>
      <w:r>
        <w:rPr/>
        <w:t>□ 适用 √</w:t>
      </w:r>
      <w:r>
        <w:rPr>
          <w:spacing w:val="1"/>
        </w:rPr>
        <w:t> </w:t>
      </w:r>
      <w:r>
        <w:rPr/>
        <w:t>不适用</w:t>
      </w:r>
    </w:p>
    <w:p>
      <w:pPr>
        <w:spacing w:line="326" w:lineRule="auto" w:before="97"/>
        <w:ind w:left="152" w:right="677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）公司主要供应商、客户情况</w:t>
      </w:r>
      <w:r>
        <w:rPr>
          <w:rFonts w:ascii="宋体" w:hAnsi="宋体" w:cs="宋体" w:eastAsia="宋体" w:hint="default"/>
          <w:b/>
          <w:bCs/>
          <w:w w:val="100"/>
          <w:sz w:val="21"/>
          <w:szCs w:val="21"/>
        </w:rPr>
        <w:t> </w:t>
      </w:r>
      <w:r>
        <w:rPr>
          <w:rFonts w:ascii="宋体" w:hAnsi="宋体" w:cs="宋体" w:eastAsia="宋体" w:hint="default"/>
          <w:sz w:val="21"/>
          <w:szCs w:val="21"/>
        </w:rPr>
        <w:t>公司主要销售客户情况</w:t>
      </w:r>
    </w:p>
    <w:p>
      <w:pPr>
        <w:spacing w:line="240" w:lineRule="auto" w:before="9"/>
        <w:rPr>
          <w:rFonts w:ascii="宋体" w:hAnsi="宋体" w:cs="宋体" w:eastAsia="宋体" w:hint="default"/>
          <w:sz w:val="5"/>
          <w:szCs w:val="5"/>
        </w:rPr>
      </w:pPr>
    </w:p>
    <w:tbl>
      <w:tblPr>
        <w:tblW w:w="0" w:type="auto"/>
        <w:jc w:val="left"/>
        <w:tblInd w:w="196" w:type="dxa"/>
        <w:tblLayout w:type="fixed"/>
        <w:tblCellMar>
          <w:top w:w="0" w:type="dxa"/>
          <w:left w:w="0" w:type="dxa"/>
          <w:bottom w:w="0" w:type="dxa"/>
          <w:right w:w="0" w:type="dxa"/>
        </w:tblCellMar>
        <w:tblLook w:val="01E0"/>
      </w:tblPr>
      <w:tblGrid>
        <w:gridCol w:w="4939"/>
        <w:gridCol w:w="4617"/>
      </w:tblGrid>
      <w:tr>
        <w:trPr>
          <w:trHeight w:val="283" w:hRule="exact"/>
        </w:trPr>
        <w:tc>
          <w:tcPr>
            <w:tcW w:w="4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95,484,399.94</w:t>
            </w:r>
          </w:p>
        </w:tc>
      </w:tr>
      <w:tr>
        <w:trPr>
          <w:trHeight w:val="281" w:hRule="exact"/>
        </w:trPr>
        <w:tc>
          <w:tcPr>
            <w:tcW w:w="4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宋体" w:hAnsi="宋体" w:cs="宋体" w:eastAsia="宋体" w:hint="default"/>
                <w:sz w:val="21"/>
                <w:szCs w:val="21"/>
              </w:rPr>
              <w:t>%</w:t>
            </w:r>
            <w:r>
              <w:rPr>
                <w:rFonts w:ascii="宋体" w:hAnsi="宋体" w:cs="宋体" w:eastAsia="宋体" w:hint="default"/>
                <w:sz w:val="21"/>
                <w:szCs w:val="21"/>
              </w:rPr>
              <w:t>）</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28.53%</w:t>
            </w:r>
          </w:p>
        </w:tc>
      </w:tr>
    </w:tbl>
    <w:p>
      <w:pPr>
        <w:pStyle w:val="BodyText"/>
        <w:spacing w:line="274" w:lineRule="exact" w:before="86"/>
        <w:ind w:right="4"/>
        <w:jc w:val="left"/>
      </w:pPr>
      <w:r>
        <w:rPr/>
        <w:t>向单一客户销售比例超过</w:t>
      </w:r>
      <w:r>
        <w:rPr>
          <w:spacing w:val="-55"/>
        </w:rPr>
        <w:t> </w:t>
      </w:r>
      <w:r>
        <w:rPr>
          <w:rFonts w:ascii="宋体" w:hAnsi="宋体" w:cs="宋体" w:eastAsia="宋体" w:hint="default"/>
        </w:rPr>
        <w:t>30%</w:t>
      </w:r>
      <w:r>
        <w:rPr/>
        <w:t>的客户资料</w:t>
      </w:r>
    </w:p>
    <w:p>
      <w:pPr>
        <w:pStyle w:val="BodyText"/>
        <w:spacing w:line="446" w:lineRule="auto"/>
        <w:ind w:right="7953"/>
        <w:jc w:val="left"/>
      </w:pPr>
      <w:r>
        <w:rPr/>
        <w:pict>
          <v:shape style="position:absolute;margin-left:58.812pt;margin-top:46.963654pt;width:478.55pt;height:28.7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39"/>
                    <w:gridCol w:w="4617"/>
                  </w:tblGrid>
                  <w:tr>
                    <w:trPr>
                      <w:trHeight w:val="283" w:hRule="exact"/>
                    </w:trPr>
                    <w:tc>
                      <w:tcPr>
                        <w:tcW w:w="4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56,504,564.96</w:t>
                        </w:r>
                      </w:p>
                    </w:tc>
                  </w:tr>
                  <w:tr>
                    <w:trPr>
                      <w:trHeight w:val="281" w:hRule="exact"/>
                    </w:trPr>
                    <w:tc>
                      <w:tcPr>
                        <w:tcW w:w="4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21"/>
                          <w:jc w:val="left"/>
                          <w:rPr>
                            <w:rFonts w:ascii="宋体" w:hAnsi="宋体" w:cs="宋体" w:eastAsia="宋体" w:hint="default"/>
                            <w:sz w:val="21"/>
                            <w:szCs w:val="21"/>
                          </w:rPr>
                        </w:pPr>
                        <w:r>
                          <w:rPr>
                            <w:rFonts w:ascii="宋体" w:hAnsi="宋体" w:cs="宋体" w:eastAsia="宋体" w:hint="default"/>
                            <w:spacing w:val="-2"/>
                            <w:sz w:val="21"/>
                            <w:szCs w:val="21"/>
                          </w:rPr>
                          <w:t>前五名供应商合计采购金额占年度采购总额比例（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28.16%</w:t>
                        </w:r>
                      </w:p>
                    </w:tc>
                  </w:tr>
                </w:tbl>
                <w:p>
                  <w:pPr/>
                </w:p>
              </w:txbxContent>
            </v:textbox>
            <w10:wrap type="none"/>
          </v:shape>
        </w:pict>
      </w:r>
      <w:r>
        <w:rPr/>
        <w:t>□ 适用 √ 不适用</w:t>
      </w:r>
      <w:r>
        <w:rPr>
          <w:w w:val="100"/>
        </w:rPr>
        <w:t> </w:t>
      </w:r>
      <w:r>
        <w:rPr>
          <w:spacing w:val="-1"/>
        </w:rPr>
        <w:t>公司主要供应商情况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74" w:lineRule="exact" w:before="36"/>
        <w:ind w:right="4"/>
        <w:jc w:val="left"/>
      </w:pPr>
      <w:r>
        <w:rPr/>
        <w:t>向单一供应商采购比例超过</w:t>
      </w:r>
      <w:r>
        <w:rPr>
          <w:spacing w:val="-54"/>
        </w:rPr>
        <w:t> </w:t>
      </w:r>
      <w:r>
        <w:rPr>
          <w:rFonts w:ascii="宋体" w:hAnsi="宋体" w:cs="宋体" w:eastAsia="宋体" w:hint="default"/>
        </w:rPr>
        <w:t>30%</w:t>
      </w:r>
      <w:r>
        <w:rPr/>
        <w:t>的客户资料</w:t>
      </w:r>
    </w:p>
    <w:p>
      <w:pPr>
        <w:pStyle w:val="BodyText"/>
        <w:spacing w:line="274" w:lineRule="exact"/>
        <w:ind w:right="4"/>
        <w:jc w:val="left"/>
      </w:pPr>
      <w:r>
        <w:rPr/>
        <w:t>□ 适用 √</w:t>
      </w:r>
      <w:r>
        <w:rPr>
          <w:spacing w:val="1"/>
        </w:rPr>
        <w:t> </w:t>
      </w:r>
      <w:r>
        <w:rPr/>
        <w:t>不适用</w:t>
      </w:r>
    </w:p>
    <w:p>
      <w:pPr>
        <w:spacing w:line="326" w:lineRule="auto" w:before="94"/>
        <w:ind w:left="152" w:right="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）公司未来发展与规划延续至报告期的说明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首次公开发行招股说明书中披露的未来发展与规划在本报告期的实施情况</w:t>
      </w:r>
    </w:p>
    <w:p>
      <w:pPr>
        <w:pStyle w:val="BodyText"/>
        <w:spacing w:line="198" w:lineRule="exact"/>
        <w:ind w:right="4"/>
        <w:jc w:val="left"/>
      </w:pPr>
      <w:r>
        <w:rPr/>
        <w:t>□ 适用 √</w:t>
      </w:r>
      <w:r>
        <w:rPr>
          <w:spacing w:val="1"/>
        </w:rPr>
        <w:t> </w:t>
      </w:r>
      <w:r>
        <w:rPr/>
        <w:t>不适用</w:t>
      </w:r>
    </w:p>
    <w:p>
      <w:pPr>
        <w:spacing w:line="240" w:lineRule="auto" w:before="9"/>
        <w:rPr>
          <w:rFonts w:ascii="宋体" w:hAnsi="宋体" w:cs="宋体" w:eastAsia="宋体" w:hint="default"/>
          <w:sz w:val="20"/>
          <w:szCs w:val="20"/>
        </w:rPr>
      </w:pPr>
    </w:p>
    <w:p>
      <w:pPr>
        <w:spacing w:line="340" w:lineRule="auto" w:before="0"/>
        <w:ind w:left="152" w:right="4" w:firstLine="0"/>
        <w:jc w:val="left"/>
        <w:rPr>
          <w:rFonts w:ascii="宋体" w:hAnsi="宋体" w:cs="宋体" w:eastAsia="宋体" w:hint="default"/>
          <w:sz w:val="21"/>
          <w:szCs w:val="21"/>
        </w:rPr>
      </w:pPr>
      <w:r>
        <w:rPr>
          <w:rFonts w:ascii="宋体" w:hAnsi="宋体" w:cs="宋体" w:eastAsia="宋体" w:hint="default"/>
          <w:sz w:val="21"/>
          <w:szCs w:val="21"/>
        </w:rPr>
        <w:t>公司回顾总结前期披露的发展战略和经营计划在报告期内的进展情况</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报告期内，公司按照前期披露的战略发展规划和经营计划，主要完成了以下几方面工作：</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、加大重点行业与区域的拓展力度，实现公司业绩持续发展。</w:t>
      </w:r>
      <w:r>
        <w:rPr>
          <w:rFonts w:ascii="宋体" w:hAnsi="宋体" w:cs="宋体" w:eastAsia="宋体" w:hint="default"/>
          <w:sz w:val="21"/>
          <w:szCs w:val="21"/>
        </w:rPr>
      </w:r>
    </w:p>
    <w:p>
      <w:pPr>
        <w:pStyle w:val="BodyText"/>
        <w:spacing w:line="237" w:lineRule="auto" w:before="33"/>
        <w:ind w:right="4" w:firstLine="526"/>
        <w:jc w:val="left"/>
      </w:pPr>
      <w:r>
        <w:rPr>
          <w:spacing w:val="-2"/>
        </w:rPr>
        <w:t>随着信息技术、云计算技术等的迅速发展，</w:t>
      </w:r>
      <w:r>
        <w:rPr>
          <w:rFonts w:ascii="宋体" w:hAnsi="宋体" w:cs="宋体" w:eastAsia="宋体" w:hint="default"/>
          <w:spacing w:val="-2"/>
        </w:rPr>
        <w:t>IT</w:t>
      </w:r>
      <w:r>
        <w:rPr>
          <w:spacing w:val="-2"/>
        </w:rPr>
        <w:t>系统的建设规模以较高的速度逐年递增。通讯、金融、</w:t>
      </w:r>
      <w:r>
        <w:rPr>
          <w:w w:val="100"/>
        </w:rPr>
        <w:t> </w:t>
      </w:r>
      <w:r>
        <w:rPr>
          <w:spacing w:val="-2"/>
        </w:rPr>
        <w:t>交通、政府等各个行业的迅猛发展都越来越密切地依赖于现代化的</w:t>
      </w:r>
      <w:r>
        <w:rPr>
          <w:rFonts w:ascii="宋体" w:hAnsi="宋体" w:cs="宋体" w:eastAsia="宋体" w:hint="default"/>
          <w:spacing w:val="-2"/>
        </w:rPr>
        <w:t>IT</w:t>
      </w:r>
      <w:r>
        <w:rPr>
          <w:spacing w:val="-2"/>
        </w:rPr>
        <w:t>信息网络平台。报告期内，公司以服</w:t>
      </w:r>
      <w:r>
        <w:rPr>
          <w:spacing w:val="-41"/>
        </w:rPr>
        <w:t> </w:t>
      </w:r>
      <w:r>
        <w:rPr>
          <w:spacing w:val="-41"/>
        </w:rPr>
      </w:r>
      <w:r>
        <w:rPr/>
        <w:t>务管理为核心，研发了“数据中心运维服务管理平台”、“数据中心</w:t>
      </w:r>
      <w:r>
        <w:rPr>
          <w:rFonts w:ascii="宋体" w:hAnsi="宋体" w:cs="宋体" w:eastAsia="宋体" w:hint="default"/>
        </w:rPr>
        <w:t>IT</w:t>
      </w:r>
      <w:r>
        <w:rPr/>
        <w:t>运行监控系统”，促进节能减排，</w:t>
      </w:r>
      <w:r>
        <w:rPr>
          <w:w w:val="100"/>
        </w:rPr>
        <w:t> </w:t>
      </w:r>
      <w:r>
        <w:rPr/>
        <w:t>实现绿色数据中心为客户提供专业化、规范化的</w:t>
      </w:r>
      <w:r>
        <w:rPr>
          <w:rFonts w:ascii="宋体" w:hAnsi="宋体" w:cs="宋体" w:eastAsia="宋体" w:hint="default"/>
        </w:rPr>
        <w:t>IT</w:t>
      </w:r>
      <w:r>
        <w:rPr/>
        <w:t>服务管理，确保</w:t>
      </w:r>
      <w:r>
        <w:rPr>
          <w:rFonts w:ascii="宋体" w:hAnsi="宋体" w:cs="宋体" w:eastAsia="宋体" w:hint="default"/>
        </w:rPr>
        <w:t>IT</w:t>
      </w:r>
      <w:r>
        <w:rPr/>
        <w:t>服务管理为业务运作提供有力支持。</w:t>
      </w:r>
      <w:r>
        <w:rPr>
          <w:w w:val="100"/>
        </w:rPr>
        <w:t> </w:t>
      </w:r>
      <w:r>
        <w:rPr/>
        <w:t>以业务流程为基础，从服务角度出发，建立统一的</w:t>
      </w:r>
      <w:r>
        <w:rPr>
          <w:rFonts w:ascii="宋体" w:hAnsi="宋体" w:cs="宋体" w:eastAsia="宋体" w:hint="default"/>
        </w:rPr>
        <w:t>IT</w:t>
      </w:r>
      <w:r>
        <w:rPr/>
        <w:t>运维服务管理结构，全面监管数据中心的运维情况。</w:t>
      </w:r>
      <w:r>
        <w:rPr>
          <w:w w:val="100"/>
        </w:rPr>
        <w:t> </w:t>
      </w:r>
      <w:r>
        <w:rPr>
          <w:spacing w:val="-2"/>
        </w:rPr>
        <w:t>利用国内</w:t>
      </w:r>
      <w:r>
        <w:rPr>
          <w:rFonts w:ascii="宋体" w:hAnsi="宋体" w:cs="宋体" w:eastAsia="宋体" w:hint="default"/>
          <w:spacing w:val="-2"/>
        </w:rPr>
        <w:t>IT</w:t>
      </w:r>
      <w:r>
        <w:rPr>
          <w:spacing w:val="-2"/>
        </w:rPr>
        <w:t>系统的建设规模增长及发展给数据中心发展带来的巨大市场机遇，继续提高公司在数据中心第</w:t>
      </w:r>
      <w:r>
        <w:rPr>
          <w:spacing w:val="-41"/>
        </w:rPr>
        <w:t> </w:t>
      </w:r>
      <w:r>
        <w:rPr>
          <w:spacing w:val="-41"/>
        </w:rPr>
      </w:r>
      <w:r>
        <w:rPr>
          <w:spacing w:val="-2"/>
        </w:rPr>
        <w:t>三方服务方面的能力，确保公司在东北区域数据中心第三方服务市场的领先地位，并为下一步进军全国市</w:t>
      </w:r>
      <w:r>
        <w:rPr>
          <w:spacing w:val="-43"/>
        </w:rPr>
        <w:t> </w:t>
      </w:r>
      <w:r>
        <w:rPr>
          <w:spacing w:val="-43"/>
        </w:rPr>
      </w:r>
      <w:r>
        <w:rPr/>
        <w:t>场做好准备。报告期内，公司数据中心第三方服务实现收入</w:t>
      </w:r>
      <w:r>
        <w:rPr>
          <w:rFonts w:ascii="宋体" w:hAnsi="宋体" w:cs="宋体" w:eastAsia="宋体" w:hint="default"/>
        </w:rPr>
        <w:t>15,277.00</w:t>
      </w:r>
      <w:r>
        <w:rPr/>
        <w:t>万元，较上年同期增长了</w:t>
      </w:r>
      <w:r>
        <w:rPr>
          <w:rFonts w:ascii="宋体" w:hAnsi="宋体" w:cs="宋体" w:eastAsia="宋体" w:hint="default"/>
        </w:rPr>
        <w:t>10.32%</w:t>
      </w:r>
      <w:r>
        <w:rPr/>
        <w:t>。</w:t>
      </w:r>
    </w:p>
    <w:p>
      <w:pPr>
        <w:pStyle w:val="BodyText"/>
        <w:spacing w:line="237" w:lineRule="auto" w:before="2"/>
        <w:ind w:right="4" w:firstLine="526"/>
        <w:jc w:val="left"/>
      </w:pPr>
      <w:r>
        <w:rPr/>
        <w:t>为推动东北地区云计算产业的发展，促进我国云计算产业生态系统的形成，公司在铁岭子公司建成</w:t>
      </w:r>
      <w:r>
        <w:rPr>
          <w:w w:val="100"/>
        </w:rPr>
        <w:t> </w:t>
      </w:r>
      <w:r>
        <w:rPr>
          <w:spacing w:val="-2"/>
        </w:rPr>
        <w:t>了自主产权的云数据中心，主要提供数据中心服务，并即将提供云计算平台</w:t>
      </w:r>
      <w:r>
        <w:rPr>
          <w:rFonts w:ascii="宋体" w:hAnsi="宋体" w:cs="宋体" w:eastAsia="宋体" w:hint="default"/>
          <w:spacing w:val="-2"/>
        </w:rPr>
        <w:t>PAAS</w:t>
      </w:r>
      <w:r>
        <w:rPr>
          <w:spacing w:val="-2"/>
        </w:rPr>
        <w:t>、</w:t>
      </w:r>
      <w:r>
        <w:rPr>
          <w:rFonts w:ascii="宋体" w:hAnsi="宋体" w:cs="宋体" w:eastAsia="宋体" w:hint="default"/>
          <w:spacing w:val="-2"/>
        </w:rPr>
        <w:t>IAAS</w:t>
      </w:r>
      <w:r>
        <w:rPr>
          <w:spacing w:val="-2"/>
        </w:rPr>
        <w:t>、</w:t>
      </w:r>
      <w:r>
        <w:rPr>
          <w:rFonts w:ascii="宋体" w:hAnsi="宋体" w:cs="宋体" w:eastAsia="宋体" w:hint="default"/>
          <w:spacing w:val="-2"/>
        </w:rPr>
        <w:t>SAAS</w:t>
      </w:r>
      <w:r>
        <w:rPr>
          <w:spacing w:val="-2"/>
        </w:rPr>
        <w:t>服务，目前</w:t>
      </w:r>
      <w:r>
        <w:rPr>
          <w:spacing w:val="-34"/>
        </w:rPr>
        <w:t> </w:t>
      </w:r>
      <w:r>
        <w:rPr>
          <w:spacing w:val="-34"/>
        </w:rPr>
      </w:r>
      <w:r>
        <w:rPr>
          <w:spacing w:val="-2"/>
        </w:rPr>
        <w:t>已有汇鑫期货、阜新银行等企业入驻该中心，还有多家商业银行有意向将异地容灾数据中心在此落户。报</w:t>
      </w:r>
    </w:p>
    <w:p>
      <w:pPr>
        <w:spacing w:after="0" w:line="237" w:lineRule="auto"/>
        <w:jc w:val="left"/>
        <w:sectPr>
          <w:headerReference w:type="default" r:id="rId16"/>
          <w:pgSz w:w="11910" w:h="16840"/>
          <w:pgMar w:header="566" w:footer="979" w:top="1360" w:bottom="1160" w:left="980" w:right="92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64948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2" w:lineRule="exact" w:before="64"/>
        <w:ind w:left="758" w:right="0" w:hanging="527"/>
        <w:jc w:val="left"/>
      </w:pPr>
      <w:r>
        <w:rPr/>
        <w:t>告期内，公司金融</w:t>
      </w:r>
      <w:r>
        <w:rPr>
          <w:rFonts w:ascii="宋体" w:hAnsi="宋体" w:cs="宋体" w:eastAsia="宋体" w:hint="default"/>
        </w:rPr>
        <w:t>IT</w:t>
      </w:r>
      <w:r>
        <w:rPr/>
        <w:t>外包服务实现收入</w:t>
      </w:r>
      <w:r>
        <w:rPr>
          <w:rFonts w:ascii="宋体" w:hAnsi="宋体" w:cs="宋体" w:eastAsia="宋体" w:hint="default"/>
        </w:rPr>
        <w:t>14,273.75</w:t>
      </w:r>
      <w:r>
        <w:rPr/>
        <w:t>万元，较上年同期增长</w:t>
      </w:r>
      <w:r>
        <w:rPr>
          <w:rFonts w:ascii="宋体" w:hAnsi="宋体" w:cs="宋体" w:eastAsia="宋体" w:hint="default"/>
        </w:rPr>
        <w:t>123.51%</w:t>
      </w:r>
      <w:r>
        <w:rPr/>
        <w:t>。</w:t>
      </w:r>
      <w:r>
        <w:rPr>
          <w:w w:val="100"/>
        </w:rPr>
        <w:t> </w:t>
      </w:r>
      <w:r>
        <w:rPr>
          <w:spacing w:val="-2"/>
        </w:rPr>
        <w:t>在重点行业信息化解决方案方面，公司研发的“荣科电子病历系统”和“荣科医院管理信息系统”</w:t>
      </w:r>
    </w:p>
    <w:p>
      <w:pPr>
        <w:pStyle w:val="BodyText"/>
        <w:spacing w:line="272" w:lineRule="exact" w:before="1"/>
        <w:ind w:left="232" w:right="226"/>
        <w:jc w:val="both"/>
      </w:pPr>
      <w:r>
        <w:rPr>
          <w:spacing w:val="-2"/>
        </w:rPr>
        <w:t>创收能力大幅提高，成为公司报告期业绩持续稳定增长的坚强后盾。报告期内，公司行业信息化解决方案</w:t>
      </w:r>
      <w:r>
        <w:rPr>
          <w:spacing w:val="-43"/>
        </w:rPr>
        <w:t> </w:t>
      </w:r>
      <w:r>
        <w:rPr>
          <w:spacing w:val="-43"/>
        </w:rPr>
      </w:r>
      <w:r>
        <w:rPr/>
        <w:t>实现收入</w:t>
      </w:r>
      <w:r>
        <w:rPr>
          <w:rFonts w:ascii="宋体" w:hAnsi="宋体" w:cs="宋体" w:eastAsia="宋体" w:hint="default"/>
        </w:rPr>
        <w:t>3,879.27</w:t>
      </w:r>
      <w:r>
        <w:rPr/>
        <w:t>万元，较上年同期增长</w:t>
      </w:r>
      <w:r>
        <w:rPr>
          <w:rFonts w:ascii="宋体" w:hAnsi="宋体" w:cs="宋体" w:eastAsia="宋体" w:hint="default"/>
        </w:rPr>
        <w:t>3.57%</w:t>
      </w:r>
      <w:r>
        <w:rPr/>
        <w:t>。</w:t>
      </w:r>
    </w:p>
    <w:p>
      <w:pPr>
        <w:pStyle w:val="BodyText"/>
        <w:spacing w:line="272" w:lineRule="exact" w:before="1"/>
        <w:ind w:left="232" w:right="0" w:firstLine="420"/>
        <w:jc w:val="left"/>
      </w:pPr>
      <w:r>
        <w:rPr>
          <w:spacing w:val="-5"/>
        </w:rPr>
        <w:t>在区域拓展方面，公司在精耕细作东北市场的同时，稳步拓展北京周边、西北等全国市场。报告期内，</w:t>
      </w:r>
      <w:r>
        <w:rPr>
          <w:w w:val="100"/>
        </w:rPr>
        <w:t> </w:t>
      </w:r>
      <w:r>
        <w:rPr>
          <w:spacing w:val="-5"/>
        </w:rPr>
        <w:t>公司在辽宁省内的收入占比有所下降，吉林市场收入占比大幅上升，为公司稳定东北区域市场夯实了基础。</w:t>
      </w:r>
    </w:p>
    <w:p>
      <w:pPr>
        <w:pStyle w:val="BodyText"/>
        <w:spacing w:line="272" w:lineRule="exact" w:before="1"/>
        <w:ind w:left="232" w:right="226"/>
        <w:jc w:val="both"/>
      </w:pPr>
      <w:r>
        <w:rPr>
          <w:spacing w:val="-2"/>
        </w:rPr>
        <w:t>另外，以北京为中心的华北市场在报告期内取得了长足的发展；公司自主研发的“荣科健康小屋自助式体</w:t>
      </w:r>
      <w:r>
        <w:rPr>
          <w:spacing w:val="-43"/>
        </w:rPr>
        <w:t> </w:t>
      </w:r>
      <w:r>
        <w:rPr>
          <w:spacing w:val="-43"/>
        </w:rPr>
      </w:r>
      <w:r>
        <w:rPr/>
        <w:t>检系统”，为公司打开西北市场提供了产品技术支持。</w:t>
      </w:r>
    </w:p>
    <w:p>
      <w:pPr>
        <w:spacing w:line="392" w:lineRule="exact" w:before="25"/>
        <w:ind w:left="758" w:right="0" w:hanging="104"/>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、完善服务能力，巩固客户满意度，提升荣科服务品牌。</w:t>
      </w:r>
      <w:r>
        <w:rPr>
          <w:rFonts w:ascii="宋体" w:hAnsi="宋体" w:cs="宋体" w:eastAsia="宋体" w:hint="default"/>
          <w:b/>
          <w:bCs/>
          <w:w w:val="100"/>
          <w:sz w:val="21"/>
          <w:szCs w:val="21"/>
        </w:rPr>
        <w:t> </w:t>
      </w:r>
      <w:r>
        <w:rPr>
          <w:rFonts w:ascii="宋体" w:hAnsi="宋体" w:cs="宋体" w:eastAsia="宋体" w:hint="default"/>
          <w:spacing w:val="-2"/>
          <w:sz w:val="21"/>
          <w:szCs w:val="21"/>
        </w:rPr>
        <w:t>公司继续坚持“以客户和市场需求为导向”建设研发创新体系，不断提升公司的竞争优势；始终以</w:t>
      </w:r>
    </w:p>
    <w:p>
      <w:pPr>
        <w:pStyle w:val="BodyText"/>
        <w:spacing w:line="223" w:lineRule="exact"/>
        <w:ind w:left="232" w:right="0"/>
        <w:jc w:val="both"/>
      </w:pPr>
      <w:r>
        <w:rPr/>
        <w:t>创造客户价值为中心，全面提升服务质量。报告期内，公司从客户需求出发，不断完善产品性能，提高服</w:t>
      </w:r>
    </w:p>
    <w:p>
      <w:pPr>
        <w:pStyle w:val="BodyText"/>
        <w:spacing w:line="240" w:lineRule="auto"/>
        <w:ind w:left="232" w:right="226"/>
        <w:jc w:val="both"/>
      </w:pPr>
      <w:r>
        <w:rPr>
          <w:spacing w:val="-2"/>
        </w:rPr>
        <w:t>务意识，有效地巩固了客户满意度，提升了荣科的服务品牌。在继续保持东北区域</w:t>
      </w:r>
      <w:r>
        <w:rPr>
          <w:rFonts w:ascii="宋体" w:hAnsi="宋体" w:cs="宋体" w:eastAsia="宋体" w:hint="default"/>
          <w:spacing w:val="-2"/>
        </w:rPr>
        <w:t>IT</w:t>
      </w:r>
      <w:r>
        <w:rPr>
          <w:spacing w:val="-2"/>
        </w:rPr>
        <w:t>系统集成及运维服务</w:t>
      </w:r>
      <w:r>
        <w:rPr>
          <w:spacing w:val="-42"/>
        </w:rPr>
        <w:t> </w:t>
      </w:r>
      <w:r>
        <w:rPr>
          <w:spacing w:val="-42"/>
        </w:rPr>
      </w:r>
      <w:r>
        <w:rPr/>
        <w:t>市场占有率领先的基础上，实现了东北区域外的服务拓展。</w:t>
      </w:r>
    </w:p>
    <w:p>
      <w:pPr>
        <w:spacing w:line="394" w:lineRule="exact" w:before="46"/>
        <w:ind w:left="758" w:right="0" w:hanging="104"/>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、加大人才管理力度，提升人力资源管理能力。</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报告期内，公司积极引进高端人才，优化了公司人才结构。同时，公司继续实施“长板凳”计划，</w:t>
      </w:r>
    </w:p>
    <w:p>
      <w:pPr>
        <w:pStyle w:val="BodyText"/>
        <w:spacing w:line="221" w:lineRule="exact"/>
        <w:ind w:left="232" w:right="0"/>
        <w:jc w:val="both"/>
      </w:pPr>
      <w:r>
        <w:rPr/>
        <w:t>不断培养优秀人才。另一方面，进一步完善薪酬及绩效管理体系，对部门和员工进行绩效管理，调动员工</w:t>
      </w:r>
    </w:p>
    <w:p>
      <w:pPr>
        <w:pStyle w:val="BodyText"/>
        <w:spacing w:line="272" w:lineRule="exact" w:before="27"/>
        <w:ind w:left="232" w:right="231"/>
        <w:jc w:val="both"/>
      </w:pPr>
      <w:r>
        <w:rPr>
          <w:spacing w:val="-3"/>
        </w:rPr>
        <w:t>的积极性，促进公司经营目标的实现；通过合理的薪酬奖励，保证核心人员的稳定性；通过“导师制度”</w:t>
      </w:r>
      <w:r>
        <w:rPr>
          <w:spacing w:val="-5"/>
        </w:rPr>
        <w:t> </w:t>
      </w:r>
      <w:r>
        <w:rPr>
          <w:spacing w:val="-5"/>
        </w:rPr>
      </w:r>
      <w:r>
        <w:rPr/>
        <w:t>加快新员工的融入，增强员工的企业归属感和认同感。</w:t>
      </w:r>
    </w:p>
    <w:p>
      <w:pPr>
        <w:spacing w:line="392" w:lineRule="exact" w:before="25"/>
        <w:ind w:left="653"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、注重产品技术研发，进一步提高公司的核心竞争力。</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报告期内，公司继续加大在高可复用二次开发平台开发、数据挖掘分析、“大集中”模式业务处理等</w:t>
      </w:r>
    </w:p>
    <w:p>
      <w:pPr>
        <w:pStyle w:val="BodyText"/>
        <w:spacing w:line="223" w:lineRule="exact"/>
        <w:ind w:left="232" w:right="0"/>
        <w:jc w:val="both"/>
      </w:pPr>
      <w:r>
        <w:rPr/>
        <w:t>方面的投入。提升基于物联网技术、云计算、移动互联网应用等</w:t>
      </w:r>
      <w:r>
        <w:rPr>
          <w:rFonts w:ascii="宋体" w:hAnsi="宋体" w:cs="宋体" w:eastAsia="宋体" w:hint="default"/>
        </w:rPr>
        <w:t>IT</w:t>
      </w:r>
      <w:r>
        <w:rPr/>
        <w:t>行业先进技术的研究与使用能力。在技</w:t>
      </w:r>
    </w:p>
    <w:p>
      <w:pPr>
        <w:pStyle w:val="BodyText"/>
        <w:spacing w:line="237" w:lineRule="auto" w:before="1"/>
        <w:ind w:left="232" w:right="228"/>
        <w:jc w:val="both"/>
      </w:pPr>
      <w:r>
        <w:rPr>
          <w:spacing w:val="-2"/>
        </w:rPr>
        <w:t>术积累方面，立项“基于</w:t>
      </w:r>
      <w:r>
        <w:rPr>
          <w:rFonts w:ascii="宋体" w:hAnsi="宋体" w:cs="宋体" w:eastAsia="宋体" w:hint="default"/>
          <w:spacing w:val="-2"/>
        </w:rPr>
        <w:t>JAVA</w:t>
      </w:r>
      <w:r>
        <w:rPr>
          <w:spacing w:val="-2"/>
        </w:rPr>
        <w:t>的二次开发平台”、“基于无线传感网络的定位与监控技术”、“基于二维</w:t>
      </w:r>
      <w:r>
        <w:rPr>
          <w:spacing w:val="-41"/>
        </w:rPr>
        <w:t> </w:t>
      </w:r>
      <w:r>
        <w:rPr>
          <w:spacing w:val="-41"/>
        </w:rPr>
      </w:r>
      <w:r>
        <w:rPr>
          <w:spacing w:val="-2"/>
        </w:rPr>
        <w:t>码的区域以及室内</w:t>
      </w:r>
      <w:r>
        <w:rPr>
          <w:rFonts w:ascii="宋体" w:hAnsi="宋体" w:cs="宋体" w:eastAsia="宋体" w:hint="default"/>
          <w:spacing w:val="-2"/>
        </w:rPr>
        <w:t>PDA</w:t>
      </w:r>
      <w:r>
        <w:rPr>
          <w:spacing w:val="-2"/>
        </w:rPr>
        <w:t>导航技术”等基础技术研发；在产品方面，自主研发了</w:t>
      </w:r>
      <w:r>
        <w:rPr>
          <w:spacing w:val="44"/>
        </w:rPr>
        <w:t> </w:t>
      </w:r>
      <w:r>
        <w:rPr>
          <w:spacing w:val="-2"/>
        </w:rPr>
        <w:t>“荣科社区数字化信息平台</w:t>
      </w:r>
      <w:r>
        <w:rPr>
          <w:spacing w:val="-92"/>
        </w:rPr>
        <w:t> </w:t>
      </w:r>
      <w:r>
        <w:rPr>
          <w:spacing w:val="-92"/>
        </w:rPr>
      </w:r>
      <w:r>
        <w:rPr>
          <w:spacing w:val="-3"/>
        </w:rPr>
        <w:t>系统”、“荣科社保电子档案管理系统”、“荣科电子病历管理系统”等十余项软件，为公司未来发展奠</w:t>
      </w:r>
      <w:r>
        <w:rPr>
          <w:spacing w:val="-5"/>
        </w:rPr>
        <w:t> </w:t>
      </w:r>
      <w:r>
        <w:rPr>
          <w:spacing w:val="-5"/>
        </w:rPr>
      </w:r>
      <w:r>
        <w:rPr/>
        <w:t>定基础，进一步提高了公司的核心竞争力。</w:t>
      </w:r>
    </w:p>
    <w:p>
      <w:pPr>
        <w:spacing w:line="390" w:lineRule="atLeast" w:before="4"/>
        <w:ind w:left="758" w:right="0" w:hanging="104"/>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、完善公司治理结构，有效防范经营风险。</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报告期内，公司引进了专业的管理咨询团队，对公司管理系统和管理架构进行优化和改造，以此来</w:t>
      </w:r>
    </w:p>
    <w:p>
      <w:pPr>
        <w:pStyle w:val="BodyText"/>
        <w:spacing w:line="237" w:lineRule="auto" w:before="1"/>
        <w:ind w:left="232" w:right="205"/>
        <w:jc w:val="both"/>
      </w:pPr>
      <w:r>
        <w:rPr>
          <w:spacing w:val="-2"/>
        </w:rPr>
        <w:t>提升公司整体的管理能力和管理水平。公司还通过继续加强质量管理、制度建设等方面的管理优化工作，</w:t>
      </w:r>
      <w:r>
        <w:rPr>
          <w:spacing w:val="-21"/>
        </w:rPr>
        <w:t> </w:t>
      </w:r>
      <w:r>
        <w:rPr>
          <w:spacing w:val="-21"/>
        </w:rPr>
      </w:r>
      <w:r>
        <w:rPr>
          <w:spacing w:val="-7"/>
        </w:rPr>
        <w:t>不断地完善公司的内控管理。公司按照创业板上市公司规范运作的要求，健全了相关内控制度，主要有《内</w:t>
      </w:r>
      <w:r>
        <w:rPr>
          <w:spacing w:val="-25"/>
        </w:rPr>
        <w:t> </w:t>
      </w:r>
      <w:r>
        <w:rPr>
          <w:spacing w:val="-25"/>
        </w:rPr>
      </w:r>
      <w:r>
        <w:rPr>
          <w:spacing w:val="-2"/>
        </w:rPr>
        <w:t>幕信息知情人登记管理制度》、《董事、监事和高级管理人员所持本公司股份及其变动管理制度》、《股</w:t>
      </w:r>
      <w:r>
        <w:rPr>
          <w:spacing w:val="-44"/>
        </w:rPr>
        <w:t> </w:t>
      </w:r>
      <w:r>
        <w:rPr>
          <w:spacing w:val="-44"/>
        </w:rPr>
      </w:r>
      <w:r>
        <w:rPr>
          <w:spacing w:val="-2"/>
        </w:rPr>
        <w:t>东大会网络投票实施细则》、《累积投票制度实施细则》、《年报信息披露重大差错追究制度》和《特定</w:t>
      </w:r>
      <w:r>
        <w:rPr>
          <w:spacing w:val="-48"/>
        </w:rPr>
        <w:t> </w:t>
      </w:r>
      <w:r>
        <w:rPr>
          <w:spacing w:val="-48"/>
        </w:rPr>
      </w:r>
      <w:r>
        <w:rPr/>
        <w:t>对象来访接待管理制度》，有效防范了公司的经营风险。</w:t>
      </w:r>
    </w:p>
    <w:p>
      <w:pPr>
        <w:spacing w:line="240" w:lineRule="auto" w:before="9"/>
        <w:rPr>
          <w:rFonts w:ascii="宋体" w:hAnsi="宋体" w:cs="宋体" w:eastAsia="宋体" w:hint="default"/>
          <w:sz w:val="20"/>
          <w:szCs w:val="20"/>
        </w:rPr>
      </w:pPr>
    </w:p>
    <w:p>
      <w:pPr>
        <w:pStyle w:val="BodyText"/>
        <w:spacing w:line="273" w:lineRule="exact"/>
        <w:ind w:left="653" w:right="0"/>
        <w:jc w:val="left"/>
      </w:pPr>
      <w:r>
        <w:rPr>
          <w:spacing w:val="-2"/>
        </w:rPr>
        <w:t>公司实际经营业绩较曾公开披露过的本年度盈利预测低于或高于</w:t>
      </w:r>
      <w:r>
        <w:rPr>
          <w:spacing w:val="18"/>
        </w:rPr>
        <w:t> </w:t>
      </w:r>
      <w:r>
        <w:rPr>
          <w:rFonts w:ascii="宋体" w:hAnsi="宋体" w:cs="宋体" w:eastAsia="宋体" w:hint="default"/>
          <w:spacing w:val="-2"/>
        </w:rPr>
        <w:t>20%</w:t>
      </w:r>
      <w:r>
        <w:rPr>
          <w:spacing w:val="-2"/>
        </w:rPr>
        <w:t>以上的差异原因</w:t>
      </w:r>
    </w:p>
    <w:p>
      <w:pPr>
        <w:spacing w:line="321" w:lineRule="auto" w:before="0"/>
        <w:ind w:left="232" w:right="7649" w:firstLine="42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、主营业务分部报告</w:t>
      </w:r>
      <w:r>
        <w:rPr>
          <w:rFonts w:ascii="宋体" w:hAnsi="宋体" w:cs="宋体" w:eastAsia="宋体" w:hint="default"/>
          <w:sz w:val="21"/>
          <w:szCs w:val="21"/>
        </w:rPr>
      </w:r>
    </w:p>
    <w:p>
      <w:pPr>
        <w:pStyle w:val="BodyText"/>
        <w:spacing w:line="240" w:lineRule="auto" w:before="109"/>
        <w:ind w:left="0" w:right="543"/>
        <w:jc w:val="right"/>
      </w:pPr>
      <w:r>
        <w:rPr>
          <w:spacing w:val="-1"/>
        </w:rPr>
        <w:t>单位：元</w:t>
      </w:r>
    </w:p>
    <w:p>
      <w:pPr>
        <w:spacing w:line="240" w:lineRule="auto" w:before="5"/>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368"/>
        <w:gridCol w:w="1611"/>
        <w:gridCol w:w="1714"/>
        <w:gridCol w:w="1071"/>
        <w:gridCol w:w="1368"/>
        <w:gridCol w:w="1369"/>
        <w:gridCol w:w="1370"/>
      </w:tblGrid>
      <w:tr>
        <w:trPr>
          <w:trHeight w:val="8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1"/>
                <w:sz w:val="21"/>
                <w:szCs w:val="21"/>
              </w:rPr>
              <w:t>毛利率</w:t>
            </w:r>
            <w:r>
              <w:rPr>
                <w:rFonts w:ascii="宋体" w:hAnsi="宋体" w:cs="宋体" w:eastAsia="宋体" w:hint="default"/>
                <w:spacing w:val="-1"/>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年同期增减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年同期增减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32" w:firstLine="26"/>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98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142,737,468.81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108,747,471.84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-0.83%</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社保医疗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36,926,696.44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14,391,396.09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61.03%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1.69%</w:t>
            </w:r>
          </w:p>
        </w:tc>
      </w:tr>
      <w:tr>
        <w:trPr>
          <w:trHeight w:val="2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21,928,626.32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13,304,079.41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13.70%</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电力</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17,682,456.59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13,123,547.30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163.86%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-14.70%</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15,475,578.30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8,426,454.75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17.39%</w:t>
            </w:r>
          </w:p>
        </w:tc>
      </w:tr>
    </w:tbl>
    <w:p>
      <w:pPr>
        <w:spacing w:after="0" w:line="241" w:lineRule="exact"/>
        <w:jc w:val="right"/>
        <w:rPr>
          <w:rFonts w:ascii="宋体" w:hAnsi="宋体" w:cs="宋体" w:eastAsia="宋体" w:hint="default"/>
          <w:sz w:val="21"/>
          <w:szCs w:val="21"/>
        </w:rPr>
        <w:sectPr>
          <w:headerReference w:type="default" r:id="rId17"/>
          <w:pgSz w:w="11910" w:h="16840"/>
          <w:pgMar w:header="884" w:footer="979" w:top="1100" w:bottom="1160" w:left="900" w:right="900"/>
        </w:sectPr>
      </w:pPr>
    </w:p>
    <w:p>
      <w:pPr>
        <w:spacing w:line="240" w:lineRule="auto" w:before="6"/>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136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372" w:type="dxa"/>
        <w:tblLayout w:type="fixed"/>
        <w:tblCellMar>
          <w:top w:w="0" w:type="dxa"/>
          <w:left w:w="0" w:type="dxa"/>
          <w:bottom w:w="0" w:type="dxa"/>
          <w:right w:w="0" w:type="dxa"/>
        </w:tblCellMar>
        <w:tblLook w:val="01E0"/>
      </w:tblPr>
      <w:tblGrid>
        <w:gridCol w:w="1402"/>
        <w:gridCol w:w="1577"/>
        <w:gridCol w:w="1714"/>
        <w:gridCol w:w="1114"/>
        <w:gridCol w:w="1306"/>
        <w:gridCol w:w="1402"/>
        <w:gridCol w:w="1356"/>
      </w:tblGrid>
      <w:tr>
        <w:trPr>
          <w:trHeight w:val="28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99,983,436.10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69,468,414.84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30.52%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25.33%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34.90%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-4.93%</w:t>
            </w:r>
          </w:p>
        </w:tc>
      </w:tr>
      <w:tr>
        <w:trPr>
          <w:trHeight w:val="281" w:hRule="exact"/>
        </w:trPr>
        <w:tc>
          <w:tcPr>
            <w:tcW w:w="98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5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数据中心第三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方服务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152,770,005.44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110,771,874.50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27.49%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z w:val="21"/>
              </w:rPr>
              <w:t>10.32%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sz w:val="21"/>
              </w:rPr>
              <w:t>5.73%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3.15%</w:t>
            </w:r>
          </w:p>
        </w:tc>
      </w:tr>
      <w:tr>
        <w:trPr>
          <w:trHeight w:val="557"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行业信息化解</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决方案</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38,792,739.35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7,531,990.22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80.58%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z w:val="21"/>
              </w:rPr>
              <w:t>3.57%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sz w:val="21"/>
              </w:rPr>
              <w:t>80.29%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-8.26%</w:t>
            </w:r>
          </w:p>
        </w:tc>
      </w:tr>
      <w:tr>
        <w:trPr>
          <w:trHeight w:val="55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 </w:t>
            </w:r>
            <w:r>
              <w:rPr>
                <w:rFonts w:ascii="宋体" w:hAnsi="宋体" w:cs="宋体" w:eastAsia="宋体" w:hint="default"/>
                <w:sz w:val="21"/>
                <w:szCs w:val="21"/>
              </w:rPr>
              <w:t>IT</w:t>
            </w:r>
            <w:r>
              <w:rPr>
                <w:rFonts w:ascii="宋体" w:hAnsi="宋体" w:cs="宋体" w:eastAsia="宋体" w:hint="default"/>
                <w:spacing w:val="-49"/>
                <w:sz w:val="21"/>
                <w:szCs w:val="21"/>
              </w:rPr>
              <w:t> </w:t>
            </w:r>
            <w:r>
              <w:rPr>
                <w:rFonts w:ascii="宋体" w:hAnsi="宋体" w:cs="宋体" w:eastAsia="宋体" w:hint="default"/>
                <w:spacing w:val="-3"/>
                <w:sz w:val="21"/>
                <w:szCs w:val="21"/>
              </w:rPr>
              <w:t>外包</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142,737,468.81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108,747,471.84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23.81%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
              <w:jc w:val="right"/>
              <w:rPr>
                <w:rFonts w:ascii="宋体" w:hAnsi="宋体" w:cs="宋体" w:eastAsia="宋体" w:hint="default"/>
                <w:sz w:val="21"/>
                <w:szCs w:val="21"/>
              </w:rPr>
            </w:pPr>
            <w:r>
              <w:rPr>
                <w:rFonts w:ascii="宋体"/>
                <w:spacing w:val="-1"/>
                <w:sz w:val="21"/>
              </w:rPr>
              <w:t>123.51%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宋体" w:hAnsi="宋体" w:cs="宋体" w:eastAsia="宋体" w:hint="default"/>
                <w:sz w:val="21"/>
                <w:szCs w:val="21"/>
              </w:rPr>
            </w:pPr>
            <w:r>
              <w:rPr>
                <w:rFonts w:ascii="宋体"/>
                <w:spacing w:val="-1"/>
                <w:sz w:val="21"/>
              </w:rPr>
              <w:t>125.98%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z w:val="21"/>
              </w:rPr>
              <w:t>-0.83%</w:t>
            </w:r>
          </w:p>
        </w:tc>
      </w:tr>
      <w:tr>
        <w:trPr>
          <w:trHeight w:val="28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434,048.96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410,027.67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5.53%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-89.43%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-85.78%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-24.25%</w:t>
            </w:r>
          </w:p>
        </w:tc>
      </w:tr>
      <w:tr>
        <w:trPr>
          <w:trHeight w:val="283" w:hRule="exact"/>
        </w:trPr>
        <w:tc>
          <w:tcPr>
            <w:tcW w:w="98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w:t>
              <w:tab/>
              <w:t>宁</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280,869,522.71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191,127,794.60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31.95%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33.37%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z w:val="21"/>
              </w:rPr>
              <w:t>36.58%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-1.60%</w:t>
            </w:r>
          </w:p>
        </w:tc>
      </w:tr>
      <w:tr>
        <w:trPr>
          <w:trHeight w:val="28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吉</w:t>
              <w:tab/>
              <w:t>林</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26,213,789.80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17,344,685.71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33.83%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226.11%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229.16%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-0.61%</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w:t>
              <w:tab/>
              <w:t>京</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12,965,406.37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9,271,908.54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28.49%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2.40%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z w:val="21"/>
              </w:rPr>
              <w:t>28.25%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-14.41%</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4,779,565.94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3,753,394.01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21.47%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-32.82%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-23.95%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-9.15%</w:t>
            </w:r>
          </w:p>
        </w:tc>
      </w:tr>
      <w:tr>
        <w:trPr>
          <w:trHeight w:val="28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9,905,977.74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5,963,581.37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39.80%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80.25%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131.39%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-13.31%</w:t>
            </w:r>
          </w:p>
        </w:tc>
      </w:tr>
    </w:tbl>
    <w:p>
      <w:pPr>
        <w:pStyle w:val="BodyText"/>
        <w:spacing w:line="240" w:lineRule="auto" w:before="86"/>
        <w:ind w:left="492" w:right="0" w:firstLine="420"/>
        <w:jc w:val="left"/>
      </w:pPr>
      <w:r>
        <w:rPr>
          <w:spacing w:val="-3"/>
        </w:rPr>
        <w:t>公司主营业务数据统计口径在报告期发生调整的情况下，公司最近 </w:t>
      </w:r>
      <w:r>
        <w:rPr>
          <w:rFonts w:ascii="宋体" w:hAnsi="宋体" w:cs="宋体" w:eastAsia="宋体" w:hint="default"/>
        </w:rPr>
        <w:t>3</w:t>
      </w:r>
      <w:r>
        <w:rPr>
          <w:rFonts w:ascii="宋体" w:hAnsi="宋体" w:cs="宋体" w:eastAsia="宋体" w:hint="default"/>
          <w:spacing w:val="-56"/>
        </w:rPr>
        <w:t> </w:t>
      </w:r>
      <w:r>
        <w:rPr/>
        <w:t>年按报告期末口径调整后的主营</w:t>
      </w:r>
      <w:r>
        <w:rPr>
          <w:w w:val="100"/>
        </w:rPr>
        <w:t> </w:t>
      </w:r>
      <w:r>
        <w:rPr/>
        <w:t>业务数据</w:t>
      </w:r>
    </w:p>
    <w:p>
      <w:pPr>
        <w:spacing w:line="321" w:lineRule="auto" w:before="0"/>
        <w:ind w:left="492" w:right="7900" w:firstLine="42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、资产、负债状况分析</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pStyle w:val="Heading5"/>
        <w:spacing w:line="240" w:lineRule="auto" w:before="36"/>
        <w:ind w:left="492" w:right="0"/>
        <w:jc w:val="left"/>
        <w:rPr>
          <w:b w:val="0"/>
          <w:bCs w:val="0"/>
        </w:rPr>
      </w:pPr>
      <w:r>
        <w:rPr/>
        <w:t>（</w:t>
      </w:r>
      <w:r>
        <w:rPr>
          <w:rFonts w:ascii="宋体" w:hAnsi="宋体" w:cs="宋体" w:eastAsia="宋体" w:hint="default"/>
        </w:rPr>
        <w:t>1</w:t>
      </w:r>
      <w:r>
        <w:rPr/>
        <w:t>）资产项目重大变动情况</w:t>
      </w:r>
      <w:r>
        <w:rPr>
          <w:b w:val="0"/>
          <w:bCs w:val="0"/>
        </w:rPr>
      </w:r>
    </w:p>
    <w:p>
      <w:pPr>
        <w:pStyle w:val="BodyText"/>
        <w:spacing w:line="240" w:lineRule="auto" w:before="99"/>
        <w:ind w:left="0" w:right="803"/>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462"/>
        <w:gridCol w:w="1549"/>
        <w:gridCol w:w="1375"/>
        <w:gridCol w:w="1671"/>
        <w:gridCol w:w="1135"/>
        <w:gridCol w:w="850"/>
        <w:gridCol w:w="2333"/>
      </w:tblGrid>
      <w:tr>
        <w:trPr>
          <w:trHeight w:val="146" w:hRule="exact"/>
        </w:trPr>
        <w:tc>
          <w:tcPr>
            <w:tcW w:w="1462" w:type="dxa"/>
            <w:vMerge w:val="restart"/>
            <w:tcBorders>
              <w:top w:val="single" w:sz="4" w:space="0" w:color="000000"/>
              <w:left w:val="single" w:sz="4" w:space="0" w:color="000000"/>
              <w:right w:val="single" w:sz="4" w:space="0" w:color="000000"/>
            </w:tcBorders>
            <w:shd w:val="clear" w:color="auto" w:fill="D2D2D2"/>
          </w:tcPr>
          <w:p>
            <w:pPr/>
          </w:p>
        </w:tc>
        <w:tc>
          <w:tcPr>
            <w:tcW w:w="29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8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33" w:type="dxa"/>
            <w:vMerge w:val="restart"/>
            <w:tcBorders>
              <w:top w:val="single" w:sz="4" w:space="0" w:color="000000"/>
              <w:left w:val="single" w:sz="4" w:space="0" w:color="000000"/>
              <w:right w:val="single" w:sz="4" w:space="0" w:color="000000"/>
            </w:tcBorders>
            <w:shd w:val="clear" w:color="auto" w:fill="D2D2D2"/>
          </w:tcPr>
          <w:p>
            <w:pPr/>
          </w:p>
        </w:tc>
      </w:tr>
      <w:tr>
        <w:trPr>
          <w:trHeight w:val="137"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2924" w:type="dxa"/>
            <w:gridSpan w:val="2"/>
            <w:vMerge/>
            <w:tcBorders>
              <w:left w:val="single" w:sz="4" w:space="0" w:color="000000"/>
              <w:bottom w:val="single" w:sz="4" w:space="0" w:color="000000"/>
              <w:right w:val="single" w:sz="4" w:space="0" w:color="000000"/>
            </w:tcBorders>
            <w:shd w:val="clear" w:color="auto" w:fill="D2D2D2"/>
          </w:tcPr>
          <w:p>
            <w:pPr/>
          </w:p>
        </w:tc>
        <w:tc>
          <w:tcPr>
            <w:tcW w:w="2806"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52" w:right="0" w:firstLine="52"/>
              <w:jc w:val="left"/>
              <w:rPr>
                <w:rFonts w:ascii="宋体" w:hAnsi="宋体" w:cs="宋体" w:eastAsia="宋体" w:hint="default"/>
                <w:sz w:val="21"/>
                <w:szCs w:val="21"/>
              </w:rPr>
            </w:pPr>
            <w:r>
              <w:rPr>
                <w:rFonts w:ascii="宋体" w:hAnsi="宋体" w:cs="宋体" w:eastAsia="宋体" w:hint="default"/>
                <w:sz w:val="21"/>
                <w:szCs w:val="21"/>
              </w:rPr>
              <w:t>比重增</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333" w:type="dxa"/>
            <w:vMerge/>
            <w:tcBorders>
              <w:left w:val="single" w:sz="4" w:space="0" w:color="000000"/>
              <w:bottom w:val="nil" w:sz="6" w:space="0" w:color="auto"/>
              <w:right w:val="single" w:sz="4" w:space="0" w:color="000000"/>
            </w:tcBorders>
            <w:shd w:val="clear" w:color="auto" w:fill="D2D2D2"/>
          </w:tcPr>
          <w:p>
            <w:pPr/>
          </w:p>
        </w:tc>
      </w:tr>
      <w:tr>
        <w:trPr>
          <w:trHeight w:val="142" w:hRule="exact"/>
        </w:trPr>
        <w:tc>
          <w:tcPr>
            <w:tcW w:w="1462" w:type="dxa"/>
            <w:vMerge w:val="restart"/>
            <w:tcBorders>
              <w:top w:val="nil" w:sz="6" w:space="0" w:color="auto"/>
              <w:left w:val="single" w:sz="4" w:space="0" w:color="000000"/>
              <w:right w:val="single" w:sz="4" w:space="0" w:color="000000"/>
            </w:tcBorders>
            <w:shd w:val="clear" w:color="auto" w:fill="D2D2D2"/>
          </w:tcPr>
          <w:p>
            <w:pPr/>
          </w:p>
        </w:tc>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占总资产比例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850" w:type="dxa"/>
            <w:vMerge/>
            <w:tcBorders>
              <w:left w:val="single" w:sz="4" w:space="0" w:color="000000"/>
              <w:right w:val="single" w:sz="4" w:space="0" w:color="000000"/>
            </w:tcBorders>
            <w:shd w:val="clear" w:color="auto" w:fill="D2D2D2"/>
          </w:tcPr>
          <w:p>
            <w:pPr/>
          </w:p>
        </w:tc>
        <w:tc>
          <w:tcPr>
            <w:tcW w:w="2333"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30"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1549"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75" w:type="dxa"/>
            <w:vMerge/>
            <w:tcBorders>
              <w:left w:val="single" w:sz="4" w:space="0" w:color="000000"/>
              <w:right w:val="single" w:sz="4" w:space="0" w:color="000000"/>
            </w:tcBorders>
            <w:shd w:val="clear" w:color="auto" w:fill="D2D2D2"/>
          </w:tcPr>
          <w:p>
            <w:pPr/>
          </w:p>
        </w:tc>
        <w:tc>
          <w:tcPr>
            <w:tcW w:w="1671"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333" w:type="dxa"/>
            <w:vMerge/>
            <w:tcBorders>
              <w:left w:val="single" w:sz="4" w:space="0" w:color="000000"/>
              <w:bottom w:val="nil" w:sz="6" w:space="0" w:color="auto"/>
              <w:right w:val="single" w:sz="4" w:space="0" w:color="000000"/>
            </w:tcBorders>
            <w:shd w:val="clear" w:color="auto" w:fill="D2D2D2"/>
          </w:tcPr>
          <w:p>
            <w:pPr/>
          </w:p>
        </w:tc>
      </w:tr>
      <w:tr>
        <w:trPr>
          <w:trHeight w:val="142" w:hRule="exact"/>
        </w:trPr>
        <w:tc>
          <w:tcPr>
            <w:tcW w:w="1462" w:type="dxa"/>
            <w:vMerge w:val="restart"/>
            <w:tcBorders>
              <w:top w:val="nil" w:sz="6" w:space="0" w:color="auto"/>
              <w:left w:val="single" w:sz="4" w:space="0" w:color="000000"/>
              <w:right w:val="single" w:sz="4" w:space="0" w:color="000000"/>
            </w:tcBorders>
            <w:shd w:val="clear" w:color="auto" w:fill="D2D2D2"/>
          </w:tcPr>
          <w:p>
            <w:pPr/>
          </w:p>
        </w:tc>
        <w:tc>
          <w:tcPr>
            <w:tcW w:w="1549" w:type="dxa"/>
            <w:vMerge/>
            <w:tcBorders>
              <w:left w:val="single" w:sz="4" w:space="0" w:color="000000"/>
              <w:bottom w:val="nil" w:sz="6" w:space="0" w:color="auto"/>
              <w:right w:val="single" w:sz="4" w:space="0" w:color="000000"/>
            </w:tcBorders>
            <w:shd w:val="clear" w:color="auto" w:fill="D2D2D2"/>
          </w:tcPr>
          <w:p>
            <w:pPr/>
          </w:p>
        </w:tc>
        <w:tc>
          <w:tcPr>
            <w:tcW w:w="1375" w:type="dxa"/>
            <w:vMerge/>
            <w:tcBorders>
              <w:left w:val="single" w:sz="4" w:space="0" w:color="000000"/>
              <w:right w:val="single" w:sz="4" w:space="0" w:color="000000"/>
            </w:tcBorders>
            <w:shd w:val="clear" w:color="auto" w:fill="D2D2D2"/>
          </w:tcPr>
          <w:p>
            <w:pPr/>
          </w:p>
        </w:tc>
        <w:tc>
          <w:tcPr>
            <w:tcW w:w="1671"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2333" w:type="dxa"/>
            <w:vMerge w:val="restart"/>
            <w:tcBorders>
              <w:top w:val="nil" w:sz="6" w:space="0" w:color="auto"/>
              <w:left w:val="single" w:sz="4" w:space="0" w:color="000000"/>
              <w:right w:val="single" w:sz="4" w:space="0" w:color="000000"/>
            </w:tcBorders>
            <w:shd w:val="clear" w:color="auto" w:fill="D2D2D2"/>
          </w:tcPr>
          <w:p>
            <w:pPr/>
          </w:p>
        </w:tc>
      </w:tr>
      <w:tr>
        <w:trPr>
          <w:trHeight w:val="144"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5" w:type="dxa"/>
            <w:vMerge/>
            <w:tcBorders>
              <w:left w:val="single" w:sz="4" w:space="0" w:color="000000"/>
              <w:bottom w:val="single" w:sz="4" w:space="0" w:color="000000"/>
              <w:right w:val="single" w:sz="4" w:space="0" w:color="000000"/>
            </w:tcBorders>
            <w:shd w:val="clear" w:color="auto" w:fill="D2D2D2"/>
          </w:tcPr>
          <w:p>
            <w:pPr/>
          </w:p>
        </w:tc>
        <w:tc>
          <w:tcPr>
            <w:tcW w:w="16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33" w:type="dxa"/>
            <w:vMerge/>
            <w:tcBorders>
              <w:left w:val="single" w:sz="4" w:space="0" w:color="000000"/>
              <w:bottom w:val="single" w:sz="4" w:space="0" w:color="000000"/>
              <w:right w:val="single" w:sz="4" w:space="0" w:color="000000"/>
            </w:tcBorders>
            <w:shd w:val="clear" w:color="auto" w:fill="D2D2D2"/>
          </w:tcPr>
          <w:p>
            <w:pPr/>
          </w:p>
        </w:tc>
      </w:tr>
      <w:tr>
        <w:trPr>
          <w:trHeight w:val="180"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9" w:type="dxa"/>
            <w:vMerge w:val="restart"/>
            <w:tcBorders>
              <w:top w:val="single" w:sz="4" w:space="0" w:color="000000"/>
              <w:left w:val="single" w:sz="10" w:space="0" w:color="D2D2D2"/>
              <w:right w:val="single" w:sz="4" w:space="0" w:color="000000"/>
            </w:tcBorders>
          </w:tcPr>
          <w:p>
            <w:pPr>
              <w:pStyle w:val="TableParagraph"/>
              <w:spacing w:line="240" w:lineRule="auto" w:before="141"/>
              <w:ind w:left="38" w:right="0"/>
              <w:jc w:val="left"/>
              <w:rPr>
                <w:rFonts w:ascii="宋体" w:hAnsi="宋体" w:cs="宋体" w:eastAsia="宋体" w:hint="default"/>
                <w:sz w:val="21"/>
                <w:szCs w:val="21"/>
              </w:rPr>
            </w:pPr>
            <w:r>
              <w:rPr>
                <w:rFonts w:ascii="宋体"/>
                <w:sz w:val="21"/>
              </w:rPr>
              <w:t>264,637,427.18</w:t>
            </w:r>
          </w:p>
        </w:tc>
        <w:tc>
          <w:tcPr>
            <w:tcW w:w="1375" w:type="dxa"/>
            <w:vMerge w:val="restart"/>
            <w:tcBorders>
              <w:top w:val="single" w:sz="4" w:space="0" w:color="000000"/>
              <w:left w:val="single" w:sz="4" w:space="0" w:color="000000"/>
              <w:right w:val="single" w:sz="4" w:space="0" w:color="000000"/>
            </w:tcBorders>
          </w:tcPr>
          <w:p>
            <w:pPr>
              <w:pStyle w:val="TableParagraph"/>
              <w:spacing w:line="240" w:lineRule="auto" w:before="141"/>
              <w:ind w:left="710" w:right="0"/>
              <w:jc w:val="left"/>
              <w:rPr>
                <w:rFonts w:ascii="宋体" w:hAnsi="宋体" w:cs="宋体" w:eastAsia="宋体" w:hint="default"/>
                <w:sz w:val="21"/>
                <w:szCs w:val="21"/>
              </w:rPr>
            </w:pPr>
            <w:r>
              <w:rPr>
                <w:rFonts w:ascii="宋体"/>
                <w:sz w:val="21"/>
              </w:rPr>
              <w:t>52.17%</w:t>
            </w:r>
          </w:p>
        </w:tc>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141"/>
              <w:ind w:left="167" w:right="0"/>
              <w:jc w:val="left"/>
              <w:rPr>
                <w:rFonts w:ascii="宋体" w:hAnsi="宋体" w:cs="宋体" w:eastAsia="宋体" w:hint="default"/>
                <w:sz w:val="21"/>
                <w:szCs w:val="21"/>
              </w:rPr>
            </w:pPr>
            <w:r>
              <w:rPr>
                <w:rFonts w:ascii="宋体"/>
                <w:sz w:val="21"/>
              </w:rPr>
              <w:t>121,681,553.01</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1"/>
              <w:ind w:left="470" w:right="0"/>
              <w:jc w:val="left"/>
              <w:rPr>
                <w:rFonts w:ascii="宋体" w:hAnsi="宋体" w:cs="宋体" w:eastAsia="宋体" w:hint="default"/>
                <w:sz w:val="21"/>
                <w:szCs w:val="21"/>
              </w:rPr>
            </w:pPr>
            <w:r>
              <w:rPr>
                <w:rFonts w:ascii="宋体"/>
                <w:sz w:val="21"/>
              </w:rPr>
              <w:t>50.12%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sz w:val="21"/>
              </w:rPr>
              <w:t>2.05%</w:t>
            </w:r>
          </w:p>
        </w:tc>
        <w:tc>
          <w:tcPr>
            <w:tcW w:w="2333" w:type="dxa"/>
            <w:vMerge w:val="restart"/>
            <w:tcBorders>
              <w:top w:val="single" w:sz="4" w:space="0" w:color="000000"/>
              <w:left w:val="single" w:sz="4" w:space="0" w:color="000000"/>
              <w:right w:val="single" w:sz="4" w:space="0" w:color="000000"/>
            </w:tcBorders>
          </w:tcPr>
          <w:p>
            <w:pPr>
              <w:pStyle w:val="TableParagraph"/>
              <w:spacing w:line="272" w:lineRule="exact" w:before="34"/>
              <w:ind w:left="24" w:right="16"/>
              <w:jc w:val="left"/>
              <w:rPr>
                <w:rFonts w:ascii="宋体" w:hAnsi="宋体" w:cs="宋体" w:eastAsia="宋体" w:hint="default"/>
                <w:sz w:val="21"/>
                <w:szCs w:val="21"/>
              </w:rPr>
            </w:pPr>
            <w:r>
              <w:rPr>
                <w:rFonts w:ascii="宋体" w:hAnsi="宋体" w:cs="宋体" w:eastAsia="宋体" w:hint="default"/>
                <w:w w:val="100"/>
                <w:sz w:val="21"/>
                <w:szCs w:val="21"/>
              </w:rPr>
              <w:t>2012</w:t>
            </w:r>
            <w:r>
              <w:rPr>
                <w:rFonts w:ascii="宋体" w:hAnsi="宋体" w:cs="宋体" w:eastAsia="宋体" w:hint="default"/>
                <w:spacing w:val="-54"/>
                <w:w w:val="100"/>
                <w:sz w:val="21"/>
                <w:szCs w:val="21"/>
              </w:rPr>
              <w:t> </w:t>
            </w:r>
            <w:r>
              <w:rPr>
                <w:rFonts w:ascii="宋体" w:hAnsi="宋体" w:cs="宋体" w:eastAsia="宋体" w:hint="default"/>
                <w:spacing w:val="-11"/>
                <w:w w:val="100"/>
                <w:sz w:val="21"/>
                <w:szCs w:val="21"/>
              </w:rPr>
              <w:t>年公开发行股票，募</w:t>
            </w:r>
            <w:r>
              <w:rPr>
                <w:rFonts w:ascii="宋体" w:hAnsi="宋体" w:cs="宋体" w:eastAsia="宋体" w:hint="default"/>
                <w:w w:val="100"/>
                <w:sz w:val="21"/>
                <w:szCs w:val="21"/>
              </w:rPr>
              <w:t> </w:t>
            </w:r>
            <w:r>
              <w:rPr>
                <w:rFonts w:ascii="宋体" w:hAnsi="宋体" w:cs="宋体" w:eastAsia="宋体" w:hint="default"/>
                <w:sz w:val="21"/>
                <w:szCs w:val="21"/>
              </w:rPr>
              <w:t>集资金增加所致。</w:t>
            </w:r>
          </w:p>
        </w:tc>
      </w:tr>
      <w:tr>
        <w:trPr>
          <w:trHeight w:val="274" w:hRule="exact"/>
        </w:trPr>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49" w:type="dxa"/>
            <w:vMerge/>
            <w:tcBorders>
              <w:left w:val="single" w:sz="10" w:space="0" w:color="D2D2D2"/>
              <w:right w:val="single" w:sz="4" w:space="0" w:color="000000"/>
            </w:tcBorders>
          </w:tcPr>
          <w:p>
            <w:pPr/>
          </w:p>
        </w:tc>
        <w:tc>
          <w:tcPr>
            <w:tcW w:w="1375" w:type="dxa"/>
            <w:vMerge/>
            <w:tcBorders>
              <w:left w:val="single" w:sz="4" w:space="0" w:color="000000"/>
              <w:right w:val="single" w:sz="4" w:space="0" w:color="000000"/>
            </w:tcBorders>
          </w:tcPr>
          <w:p>
            <w:pPr/>
          </w:p>
        </w:tc>
        <w:tc>
          <w:tcPr>
            <w:tcW w:w="1671"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333" w:type="dxa"/>
            <w:vMerge/>
            <w:tcBorders>
              <w:left w:val="single" w:sz="4" w:space="0" w:color="000000"/>
              <w:right w:val="single" w:sz="4" w:space="0" w:color="000000"/>
            </w:tcBorders>
          </w:tcPr>
          <w:p>
            <w:pPr/>
          </w:p>
        </w:tc>
      </w:tr>
      <w:tr>
        <w:trPr>
          <w:trHeight w:val="180" w:hRule="exact"/>
        </w:trPr>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9" w:type="dxa"/>
            <w:vMerge/>
            <w:tcBorders>
              <w:left w:val="single" w:sz="10" w:space="0" w:color="D2D2D2"/>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67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333" w:type="dxa"/>
            <w:vMerge/>
            <w:tcBorders>
              <w:left w:val="single" w:sz="4" w:space="0" w:color="000000"/>
              <w:bottom w:val="single" w:sz="4" w:space="0" w:color="000000"/>
              <w:right w:val="single" w:sz="4" w:space="0" w:color="000000"/>
            </w:tcBorders>
          </w:tcPr>
          <w:p>
            <w:pPr/>
          </w:p>
        </w:tc>
      </w:tr>
      <w:tr>
        <w:trPr>
          <w:trHeight w:val="182"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9" w:type="dxa"/>
            <w:vMerge w:val="restart"/>
            <w:tcBorders>
              <w:top w:val="single" w:sz="4" w:space="0" w:color="000000"/>
              <w:left w:val="single" w:sz="10" w:space="0" w:color="D2D2D2"/>
              <w:right w:val="single" w:sz="4" w:space="0" w:color="000000"/>
            </w:tcBorders>
          </w:tcPr>
          <w:p>
            <w:pPr>
              <w:pStyle w:val="TableParagraph"/>
              <w:spacing w:line="240" w:lineRule="auto" w:before="143"/>
              <w:ind w:left="38" w:right="0"/>
              <w:jc w:val="left"/>
              <w:rPr>
                <w:rFonts w:ascii="宋体" w:hAnsi="宋体" w:cs="宋体" w:eastAsia="宋体" w:hint="default"/>
                <w:sz w:val="21"/>
                <w:szCs w:val="21"/>
              </w:rPr>
            </w:pPr>
            <w:r>
              <w:rPr>
                <w:rFonts w:ascii="宋体"/>
                <w:sz w:val="21"/>
              </w:rPr>
              <w:t>132,289,957.93</w:t>
            </w:r>
          </w:p>
        </w:tc>
        <w:tc>
          <w:tcPr>
            <w:tcW w:w="1375" w:type="dxa"/>
            <w:vMerge w:val="restart"/>
            <w:tcBorders>
              <w:top w:val="single" w:sz="4" w:space="0" w:color="000000"/>
              <w:left w:val="single" w:sz="4" w:space="0" w:color="000000"/>
              <w:right w:val="single" w:sz="4" w:space="0" w:color="000000"/>
            </w:tcBorders>
          </w:tcPr>
          <w:p>
            <w:pPr>
              <w:pStyle w:val="TableParagraph"/>
              <w:spacing w:line="240" w:lineRule="auto" w:before="143"/>
              <w:ind w:left="710" w:right="0"/>
              <w:jc w:val="left"/>
              <w:rPr>
                <w:rFonts w:ascii="宋体" w:hAnsi="宋体" w:cs="宋体" w:eastAsia="宋体" w:hint="default"/>
                <w:sz w:val="21"/>
                <w:szCs w:val="21"/>
              </w:rPr>
            </w:pPr>
            <w:r>
              <w:rPr>
                <w:rFonts w:ascii="宋体"/>
                <w:sz w:val="21"/>
              </w:rPr>
              <w:t>26.08%</w:t>
            </w:r>
          </w:p>
        </w:tc>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143"/>
              <w:ind w:left="273" w:right="0"/>
              <w:jc w:val="left"/>
              <w:rPr>
                <w:rFonts w:ascii="宋体" w:hAnsi="宋体" w:cs="宋体" w:eastAsia="宋体" w:hint="default"/>
                <w:sz w:val="21"/>
                <w:szCs w:val="21"/>
              </w:rPr>
            </w:pPr>
            <w:r>
              <w:rPr>
                <w:rFonts w:ascii="宋体"/>
                <w:sz w:val="21"/>
              </w:rPr>
              <w:t>57,377,116.20</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3"/>
              <w:ind w:left="470" w:right="0"/>
              <w:jc w:val="left"/>
              <w:rPr>
                <w:rFonts w:ascii="宋体" w:hAnsi="宋体" w:cs="宋体" w:eastAsia="宋体" w:hint="default"/>
                <w:sz w:val="21"/>
                <w:szCs w:val="21"/>
              </w:rPr>
            </w:pPr>
            <w:r>
              <w:rPr>
                <w:rFonts w:ascii="宋体"/>
                <w:sz w:val="21"/>
              </w:rPr>
              <w:t>23.64%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宋体"/>
                <w:sz w:val="21"/>
              </w:rPr>
              <w:t>2.44%</w:t>
            </w:r>
          </w:p>
        </w:tc>
        <w:tc>
          <w:tcPr>
            <w:tcW w:w="2333" w:type="dxa"/>
            <w:vMerge w:val="restart"/>
            <w:tcBorders>
              <w:top w:val="single" w:sz="4" w:space="0" w:color="000000"/>
              <w:left w:val="single" w:sz="4" w:space="0" w:color="000000"/>
              <w:right w:val="single" w:sz="4" w:space="0" w:color="000000"/>
            </w:tcBorders>
          </w:tcPr>
          <w:p>
            <w:pPr>
              <w:pStyle w:val="TableParagraph"/>
              <w:spacing w:line="240" w:lineRule="auto" w:before="143"/>
              <w:ind w:left="24" w:right="-15"/>
              <w:jc w:val="left"/>
              <w:rPr>
                <w:rFonts w:ascii="宋体" w:hAnsi="宋体" w:cs="宋体" w:eastAsia="宋体" w:hint="default"/>
                <w:sz w:val="21"/>
                <w:szCs w:val="21"/>
              </w:rPr>
            </w:pPr>
            <w:r>
              <w:rPr>
                <w:rFonts w:ascii="宋体" w:hAnsi="宋体" w:cs="宋体" w:eastAsia="宋体" w:hint="default"/>
                <w:spacing w:val="-2"/>
                <w:sz w:val="21"/>
                <w:szCs w:val="21"/>
              </w:rPr>
              <w:t>公司销售收入增加所致。</w:t>
            </w:r>
          </w:p>
        </w:tc>
      </w:tr>
      <w:tr>
        <w:trPr>
          <w:trHeight w:val="271" w:hRule="exact"/>
        </w:trPr>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49" w:type="dxa"/>
            <w:vMerge/>
            <w:tcBorders>
              <w:left w:val="single" w:sz="10" w:space="0" w:color="D2D2D2"/>
              <w:right w:val="single" w:sz="4" w:space="0" w:color="000000"/>
            </w:tcBorders>
          </w:tcPr>
          <w:p>
            <w:pPr/>
          </w:p>
        </w:tc>
        <w:tc>
          <w:tcPr>
            <w:tcW w:w="1375" w:type="dxa"/>
            <w:vMerge/>
            <w:tcBorders>
              <w:left w:val="single" w:sz="4" w:space="0" w:color="000000"/>
              <w:right w:val="single" w:sz="4" w:space="0" w:color="000000"/>
            </w:tcBorders>
          </w:tcPr>
          <w:p>
            <w:pPr/>
          </w:p>
        </w:tc>
        <w:tc>
          <w:tcPr>
            <w:tcW w:w="1671"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333" w:type="dxa"/>
            <w:vMerge/>
            <w:tcBorders>
              <w:left w:val="single" w:sz="4" w:space="0" w:color="000000"/>
              <w:right w:val="single" w:sz="4" w:space="0" w:color="000000"/>
            </w:tcBorders>
          </w:tcPr>
          <w:p>
            <w:pPr/>
          </w:p>
        </w:tc>
      </w:tr>
      <w:tr>
        <w:trPr>
          <w:trHeight w:val="180" w:hRule="exact"/>
        </w:trPr>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9" w:type="dxa"/>
            <w:vMerge/>
            <w:tcBorders>
              <w:left w:val="single" w:sz="10" w:space="0" w:color="D2D2D2"/>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67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333" w:type="dxa"/>
            <w:vMerge/>
            <w:tcBorders>
              <w:left w:val="single" w:sz="4" w:space="0" w:color="000000"/>
              <w:bottom w:val="single" w:sz="4" w:space="0" w:color="000000"/>
              <w:right w:val="single" w:sz="4" w:space="0" w:color="000000"/>
            </w:tcBorders>
          </w:tcPr>
          <w:p>
            <w:pPr/>
          </w:p>
        </w:tc>
      </w:tr>
      <w:tr>
        <w:trPr>
          <w:trHeight w:val="278"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9" w:type="dxa"/>
            <w:vMerge w:val="restart"/>
            <w:tcBorders>
              <w:top w:val="single" w:sz="4" w:space="0" w:color="000000"/>
              <w:left w:val="single" w:sz="10" w:space="0" w:color="D2D2D2"/>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21"/>
                <w:szCs w:val="21"/>
              </w:rPr>
            </w:pPr>
            <w:r>
              <w:rPr>
                <w:rFonts w:ascii="宋体"/>
                <w:sz w:val="21"/>
              </w:rPr>
              <w:t>24,272,527.74</w:t>
            </w:r>
          </w:p>
        </w:tc>
        <w:tc>
          <w:tcPr>
            <w:tcW w:w="137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5" w:right="0"/>
              <w:jc w:val="left"/>
              <w:rPr>
                <w:rFonts w:ascii="宋体" w:hAnsi="宋体" w:cs="宋体" w:eastAsia="宋体" w:hint="default"/>
                <w:sz w:val="21"/>
                <w:szCs w:val="21"/>
              </w:rPr>
            </w:pPr>
            <w:r>
              <w:rPr>
                <w:rFonts w:ascii="宋体"/>
                <w:sz w:val="21"/>
              </w:rPr>
              <w:t>4.79%</w:t>
            </w:r>
          </w:p>
        </w:tc>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sz w:val="21"/>
              </w:rPr>
              <w:t>12,953,003.13</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6" w:right="0"/>
              <w:jc w:val="left"/>
              <w:rPr>
                <w:rFonts w:ascii="宋体" w:hAnsi="宋体" w:cs="宋体" w:eastAsia="宋体" w:hint="default"/>
                <w:sz w:val="21"/>
                <w:szCs w:val="21"/>
              </w:rPr>
            </w:pPr>
            <w:r>
              <w:rPr>
                <w:rFonts w:ascii="宋体"/>
                <w:sz w:val="21"/>
              </w:rPr>
              <w:t>5.34%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21"/>
                <w:szCs w:val="21"/>
              </w:rPr>
            </w:pPr>
            <w:r>
              <w:rPr>
                <w:rFonts w:ascii="宋体"/>
                <w:sz w:val="21"/>
              </w:rPr>
              <w:t>-0.55%</w:t>
            </w:r>
          </w:p>
        </w:tc>
        <w:tc>
          <w:tcPr>
            <w:tcW w:w="2333" w:type="dxa"/>
            <w:vMerge w:val="restart"/>
            <w:tcBorders>
              <w:top w:val="single" w:sz="4" w:space="0" w:color="000000"/>
              <w:left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主要系随着公司经营规</w:t>
            </w:r>
          </w:p>
          <w:p>
            <w:pPr>
              <w:pStyle w:val="TableParagraph"/>
              <w:spacing w:line="272" w:lineRule="exact" w:before="26"/>
              <w:ind w:left="24" w:right="16"/>
              <w:jc w:val="left"/>
              <w:rPr>
                <w:rFonts w:ascii="宋体" w:hAnsi="宋体" w:cs="宋体" w:eastAsia="宋体" w:hint="default"/>
                <w:sz w:val="21"/>
                <w:szCs w:val="21"/>
              </w:rPr>
            </w:pPr>
            <w:r>
              <w:rPr>
                <w:rFonts w:ascii="宋体" w:hAnsi="宋体" w:cs="宋体" w:eastAsia="宋体" w:hint="default"/>
                <w:spacing w:val="-5"/>
                <w:sz w:val="21"/>
                <w:szCs w:val="21"/>
              </w:rPr>
              <w:t>模扩大，于年末尚未完成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的跨期项目增加所致。</w:t>
            </w:r>
          </w:p>
        </w:tc>
      </w:tr>
      <w:tr>
        <w:trPr>
          <w:trHeight w:val="271" w:hRule="exact"/>
        </w:trPr>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49" w:type="dxa"/>
            <w:vMerge/>
            <w:tcBorders>
              <w:left w:val="single" w:sz="10" w:space="0" w:color="D2D2D2"/>
              <w:right w:val="single" w:sz="4" w:space="0" w:color="000000"/>
            </w:tcBorders>
          </w:tcPr>
          <w:p>
            <w:pPr/>
          </w:p>
        </w:tc>
        <w:tc>
          <w:tcPr>
            <w:tcW w:w="1375" w:type="dxa"/>
            <w:vMerge/>
            <w:tcBorders>
              <w:left w:val="single" w:sz="4" w:space="0" w:color="000000"/>
              <w:right w:val="single" w:sz="4" w:space="0" w:color="000000"/>
            </w:tcBorders>
          </w:tcPr>
          <w:p>
            <w:pPr/>
          </w:p>
        </w:tc>
        <w:tc>
          <w:tcPr>
            <w:tcW w:w="1671"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333" w:type="dxa"/>
            <w:vMerge/>
            <w:tcBorders>
              <w:left w:val="single" w:sz="4" w:space="0" w:color="000000"/>
              <w:right w:val="single" w:sz="4" w:space="0" w:color="000000"/>
            </w:tcBorders>
          </w:tcPr>
          <w:p>
            <w:pPr/>
          </w:p>
        </w:tc>
      </w:tr>
      <w:tr>
        <w:trPr>
          <w:trHeight w:val="278" w:hRule="exact"/>
        </w:trPr>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9" w:type="dxa"/>
            <w:vMerge/>
            <w:tcBorders>
              <w:left w:val="single" w:sz="10" w:space="0" w:color="D2D2D2"/>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67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333" w:type="dxa"/>
            <w:vMerge/>
            <w:tcBorders>
              <w:left w:val="single" w:sz="4" w:space="0" w:color="000000"/>
              <w:bottom w:val="single" w:sz="4" w:space="0" w:color="000000"/>
              <w:right w:val="single" w:sz="4" w:space="0" w:color="000000"/>
            </w:tcBorders>
          </w:tcPr>
          <w:p>
            <w:pPr/>
          </w:p>
        </w:tc>
      </w:tr>
      <w:tr>
        <w:trPr>
          <w:trHeight w:val="180"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9" w:type="dxa"/>
            <w:vMerge w:val="restart"/>
            <w:tcBorders>
              <w:top w:val="single" w:sz="4" w:space="0" w:color="000000"/>
              <w:left w:val="single" w:sz="10" w:space="0" w:color="D2D2D2"/>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z w:val="21"/>
              </w:rPr>
              <w:t>0.00</w:t>
            </w:r>
          </w:p>
        </w:tc>
        <w:tc>
          <w:tcPr>
            <w:tcW w:w="1375" w:type="dxa"/>
            <w:vMerge w:val="restart"/>
            <w:tcBorders>
              <w:top w:val="single" w:sz="4" w:space="0" w:color="000000"/>
              <w:left w:val="single" w:sz="4" w:space="0" w:color="000000"/>
              <w:right w:val="single" w:sz="4" w:space="0" w:color="000000"/>
            </w:tcBorders>
          </w:tcPr>
          <w:p>
            <w:pPr/>
          </w:p>
        </w:tc>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z w:val="21"/>
              </w:rPr>
              <w:t>0.00</w:t>
            </w:r>
          </w:p>
        </w:tc>
        <w:tc>
          <w:tcPr>
            <w:tcW w:w="1135"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333" w:type="dxa"/>
            <w:vMerge w:val="restart"/>
            <w:tcBorders>
              <w:top w:val="single" w:sz="4" w:space="0" w:color="000000"/>
              <w:left w:val="single" w:sz="4" w:space="0" w:color="000000"/>
              <w:right w:val="single" w:sz="4" w:space="0" w:color="000000"/>
            </w:tcBorders>
          </w:tcPr>
          <w:p>
            <w:pPr/>
          </w:p>
        </w:tc>
      </w:tr>
      <w:tr>
        <w:trPr>
          <w:trHeight w:val="274" w:hRule="exact"/>
        </w:trPr>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49" w:type="dxa"/>
            <w:vMerge/>
            <w:tcBorders>
              <w:left w:val="single" w:sz="10" w:space="0" w:color="D2D2D2"/>
              <w:right w:val="single" w:sz="4" w:space="0" w:color="000000"/>
            </w:tcBorders>
          </w:tcPr>
          <w:p>
            <w:pPr/>
          </w:p>
        </w:tc>
        <w:tc>
          <w:tcPr>
            <w:tcW w:w="1375" w:type="dxa"/>
            <w:vMerge/>
            <w:tcBorders>
              <w:left w:val="single" w:sz="4" w:space="0" w:color="000000"/>
              <w:right w:val="single" w:sz="4" w:space="0" w:color="000000"/>
            </w:tcBorders>
          </w:tcPr>
          <w:p>
            <w:pPr/>
          </w:p>
        </w:tc>
        <w:tc>
          <w:tcPr>
            <w:tcW w:w="1671"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333" w:type="dxa"/>
            <w:vMerge/>
            <w:tcBorders>
              <w:left w:val="single" w:sz="4" w:space="0" w:color="000000"/>
              <w:right w:val="single" w:sz="4" w:space="0" w:color="000000"/>
            </w:tcBorders>
          </w:tcPr>
          <w:p>
            <w:pPr/>
          </w:p>
        </w:tc>
      </w:tr>
      <w:tr>
        <w:trPr>
          <w:trHeight w:val="181" w:hRule="exact"/>
        </w:trPr>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9" w:type="dxa"/>
            <w:vMerge/>
            <w:tcBorders>
              <w:left w:val="single" w:sz="10" w:space="0" w:color="D2D2D2"/>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67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333" w:type="dxa"/>
            <w:vMerge/>
            <w:tcBorders>
              <w:left w:val="single" w:sz="4" w:space="0" w:color="000000"/>
              <w:bottom w:val="single" w:sz="4" w:space="0" w:color="000000"/>
              <w:right w:val="single" w:sz="4" w:space="0" w:color="000000"/>
            </w:tcBorders>
          </w:tcPr>
          <w:p>
            <w:pPr/>
          </w:p>
        </w:tc>
      </w:tr>
      <w:tr>
        <w:trPr>
          <w:trHeight w:val="182"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9" w:type="dxa"/>
            <w:vMerge w:val="restart"/>
            <w:tcBorders>
              <w:top w:val="single" w:sz="4" w:space="0" w:color="000000"/>
              <w:left w:val="single" w:sz="10" w:space="0" w:color="D2D2D2"/>
              <w:right w:val="single" w:sz="4" w:space="0" w:color="000000"/>
            </w:tcBorders>
          </w:tcPr>
          <w:p>
            <w:pPr>
              <w:pStyle w:val="TableParagraph"/>
              <w:spacing w:line="240" w:lineRule="auto" w:before="143"/>
              <w:ind w:left="144" w:right="0"/>
              <w:jc w:val="left"/>
              <w:rPr>
                <w:rFonts w:ascii="宋体" w:hAnsi="宋体" w:cs="宋体" w:eastAsia="宋体" w:hint="default"/>
                <w:sz w:val="21"/>
                <w:szCs w:val="21"/>
              </w:rPr>
            </w:pPr>
            <w:r>
              <w:rPr>
                <w:rFonts w:ascii="宋体"/>
                <w:sz w:val="21"/>
              </w:rPr>
              <w:t>36,337,992.88</w:t>
            </w:r>
          </w:p>
        </w:tc>
        <w:tc>
          <w:tcPr>
            <w:tcW w:w="1375" w:type="dxa"/>
            <w:vMerge w:val="restart"/>
            <w:tcBorders>
              <w:top w:val="single" w:sz="4" w:space="0" w:color="000000"/>
              <w:left w:val="single" w:sz="4" w:space="0" w:color="000000"/>
              <w:right w:val="single" w:sz="4" w:space="0" w:color="000000"/>
            </w:tcBorders>
          </w:tcPr>
          <w:p>
            <w:pPr>
              <w:pStyle w:val="TableParagraph"/>
              <w:spacing w:line="240" w:lineRule="auto" w:before="143"/>
              <w:ind w:left="815" w:right="0"/>
              <w:jc w:val="left"/>
              <w:rPr>
                <w:rFonts w:ascii="宋体" w:hAnsi="宋体" w:cs="宋体" w:eastAsia="宋体" w:hint="default"/>
                <w:sz w:val="21"/>
                <w:szCs w:val="21"/>
              </w:rPr>
            </w:pPr>
            <w:r>
              <w:rPr>
                <w:rFonts w:ascii="宋体"/>
                <w:sz w:val="21"/>
              </w:rPr>
              <w:t>7.16%</w:t>
            </w:r>
          </w:p>
        </w:tc>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143"/>
              <w:ind w:left="273" w:right="0"/>
              <w:jc w:val="left"/>
              <w:rPr>
                <w:rFonts w:ascii="宋体" w:hAnsi="宋体" w:cs="宋体" w:eastAsia="宋体" w:hint="default"/>
                <w:sz w:val="21"/>
                <w:szCs w:val="21"/>
              </w:rPr>
            </w:pPr>
            <w:r>
              <w:rPr>
                <w:rFonts w:ascii="宋体"/>
                <w:sz w:val="21"/>
              </w:rPr>
              <w:t>36,262,171.77</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3"/>
              <w:ind w:left="470" w:right="0"/>
              <w:jc w:val="left"/>
              <w:rPr>
                <w:rFonts w:ascii="宋体" w:hAnsi="宋体" w:cs="宋体" w:eastAsia="宋体" w:hint="default"/>
                <w:sz w:val="21"/>
                <w:szCs w:val="21"/>
              </w:rPr>
            </w:pPr>
            <w:r>
              <w:rPr>
                <w:rFonts w:ascii="宋体"/>
                <w:sz w:val="21"/>
              </w:rPr>
              <w:t>14.94%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43"/>
              <w:ind w:left="187" w:right="0"/>
              <w:jc w:val="left"/>
              <w:rPr>
                <w:rFonts w:ascii="宋体" w:hAnsi="宋体" w:cs="宋体" w:eastAsia="宋体" w:hint="default"/>
                <w:sz w:val="21"/>
                <w:szCs w:val="21"/>
              </w:rPr>
            </w:pPr>
            <w:r>
              <w:rPr>
                <w:rFonts w:ascii="宋体"/>
                <w:sz w:val="21"/>
              </w:rPr>
              <w:t>-7.78%</w:t>
            </w:r>
          </w:p>
        </w:tc>
        <w:tc>
          <w:tcPr>
            <w:tcW w:w="2333" w:type="dxa"/>
            <w:vMerge w:val="restart"/>
            <w:tcBorders>
              <w:top w:val="single" w:sz="4" w:space="0" w:color="000000"/>
              <w:left w:val="single" w:sz="4" w:space="0" w:color="000000"/>
              <w:right w:val="single" w:sz="4" w:space="0" w:color="000000"/>
            </w:tcBorders>
          </w:tcPr>
          <w:p>
            <w:pPr>
              <w:pStyle w:val="TableParagraph"/>
              <w:spacing w:line="272" w:lineRule="exact" w:before="34"/>
              <w:ind w:left="24" w:right="-15"/>
              <w:jc w:val="left"/>
              <w:rPr>
                <w:rFonts w:ascii="宋体" w:hAnsi="宋体" w:cs="宋体" w:eastAsia="宋体" w:hint="default"/>
                <w:sz w:val="21"/>
                <w:szCs w:val="21"/>
              </w:rPr>
            </w:pPr>
            <w:r>
              <w:rPr>
                <w:rFonts w:ascii="宋体" w:hAnsi="宋体" w:cs="宋体" w:eastAsia="宋体" w:hint="default"/>
                <w:spacing w:val="-5"/>
                <w:sz w:val="21"/>
                <w:szCs w:val="21"/>
              </w:rPr>
              <w:t>报告期内，公司固定资产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较上年同期无重大变化。</w:t>
            </w:r>
          </w:p>
        </w:tc>
      </w:tr>
      <w:tr>
        <w:trPr>
          <w:trHeight w:val="271" w:hRule="exact"/>
        </w:trPr>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49" w:type="dxa"/>
            <w:vMerge/>
            <w:tcBorders>
              <w:left w:val="single" w:sz="10" w:space="0" w:color="D2D2D2"/>
              <w:right w:val="single" w:sz="4" w:space="0" w:color="000000"/>
            </w:tcBorders>
          </w:tcPr>
          <w:p>
            <w:pPr/>
          </w:p>
        </w:tc>
        <w:tc>
          <w:tcPr>
            <w:tcW w:w="1375" w:type="dxa"/>
            <w:vMerge/>
            <w:tcBorders>
              <w:left w:val="single" w:sz="4" w:space="0" w:color="000000"/>
              <w:right w:val="single" w:sz="4" w:space="0" w:color="000000"/>
            </w:tcBorders>
          </w:tcPr>
          <w:p>
            <w:pPr/>
          </w:p>
        </w:tc>
        <w:tc>
          <w:tcPr>
            <w:tcW w:w="1671"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333" w:type="dxa"/>
            <w:vMerge/>
            <w:tcBorders>
              <w:left w:val="single" w:sz="4" w:space="0" w:color="000000"/>
              <w:right w:val="single" w:sz="4" w:space="0" w:color="000000"/>
            </w:tcBorders>
          </w:tcPr>
          <w:p>
            <w:pPr/>
          </w:p>
        </w:tc>
      </w:tr>
      <w:tr>
        <w:trPr>
          <w:trHeight w:val="180" w:hRule="exact"/>
        </w:trPr>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9" w:type="dxa"/>
            <w:vMerge/>
            <w:tcBorders>
              <w:left w:val="single" w:sz="10" w:space="0" w:color="D2D2D2"/>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67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333" w:type="dxa"/>
            <w:vMerge/>
            <w:tcBorders>
              <w:left w:val="single" w:sz="4" w:space="0" w:color="000000"/>
              <w:bottom w:val="single" w:sz="4" w:space="0" w:color="000000"/>
              <w:right w:val="single" w:sz="4" w:space="0" w:color="000000"/>
            </w:tcBorders>
          </w:tcPr>
          <w:p>
            <w:pPr/>
          </w:p>
        </w:tc>
      </w:tr>
      <w:tr>
        <w:trPr>
          <w:trHeight w:val="182"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9" w:type="dxa"/>
            <w:vMerge w:val="restart"/>
            <w:tcBorders>
              <w:top w:val="single" w:sz="4" w:space="0" w:color="000000"/>
              <w:left w:val="single" w:sz="10" w:space="0" w:color="D2D2D2"/>
              <w:right w:val="single" w:sz="4" w:space="0" w:color="000000"/>
            </w:tcBorders>
          </w:tcPr>
          <w:p>
            <w:pPr>
              <w:pStyle w:val="TableParagraph"/>
              <w:spacing w:line="240" w:lineRule="auto" w:before="143"/>
              <w:ind w:left="144" w:right="0"/>
              <w:jc w:val="left"/>
              <w:rPr>
                <w:rFonts w:ascii="宋体" w:hAnsi="宋体" w:cs="宋体" w:eastAsia="宋体" w:hint="default"/>
                <w:sz w:val="21"/>
                <w:szCs w:val="21"/>
              </w:rPr>
            </w:pPr>
            <w:r>
              <w:rPr>
                <w:rFonts w:ascii="宋体"/>
                <w:sz w:val="21"/>
              </w:rPr>
              <w:t>19,784,163.73</w:t>
            </w:r>
          </w:p>
        </w:tc>
        <w:tc>
          <w:tcPr>
            <w:tcW w:w="1375" w:type="dxa"/>
            <w:vMerge w:val="restart"/>
            <w:tcBorders>
              <w:top w:val="single" w:sz="4" w:space="0" w:color="000000"/>
              <w:left w:val="single" w:sz="4" w:space="0" w:color="000000"/>
              <w:right w:val="single" w:sz="4" w:space="0" w:color="000000"/>
            </w:tcBorders>
          </w:tcPr>
          <w:p>
            <w:pPr>
              <w:pStyle w:val="TableParagraph"/>
              <w:spacing w:line="240" w:lineRule="auto" w:before="143"/>
              <w:ind w:left="815" w:right="0"/>
              <w:jc w:val="left"/>
              <w:rPr>
                <w:rFonts w:ascii="宋体" w:hAnsi="宋体" w:cs="宋体" w:eastAsia="宋体" w:hint="default"/>
                <w:sz w:val="21"/>
                <w:szCs w:val="21"/>
              </w:rPr>
            </w:pPr>
            <w:r>
              <w:rPr>
                <w:rFonts w:ascii="宋体"/>
                <w:sz w:val="21"/>
              </w:rPr>
              <w:t>3.90%</w:t>
            </w:r>
          </w:p>
        </w:tc>
        <w:tc>
          <w:tcPr>
            <w:tcW w:w="1671"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宋体"/>
                <w:sz w:val="21"/>
              </w:rPr>
              <w:t>3.90%</w:t>
            </w:r>
          </w:p>
        </w:tc>
        <w:tc>
          <w:tcPr>
            <w:tcW w:w="2333" w:type="dxa"/>
            <w:vMerge w:val="restart"/>
            <w:tcBorders>
              <w:top w:val="single" w:sz="4" w:space="0" w:color="000000"/>
              <w:left w:val="single" w:sz="4" w:space="0" w:color="000000"/>
              <w:right w:val="single" w:sz="4" w:space="0" w:color="000000"/>
            </w:tcBorders>
          </w:tcPr>
          <w:p>
            <w:pPr>
              <w:pStyle w:val="TableParagraph"/>
              <w:spacing w:line="272" w:lineRule="exact" w:before="34"/>
              <w:ind w:left="24" w:right="194"/>
              <w:jc w:val="left"/>
              <w:rPr>
                <w:rFonts w:ascii="宋体" w:hAnsi="宋体" w:cs="宋体" w:eastAsia="宋体" w:hint="default"/>
                <w:sz w:val="21"/>
                <w:szCs w:val="21"/>
              </w:rPr>
            </w:pPr>
            <w:r>
              <w:rPr>
                <w:rFonts w:ascii="宋体" w:hAnsi="宋体" w:cs="宋体" w:eastAsia="宋体" w:hint="default"/>
                <w:spacing w:val="-2"/>
                <w:sz w:val="21"/>
                <w:szCs w:val="21"/>
              </w:rPr>
              <w:t>报告期内募投建项目所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w:t>
            </w:r>
          </w:p>
        </w:tc>
      </w:tr>
      <w:tr>
        <w:trPr>
          <w:trHeight w:val="271" w:hRule="exact"/>
        </w:trPr>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49" w:type="dxa"/>
            <w:vMerge/>
            <w:tcBorders>
              <w:left w:val="single" w:sz="10" w:space="0" w:color="D2D2D2"/>
              <w:right w:val="single" w:sz="4" w:space="0" w:color="000000"/>
            </w:tcBorders>
          </w:tcPr>
          <w:p>
            <w:pPr/>
          </w:p>
        </w:tc>
        <w:tc>
          <w:tcPr>
            <w:tcW w:w="1375" w:type="dxa"/>
            <w:vMerge/>
            <w:tcBorders>
              <w:left w:val="single" w:sz="4" w:space="0" w:color="000000"/>
              <w:right w:val="single" w:sz="4" w:space="0" w:color="000000"/>
            </w:tcBorders>
          </w:tcPr>
          <w:p>
            <w:pPr/>
          </w:p>
        </w:tc>
        <w:tc>
          <w:tcPr>
            <w:tcW w:w="1671"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333" w:type="dxa"/>
            <w:vMerge/>
            <w:tcBorders>
              <w:left w:val="single" w:sz="4" w:space="0" w:color="000000"/>
              <w:right w:val="single" w:sz="4" w:space="0" w:color="000000"/>
            </w:tcBorders>
          </w:tcPr>
          <w:p>
            <w:pPr/>
          </w:p>
        </w:tc>
      </w:tr>
      <w:tr>
        <w:trPr>
          <w:trHeight w:val="182" w:hRule="exact"/>
        </w:trPr>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9" w:type="dxa"/>
            <w:vMerge/>
            <w:tcBorders>
              <w:left w:val="single" w:sz="10" w:space="0" w:color="D2D2D2"/>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67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333" w:type="dxa"/>
            <w:vMerge/>
            <w:tcBorders>
              <w:left w:val="single" w:sz="4" w:space="0" w:color="000000"/>
              <w:bottom w:val="single" w:sz="4" w:space="0" w:color="000000"/>
              <w:right w:val="single" w:sz="4" w:space="0" w:color="000000"/>
            </w:tcBorders>
          </w:tcPr>
          <w:p>
            <w:pPr/>
          </w:p>
        </w:tc>
      </w:tr>
    </w:tbl>
    <w:p>
      <w:pPr>
        <w:pStyle w:val="Heading5"/>
        <w:spacing w:line="240" w:lineRule="auto" w:before="64"/>
        <w:ind w:left="492" w:right="0"/>
        <w:jc w:val="left"/>
        <w:rPr>
          <w:b w:val="0"/>
          <w:bCs w:val="0"/>
        </w:rPr>
      </w:pPr>
      <w:r>
        <w:rPr/>
        <w:t>（</w:t>
      </w:r>
      <w:r>
        <w:rPr>
          <w:rFonts w:ascii="宋体" w:hAnsi="宋体" w:cs="宋体" w:eastAsia="宋体" w:hint="default"/>
        </w:rPr>
        <w:t>2</w:t>
      </w:r>
      <w:r>
        <w:rPr/>
        <w:t>）负债项目重大变动情况</w:t>
      </w:r>
      <w:r>
        <w:rPr>
          <w:b w:val="0"/>
          <w:bCs w:val="0"/>
        </w:rPr>
      </w:r>
    </w:p>
    <w:p>
      <w:pPr>
        <w:pStyle w:val="BodyText"/>
        <w:spacing w:line="240" w:lineRule="auto" w:before="97"/>
        <w:ind w:left="0" w:right="488"/>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68"/>
        <w:gridCol w:w="1466"/>
        <w:gridCol w:w="1786"/>
        <w:gridCol w:w="1448"/>
        <w:gridCol w:w="1807"/>
        <w:gridCol w:w="994"/>
        <w:gridCol w:w="1526"/>
      </w:tblGrid>
      <w:tr>
        <w:trPr>
          <w:trHeight w:val="14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2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1" w:right="0"/>
              <w:jc w:val="center"/>
              <w:rPr>
                <w:rFonts w:ascii="宋体" w:hAnsi="宋体" w:cs="宋体" w:eastAsia="宋体" w:hint="default"/>
                <w:sz w:val="21"/>
                <w:szCs w:val="21"/>
              </w:rPr>
            </w:pPr>
            <w:r>
              <w:rPr>
                <w:rFonts w:ascii="宋体" w:hAnsi="宋体" w:cs="宋体" w:eastAsia="宋体" w:hint="default"/>
                <w:sz w:val="21"/>
                <w:szCs w:val="21"/>
              </w:rPr>
              <w:t>比重增减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29"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3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3253" w:type="dxa"/>
            <w:gridSpan w:val="2"/>
            <w:vMerge/>
            <w:tcBorders>
              <w:left w:val="single" w:sz="4" w:space="0" w:color="000000"/>
              <w:bottom w:val="single" w:sz="4" w:space="0" w:color="000000"/>
              <w:right w:val="single" w:sz="4" w:space="0" w:color="000000"/>
            </w:tcBorders>
            <w:shd w:val="clear" w:color="auto" w:fill="D2D2D2"/>
          </w:tcPr>
          <w:p>
            <w:pPr/>
          </w:p>
        </w:tc>
        <w:tc>
          <w:tcPr>
            <w:tcW w:w="3255"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r>
      <w:tr>
        <w:trPr>
          <w:trHeight w:val="13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3" w:right="-34"/>
              <w:jc w:val="left"/>
              <w:rPr>
                <w:rFonts w:ascii="宋体" w:hAnsi="宋体" w:cs="宋体" w:eastAsia="宋体" w:hint="default"/>
                <w:sz w:val="21"/>
                <w:szCs w:val="21"/>
              </w:rPr>
            </w:pPr>
            <w:r>
              <w:rPr>
                <w:rFonts w:ascii="宋体" w:hAnsi="宋体" w:cs="宋体" w:eastAsia="宋体" w:hint="default"/>
                <w:spacing w:val="-2"/>
                <w:sz w:val="21"/>
                <w:szCs w:val="21"/>
              </w:rPr>
              <w:t>占总资产比例（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07"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6" w:right="-17"/>
              <w:jc w:val="left"/>
              <w:rPr>
                <w:rFonts w:ascii="宋体" w:hAnsi="宋体" w:cs="宋体" w:eastAsia="宋体" w:hint="default"/>
                <w:sz w:val="21"/>
                <w:szCs w:val="21"/>
              </w:rPr>
            </w:pPr>
            <w:r>
              <w:rPr>
                <w:rFonts w:ascii="宋体" w:hAnsi="宋体" w:cs="宋体" w:eastAsia="宋体" w:hint="default"/>
                <w:spacing w:val="-1"/>
                <w:sz w:val="21"/>
                <w:szCs w:val="21"/>
              </w:rPr>
              <w:t>占总资产比例（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994" w:type="dxa"/>
            <w:vMerge/>
            <w:tcBorders>
              <w:left w:val="single" w:sz="4" w:space="0" w:color="000000"/>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r>
      <w:tr>
        <w:trPr>
          <w:trHeight w:val="14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6" w:type="dxa"/>
            <w:vMerge/>
            <w:tcBorders>
              <w:left w:val="single" w:sz="4" w:space="0" w:color="000000"/>
              <w:bottom w:val="single" w:sz="4" w:space="0" w:color="000000"/>
              <w:right w:val="single" w:sz="4" w:space="0" w:color="000000"/>
            </w:tcBorders>
            <w:shd w:val="clear" w:color="auto" w:fill="D2D2D2"/>
          </w:tcPr>
          <w:p>
            <w:pPr/>
          </w:p>
        </w:tc>
        <w:tc>
          <w:tcPr>
            <w:tcW w:w="1786" w:type="dxa"/>
            <w:vMerge/>
            <w:tcBorders>
              <w:left w:val="single" w:sz="4" w:space="0" w:color="000000"/>
              <w:bottom w:val="single" w:sz="4" w:space="0" w:color="000000"/>
              <w:right w:val="single" w:sz="4" w:space="0" w:color="000000"/>
            </w:tcBorders>
            <w:shd w:val="clear" w:color="auto" w:fill="D2D2D2"/>
          </w:tcPr>
          <w:p>
            <w:pPr/>
          </w:p>
        </w:tc>
        <w:tc>
          <w:tcPr>
            <w:tcW w:w="1448" w:type="dxa"/>
            <w:vMerge/>
            <w:tcBorders>
              <w:left w:val="single" w:sz="4" w:space="0" w:color="000000"/>
              <w:bottom w:val="single" w:sz="4" w:space="0" w:color="000000"/>
              <w:right w:val="single" w:sz="4" w:space="0" w:color="000000"/>
            </w:tcBorders>
            <w:shd w:val="clear" w:color="auto" w:fill="D2D2D2"/>
          </w:tcPr>
          <w:p>
            <w:pPr/>
          </w:p>
        </w:tc>
        <w:tc>
          <w:tcPr>
            <w:tcW w:w="180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526"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66"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11,000,000.00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4.53%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sz w:val="21"/>
              </w:rPr>
              <w:t>-2.56%</w:t>
            </w: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66"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78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80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line="324" w:lineRule="auto" w:before="64"/>
        <w:ind w:left="915" w:right="231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报告期内，公司无以公允价值计量的资产和负债。</w:t>
      </w:r>
    </w:p>
    <w:p>
      <w:pPr>
        <w:spacing w:after="0" w:line="324" w:lineRule="auto"/>
        <w:jc w:val="left"/>
        <w:rPr>
          <w:rFonts w:ascii="宋体" w:hAnsi="宋体" w:cs="宋体" w:eastAsia="宋体" w:hint="default"/>
          <w:sz w:val="21"/>
          <w:szCs w:val="21"/>
        </w:rPr>
        <w:sectPr>
          <w:pgSz w:w="11910" w:h="16840"/>
          <w:pgMar w:header="884" w:footer="979" w:top="1100" w:bottom="1160" w:left="640" w:right="64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138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right="142"/>
        <w:jc w:val="left"/>
        <w:rPr>
          <w:b w:val="0"/>
          <w:bCs w:val="0"/>
        </w:rPr>
      </w:pPr>
      <w:r>
        <w:rPr>
          <w:rFonts w:ascii="宋体" w:hAnsi="宋体" w:cs="宋体" w:eastAsia="宋体" w:hint="default"/>
        </w:rPr>
        <w:t>4</w:t>
      </w:r>
      <w:r>
        <w:rPr/>
        <w:t>、公司竞争能力重大变化分析</w:t>
      </w:r>
      <w:r>
        <w:rPr>
          <w:b w:val="0"/>
          <w:bCs w:val="0"/>
        </w:rPr>
      </w:r>
    </w:p>
    <w:p>
      <w:pPr>
        <w:spacing w:line="240" w:lineRule="auto" w:before="0"/>
        <w:rPr>
          <w:rFonts w:ascii="宋体" w:hAnsi="宋体" w:cs="宋体" w:eastAsia="宋体" w:hint="default"/>
          <w:b/>
          <w:bCs/>
          <w:sz w:val="14"/>
          <w:szCs w:val="14"/>
        </w:rPr>
      </w:pPr>
    </w:p>
    <w:p>
      <w:pPr>
        <w:pStyle w:val="BodyText"/>
        <w:spacing w:line="237" w:lineRule="auto"/>
        <w:ind w:right="142" w:firstLine="526"/>
        <w:jc w:val="left"/>
      </w:pPr>
      <w:r>
        <w:rPr/>
        <w:t>报告期内，公司以战略管理为核心，不断完善创新机制，继续坚持“以客户和市场需求为导向”的</w:t>
      </w:r>
      <w:r>
        <w:rPr>
          <w:w w:val="100"/>
        </w:rPr>
        <w:t> </w:t>
      </w:r>
      <w:r>
        <w:rPr>
          <w:spacing w:val="-2"/>
        </w:rPr>
        <w:t>技术战略和开发方向，通过规范技术开发流程，建立系统的激励机制，提高内部创新的积极性，不断培养</w:t>
      </w:r>
      <w:r>
        <w:rPr>
          <w:spacing w:val="-50"/>
        </w:rPr>
        <w:t> </w:t>
      </w:r>
      <w:r>
        <w:rPr>
          <w:spacing w:val="-50"/>
        </w:rPr>
      </w:r>
      <w:r>
        <w:rPr/>
        <w:t>和引进高素质的高级职业管理人才，先后引进多名优秀人才，逐渐搭建起专业化、职业化的管理团队。</w:t>
      </w:r>
    </w:p>
    <w:p>
      <w:pPr>
        <w:pStyle w:val="BodyText"/>
        <w:spacing w:line="240" w:lineRule="auto" w:before="119"/>
        <w:ind w:left="678" w:right="142"/>
        <w:jc w:val="left"/>
      </w:pPr>
      <w:r>
        <w:rPr/>
        <w:t>报告期内，公司新增注册商标</w:t>
      </w:r>
      <w:r>
        <w:rPr>
          <w:rFonts w:ascii="宋体" w:hAnsi="宋体" w:cs="宋体" w:eastAsia="宋体" w:hint="default"/>
        </w:rPr>
        <w:t>4</w:t>
      </w:r>
      <w:r>
        <w:rPr/>
        <w:t>项，具体情况如下：</w:t>
      </w:r>
    </w:p>
    <w:p>
      <w:pPr>
        <w:spacing w:line="240" w:lineRule="auto" w:before="7"/>
        <w:rPr>
          <w:rFonts w:ascii="宋体" w:hAnsi="宋体" w:cs="宋体" w:eastAsia="宋体" w:hint="default"/>
          <w:sz w:val="11"/>
          <w:szCs w:val="11"/>
        </w:rPr>
      </w:pPr>
    </w:p>
    <w:tbl>
      <w:tblPr>
        <w:tblW w:w="0" w:type="auto"/>
        <w:jc w:val="left"/>
        <w:tblInd w:w="501" w:type="dxa"/>
        <w:tblLayout w:type="fixed"/>
        <w:tblCellMar>
          <w:top w:w="0" w:type="dxa"/>
          <w:left w:w="0" w:type="dxa"/>
          <w:bottom w:w="0" w:type="dxa"/>
          <w:right w:w="0" w:type="dxa"/>
        </w:tblCellMar>
        <w:tblLook w:val="01E0"/>
      </w:tblPr>
      <w:tblGrid>
        <w:gridCol w:w="1109"/>
        <w:gridCol w:w="1237"/>
        <w:gridCol w:w="1253"/>
        <w:gridCol w:w="1364"/>
        <w:gridCol w:w="1267"/>
        <w:gridCol w:w="1337"/>
        <w:gridCol w:w="1363"/>
      </w:tblGrid>
      <w:tr>
        <w:trPr>
          <w:trHeight w:val="322" w:hRule="exact"/>
        </w:trPr>
        <w:tc>
          <w:tcPr>
            <w:tcW w:w="1109" w:type="dxa"/>
            <w:tcBorders>
              <w:top w:val="single" w:sz="12" w:space="0" w:color="000000"/>
              <w:left w:val="single" w:sz="6" w:space="0" w:color="000000"/>
              <w:bottom w:val="single" w:sz="12" w:space="0" w:color="000000"/>
              <w:right w:val="single" w:sz="6" w:space="0" w:color="000000"/>
            </w:tcBorders>
            <w:shd w:val="clear" w:color="auto" w:fill="E6E6E6"/>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37" w:type="dxa"/>
            <w:tcBorders>
              <w:top w:val="single" w:sz="12" w:space="0" w:color="000000"/>
              <w:left w:val="single" w:sz="6" w:space="0" w:color="000000"/>
              <w:bottom w:val="single" w:sz="12" w:space="0" w:color="000000"/>
              <w:right w:val="single" w:sz="6" w:space="0" w:color="000000"/>
            </w:tcBorders>
            <w:shd w:val="clear" w:color="auto" w:fill="E6E6E6"/>
          </w:tcPr>
          <w:p>
            <w:pPr>
              <w:pStyle w:val="TableParagraph"/>
              <w:spacing w:line="253" w:lineRule="exact"/>
              <w:ind w:left="189" w:right="0"/>
              <w:jc w:val="left"/>
              <w:rPr>
                <w:rFonts w:ascii="宋体" w:hAnsi="宋体" w:cs="宋体" w:eastAsia="宋体" w:hint="default"/>
                <w:sz w:val="21"/>
                <w:szCs w:val="21"/>
              </w:rPr>
            </w:pPr>
            <w:r>
              <w:rPr>
                <w:rFonts w:ascii="宋体" w:hAnsi="宋体" w:cs="宋体" w:eastAsia="宋体" w:hint="default"/>
                <w:sz w:val="21"/>
                <w:szCs w:val="21"/>
              </w:rPr>
              <w:t>注册商标</w:t>
            </w:r>
          </w:p>
        </w:tc>
        <w:tc>
          <w:tcPr>
            <w:tcW w:w="1253" w:type="dxa"/>
            <w:tcBorders>
              <w:top w:val="single" w:sz="12" w:space="0" w:color="000000"/>
              <w:left w:val="single" w:sz="6" w:space="0" w:color="000000"/>
              <w:bottom w:val="single" w:sz="12" w:space="0" w:color="000000"/>
              <w:right w:val="single" w:sz="6" w:space="0" w:color="000000"/>
            </w:tcBorders>
            <w:shd w:val="clear" w:color="auto" w:fill="E6E6E6"/>
          </w:tcPr>
          <w:p>
            <w:pPr>
              <w:pStyle w:val="TableParagraph"/>
              <w:spacing w:line="253" w:lineRule="exact"/>
              <w:ind w:left="304"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1364" w:type="dxa"/>
            <w:tcBorders>
              <w:top w:val="single" w:sz="12" w:space="0" w:color="000000"/>
              <w:left w:val="single" w:sz="6" w:space="0" w:color="000000"/>
              <w:bottom w:val="single" w:sz="12" w:space="0" w:color="000000"/>
              <w:right w:val="single" w:sz="6" w:space="0" w:color="000000"/>
            </w:tcBorders>
            <w:shd w:val="clear" w:color="auto" w:fill="E6E6E6"/>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核定服务项目</w:t>
            </w:r>
          </w:p>
        </w:tc>
        <w:tc>
          <w:tcPr>
            <w:tcW w:w="1267" w:type="dxa"/>
            <w:tcBorders>
              <w:top w:val="single" w:sz="12" w:space="0" w:color="000000"/>
              <w:left w:val="single" w:sz="6" w:space="0" w:color="000000"/>
              <w:bottom w:val="single" w:sz="12" w:space="0" w:color="000000"/>
              <w:right w:val="single" w:sz="6" w:space="0" w:color="000000"/>
            </w:tcBorders>
            <w:shd w:val="clear" w:color="auto" w:fill="E6E6E6"/>
          </w:tcPr>
          <w:p>
            <w:pPr>
              <w:pStyle w:val="TableParagraph"/>
              <w:spacing w:line="253" w:lineRule="exact"/>
              <w:ind w:left="7" w:right="0"/>
              <w:jc w:val="center"/>
              <w:rPr>
                <w:rFonts w:ascii="宋体" w:hAnsi="宋体" w:cs="宋体" w:eastAsia="宋体" w:hint="default"/>
                <w:sz w:val="21"/>
                <w:szCs w:val="21"/>
              </w:rPr>
            </w:pPr>
            <w:r>
              <w:rPr>
                <w:rFonts w:ascii="宋体" w:hAnsi="宋体" w:cs="宋体" w:eastAsia="宋体" w:hint="default"/>
                <w:sz w:val="21"/>
                <w:szCs w:val="21"/>
              </w:rPr>
              <w:t>授权日期</w:t>
            </w:r>
          </w:p>
        </w:tc>
        <w:tc>
          <w:tcPr>
            <w:tcW w:w="1337" w:type="dxa"/>
            <w:tcBorders>
              <w:top w:val="single" w:sz="12" w:space="0" w:color="000000"/>
              <w:left w:val="single" w:sz="6" w:space="0" w:color="000000"/>
              <w:bottom w:val="single" w:sz="12" w:space="0" w:color="000000"/>
              <w:right w:val="single" w:sz="6" w:space="0" w:color="000000"/>
            </w:tcBorders>
            <w:shd w:val="clear" w:color="auto" w:fill="E6E6E6"/>
          </w:tcPr>
          <w:p>
            <w:pPr>
              <w:pStyle w:val="TableParagraph"/>
              <w:spacing w:line="253" w:lineRule="exact"/>
              <w:ind w:left="6" w:right="0"/>
              <w:jc w:val="center"/>
              <w:rPr>
                <w:rFonts w:ascii="宋体" w:hAnsi="宋体" w:cs="宋体" w:eastAsia="宋体" w:hint="default"/>
                <w:sz w:val="21"/>
                <w:szCs w:val="21"/>
              </w:rPr>
            </w:pPr>
            <w:r>
              <w:rPr>
                <w:rFonts w:ascii="宋体" w:hAnsi="宋体" w:cs="宋体" w:eastAsia="宋体" w:hint="default"/>
                <w:sz w:val="21"/>
                <w:szCs w:val="21"/>
              </w:rPr>
              <w:t>有效期</w:t>
            </w:r>
          </w:p>
        </w:tc>
        <w:tc>
          <w:tcPr>
            <w:tcW w:w="1363" w:type="dxa"/>
            <w:tcBorders>
              <w:top w:val="single" w:sz="12" w:space="0" w:color="000000"/>
              <w:left w:val="single" w:sz="6" w:space="0" w:color="000000"/>
              <w:bottom w:val="single" w:sz="12" w:space="0" w:color="000000"/>
              <w:right w:val="single" w:sz="6" w:space="0" w:color="000000"/>
            </w:tcBorders>
            <w:shd w:val="clear" w:color="auto" w:fill="E6E6E6"/>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专利权人</w:t>
            </w:r>
          </w:p>
        </w:tc>
      </w:tr>
      <w:tr>
        <w:trPr>
          <w:trHeight w:val="1164" w:hRule="exact"/>
        </w:trPr>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w w:val="100"/>
                <w:sz w:val="21"/>
              </w:rPr>
              <w:t>1</w:t>
            </w:r>
          </w:p>
        </w:tc>
        <w:tc>
          <w:tcPr>
            <w:tcW w:w="1237" w:type="dxa"/>
            <w:tcBorders>
              <w:top w:val="single" w:sz="12" w:space="0" w:color="000000"/>
              <w:left w:val="single" w:sz="6" w:space="0" w:color="000000"/>
              <w:bottom w:val="single" w:sz="12" w:space="0" w:color="000000"/>
              <w:right w:val="single" w:sz="6" w:space="0" w:color="000000"/>
            </w:tcBorders>
          </w:tcPr>
          <w:p>
            <w:pPr>
              <w:pStyle w:val="TableParagraph"/>
              <w:spacing w:line="1108" w:lineRule="exact"/>
              <w:ind w:left="95" w:right="0"/>
              <w:jc w:val="left"/>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664795" cy="70408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 cstate="print"/>
                          <a:stretch>
                            <a:fillRect/>
                          </a:stretch>
                        </pic:blipFill>
                        <pic:spPr>
                          <a:xfrm>
                            <a:off x="0" y="0"/>
                            <a:ext cx="664795" cy="704088"/>
                          </a:xfrm>
                          <a:prstGeom prst="rect">
                            <a:avLst/>
                          </a:prstGeom>
                        </pic:spPr>
                      </pic:pic>
                    </a:graphicData>
                  </a:graphic>
                </wp:inline>
              </w:drawing>
            </w:r>
            <w:r>
              <w:rPr>
                <w:rFonts w:ascii="宋体" w:hAnsi="宋体" w:cs="宋体" w:eastAsia="宋体" w:hint="default"/>
                <w:position w:val="-21"/>
                <w:sz w:val="20"/>
                <w:szCs w:val="20"/>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54" w:right="0"/>
              <w:jc w:val="left"/>
              <w:rPr>
                <w:rFonts w:ascii="宋体" w:hAnsi="宋体" w:cs="宋体" w:eastAsia="宋体" w:hint="default"/>
                <w:sz w:val="21"/>
                <w:szCs w:val="21"/>
              </w:rPr>
            </w:pPr>
            <w:r>
              <w:rPr>
                <w:rFonts w:ascii="宋体"/>
                <w:sz w:val="21"/>
              </w:rPr>
              <w:t>9768722</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4"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9</w:t>
            </w:r>
            <w:r>
              <w:rPr>
                <w:rFonts w:ascii="宋体" w:hAnsi="宋体" w:cs="宋体" w:eastAsia="宋体" w:hint="default"/>
                <w:sz w:val="21"/>
                <w:szCs w:val="21"/>
              </w:rPr>
              <w:t>类</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7" w:right="0"/>
              <w:jc w:val="center"/>
              <w:rPr>
                <w:rFonts w:ascii="宋体" w:hAnsi="宋体" w:cs="宋体" w:eastAsia="宋体" w:hint="default"/>
                <w:sz w:val="21"/>
                <w:szCs w:val="21"/>
              </w:rPr>
            </w:pPr>
            <w:r>
              <w:rPr>
                <w:rFonts w:ascii="宋体"/>
                <w:sz w:val="21"/>
              </w:rPr>
              <w:t>2012-9-21</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6"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荣科科技</w:t>
            </w:r>
          </w:p>
        </w:tc>
      </w:tr>
      <w:tr>
        <w:trPr>
          <w:trHeight w:val="1162" w:hRule="exact"/>
        </w:trPr>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w w:val="100"/>
                <w:sz w:val="21"/>
              </w:rPr>
              <w:t>2</w:t>
            </w:r>
          </w:p>
        </w:tc>
        <w:tc>
          <w:tcPr>
            <w:tcW w:w="1237" w:type="dxa"/>
            <w:tcBorders>
              <w:top w:val="single" w:sz="12" w:space="0" w:color="000000"/>
              <w:left w:val="single" w:sz="6" w:space="0" w:color="000000"/>
              <w:bottom w:val="single" w:sz="12" w:space="0" w:color="000000"/>
              <w:right w:val="single" w:sz="6" w:space="0" w:color="000000"/>
            </w:tcBorders>
          </w:tcPr>
          <w:p>
            <w:pPr>
              <w:pStyle w:val="TableParagraph"/>
              <w:spacing w:line="1108" w:lineRule="exact"/>
              <w:ind w:left="69" w:right="0"/>
              <w:jc w:val="left"/>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664162" cy="7040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8" cstate="print"/>
                          <a:stretch>
                            <a:fillRect/>
                          </a:stretch>
                        </pic:blipFill>
                        <pic:spPr>
                          <a:xfrm>
                            <a:off x="0" y="0"/>
                            <a:ext cx="664162" cy="704087"/>
                          </a:xfrm>
                          <a:prstGeom prst="rect">
                            <a:avLst/>
                          </a:prstGeom>
                        </pic:spPr>
                      </pic:pic>
                    </a:graphicData>
                  </a:graphic>
                </wp:inline>
              </w:drawing>
            </w:r>
            <w:r>
              <w:rPr>
                <w:rFonts w:ascii="宋体" w:hAnsi="宋体" w:cs="宋体" w:eastAsia="宋体" w:hint="default"/>
                <w:position w:val="-21"/>
                <w:sz w:val="20"/>
                <w:szCs w:val="20"/>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54" w:right="0"/>
              <w:jc w:val="left"/>
              <w:rPr>
                <w:rFonts w:ascii="宋体" w:hAnsi="宋体" w:cs="宋体" w:eastAsia="宋体" w:hint="default"/>
                <w:sz w:val="21"/>
                <w:szCs w:val="21"/>
              </w:rPr>
            </w:pPr>
            <w:r>
              <w:rPr>
                <w:rFonts w:ascii="宋体"/>
                <w:sz w:val="21"/>
              </w:rPr>
              <w:t>8564571</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41</w:t>
            </w:r>
            <w:r>
              <w:rPr>
                <w:rFonts w:ascii="宋体" w:hAnsi="宋体" w:cs="宋体" w:eastAsia="宋体" w:hint="default"/>
                <w:sz w:val="21"/>
                <w:szCs w:val="21"/>
              </w:rPr>
              <w:t>类</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7" w:right="0"/>
              <w:jc w:val="center"/>
              <w:rPr>
                <w:rFonts w:ascii="宋体" w:hAnsi="宋体" w:cs="宋体" w:eastAsia="宋体" w:hint="default"/>
                <w:sz w:val="21"/>
                <w:szCs w:val="21"/>
              </w:rPr>
            </w:pPr>
            <w:r>
              <w:rPr>
                <w:rFonts w:ascii="宋体"/>
                <w:sz w:val="21"/>
              </w:rPr>
              <w:t>2012-02-21</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荣科科技</w:t>
            </w:r>
          </w:p>
        </w:tc>
      </w:tr>
      <w:tr>
        <w:trPr>
          <w:trHeight w:val="1162" w:hRule="exact"/>
        </w:trPr>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w w:val="100"/>
                <w:sz w:val="21"/>
              </w:rPr>
              <w:t>3</w:t>
            </w:r>
          </w:p>
        </w:tc>
        <w:tc>
          <w:tcPr>
            <w:tcW w:w="1237" w:type="dxa"/>
            <w:tcBorders>
              <w:top w:val="single" w:sz="12" w:space="0" w:color="000000"/>
              <w:left w:val="single" w:sz="6" w:space="0" w:color="000000"/>
              <w:bottom w:val="single" w:sz="12" w:space="0" w:color="000000"/>
              <w:right w:val="single" w:sz="6" w:space="0" w:color="000000"/>
            </w:tcBorders>
          </w:tcPr>
          <w:p>
            <w:pPr>
              <w:pStyle w:val="TableParagraph"/>
              <w:spacing w:line="1108" w:lineRule="exact"/>
              <w:ind w:left="95" w:right="0"/>
              <w:jc w:val="left"/>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664795" cy="704088"/>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8" cstate="print"/>
                          <a:stretch>
                            <a:fillRect/>
                          </a:stretch>
                        </pic:blipFill>
                        <pic:spPr>
                          <a:xfrm>
                            <a:off x="0" y="0"/>
                            <a:ext cx="664795" cy="704088"/>
                          </a:xfrm>
                          <a:prstGeom prst="rect">
                            <a:avLst/>
                          </a:prstGeom>
                        </pic:spPr>
                      </pic:pic>
                    </a:graphicData>
                  </a:graphic>
                </wp:inline>
              </w:drawing>
            </w:r>
            <w:r>
              <w:rPr>
                <w:rFonts w:ascii="宋体" w:hAnsi="宋体" w:cs="宋体" w:eastAsia="宋体" w:hint="default"/>
                <w:position w:val="-21"/>
                <w:sz w:val="20"/>
                <w:szCs w:val="20"/>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54" w:right="0"/>
              <w:jc w:val="left"/>
              <w:rPr>
                <w:rFonts w:ascii="宋体" w:hAnsi="宋体" w:cs="宋体" w:eastAsia="宋体" w:hint="default"/>
                <w:sz w:val="21"/>
                <w:szCs w:val="21"/>
              </w:rPr>
            </w:pPr>
            <w:r>
              <w:rPr>
                <w:rFonts w:ascii="宋体"/>
                <w:sz w:val="21"/>
              </w:rPr>
              <w:t>8564598</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37</w:t>
            </w:r>
            <w:r>
              <w:rPr>
                <w:rFonts w:ascii="宋体" w:hAnsi="宋体" w:cs="宋体" w:eastAsia="宋体" w:hint="default"/>
                <w:sz w:val="21"/>
                <w:szCs w:val="21"/>
              </w:rPr>
              <w:t>类</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7" w:right="0"/>
              <w:jc w:val="center"/>
              <w:rPr>
                <w:rFonts w:ascii="宋体" w:hAnsi="宋体" w:cs="宋体" w:eastAsia="宋体" w:hint="default"/>
                <w:sz w:val="21"/>
                <w:szCs w:val="21"/>
              </w:rPr>
            </w:pPr>
            <w:r>
              <w:rPr>
                <w:rFonts w:ascii="宋体"/>
                <w:sz w:val="21"/>
              </w:rPr>
              <w:t>2012-01-28</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荣科科技</w:t>
            </w:r>
          </w:p>
        </w:tc>
      </w:tr>
      <w:tr>
        <w:trPr>
          <w:trHeight w:val="1155" w:hRule="exact"/>
        </w:trPr>
        <w:tc>
          <w:tcPr>
            <w:tcW w:w="11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w w:val="100"/>
                <w:sz w:val="21"/>
              </w:rPr>
              <w:t>4</w:t>
            </w:r>
          </w:p>
        </w:tc>
        <w:tc>
          <w:tcPr>
            <w:tcW w:w="1237" w:type="dxa"/>
            <w:tcBorders>
              <w:top w:val="single" w:sz="12" w:space="0" w:color="000000"/>
              <w:left w:val="single" w:sz="6" w:space="0" w:color="000000"/>
              <w:bottom w:val="single" w:sz="6" w:space="0" w:color="000000"/>
              <w:right w:val="single" w:sz="6" w:space="0" w:color="000000"/>
            </w:tcBorders>
          </w:tcPr>
          <w:p>
            <w:pPr>
              <w:pStyle w:val="TableParagraph"/>
              <w:spacing w:line="1108" w:lineRule="exact"/>
              <w:ind w:left="95" w:right="0"/>
              <w:jc w:val="left"/>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664795" cy="704088"/>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18" cstate="print"/>
                          <a:stretch>
                            <a:fillRect/>
                          </a:stretch>
                        </pic:blipFill>
                        <pic:spPr>
                          <a:xfrm>
                            <a:off x="0" y="0"/>
                            <a:ext cx="664795" cy="704088"/>
                          </a:xfrm>
                          <a:prstGeom prst="rect">
                            <a:avLst/>
                          </a:prstGeom>
                        </pic:spPr>
                      </pic:pic>
                    </a:graphicData>
                  </a:graphic>
                </wp:inline>
              </w:drawing>
            </w:r>
            <w:r>
              <w:rPr>
                <w:rFonts w:ascii="宋体" w:hAnsi="宋体" w:cs="宋体" w:eastAsia="宋体" w:hint="default"/>
                <w:position w:val="-21"/>
                <w:sz w:val="20"/>
                <w:szCs w:val="20"/>
              </w:rPr>
            </w:r>
          </w:p>
        </w:tc>
        <w:tc>
          <w:tcPr>
            <w:tcW w:w="12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54" w:right="0"/>
              <w:jc w:val="left"/>
              <w:rPr>
                <w:rFonts w:ascii="宋体" w:hAnsi="宋体" w:cs="宋体" w:eastAsia="宋体" w:hint="default"/>
                <w:sz w:val="21"/>
                <w:szCs w:val="21"/>
              </w:rPr>
            </w:pPr>
            <w:r>
              <w:rPr>
                <w:rFonts w:ascii="宋体"/>
                <w:sz w:val="21"/>
              </w:rPr>
              <w:t>9768746</w:t>
            </w:r>
          </w:p>
        </w:tc>
        <w:tc>
          <w:tcPr>
            <w:tcW w:w="13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38</w:t>
            </w:r>
            <w:r>
              <w:rPr>
                <w:rFonts w:ascii="宋体" w:hAnsi="宋体" w:cs="宋体" w:eastAsia="宋体" w:hint="default"/>
                <w:sz w:val="21"/>
                <w:szCs w:val="21"/>
              </w:rPr>
              <w:t>类</w:t>
            </w:r>
          </w:p>
        </w:tc>
        <w:tc>
          <w:tcPr>
            <w:tcW w:w="12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7" w:right="0"/>
              <w:jc w:val="center"/>
              <w:rPr>
                <w:rFonts w:ascii="宋体" w:hAnsi="宋体" w:cs="宋体" w:eastAsia="宋体" w:hint="default"/>
                <w:sz w:val="21"/>
                <w:szCs w:val="21"/>
              </w:rPr>
            </w:pPr>
            <w:r>
              <w:rPr>
                <w:rFonts w:ascii="宋体"/>
                <w:sz w:val="21"/>
              </w:rPr>
              <w:t>2012-10-07</w:t>
            </w:r>
          </w:p>
        </w:tc>
        <w:tc>
          <w:tcPr>
            <w:tcW w:w="13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荣科科技</w:t>
            </w:r>
          </w:p>
        </w:tc>
      </w:tr>
    </w:tbl>
    <w:p>
      <w:pPr>
        <w:spacing w:line="240" w:lineRule="auto" w:before="7"/>
        <w:rPr>
          <w:rFonts w:ascii="宋体" w:hAnsi="宋体" w:cs="宋体" w:eastAsia="宋体" w:hint="default"/>
          <w:sz w:val="15"/>
          <w:szCs w:val="15"/>
        </w:rPr>
      </w:pPr>
    </w:p>
    <w:p>
      <w:pPr>
        <w:pStyle w:val="BodyText"/>
        <w:spacing w:line="240" w:lineRule="auto" w:before="36"/>
        <w:ind w:left="681" w:right="142"/>
        <w:jc w:val="left"/>
      </w:pPr>
      <w:r>
        <w:rPr/>
        <w:t>报告期内，公司正在申请的专利共</w:t>
      </w:r>
      <w:r>
        <w:rPr>
          <w:spacing w:val="-52"/>
        </w:rPr>
        <w:t> </w:t>
      </w:r>
      <w:r>
        <w:rPr>
          <w:rFonts w:ascii="宋体" w:hAnsi="宋体" w:cs="宋体" w:eastAsia="宋体" w:hint="default"/>
        </w:rPr>
        <w:t>5</w:t>
      </w:r>
      <w:r>
        <w:rPr>
          <w:rFonts w:ascii="宋体" w:hAnsi="宋体" w:cs="宋体" w:eastAsia="宋体" w:hint="default"/>
          <w:spacing w:val="-54"/>
        </w:rPr>
        <w:t> </w:t>
      </w:r>
      <w:r>
        <w:rPr/>
        <w:t>项，具体情况如下：</w:t>
      </w:r>
    </w:p>
    <w:p>
      <w:pPr>
        <w:spacing w:line="240" w:lineRule="auto" w:before="7"/>
        <w:rPr>
          <w:rFonts w:ascii="宋体" w:hAnsi="宋体" w:cs="宋体" w:eastAsia="宋体" w:hint="default"/>
          <w:sz w:val="11"/>
          <w:szCs w:val="11"/>
        </w:rPr>
      </w:pPr>
    </w:p>
    <w:tbl>
      <w:tblPr>
        <w:tblW w:w="0" w:type="auto"/>
        <w:jc w:val="left"/>
        <w:tblInd w:w="390" w:type="dxa"/>
        <w:tblLayout w:type="fixed"/>
        <w:tblCellMar>
          <w:top w:w="0" w:type="dxa"/>
          <w:left w:w="0" w:type="dxa"/>
          <w:bottom w:w="0" w:type="dxa"/>
          <w:right w:w="0" w:type="dxa"/>
        </w:tblCellMar>
        <w:tblLook w:val="01E0"/>
      </w:tblPr>
      <w:tblGrid>
        <w:gridCol w:w="708"/>
        <w:gridCol w:w="3533"/>
        <w:gridCol w:w="2340"/>
        <w:gridCol w:w="1561"/>
        <w:gridCol w:w="1008"/>
      </w:tblGrid>
      <w:tr>
        <w:trPr>
          <w:trHeight w:val="307" w:hRule="exact"/>
        </w:trPr>
        <w:tc>
          <w:tcPr>
            <w:tcW w:w="7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5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169"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23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720" w:right="0"/>
              <w:jc w:val="left"/>
              <w:rPr>
                <w:rFonts w:ascii="宋体" w:hAnsi="宋体" w:cs="宋体" w:eastAsia="宋体" w:hint="default"/>
                <w:sz w:val="21"/>
                <w:szCs w:val="21"/>
              </w:rPr>
            </w:pPr>
            <w:r>
              <w:rPr>
                <w:rFonts w:ascii="宋体" w:hAnsi="宋体" w:cs="宋体" w:eastAsia="宋体" w:hint="default"/>
                <w:sz w:val="21"/>
                <w:szCs w:val="21"/>
              </w:rPr>
              <w:t>专利申请号</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right="252"/>
              <w:jc w:val="right"/>
              <w:rPr>
                <w:rFonts w:ascii="宋体" w:hAnsi="宋体" w:cs="宋体" w:eastAsia="宋体" w:hint="default"/>
                <w:sz w:val="21"/>
                <w:szCs w:val="21"/>
              </w:rPr>
            </w:pPr>
            <w:r>
              <w:rPr>
                <w:rFonts w:ascii="宋体" w:hAnsi="宋体" w:cs="宋体" w:eastAsia="宋体" w:hint="default"/>
                <w:spacing w:val="-1"/>
                <w:sz w:val="21"/>
                <w:szCs w:val="21"/>
              </w:rPr>
              <w:t>专利申请日</w:t>
            </w:r>
          </w:p>
        </w:tc>
        <w:tc>
          <w:tcPr>
            <w:tcW w:w="10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专利类型</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w w:val="100"/>
                <w:sz w:val="21"/>
              </w:rPr>
              <w:t>1</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电力电能表图像自动识别方法</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23"/>
              <w:jc w:val="right"/>
              <w:rPr>
                <w:rFonts w:ascii="宋体" w:hAnsi="宋体" w:cs="宋体" w:eastAsia="宋体" w:hint="default"/>
                <w:sz w:val="21"/>
                <w:szCs w:val="21"/>
              </w:rPr>
            </w:pPr>
            <w:r>
              <w:rPr>
                <w:rFonts w:ascii="宋体"/>
                <w:spacing w:val="-1"/>
                <w:sz w:val="21"/>
              </w:rPr>
              <w:t>201010150835.7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3"/>
              <w:jc w:val="right"/>
              <w:rPr>
                <w:rFonts w:ascii="宋体" w:hAnsi="宋体" w:cs="宋体" w:eastAsia="宋体" w:hint="default"/>
                <w:sz w:val="21"/>
                <w:szCs w:val="21"/>
              </w:rPr>
            </w:pPr>
            <w:r>
              <w:rPr>
                <w:rFonts w:ascii="宋体"/>
                <w:spacing w:val="-1"/>
                <w:sz w:val="21"/>
              </w:rPr>
              <w:t>2010.04.20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85" w:right="0"/>
              <w:jc w:val="left"/>
              <w:rPr>
                <w:rFonts w:ascii="宋体" w:hAnsi="宋体" w:cs="宋体" w:eastAsia="宋体" w:hint="default"/>
                <w:sz w:val="21"/>
                <w:szCs w:val="21"/>
              </w:rPr>
            </w:pPr>
            <w:r>
              <w:rPr>
                <w:rFonts w:ascii="宋体" w:hAnsi="宋体" w:cs="宋体" w:eastAsia="宋体" w:hint="default"/>
                <w:sz w:val="21"/>
                <w:szCs w:val="21"/>
              </w:rPr>
              <w:t>发明</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w w:val="100"/>
                <w:sz w:val="21"/>
              </w:rPr>
              <w:t>2</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一种智能电子锁的控制方法</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23"/>
              <w:jc w:val="right"/>
              <w:rPr>
                <w:rFonts w:ascii="宋体" w:hAnsi="宋体" w:cs="宋体" w:eastAsia="宋体" w:hint="default"/>
                <w:sz w:val="21"/>
                <w:szCs w:val="21"/>
              </w:rPr>
            </w:pPr>
            <w:r>
              <w:rPr>
                <w:rFonts w:ascii="宋体"/>
                <w:spacing w:val="-1"/>
                <w:sz w:val="21"/>
              </w:rPr>
              <w:t>201010196701.9</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3"/>
              <w:jc w:val="right"/>
              <w:rPr>
                <w:rFonts w:ascii="宋体" w:hAnsi="宋体" w:cs="宋体" w:eastAsia="宋体" w:hint="default"/>
                <w:sz w:val="21"/>
                <w:szCs w:val="21"/>
              </w:rPr>
            </w:pPr>
            <w:r>
              <w:rPr>
                <w:rFonts w:ascii="宋体"/>
                <w:spacing w:val="-1"/>
                <w:sz w:val="21"/>
              </w:rPr>
              <w:t>2010.06.10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85" w:right="0"/>
              <w:jc w:val="left"/>
              <w:rPr>
                <w:rFonts w:ascii="宋体" w:hAnsi="宋体" w:cs="宋体" w:eastAsia="宋体" w:hint="default"/>
                <w:sz w:val="21"/>
                <w:szCs w:val="21"/>
              </w:rPr>
            </w:pPr>
            <w:r>
              <w:rPr>
                <w:rFonts w:ascii="宋体" w:hAnsi="宋体" w:cs="宋体" w:eastAsia="宋体" w:hint="default"/>
                <w:sz w:val="21"/>
                <w:szCs w:val="21"/>
              </w:rPr>
              <w:t>发明</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w w:val="100"/>
                <w:sz w:val="21"/>
              </w:rPr>
              <w:t>3</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一种智能电子锁</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23"/>
              <w:jc w:val="right"/>
              <w:rPr>
                <w:rFonts w:ascii="宋体" w:hAnsi="宋体" w:cs="宋体" w:eastAsia="宋体" w:hint="default"/>
                <w:sz w:val="21"/>
                <w:szCs w:val="21"/>
              </w:rPr>
            </w:pPr>
            <w:r>
              <w:rPr>
                <w:rFonts w:ascii="宋体"/>
                <w:spacing w:val="-1"/>
                <w:sz w:val="21"/>
              </w:rPr>
              <w:t>201010196670.7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3"/>
              <w:jc w:val="right"/>
              <w:rPr>
                <w:rFonts w:ascii="宋体" w:hAnsi="宋体" w:cs="宋体" w:eastAsia="宋体" w:hint="default"/>
                <w:sz w:val="21"/>
                <w:szCs w:val="21"/>
              </w:rPr>
            </w:pPr>
            <w:r>
              <w:rPr>
                <w:rFonts w:ascii="宋体"/>
                <w:spacing w:val="-1"/>
                <w:sz w:val="21"/>
              </w:rPr>
              <w:t>2010.06.10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85" w:right="0"/>
              <w:jc w:val="left"/>
              <w:rPr>
                <w:rFonts w:ascii="宋体" w:hAnsi="宋体" w:cs="宋体" w:eastAsia="宋体" w:hint="default"/>
                <w:sz w:val="21"/>
                <w:szCs w:val="21"/>
              </w:rPr>
            </w:pPr>
            <w:r>
              <w:rPr>
                <w:rFonts w:ascii="宋体" w:hAnsi="宋体" w:cs="宋体" w:eastAsia="宋体" w:hint="default"/>
                <w:sz w:val="21"/>
                <w:szCs w:val="21"/>
              </w:rPr>
              <w:t>发明</w:t>
            </w:r>
          </w:p>
        </w:tc>
      </w:tr>
      <w:tr>
        <w:trPr>
          <w:trHeight w:val="661"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w w:val="100"/>
                <w:sz w:val="21"/>
              </w:rPr>
              <w:t>4</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撤回电能表批量检测方法与装置</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23"/>
              <w:jc w:val="right"/>
              <w:rPr>
                <w:rFonts w:ascii="宋体" w:hAnsi="宋体" w:cs="宋体" w:eastAsia="宋体" w:hint="default"/>
                <w:sz w:val="21"/>
                <w:szCs w:val="21"/>
              </w:rPr>
            </w:pPr>
            <w:r>
              <w:rPr>
                <w:rFonts w:ascii="宋体"/>
                <w:spacing w:val="-1"/>
                <w:sz w:val="21"/>
              </w:rPr>
              <w:t>201010206890.3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3"/>
              <w:jc w:val="right"/>
              <w:rPr>
                <w:rFonts w:ascii="宋体" w:hAnsi="宋体" w:cs="宋体" w:eastAsia="宋体" w:hint="default"/>
                <w:sz w:val="21"/>
                <w:szCs w:val="21"/>
              </w:rPr>
            </w:pPr>
            <w:r>
              <w:rPr>
                <w:rFonts w:ascii="宋体"/>
                <w:spacing w:val="-1"/>
                <w:sz w:val="21"/>
              </w:rPr>
              <w:t>2010.06.23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85" w:right="0"/>
              <w:jc w:val="left"/>
              <w:rPr>
                <w:rFonts w:ascii="宋体" w:hAnsi="宋体" w:cs="宋体" w:eastAsia="宋体" w:hint="default"/>
                <w:sz w:val="21"/>
                <w:szCs w:val="21"/>
              </w:rPr>
            </w:pPr>
            <w:r>
              <w:rPr>
                <w:rFonts w:ascii="宋体" w:hAnsi="宋体" w:cs="宋体" w:eastAsia="宋体" w:hint="default"/>
                <w:sz w:val="21"/>
                <w:szCs w:val="21"/>
              </w:rPr>
              <w:t>发明</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w w:val="100"/>
                <w:sz w:val="21"/>
              </w:rPr>
              <w:t>5</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4" w:right="2"/>
              <w:jc w:val="left"/>
              <w:rPr>
                <w:rFonts w:ascii="宋体" w:hAnsi="宋体" w:cs="宋体" w:eastAsia="宋体" w:hint="default"/>
                <w:sz w:val="21"/>
                <w:szCs w:val="21"/>
              </w:rPr>
            </w:pPr>
            <w:r>
              <w:rPr>
                <w:rFonts w:ascii="宋体" w:hAnsi="宋体" w:cs="宋体" w:eastAsia="宋体" w:hint="default"/>
                <w:spacing w:val="6"/>
                <w:sz w:val="21"/>
                <w:szCs w:val="21"/>
              </w:rPr>
              <w:t>一种基于手持终端的电力营销现场业</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务处理流程和规范的方法</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423"/>
              <w:jc w:val="right"/>
              <w:rPr>
                <w:rFonts w:ascii="宋体" w:hAnsi="宋体" w:cs="宋体" w:eastAsia="宋体" w:hint="default"/>
                <w:sz w:val="21"/>
                <w:szCs w:val="21"/>
              </w:rPr>
            </w:pPr>
            <w:r>
              <w:rPr>
                <w:rFonts w:ascii="宋体"/>
                <w:spacing w:val="-1"/>
                <w:sz w:val="21"/>
              </w:rPr>
              <w:t>201110266444.6</w:t>
            </w:r>
          </w:p>
        </w:tc>
        <w:tc>
          <w:tcPr>
            <w:tcW w:w="156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85" w:right="0"/>
              <w:jc w:val="left"/>
              <w:rPr>
                <w:rFonts w:ascii="宋体" w:hAnsi="宋体" w:cs="宋体" w:eastAsia="宋体" w:hint="default"/>
                <w:sz w:val="21"/>
                <w:szCs w:val="21"/>
              </w:rPr>
            </w:pPr>
            <w:r>
              <w:rPr>
                <w:rFonts w:ascii="宋体" w:hAnsi="宋体" w:cs="宋体" w:eastAsia="宋体" w:hint="default"/>
                <w:sz w:val="21"/>
                <w:szCs w:val="21"/>
              </w:rPr>
              <w:t>发明</w:t>
            </w:r>
          </w:p>
        </w:tc>
      </w:tr>
    </w:tbl>
    <w:p>
      <w:pPr>
        <w:spacing w:line="240" w:lineRule="auto" w:before="7"/>
        <w:rPr>
          <w:rFonts w:ascii="宋体" w:hAnsi="宋体" w:cs="宋体" w:eastAsia="宋体" w:hint="default"/>
          <w:sz w:val="15"/>
          <w:szCs w:val="15"/>
        </w:rPr>
      </w:pPr>
    </w:p>
    <w:p>
      <w:pPr>
        <w:pStyle w:val="BodyText"/>
        <w:spacing w:line="240" w:lineRule="auto" w:before="36"/>
        <w:ind w:left="578" w:right="142"/>
        <w:jc w:val="left"/>
      </w:pPr>
      <w:r>
        <w:rPr/>
        <w:t>报告期内，公司新增软件著作权</w:t>
      </w:r>
      <w:r>
        <w:rPr>
          <w:spacing w:val="-54"/>
        </w:rPr>
        <w:t> </w:t>
      </w:r>
      <w:r>
        <w:rPr>
          <w:rFonts w:ascii="宋体" w:hAnsi="宋体" w:cs="宋体" w:eastAsia="宋体" w:hint="default"/>
        </w:rPr>
        <w:t>16</w:t>
      </w:r>
      <w:r>
        <w:rPr>
          <w:rFonts w:ascii="宋体" w:hAnsi="宋体" w:cs="宋体" w:eastAsia="宋体" w:hint="default"/>
          <w:spacing w:val="-56"/>
        </w:rPr>
        <w:t> </w:t>
      </w:r>
      <w:r>
        <w:rPr/>
        <w:t>项，具体情况如下：</w:t>
      </w:r>
    </w:p>
    <w:p>
      <w:pPr>
        <w:spacing w:line="240" w:lineRule="auto" w:before="7"/>
        <w:rPr>
          <w:rFonts w:ascii="宋体" w:hAnsi="宋体" w:cs="宋体" w:eastAsia="宋体" w:hint="default"/>
          <w:sz w:val="11"/>
          <w:szCs w:val="11"/>
        </w:rPr>
      </w:pPr>
    </w:p>
    <w:tbl>
      <w:tblPr>
        <w:tblW w:w="0" w:type="auto"/>
        <w:jc w:val="left"/>
        <w:tblInd w:w="350" w:type="dxa"/>
        <w:tblLayout w:type="fixed"/>
        <w:tblCellMar>
          <w:top w:w="0" w:type="dxa"/>
          <w:left w:w="0" w:type="dxa"/>
          <w:bottom w:w="0" w:type="dxa"/>
          <w:right w:w="0" w:type="dxa"/>
        </w:tblCellMar>
        <w:tblLook w:val="01E0"/>
      </w:tblPr>
      <w:tblGrid>
        <w:gridCol w:w="811"/>
        <w:gridCol w:w="1909"/>
        <w:gridCol w:w="3682"/>
        <w:gridCol w:w="1129"/>
        <w:gridCol w:w="1702"/>
      </w:tblGrid>
      <w:tr>
        <w:trPr>
          <w:trHeight w:val="307" w:hRule="exact"/>
        </w:trPr>
        <w:tc>
          <w:tcPr>
            <w:tcW w:w="8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18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9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715" w:right="0"/>
              <w:jc w:val="left"/>
              <w:rPr>
                <w:rFonts w:ascii="宋体" w:hAnsi="宋体" w:cs="宋体" w:eastAsia="宋体" w:hint="default"/>
                <w:sz w:val="21"/>
                <w:szCs w:val="21"/>
              </w:rPr>
            </w:pPr>
            <w:r>
              <w:rPr>
                <w:rFonts w:ascii="宋体" w:hAnsi="宋体" w:cs="宋体" w:eastAsia="宋体" w:hint="default"/>
                <w:sz w:val="21"/>
                <w:szCs w:val="21"/>
              </w:rPr>
              <w:t>登记号</w:t>
            </w:r>
          </w:p>
        </w:tc>
        <w:tc>
          <w:tcPr>
            <w:tcW w:w="36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165" w:right="0"/>
              <w:jc w:val="center"/>
              <w:rPr>
                <w:rFonts w:ascii="宋体" w:hAnsi="宋体" w:cs="宋体" w:eastAsia="宋体" w:hint="default"/>
                <w:sz w:val="21"/>
                <w:szCs w:val="21"/>
              </w:rPr>
            </w:pPr>
            <w:r>
              <w:rPr>
                <w:rFonts w:ascii="宋体" w:hAnsi="宋体" w:cs="宋体" w:eastAsia="宋体" w:hint="default"/>
                <w:sz w:val="21"/>
                <w:szCs w:val="21"/>
              </w:rPr>
              <w:t>软件全称</w:t>
            </w:r>
          </w:p>
        </w:tc>
        <w:tc>
          <w:tcPr>
            <w:tcW w:w="1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首次发表日期</w:t>
            </w:r>
          </w:p>
        </w:tc>
      </w:tr>
      <w:tr>
        <w:trPr>
          <w:trHeight w:val="31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58" w:right="0"/>
              <w:jc w:val="center"/>
              <w:rPr>
                <w:rFonts w:ascii="宋体" w:hAnsi="宋体" w:cs="宋体" w:eastAsia="宋体" w:hint="default"/>
                <w:sz w:val="21"/>
                <w:szCs w:val="21"/>
              </w:rPr>
            </w:pPr>
            <w:r>
              <w:rPr>
                <w:rFonts w:ascii="宋体"/>
                <w:w w:val="100"/>
                <w:sz w:val="21"/>
              </w:rPr>
              <w:t>1</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6" w:right="0"/>
              <w:jc w:val="left"/>
              <w:rPr>
                <w:rFonts w:ascii="宋体" w:hAnsi="宋体" w:cs="宋体" w:eastAsia="宋体" w:hint="default"/>
                <w:sz w:val="21"/>
                <w:szCs w:val="21"/>
              </w:rPr>
            </w:pPr>
            <w:r>
              <w:rPr>
                <w:rFonts w:ascii="宋体"/>
                <w:sz w:val="21"/>
              </w:rPr>
              <w:t>2011SR059267</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荣科医院信息管理系统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2011.08.05</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58" w:right="0"/>
              <w:jc w:val="center"/>
              <w:rPr>
                <w:rFonts w:ascii="宋体" w:hAnsi="宋体" w:cs="宋体" w:eastAsia="宋体" w:hint="default"/>
                <w:sz w:val="21"/>
                <w:szCs w:val="21"/>
              </w:rPr>
            </w:pPr>
            <w:r>
              <w:rPr>
                <w:rFonts w:ascii="宋体"/>
                <w:w w:val="100"/>
                <w:sz w:val="21"/>
              </w:rPr>
              <w:t>2</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16" w:right="0"/>
              <w:jc w:val="left"/>
              <w:rPr>
                <w:rFonts w:ascii="宋体" w:hAnsi="宋体" w:cs="宋体" w:eastAsia="宋体" w:hint="default"/>
                <w:sz w:val="21"/>
                <w:szCs w:val="21"/>
              </w:rPr>
            </w:pPr>
            <w:r>
              <w:rPr>
                <w:rFonts w:ascii="宋体"/>
                <w:sz w:val="21"/>
              </w:rPr>
              <w:t>2011SR059269</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荣科社区卫生服务信息系统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2011.08.05</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58" w:right="0"/>
              <w:jc w:val="center"/>
              <w:rPr>
                <w:rFonts w:ascii="宋体" w:hAnsi="宋体" w:cs="宋体" w:eastAsia="宋体" w:hint="default"/>
                <w:sz w:val="21"/>
                <w:szCs w:val="21"/>
              </w:rPr>
            </w:pPr>
            <w:r>
              <w:rPr>
                <w:rFonts w:ascii="宋体"/>
                <w:w w:val="100"/>
                <w:sz w:val="21"/>
              </w:rPr>
              <w:t>3</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16" w:right="0"/>
              <w:jc w:val="left"/>
              <w:rPr>
                <w:rFonts w:ascii="宋体" w:hAnsi="宋体" w:cs="宋体" w:eastAsia="宋体" w:hint="default"/>
                <w:sz w:val="21"/>
                <w:szCs w:val="21"/>
              </w:rPr>
            </w:pPr>
            <w:r>
              <w:rPr>
                <w:rFonts w:ascii="宋体"/>
                <w:sz w:val="21"/>
              </w:rPr>
              <w:t>2011SR059271</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荣科农村卫生服务信息系统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2011.08.05</w:t>
            </w:r>
          </w:p>
        </w:tc>
      </w:tr>
      <w:tr>
        <w:trPr>
          <w:trHeight w:val="308"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58" w:right="0"/>
              <w:jc w:val="center"/>
              <w:rPr>
                <w:rFonts w:ascii="宋体" w:hAnsi="宋体" w:cs="宋体" w:eastAsia="宋体" w:hint="default"/>
                <w:sz w:val="21"/>
                <w:szCs w:val="21"/>
              </w:rPr>
            </w:pPr>
            <w:r>
              <w:rPr>
                <w:rFonts w:ascii="宋体"/>
                <w:w w:val="100"/>
                <w:sz w:val="21"/>
              </w:rPr>
              <w:t>4</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316" w:right="0"/>
              <w:jc w:val="left"/>
              <w:rPr>
                <w:rFonts w:ascii="宋体" w:hAnsi="宋体" w:cs="宋体" w:eastAsia="宋体" w:hint="default"/>
                <w:sz w:val="21"/>
                <w:szCs w:val="21"/>
              </w:rPr>
            </w:pPr>
            <w:r>
              <w:rPr>
                <w:rFonts w:ascii="宋体"/>
                <w:sz w:val="21"/>
              </w:rPr>
              <w:t>2011SR068002</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荣科数字化医院综合运营管理信息系统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0"/>
              <w:jc w:val="center"/>
              <w:rPr>
                <w:rFonts w:ascii="宋体" w:hAnsi="宋体" w:cs="宋体" w:eastAsia="宋体" w:hint="default"/>
                <w:sz w:val="21"/>
                <w:szCs w:val="21"/>
              </w:rPr>
            </w:pPr>
            <w:r>
              <w:rPr>
                <w:rFonts w:ascii="宋体"/>
                <w:sz w:val="21"/>
              </w:rPr>
              <w:t>2011.08.28</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58" w:right="0"/>
              <w:jc w:val="center"/>
              <w:rPr>
                <w:rFonts w:ascii="宋体" w:hAnsi="宋体" w:cs="宋体" w:eastAsia="宋体" w:hint="default"/>
                <w:sz w:val="21"/>
                <w:szCs w:val="21"/>
              </w:rPr>
            </w:pPr>
            <w:r>
              <w:rPr>
                <w:rFonts w:ascii="宋体"/>
                <w:w w:val="100"/>
                <w:sz w:val="21"/>
              </w:rPr>
              <w:t>5</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16" w:right="0"/>
              <w:jc w:val="left"/>
              <w:rPr>
                <w:rFonts w:ascii="宋体" w:hAnsi="宋体" w:cs="宋体" w:eastAsia="宋体" w:hint="default"/>
                <w:sz w:val="21"/>
                <w:szCs w:val="21"/>
              </w:rPr>
            </w:pPr>
            <w:r>
              <w:rPr>
                <w:rFonts w:ascii="宋体"/>
                <w:sz w:val="21"/>
              </w:rPr>
              <w:t>2011SR072020</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荣科公共卫生服务系统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2011.06.17</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58" w:right="0"/>
              <w:jc w:val="center"/>
              <w:rPr>
                <w:rFonts w:ascii="宋体" w:hAnsi="宋体" w:cs="宋体" w:eastAsia="宋体" w:hint="default"/>
                <w:sz w:val="21"/>
                <w:szCs w:val="21"/>
              </w:rPr>
            </w:pPr>
            <w:r>
              <w:rPr>
                <w:rFonts w:ascii="宋体"/>
                <w:w w:val="100"/>
                <w:sz w:val="21"/>
              </w:rPr>
              <w:t>6</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16" w:right="0"/>
              <w:jc w:val="left"/>
              <w:rPr>
                <w:rFonts w:ascii="宋体" w:hAnsi="宋体" w:cs="宋体" w:eastAsia="宋体" w:hint="default"/>
                <w:sz w:val="21"/>
                <w:szCs w:val="21"/>
              </w:rPr>
            </w:pPr>
            <w:r>
              <w:rPr>
                <w:rFonts w:ascii="宋体"/>
                <w:sz w:val="21"/>
              </w:rPr>
              <w:t>2011SR072053</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荣科网上人事代理系统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2011.04.25</w:t>
            </w:r>
          </w:p>
        </w:tc>
      </w:tr>
    </w:tbl>
    <w:p>
      <w:pPr>
        <w:spacing w:after="0" w:line="250" w:lineRule="exact"/>
        <w:jc w:val="center"/>
        <w:rPr>
          <w:rFonts w:ascii="宋体" w:hAnsi="宋体" w:cs="宋体" w:eastAsia="宋体" w:hint="default"/>
          <w:sz w:val="21"/>
          <w:szCs w:val="21"/>
        </w:rPr>
        <w:sectPr>
          <w:pgSz w:w="11910" w:h="16840"/>
          <w:pgMar w:header="884" w:footer="979" w:top="1100" w:bottom="1160" w:left="980" w:right="980"/>
        </w:sectPr>
      </w:pPr>
    </w:p>
    <w:p>
      <w:pPr>
        <w:spacing w:line="240" w:lineRule="auto" w:before="6"/>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140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350" w:type="dxa"/>
        <w:tblLayout w:type="fixed"/>
        <w:tblCellMar>
          <w:top w:w="0" w:type="dxa"/>
          <w:left w:w="0" w:type="dxa"/>
          <w:bottom w:w="0" w:type="dxa"/>
          <w:right w:w="0" w:type="dxa"/>
        </w:tblCellMar>
        <w:tblLook w:val="01E0"/>
      </w:tblPr>
      <w:tblGrid>
        <w:gridCol w:w="811"/>
        <w:gridCol w:w="1909"/>
        <w:gridCol w:w="3682"/>
        <w:gridCol w:w="1129"/>
        <w:gridCol w:w="1702"/>
      </w:tblGrid>
      <w:tr>
        <w:trPr>
          <w:trHeight w:val="308"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58" w:right="0"/>
              <w:jc w:val="center"/>
              <w:rPr>
                <w:rFonts w:ascii="宋体" w:hAnsi="宋体" w:cs="宋体" w:eastAsia="宋体" w:hint="default"/>
                <w:sz w:val="21"/>
                <w:szCs w:val="21"/>
              </w:rPr>
            </w:pPr>
            <w:r>
              <w:rPr>
                <w:rFonts w:ascii="宋体"/>
                <w:w w:val="100"/>
                <w:sz w:val="21"/>
              </w:rPr>
              <w:t>7</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sz w:val="21"/>
              </w:rPr>
              <w:t>2011SR076966</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荣科电力营销用电现场业务处理系统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0"/>
              <w:jc w:val="center"/>
              <w:rPr>
                <w:rFonts w:ascii="宋体" w:hAnsi="宋体" w:cs="宋体" w:eastAsia="宋体" w:hint="default"/>
                <w:sz w:val="21"/>
                <w:szCs w:val="21"/>
              </w:rPr>
            </w:pPr>
            <w:r>
              <w:rPr>
                <w:rFonts w:ascii="宋体"/>
                <w:sz w:val="21"/>
              </w:rPr>
              <w:t>2011.10.25</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58" w:right="0"/>
              <w:jc w:val="center"/>
              <w:rPr>
                <w:rFonts w:ascii="宋体" w:hAnsi="宋体" w:cs="宋体" w:eastAsia="宋体" w:hint="default"/>
                <w:sz w:val="21"/>
                <w:szCs w:val="21"/>
              </w:rPr>
            </w:pPr>
            <w:r>
              <w:rPr>
                <w:rFonts w:ascii="宋体"/>
                <w:w w:val="100"/>
                <w:sz w:val="21"/>
              </w:rPr>
              <w:t>8</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2011SR086178</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荣科电子病历管理系统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2011.11.23</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58" w:right="0"/>
              <w:jc w:val="center"/>
              <w:rPr>
                <w:rFonts w:ascii="宋体" w:hAnsi="宋体" w:cs="宋体" w:eastAsia="宋体" w:hint="default"/>
                <w:sz w:val="21"/>
                <w:szCs w:val="21"/>
              </w:rPr>
            </w:pPr>
            <w:r>
              <w:rPr>
                <w:rFonts w:ascii="宋体"/>
                <w:w w:val="100"/>
                <w:sz w:val="21"/>
              </w:rPr>
              <w:t>9</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2012SR015339</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荣科交通流量监控系统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2012.02.01</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 w:right="0"/>
              <w:jc w:val="center"/>
              <w:rPr>
                <w:rFonts w:ascii="宋体" w:hAnsi="宋体" w:cs="宋体" w:eastAsia="宋体" w:hint="default"/>
                <w:sz w:val="21"/>
                <w:szCs w:val="21"/>
              </w:rPr>
            </w:pPr>
            <w:r>
              <w:rPr>
                <w:rFonts w:ascii="宋体"/>
                <w:sz w:val="21"/>
              </w:rPr>
              <w:t>10</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2012SR040808</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荣科绿色数据中心监控系统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2011.06.01</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 w:right="0"/>
              <w:jc w:val="center"/>
              <w:rPr>
                <w:rFonts w:ascii="宋体" w:hAnsi="宋体" w:cs="宋体" w:eastAsia="宋体" w:hint="default"/>
                <w:sz w:val="21"/>
                <w:szCs w:val="21"/>
              </w:rPr>
            </w:pPr>
            <w:r>
              <w:rPr>
                <w:rFonts w:ascii="宋体"/>
                <w:sz w:val="21"/>
              </w:rPr>
              <w:t>11</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2012SR040874</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荣科绩效考核系统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2011.05.30</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 w:right="0"/>
              <w:jc w:val="center"/>
              <w:rPr>
                <w:rFonts w:ascii="宋体" w:hAnsi="宋体" w:cs="宋体" w:eastAsia="宋体" w:hint="default"/>
                <w:sz w:val="21"/>
                <w:szCs w:val="21"/>
              </w:rPr>
            </w:pPr>
            <w:r>
              <w:rPr>
                <w:rFonts w:ascii="宋体"/>
                <w:sz w:val="21"/>
              </w:rPr>
              <w:t>12</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2012SR058933</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荣科区域医疗卫生绩效考核管理系统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2011.10.31</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 w:right="0"/>
              <w:jc w:val="center"/>
              <w:rPr>
                <w:rFonts w:ascii="宋体" w:hAnsi="宋体" w:cs="宋体" w:eastAsia="宋体" w:hint="default"/>
                <w:sz w:val="21"/>
                <w:szCs w:val="21"/>
              </w:rPr>
            </w:pPr>
            <w:r>
              <w:rPr>
                <w:rFonts w:ascii="宋体"/>
                <w:sz w:val="21"/>
              </w:rPr>
              <w:t>13</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2012SR058936</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w:t>
            </w:r>
            <w:r>
              <w:rPr>
                <w:rFonts w:ascii="宋体" w:hAnsi="宋体" w:cs="宋体" w:eastAsia="宋体" w:hint="default"/>
                <w:sz w:val="21"/>
                <w:szCs w:val="21"/>
              </w:rPr>
              <w:t>PDA</w:t>
            </w:r>
            <w:r>
              <w:rPr>
                <w:rFonts w:ascii="宋体" w:hAnsi="宋体" w:cs="宋体" w:eastAsia="宋体" w:hint="default"/>
                <w:sz w:val="21"/>
                <w:szCs w:val="21"/>
              </w:rPr>
              <w:t>监督审核系统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2012.03.31</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 w:right="0"/>
              <w:jc w:val="center"/>
              <w:rPr>
                <w:rFonts w:ascii="宋体" w:hAnsi="宋体" w:cs="宋体" w:eastAsia="宋体" w:hint="default"/>
                <w:sz w:val="21"/>
                <w:szCs w:val="21"/>
              </w:rPr>
            </w:pPr>
            <w:r>
              <w:rPr>
                <w:rFonts w:ascii="宋体"/>
                <w:sz w:val="21"/>
              </w:rPr>
              <w:t>14</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2012SR077359</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荣科健康小屋自助式体检系统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2012.06.25</w:t>
            </w:r>
          </w:p>
        </w:tc>
      </w:tr>
      <w:tr>
        <w:trPr>
          <w:trHeight w:val="310"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 w:right="0"/>
              <w:jc w:val="center"/>
              <w:rPr>
                <w:rFonts w:ascii="宋体" w:hAnsi="宋体" w:cs="宋体" w:eastAsia="宋体" w:hint="default"/>
                <w:sz w:val="21"/>
                <w:szCs w:val="21"/>
              </w:rPr>
            </w:pPr>
            <w:r>
              <w:rPr>
                <w:rFonts w:ascii="宋体"/>
                <w:sz w:val="21"/>
              </w:rPr>
              <w:t>15</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2012SR095937</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荣科检验信息管理系统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2012.07.26</w:t>
            </w:r>
          </w:p>
        </w:tc>
      </w:tr>
      <w:tr>
        <w:trPr>
          <w:trHeight w:val="307"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2" w:right="0"/>
              <w:jc w:val="center"/>
              <w:rPr>
                <w:rFonts w:ascii="宋体" w:hAnsi="宋体" w:cs="宋体" w:eastAsia="宋体" w:hint="default"/>
                <w:sz w:val="21"/>
                <w:szCs w:val="21"/>
              </w:rPr>
            </w:pPr>
            <w:r>
              <w:rPr>
                <w:rFonts w:ascii="宋体"/>
                <w:sz w:val="21"/>
              </w:rPr>
              <w:t>16</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2012SR095940</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荣科社区数字化信息平台系统</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2012.06.01</w:t>
            </w:r>
          </w:p>
        </w:tc>
      </w:tr>
    </w:tbl>
    <w:p>
      <w:pPr>
        <w:spacing w:line="240" w:lineRule="auto" w:before="5"/>
        <w:rPr>
          <w:rFonts w:ascii="宋体" w:hAnsi="宋体" w:cs="宋体" w:eastAsia="宋体" w:hint="default"/>
          <w:sz w:val="15"/>
          <w:szCs w:val="15"/>
        </w:rPr>
      </w:pPr>
    </w:p>
    <w:p>
      <w:pPr>
        <w:pStyle w:val="BodyText"/>
        <w:spacing w:line="240" w:lineRule="auto" w:before="36"/>
        <w:ind w:left="578" w:right="142"/>
        <w:jc w:val="left"/>
      </w:pPr>
      <w:r>
        <w:rPr/>
        <w:t>报告期内，公司新增软件产品登记证书</w:t>
      </w:r>
      <w:r>
        <w:rPr>
          <w:spacing w:val="-55"/>
        </w:rPr>
        <w:t> </w:t>
      </w:r>
      <w:r>
        <w:rPr>
          <w:rFonts w:ascii="宋体" w:hAnsi="宋体" w:cs="宋体" w:eastAsia="宋体" w:hint="default"/>
        </w:rPr>
        <w:t>37</w:t>
      </w:r>
      <w:r>
        <w:rPr>
          <w:rFonts w:ascii="宋体" w:hAnsi="宋体" w:cs="宋体" w:eastAsia="宋体" w:hint="default"/>
          <w:spacing w:val="-55"/>
        </w:rPr>
        <w:t> </w:t>
      </w:r>
      <w:r>
        <w:rPr/>
        <w:t>项，具体情况如下：</w:t>
      </w:r>
    </w:p>
    <w:p>
      <w:pPr>
        <w:spacing w:line="240" w:lineRule="auto" w:before="13"/>
        <w:rPr>
          <w:rFonts w:ascii="宋体" w:hAnsi="宋体" w:cs="宋体" w:eastAsia="宋体"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674"/>
        <w:gridCol w:w="3862"/>
        <w:gridCol w:w="1985"/>
        <w:gridCol w:w="1844"/>
        <w:gridCol w:w="991"/>
      </w:tblGrid>
      <w:tr>
        <w:trPr>
          <w:trHeight w:val="290" w:hRule="exact"/>
        </w:trPr>
        <w:tc>
          <w:tcPr>
            <w:tcW w:w="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4"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4"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登记证书编号</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4" w:lineRule="exact"/>
              <w:ind w:left="6" w:right="0"/>
              <w:jc w:val="center"/>
              <w:rPr>
                <w:rFonts w:ascii="宋体" w:hAnsi="宋体" w:cs="宋体" w:eastAsia="宋体" w:hint="default"/>
                <w:sz w:val="21"/>
                <w:szCs w:val="21"/>
              </w:rPr>
            </w:pPr>
            <w:r>
              <w:rPr>
                <w:rFonts w:ascii="宋体" w:hAnsi="宋体" w:cs="宋体" w:eastAsia="宋体" w:hint="default"/>
                <w:sz w:val="21"/>
                <w:szCs w:val="21"/>
              </w:rPr>
              <w:t>登记证书取得时间</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有效期</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w w:val="100"/>
                <w:sz w:val="21"/>
              </w:rPr>
              <w:t>1</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荣科呼叫中心系统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DGY-2011-0179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w w:val="100"/>
                <w:sz w:val="21"/>
              </w:rPr>
              <w:t>2</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荣科社区健康档案系统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w w:val="100"/>
                <w:sz w:val="21"/>
              </w:rPr>
              <w:t>3</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荣科新农合业务操作系统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w w:val="100"/>
                <w:sz w:val="21"/>
              </w:rPr>
              <w:t>4</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荣科报表展现系统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w w:val="100"/>
                <w:sz w:val="21"/>
              </w:rPr>
              <w:t>5</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荣科风险预警系统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w w:val="100"/>
                <w:sz w:val="21"/>
              </w:rPr>
              <w:t>6</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荣科核心业务系统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w w:val="100"/>
                <w:sz w:val="21"/>
              </w:rPr>
              <w:t>7</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荣科数据处理平台系统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w w:val="100"/>
                <w:sz w:val="21"/>
              </w:rPr>
              <w:t>8</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w:t>
            </w:r>
            <w:r>
              <w:rPr>
                <w:rFonts w:ascii="宋体" w:hAnsi="宋体" w:cs="宋体" w:eastAsia="宋体" w:hint="default"/>
                <w:sz w:val="21"/>
                <w:szCs w:val="21"/>
              </w:rPr>
              <w:t>WEB</w:t>
            </w:r>
            <w:r>
              <w:rPr>
                <w:rFonts w:ascii="宋体" w:hAnsi="宋体" w:cs="宋体" w:eastAsia="宋体" w:hint="default"/>
                <w:sz w:val="21"/>
                <w:szCs w:val="21"/>
              </w:rPr>
              <w:t>柜面交易系统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w w:val="100"/>
                <w:sz w:val="21"/>
              </w:rPr>
              <w:t>9</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荣科综合前置系统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10</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荣科银行个人绩效考核系统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10"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11</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荣科影像后督系统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DGY-2011-0189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12</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荣科字符柜面交易系统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DGY-2011-0190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13</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荣科撤回表识别系统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DGY-2011-0191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14</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荣科批量式撤回表检测系统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DGY-2011-0192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2011.11.04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15</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荣科机柜安全集中管理系统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DGY-2012-0058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16</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荣科撤回表分析系统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DGY-2012-0059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17</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荣科交通流量监控系统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DGY-2012-0061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18</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荣科农电营销</w:t>
            </w:r>
            <w:r>
              <w:rPr>
                <w:rFonts w:ascii="宋体" w:hAnsi="宋体" w:cs="宋体" w:eastAsia="宋体" w:hint="default"/>
                <w:sz w:val="21"/>
                <w:szCs w:val="21"/>
              </w:rPr>
              <w:t>MIS</w:t>
            </w:r>
            <w:r>
              <w:rPr>
                <w:rFonts w:ascii="宋体" w:hAnsi="宋体" w:cs="宋体" w:eastAsia="宋体" w:hint="default"/>
                <w:sz w:val="21"/>
                <w:szCs w:val="21"/>
              </w:rPr>
              <w:t>集中监管系统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DGY-2012-0062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19</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荣科机柜运行实时监控系统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DGY-2012-0063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荣科医疗保险药店收费系统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DGY-2012-0064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21</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荣科医疗保险门诊收费系统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DGY-2012-0065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22</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荣科医疗设备管理系统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DGY-2012-0066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23</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荣科医疗保险住院收费系统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DGY-2012-0067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24</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荣科数据库安全审计系统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DGY-2012-0069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25</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荣科体检系统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DGY-2012-0070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26</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荣科数据字典快速查询系统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DGY-2012-0071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27</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荣科道路交通管理诉讼复议申诉处理系统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DGY-2012-0073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10"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28</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荣科二手房资金监管会计操作系统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DGY-2012-0074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29</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荣科企业社保数据申报报盘管理系统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DGY-2012-0075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0"/>
              <w:jc w:val="center"/>
              <w:rPr>
                <w:rFonts w:ascii="宋体" w:hAnsi="宋体" w:cs="宋体" w:eastAsia="宋体" w:hint="default"/>
                <w:sz w:val="21"/>
                <w:szCs w:val="21"/>
              </w:rPr>
            </w:pPr>
            <w:r>
              <w:rPr>
                <w:rFonts w:ascii="宋体"/>
                <w:sz w:val="21"/>
              </w:rPr>
              <w:t>30</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荣科离休医疗保险系统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DGY-2012-0076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6"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31</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荣科气象地理信息系统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DGY-2012-0077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sz w:val="21"/>
              </w:rPr>
              <w:t>2012.03.28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32</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荣科智能报表系统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DGY-2012-0079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2012.04.12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bl>
    <w:p>
      <w:pPr>
        <w:spacing w:after="0" w:line="250" w:lineRule="exact"/>
        <w:jc w:val="center"/>
        <w:rPr>
          <w:rFonts w:ascii="宋体" w:hAnsi="宋体" w:cs="宋体" w:eastAsia="宋体" w:hint="default"/>
          <w:sz w:val="21"/>
          <w:szCs w:val="21"/>
        </w:rPr>
        <w:sectPr>
          <w:pgSz w:w="11910" w:h="16840"/>
          <w:pgMar w:header="884" w:footer="979" w:top="1100" w:bottom="1160" w:left="980" w:right="980"/>
        </w:sectPr>
      </w:pPr>
    </w:p>
    <w:p>
      <w:pPr>
        <w:spacing w:line="240" w:lineRule="auto" w:before="6"/>
        <w:rPr>
          <w:rFonts w:ascii="宋体" w:hAnsi="宋体" w:cs="宋体" w:eastAsia="宋体" w:hint="default"/>
          <w:sz w:val="5"/>
          <w:szCs w:val="5"/>
        </w:rPr>
      </w:pPr>
    </w:p>
    <w:tbl>
      <w:tblPr>
        <w:tblW w:w="0" w:type="auto"/>
        <w:jc w:val="left"/>
        <w:tblInd w:w="287" w:type="dxa"/>
        <w:tblLayout w:type="fixed"/>
        <w:tblCellMar>
          <w:top w:w="0" w:type="dxa"/>
          <w:left w:w="0" w:type="dxa"/>
          <w:bottom w:w="0" w:type="dxa"/>
          <w:right w:w="0" w:type="dxa"/>
        </w:tblCellMar>
        <w:tblLook w:val="01E0"/>
      </w:tblPr>
      <w:tblGrid>
        <w:gridCol w:w="674"/>
        <w:gridCol w:w="3862"/>
        <w:gridCol w:w="1985"/>
        <w:gridCol w:w="1844"/>
        <w:gridCol w:w="991"/>
      </w:tblGrid>
      <w:tr>
        <w:trPr>
          <w:trHeight w:val="30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0"/>
              <w:jc w:val="center"/>
              <w:rPr>
                <w:rFonts w:ascii="宋体" w:hAnsi="宋体" w:cs="宋体" w:eastAsia="宋体" w:hint="default"/>
                <w:sz w:val="21"/>
                <w:szCs w:val="21"/>
              </w:rPr>
            </w:pPr>
            <w:r>
              <w:rPr>
                <w:rFonts w:ascii="宋体"/>
                <w:sz w:val="21"/>
              </w:rPr>
              <w:t>33</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荣科环保地理信息系统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DGY-2012-0080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6" w:right="0"/>
              <w:jc w:val="center"/>
              <w:rPr>
                <w:rFonts w:ascii="宋体" w:hAnsi="宋体" w:cs="宋体" w:eastAsia="宋体" w:hint="default"/>
                <w:sz w:val="21"/>
                <w:szCs w:val="21"/>
              </w:rPr>
            </w:pPr>
            <w:r>
              <w:rPr>
                <w:rFonts w:ascii="宋体"/>
                <w:sz w:val="21"/>
              </w:rPr>
              <w:t>2012.04.12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34</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荣科电子病历管理系统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DGY-2012-0103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2012.05.21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35</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w:t>
            </w:r>
            <w:r>
              <w:rPr>
                <w:rFonts w:ascii="宋体" w:hAnsi="宋体" w:cs="宋体" w:eastAsia="宋体" w:hint="default"/>
                <w:sz w:val="21"/>
                <w:szCs w:val="21"/>
              </w:rPr>
              <w:t>PDA</w:t>
            </w:r>
            <w:r>
              <w:rPr>
                <w:rFonts w:ascii="宋体" w:hAnsi="宋体" w:cs="宋体" w:eastAsia="宋体" w:hint="default"/>
                <w:sz w:val="21"/>
                <w:szCs w:val="21"/>
              </w:rPr>
              <w:t>监督审核系统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DGY-2012-0156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2012.06.21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07"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36</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荣科健康小屋自助式体检系统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DGY-2012-0238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2012.08.08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r>
        <w:trPr>
          <w:trHeight w:val="310"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37</w:t>
            </w:r>
          </w:p>
        </w:tc>
        <w:tc>
          <w:tcPr>
            <w:tcW w:w="38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荣科检验信息管理系统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z w:val="21"/>
                <w:szCs w:val="21"/>
              </w:rPr>
              <w:t>DGY-2012-0345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2012.10.17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w:t>
            </w:r>
          </w:p>
        </w:tc>
      </w:tr>
    </w:tbl>
    <w:p>
      <w:pPr>
        <w:spacing w:line="240" w:lineRule="auto" w:before="9"/>
        <w:rPr>
          <w:rFonts w:ascii="宋体" w:hAnsi="宋体" w:cs="宋体" w:eastAsia="宋体" w:hint="default"/>
          <w:sz w:val="22"/>
          <w:szCs w:val="22"/>
        </w:rPr>
      </w:pPr>
    </w:p>
    <w:p>
      <w:pPr>
        <w:pStyle w:val="Heading5"/>
        <w:spacing w:line="240" w:lineRule="auto" w:before="36"/>
        <w:ind w:right="142"/>
        <w:jc w:val="left"/>
        <w:rPr>
          <w:b w:val="0"/>
          <w:bCs w:val="0"/>
        </w:rPr>
      </w:pPr>
      <w:r>
        <w:rPr>
          <w:rFonts w:ascii="宋体" w:hAnsi="宋体" w:cs="宋体" w:eastAsia="宋体" w:hint="default"/>
        </w:rPr>
        <w:t>5</w:t>
      </w:r>
      <w:r>
        <w:rPr/>
        <w:t>、投资状况分析</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right="142"/>
        <w:jc w:val="left"/>
        <w:rPr>
          <w:b w:val="0"/>
          <w:bCs w:val="0"/>
        </w:rPr>
      </w:pPr>
      <w:r>
        <w:rPr/>
        <w:t>（</w:t>
      </w:r>
      <w:r>
        <w:rPr>
          <w:rFonts w:ascii="宋体" w:hAnsi="宋体" w:cs="宋体" w:eastAsia="宋体" w:hint="default"/>
        </w:rPr>
        <w:t>1</w:t>
      </w:r>
      <w:r>
        <w:rPr/>
        <w:t>）募集资金总体使用情况</w:t>
      </w:r>
      <w:r>
        <w:rPr>
          <w:b w:val="0"/>
          <w:bCs w:val="0"/>
        </w:rPr>
      </w:r>
    </w:p>
    <w:p>
      <w:pPr>
        <w:pStyle w:val="BodyText"/>
        <w:spacing w:line="240" w:lineRule="auto" w:before="99"/>
        <w:ind w:left="0" w:right="148"/>
        <w:jc w:val="right"/>
      </w:pPr>
      <w:r>
        <w:rPr>
          <w:spacing w:val="-1"/>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36"/>
        <w:ind w:left="0" w:right="115"/>
        <w:jc w:val="right"/>
      </w:pPr>
      <w:r>
        <w:rPr/>
        <w:pict>
          <v:shape style="position:absolute;margin-left:58.812pt;margin-top:-95.766319pt;width:478.55pt;height:140.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7"/>
                    <w:gridCol w:w="5479"/>
                  </w:tblGrid>
                  <w:tr>
                    <w:trPr>
                      <w:trHeight w:val="28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16,258.08</w:t>
                        </w:r>
                      </w:p>
                    </w:tc>
                  </w:tr>
                  <w:tr>
                    <w:trPr>
                      <w:trHeight w:val="28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5,127.28</w:t>
                        </w:r>
                      </w:p>
                    </w:tc>
                  </w:tr>
                  <w:tr>
                    <w:trPr>
                      <w:trHeight w:val="28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6,743.36</w:t>
                        </w:r>
                      </w:p>
                    </w:tc>
                  </w:tr>
                  <w:tr>
                    <w:trPr>
                      <w:trHeight w:val="28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w w:val="100"/>
                            <w:sz w:val="21"/>
                          </w:rPr>
                          <w:t>0</w:t>
                        </w:r>
                      </w:p>
                    </w:tc>
                  </w:tr>
                  <w:tr>
                    <w:trPr>
                      <w:trHeight w:val="28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0</w:t>
                        </w:r>
                      </w:p>
                    </w:tc>
                  </w:tr>
                  <w:tr>
                    <w:trPr>
                      <w:trHeight w:val="28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宋体" w:hAnsi="宋体" w:cs="宋体" w:eastAsia="宋体" w:hint="default"/>
                            <w:sz w:val="21"/>
                            <w:szCs w:val="21"/>
                          </w:rPr>
                          <w:t>%</w:t>
                        </w:r>
                        <w:r>
                          <w:rPr>
                            <w:rFonts w:ascii="宋体" w:hAnsi="宋体" w:cs="宋体" w:eastAsia="宋体" w:hint="default"/>
                            <w:sz w:val="21"/>
                            <w:szCs w:val="21"/>
                          </w:rPr>
                          <w:t>）</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w:t>
                        </w:r>
                      </w:p>
                    </w:tc>
                  </w:tr>
                  <w:tr>
                    <w:trPr>
                      <w:trHeight w:val="276"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right="7"/>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828"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公司上市发行股票共募集资金（扣承销费后入账金额）</w:t>
                        </w:r>
                        <w:r>
                          <w:rPr>
                            <w:rFonts w:ascii="宋体" w:hAnsi="宋体" w:cs="宋体" w:eastAsia="宋体" w:hint="default"/>
                            <w:sz w:val="21"/>
                            <w:szCs w:val="21"/>
                          </w:rPr>
                          <w:t>16,923.78</w:t>
                        </w:r>
                        <w:r>
                          <w:rPr>
                            <w:rFonts w:ascii="宋体" w:hAnsi="宋体" w:cs="宋体" w:eastAsia="宋体" w:hint="default"/>
                            <w:spacing w:val="-56"/>
                            <w:sz w:val="21"/>
                            <w:szCs w:val="21"/>
                          </w:rPr>
                          <w:t> </w:t>
                        </w:r>
                        <w:r>
                          <w:rPr>
                            <w:rFonts w:ascii="宋体" w:hAnsi="宋体" w:cs="宋体" w:eastAsia="宋体" w:hint="default"/>
                            <w:sz w:val="21"/>
                            <w:szCs w:val="21"/>
                          </w:rPr>
                          <w:t>万元，承诺投资项目</w:t>
                        </w:r>
                        <w:r>
                          <w:rPr>
                            <w:rFonts w:ascii="宋体" w:hAnsi="宋体" w:cs="宋体" w:eastAsia="宋体" w:hint="default"/>
                            <w:spacing w:val="-53"/>
                            <w:sz w:val="21"/>
                            <w:szCs w:val="21"/>
                          </w:rPr>
                          <w:t> </w:t>
                        </w:r>
                        <w:r>
                          <w:rPr>
                            <w:rFonts w:ascii="宋体" w:hAnsi="宋体" w:cs="宋体" w:eastAsia="宋体" w:hint="default"/>
                            <w:sz w:val="21"/>
                            <w:szCs w:val="21"/>
                          </w:rPr>
                          <w:t>12,870.16</w:t>
                        </w:r>
                        <w:r>
                          <w:rPr>
                            <w:rFonts w:ascii="宋体" w:hAnsi="宋体" w:cs="宋体" w:eastAsia="宋体" w:hint="default"/>
                            <w:spacing w:val="-5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sz w:val="21"/>
                            <w:szCs w:val="21"/>
                          </w:rPr>
                          <w:t>超募资金</w:t>
                        </w:r>
                        <w:r>
                          <w:rPr>
                            <w:rFonts w:ascii="宋体" w:hAnsi="宋体" w:cs="宋体" w:eastAsia="宋体" w:hint="default"/>
                            <w:spacing w:val="-45"/>
                            <w:sz w:val="21"/>
                            <w:szCs w:val="21"/>
                          </w:rPr>
                          <w:t> </w:t>
                        </w:r>
                        <w:r>
                          <w:rPr>
                            <w:rFonts w:ascii="宋体" w:hAnsi="宋体" w:cs="宋体" w:eastAsia="宋体" w:hint="default"/>
                            <w:sz w:val="21"/>
                            <w:szCs w:val="21"/>
                          </w:rPr>
                          <w:t>3,387.92</w:t>
                        </w:r>
                        <w:r>
                          <w:rPr>
                            <w:rFonts w:ascii="宋体" w:hAnsi="宋体" w:cs="宋体" w:eastAsia="宋体" w:hint="default"/>
                            <w:spacing w:val="-48"/>
                            <w:sz w:val="21"/>
                            <w:szCs w:val="21"/>
                          </w:rPr>
                          <w:t> </w:t>
                        </w:r>
                        <w:r>
                          <w:rPr>
                            <w:rFonts w:ascii="宋体" w:hAnsi="宋体" w:cs="宋体" w:eastAsia="宋体" w:hint="default"/>
                            <w:spacing w:val="-3"/>
                            <w:sz w:val="21"/>
                            <w:szCs w:val="21"/>
                          </w:rPr>
                          <w:t>万元，按规定可扣除上市发行费用</w:t>
                        </w:r>
                        <w:r>
                          <w:rPr>
                            <w:rFonts w:ascii="宋体" w:hAnsi="宋体" w:cs="宋体" w:eastAsia="宋体" w:hint="default"/>
                            <w:spacing w:val="-45"/>
                            <w:sz w:val="21"/>
                            <w:szCs w:val="21"/>
                          </w:rPr>
                          <w:t> </w:t>
                        </w:r>
                        <w:r>
                          <w:rPr>
                            <w:rFonts w:ascii="宋体" w:hAnsi="宋体" w:cs="宋体" w:eastAsia="宋体" w:hint="default"/>
                            <w:sz w:val="21"/>
                            <w:szCs w:val="21"/>
                          </w:rPr>
                          <w:t>665.7</w:t>
                        </w:r>
                        <w:r>
                          <w:rPr>
                            <w:rFonts w:ascii="宋体" w:hAnsi="宋体" w:cs="宋体" w:eastAsia="宋体" w:hint="default"/>
                            <w:spacing w:val="-44"/>
                            <w:sz w:val="21"/>
                            <w:szCs w:val="21"/>
                          </w:rPr>
                          <w:t> </w:t>
                        </w:r>
                        <w:r>
                          <w:rPr>
                            <w:rFonts w:ascii="宋体" w:hAnsi="宋体" w:cs="宋体" w:eastAsia="宋体" w:hint="default"/>
                            <w:spacing w:val="-3"/>
                            <w:sz w:val="21"/>
                            <w:szCs w:val="21"/>
                          </w:rPr>
                          <w:t>万元，募集资金总额</w:t>
                        </w:r>
                        <w:r>
                          <w:rPr>
                            <w:rFonts w:ascii="宋体" w:hAnsi="宋体" w:cs="宋体" w:eastAsia="宋体" w:hint="default"/>
                            <w:spacing w:val="-45"/>
                            <w:sz w:val="21"/>
                            <w:szCs w:val="21"/>
                          </w:rPr>
                          <w:t> </w:t>
                        </w:r>
                        <w:r>
                          <w:rPr>
                            <w:rFonts w:ascii="宋体" w:hAnsi="宋体" w:cs="宋体" w:eastAsia="宋体" w:hint="default"/>
                            <w:sz w:val="21"/>
                            <w:szCs w:val="21"/>
                          </w:rPr>
                          <w:t>16,258.08</w:t>
                        </w:r>
                        <w:r>
                          <w:rPr>
                            <w:rFonts w:ascii="宋体" w:hAnsi="宋体" w:cs="宋体" w:eastAsia="宋体" w:hint="default"/>
                            <w:spacing w:val="-48"/>
                            <w:sz w:val="21"/>
                            <w:szCs w:val="21"/>
                          </w:rPr>
                          <w:t> </w:t>
                        </w:r>
                        <w:r>
                          <w:rPr>
                            <w:rFonts w:ascii="宋体" w:hAnsi="宋体" w:cs="宋体" w:eastAsia="宋体" w:hint="default"/>
                            <w:spacing w:val="-5"/>
                            <w:sz w:val="21"/>
                            <w:szCs w:val="21"/>
                          </w:rPr>
                          <w:t>万元。报告</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期投入使用的募集资金为</w:t>
                        </w:r>
                        <w:r>
                          <w:rPr>
                            <w:rFonts w:ascii="宋体" w:hAnsi="宋体" w:cs="宋体" w:eastAsia="宋体" w:hint="default"/>
                            <w:spacing w:val="-57"/>
                            <w:sz w:val="21"/>
                            <w:szCs w:val="21"/>
                          </w:rPr>
                          <w:t> </w:t>
                        </w:r>
                        <w:r>
                          <w:rPr>
                            <w:rFonts w:ascii="宋体" w:hAnsi="宋体" w:cs="宋体" w:eastAsia="宋体" w:hint="default"/>
                            <w:sz w:val="21"/>
                            <w:szCs w:val="21"/>
                          </w:rPr>
                          <w:t>5,127.28</w:t>
                        </w:r>
                        <w:r>
                          <w:rPr>
                            <w:rFonts w:ascii="宋体" w:hAnsi="宋体" w:cs="宋体" w:eastAsia="宋体" w:hint="default"/>
                            <w:spacing w:val="-56"/>
                            <w:sz w:val="21"/>
                            <w:szCs w:val="21"/>
                          </w:rPr>
                          <w:t> </w:t>
                        </w:r>
                        <w:r>
                          <w:rPr>
                            <w:rFonts w:ascii="宋体" w:hAnsi="宋体" w:cs="宋体" w:eastAsia="宋体" w:hint="default"/>
                            <w:sz w:val="21"/>
                            <w:szCs w:val="21"/>
                          </w:rPr>
                          <w:t>万元，已累计投入募集资金总额</w:t>
                        </w:r>
                        <w:r>
                          <w:rPr>
                            <w:rFonts w:ascii="宋体" w:hAnsi="宋体" w:cs="宋体" w:eastAsia="宋体" w:hint="default"/>
                            <w:spacing w:val="-54"/>
                            <w:sz w:val="21"/>
                            <w:szCs w:val="21"/>
                          </w:rPr>
                          <w:t> </w:t>
                        </w:r>
                        <w:r>
                          <w:rPr>
                            <w:rFonts w:ascii="宋体" w:hAnsi="宋体" w:cs="宋体" w:eastAsia="宋体" w:hint="default"/>
                            <w:sz w:val="21"/>
                            <w:szCs w:val="21"/>
                          </w:rPr>
                          <w:t>6,743.36</w:t>
                        </w:r>
                        <w:r>
                          <w:rPr>
                            <w:rFonts w:ascii="宋体" w:hAnsi="宋体" w:cs="宋体" w:eastAsia="宋体" w:hint="default"/>
                            <w:spacing w:val="-56"/>
                            <w:sz w:val="21"/>
                            <w:szCs w:val="21"/>
                          </w:rPr>
                          <w:t> </w:t>
                        </w:r>
                        <w:r>
                          <w:rPr>
                            <w:rFonts w:ascii="宋体" w:hAnsi="宋体" w:cs="宋体" w:eastAsia="宋体" w:hint="default"/>
                            <w:sz w:val="21"/>
                            <w:szCs w:val="21"/>
                          </w:rPr>
                          <w:t>万元。</w:t>
                        </w:r>
                      </w:p>
                    </w:tc>
                  </w:tr>
                </w:tbl>
                <w:p>
                  <w:pPr/>
                </w:p>
              </w:txbxContent>
            </v:textbox>
            <w10:wrap type="none"/>
          </v:shape>
        </w:pict>
      </w:r>
      <w:r>
        <w:rPr>
          <w:spacing w:val="-3"/>
          <w:w w:val="100"/>
        </w:rPr>
        <w:t>，</w:t>
      </w:r>
      <w:r>
        <w:rPr>
          <w:w w:val="100"/>
        </w:rPr>
      </w:r>
    </w:p>
    <w:p>
      <w:pPr>
        <w:spacing w:after="0" w:line="240" w:lineRule="auto"/>
        <w:jc w:val="right"/>
        <w:sectPr>
          <w:headerReference w:type="default" r:id="rId19"/>
          <w:pgSz w:w="11910" w:h="16840"/>
          <w:pgMar w:header="566" w:footer="979" w:top="1360" w:bottom="1160" w:left="980" w:right="980"/>
        </w:sectPr>
      </w:pPr>
    </w:p>
    <w:p>
      <w:pPr>
        <w:pStyle w:val="Heading5"/>
        <w:spacing w:line="240" w:lineRule="auto" w:before="135"/>
        <w:ind w:left="472" w:right="0"/>
        <w:jc w:val="left"/>
        <w:rPr>
          <w:b w:val="0"/>
          <w:bCs w:val="0"/>
        </w:rPr>
      </w:pPr>
      <w:r>
        <w:rPr/>
        <w:pict>
          <v:shape style="position:absolute;margin-left:38.160pt;margin-top:109.220009pt;width:765.85pt;height:403.05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9"/>
                    <w:gridCol w:w="992"/>
                    <w:gridCol w:w="1137"/>
                    <w:gridCol w:w="1135"/>
                    <w:gridCol w:w="994"/>
                    <w:gridCol w:w="1137"/>
                    <w:gridCol w:w="1414"/>
                    <w:gridCol w:w="1895"/>
                    <w:gridCol w:w="1140"/>
                    <w:gridCol w:w="1273"/>
                    <w:gridCol w:w="1736"/>
                  </w:tblGrid>
                  <w:tr>
                    <w:trPr>
                      <w:trHeight w:val="1100" w:hRule="exact"/>
                    </w:trPr>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0" w:right="479" w:hanging="106"/>
                          <w:jc w:val="left"/>
                          <w:rPr>
                            <w:rFonts w:ascii="宋体" w:hAnsi="宋体" w:cs="宋体" w:eastAsia="宋体" w:hint="default"/>
                            <w:sz w:val="21"/>
                            <w:szCs w:val="21"/>
                          </w:rPr>
                        </w:pPr>
                        <w:r>
                          <w:rPr>
                            <w:rFonts w:ascii="宋体" w:hAnsi="宋体" w:cs="宋体" w:eastAsia="宋体" w:hint="default"/>
                            <w:sz w:val="21"/>
                            <w:szCs w:val="21"/>
                          </w:rPr>
                          <w:t>承诺投资项目和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超募资金投向</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79" w:right="0" w:hanging="104"/>
                          <w:jc w:val="left"/>
                          <w:rPr>
                            <w:rFonts w:ascii="宋体" w:hAnsi="宋体" w:cs="宋体" w:eastAsia="宋体" w:hint="default"/>
                            <w:sz w:val="21"/>
                            <w:szCs w:val="21"/>
                          </w:rPr>
                        </w:pPr>
                        <w:r>
                          <w:rPr>
                            <w:rFonts w:ascii="宋体" w:hAnsi="宋体" w:cs="宋体" w:eastAsia="宋体" w:hint="default"/>
                            <w:sz w:val="21"/>
                            <w:szCs w:val="21"/>
                          </w:rPr>
                          <w:t>是否已变</w:t>
                        </w:r>
                      </w:p>
                      <w:p>
                        <w:pPr>
                          <w:pStyle w:val="TableParagraph"/>
                          <w:spacing w:line="237" w:lineRule="auto" w:before="2"/>
                          <w:ind w:left="128" w:right="114" w:firstLine="50"/>
                          <w:jc w:val="both"/>
                          <w:rPr>
                            <w:rFonts w:ascii="宋体" w:hAnsi="宋体" w:cs="宋体" w:eastAsia="宋体" w:hint="default"/>
                            <w:sz w:val="21"/>
                            <w:szCs w:val="21"/>
                          </w:rPr>
                        </w:pPr>
                        <w:r>
                          <w:rPr>
                            <w:rFonts w:ascii="宋体" w:hAnsi="宋体" w:cs="宋体" w:eastAsia="宋体" w:hint="default"/>
                            <w:sz w:val="21"/>
                            <w:szCs w:val="21"/>
                          </w:rPr>
                          <w:t>更项目</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含部分</w:t>
                        </w:r>
                        <w:r>
                          <w:rPr>
                            <w:rFonts w:ascii="宋体" w:hAnsi="宋体" w:cs="宋体" w:eastAsia="宋体" w:hint="default"/>
                            <w:w w:val="100"/>
                            <w:sz w:val="21"/>
                            <w:szCs w:val="21"/>
                          </w:rPr>
                          <w:t> </w:t>
                        </w:r>
                        <w:r>
                          <w:rPr>
                            <w:rFonts w:ascii="宋体" w:hAnsi="宋体" w:cs="宋体" w:eastAsia="宋体" w:hint="default"/>
                            <w:sz w:val="21"/>
                            <w:szCs w:val="21"/>
                          </w:rPr>
                          <w:t>变更</w:t>
                        </w:r>
                        <w:r>
                          <w:rPr>
                            <w:rFonts w:ascii="宋体" w:hAnsi="宋体" w:cs="宋体" w:eastAsia="宋体" w:hint="default"/>
                            <w:sz w:val="21"/>
                            <w:szCs w:val="21"/>
                          </w:rPr>
                          <w:t>)</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 w:right="32"/>
                          <w:jc w:val="left"/>
                          <w:rPr>
                            <w:rFonts w:ascii="宋体" w:hAnsi="宋体" w:cs="宋体" w:eastAsia="宋体" w:hint="default"/>
                            <w:sz w:val="21"/>
                            <w:szCs w:val="21"/>
                          </w:rPr>
                        </w:pPr>
                        <w:r>
                          <w:rPr>
                            <w:rFonts w:ascii="宋体" w:hAnsi="宋体" w:cs="宋体" w:eastAsia="宋体" w:hint="default"/>
                            <w:sz w:val="21"/>
                            <w:szCs w:val="21"/>
                          </w:rPr>
                          <w:t>募集资金承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诺投资总额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6" w:right="31" w:hanging="159"/>
                          <w:jc w:val="left"/>
                          <w:rPr>
                            <w:rFonts w:ascii="宋体" w:hAnsi="宋体" w:cs="宋体" w:eastAsia="宋体" w:hint="default"/>
                            <w:sz w:val="21"/>
                            <w:szCs w:val="21"/>
                          </w:rPr>
                        </w:pPr>
                        <w:r>
                          <w:rPr>
                            <w:rFonts w:ascii="宋体" w:hAnsi="宋体" w:cs="宋体" w:eastAsia="宋体" w:hint="default"/>
                            <w:sz w:val="21"/>
                            <w:szCs w:val="21"/>
                          </w:rPr>
                          <w:t>调整后投资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r>
                          <w:rPr>
                            <w:rFonts w:ascii="宋体" w:hAnsi="宋体" w:cs="宋体" w:eastAsia="宋体" w:hint="default"/>
                            <w:sz w:val="21"/>
                            <w:szCs w:val="21"/>
                          </w:rPr>
                          <w:t>(1)</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72" w:right="67"/>
                          <w:jc w:val="left"/>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5"/>
                          <w:ind w:left="35" w:right="35"/>
                          <w:jc w:val="center"/>
                          <w:rPr>
                            <w:rFonts w:ascii="宋体" w:hAnsi="宋体" w:cs="宋体" w:eastAsia="宋体" w:hint="default"/>
                            <w:sz w:val="21"/>
                            <w:szCs w:val="21"/>
                          </w:rPr>
                        </w:pPr>
                        <w:r>
                          <w:rPr>
                            <w:rFonts w:ascii="宋体" w:hAnsi="宋体" w:cs="宋体" w:eastAsia="宋体" w:hint="default"/>
                            <w:sz w:val="21"/>
                            <w:szCs w:val="21"/>
                          </w:rPr>
                          <w:t>截至期末累</w:t>
                        </w:r>
                        <w:r>
                          <w:rPr>
                            <w:rFonts w:ascii="宋体" w:hAnsi="宋体" w:cs="宋体" w:eastAsia="宋体" w:hint="default"/>
                            <w:w w:val="100"/>
                            <w:sz w:val="21"/>
                            <w:szCs w:val="21"/>
                          </w:rPr>
                          <w:t> </w:t>
                        </w:r>
                        <w:r>
                          <w:rPr>
                            <w:rFonts w:ascii="宋体" w:hAnsi="宋体" w:cs="宋体" w:eastAsia="宋体" w:hint="default"/>
                            <w:sz w:val="21"/>
                            <w:szCs w:val="21"/>
                          </w:rPr>
                          <w:t>计投入金额</w:t>
                        </w:r>
                        <w:r>
                          <w:rPr>
                            <w:rFonts w:ascii="宋体" w:hAnsi="宋体" w:cs="宋体" w:eastAsia="宋体" w:hint="default"/>
                            <w:w w:val="100"/>
                            <w:sz w:val="21"/>
                            <w:szCs w:val="21"/>
                          </w:rPr>
                          <w:t> </w:t>
                        </w:r>
                        <w:r>
                          <w:rPr>
                            <w:rFonts w:ascii="宋体" w:hAnsi="宋体" w:cs="宋体" w:eastAsia="宋体" w:hint="default"/>
                            <w:sz w:val="21"/>
                            <w:szCs w:val="21"/>
                          </w:rPr>
                          <w:t>(2)</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70" w:right="69"/>
                          <w:jc w:val="center"/>
                          <w:rPr>
                            <w:rFonts w:ascii="宋体" w:hAnsi="宋体" w:cs="宋体" w:eastAsia="宋体" w:hint="default"/>
                            <w:sz w:val="21"/>
                            <w:szCs w:val="21"/>
                          </w:rPr>
                        </w:pPr>
                        <w:r>
                          <w:rPr>
                            <w:rFonts w:ascii="宋体" w:hAnsi="宋体" w:cs="宋体" w:eastAsia="宋体" w:hint="default"/>
                            <w:spacing w:val="-1"/>
                            <w:sz w:val="21"/>
                            <w:szCs w:val="21"/>
                          </w:rPr>
                          <w:t>截至期末投资</w:t>
                        </w:r>
                        <w:r>
                          <w:rPr>
                            <w:rFonts w:ascii="宋体" w:hAnsi="宋体" w:cs="宋体" w:eastAsia="宋体" w:hint="default"/>
                            <w:w w:val="100"/>
                            <w:sz w:val="21"/>
                            <w:szCs w:val="21"/>
                          </w:rPr>
                          <w:t> </w:t>
                        </w:r>
                        <w:r>
                          <w:rPr>
                            <w:rFonts w:ascii="宋体" w:hAnsi="宋体" w:cs="宋体" w:eastAsia="宋体" w:hint="default"/>
                            <w:spacing w:val="-1"/>
                            <w:sz w:val="21"/>
                            <w:szCs w:val="21"/>
                          </w:rPr>
                          <w:t>进度</w:t>
                        </w:r>
                        <w:r>
                          <w:rPr>
                            <w:rFonts w:ascii="宋体" w:hAnsi="宋体" w:cs="宋体" w:eastAsia="宋体" w:hint="default"/>
                            <w:spacing w:val="-1"/>
                            <w:sz w:val="21"/>
                            <w:szCs w:val="21"/>
                          </w:rPr>
                          <w:t>(%)(3)</w:t>
                        </w:r>
                        <w:r>
                          <w:rPr>
                            <w:rFonts w:ascii="宋体" w:hAnsi="宋体" w:cs="宋体" w:eastAsia="宋体" w:hint="default"/>
                            <w:spacing w:val="-1"/>
                            <w:sz w:val="21"/>
                            <w:szCs w:val="21"/>
                          </w:rPr>
                          <w:t>＝</w:t>
                        </w:r>
                      </w:p>
                      <w:p>
                        <w:pPr>
                          <w:pStyle w:val="TableParagraph"/>
                          <w:spacing w:line="271" w:lineRule="exact"/>
                          <w:ind w:right="1"/>
                          <w:jc w:val="center"/>
                          <w:rPr>
                            <w:rFonts w:ascii="宋体" w:hAnsi="宋体" w:cs="宋体" w:eastAsia="宋体" w:hint="default"/>
                            <w:sz w:val="21"/>
                            <w:szCs w:val="21"/>
                          </w:rPr>
                        </w:pPr>
                        <w:r>
                          <w:rPr>
                            <w:rFonts w:ascii="宋体"/>
                            <w:sz w:val="21"/>
                          </w:rPr>
                          <w:t>(2)/(1)</w:t>
                        </w:r>
                      </w:p>
                    </w:tc>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19" w:right="95" w:hanging="315"/>
                          <w:jc w:val="left"/>
                          <w:rPr>
                            <w:rFonts w:ascii="宋体" w:hAnsi="宋体" w:cs="宋体" w:eastAsia="宋体" w:hint="default"/>
                            <w:sz w:val="21"/>
                            <w:szCs w:val="21"/>
                          </w:rPr>
                        </w:pPr>
                        <w:r>
                          <w:rPr>
                            <w:rFonts w:ascii="宋体" w:hAnsi="宋体" w:cs="宋体" w:eastAsia="宋体" w:hint="default"/>
                            <w:sz w:val="21"/>
                            <w:szCs w:val="21"/>
                          </w:rPr>
                          <w:t>项目达到预定可使</w:t>
                        </w:r>
                        <w:r>
                          <w:rPr>
                            <w:rFonts w:ascii="宋体" w:hAnsi="宋体" w:cs="宋体" w:eastAsia="宋体" w:hint="default"/>
                            <w:w w:val="100"/>
                            <w:sz w:val="21"/>
                            <w:szCs w:val="21"/>
                          </w:rPr>
                          <w:t> </w:t>
                        </w:r>
                        <w:r>
                          <w:rPr>
                            <w:rFonts w:ascii="宋体" w:hAnsi="宋体" w:cs="宋体" w:eastAsia="宋体" w:hint="default"/>
                            <w:sz w:val="21"/>
                            <w:szCs w:val="21"/>
                          </w:rPr>
                          <w:t>用状态日期</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5" w:right="35" w:hanging="106"/>
                          <w:jc w:val="left"/>
                          <w:rPr>
                            <w:rFonts w:ascii="宋体" w:hAnsi="宋体" w:cs="宋体" w:eastAsia="宋体" w:hint="default"/>
                            <w:sz w:val="21"/>
                            <w:szCs w:val="21"/>
                          </w:rPr>
                        </w:pPr>
                        <w:r>
                          <w:rPr>
                            <w:rFonts w:ascii="宋体" w:hAnsi="宋体" w:cs="宋体" w:eastAsia="宋体" w:hint="default"/>
                            <w:sz w:val="21"/>
                            <w:szCs w:val="21"/>
                          </w:rPr>
                          <w:t>本报告期实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现的效益</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2" w:right="103" w:hanging="209"/>
                          <w:jc w:val="left"/>
                          <w:rPr>
                            <w:rFonts w:ascii="宋体" w:hAnsi="宋体" w:cs="宋体" w:eastAsia="宋体" w:hint="default"/>
                            <w:sz w:val="21"/>
                            <w:szCs w:val="21"/>
                          </w:rPr>
                        </w:pPr>
                        <w:r>
                          <w:rPr>
                            <w:rFonts w:ascii="宋体" w:hAnsi="宋体" w:cs="宋体" w:eastAsia="宋体" w:hint="default"/>
                            <w:sz w:val="21"/>
                            <w:szCs w:val="21"/>
                          </w:rPr>
                          <w:t>是否达到预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计效益</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2" w:right="123" w:hanging="106"/>
                          <w:jc w:val="left"/>
                          <w:rPr>
                            <w:rFonts w:ascii="宋体" w:hAnsi="宋体" w:cs="宋体" w:eastAsia="宋体" w:hint="default"/>
                            <w:sz w:val="21"/>
                            <w:szCs w:val="21"/>
                          </w:rPr>
                        </w:pPr>
                        <w:r>
                          <w:rPr>
                            <w:rFonts w:ascii="宋体" w:hAnsi="宋体" w:cs="宋体" w:eastAsia="宋体" w:hint="default"/>
                            <w:sz w:val="21"/>
                            <w:szCs w:val="21"/>
                          </w:rPr>
                          <w:t>项目可行性是否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发生重大变化</w:t>
                        </w:r>
                      </w:p>
                    </w:tc>
                  </w:tr>
                  <w:tr>
                    <w:trPr>
                      <w:trHeight w:val="282" w:hRule="exact"/>
                    </w:trPr>
                    <w:tc>
                      <w:tcPr>
                        <w:tcW w:w="1530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555"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数据中心</w:t>
                        </w:r>
                        <w:r>
                          <w:rPr>
                            <w:rFonts w:ascii="宋体" w:hAnsi="宋体" w:cs="宋体" w:eastAsia="宋体" w:hint="default"/>
                            <w:spacing w:val="-62"/>
                            <w:sz w:val="21"/>
                            <w:szCs w:val="21"/>
                          </w:rPr>
                          <w:t> </w:t>
                        </w:r>
                        <w:r>
                          <w:rPr>
                            <w:rFonts w:ascii="宋体" w:hAnsi="宋体" w:cs="宋体" w:eastAsia="宋体" w:hint="default"/>
                            <w:sz w:val="21"/>
                            <w:szCs w:val="21"/>
                          </w:rPr>
                          <w:t>IT</w:t>
                        </w:r>
                        <w:r>
                          <w:rPr>
                            <w:rFonts w:ascii="宋体" w:hAnsi="宋体" w:cs="宋体" w:eastAsia="宋体" w:hint="default"/>
                            <w:spacing w:val="-63"/>
                            <w:sz w:val="21"/>
                            <w:szCs w:val="21"/>
                          </w:rPr>
                          <w:t> </w:t>
                        </w:r>
                        <w:r>
                          <w:rPr>
                            <w:rFonts w:ascii="宋体" w:hAnsi="宋体" w:cs="宋体" w:eastAsia="宋体" w:hint="default"/>
                            <w:sz w:val="21"/>
                            <w:szCs w:val="21"/>
                          </w:rPr>
                          <w:t>服务能力提升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及市场拓展项目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4,702.05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4,702.05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2,895.19</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3,034.67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z w:val="21"/>
                          </w:rPr>
                          <w:t>64.54%</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z w:val="21"/>
                          </w:rPr>
                          <w:t>897.20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2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社保医疗行业信息化解决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方案研发升级项目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4,178.08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4,178.08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1,021.38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1,246.36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29.83%</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390.96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2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63"/>
                            <w:sz w:val="21"/>
                            <w:szCs w:val="21"/>
                          </w:rPr>
                          <w:t> </w:t>
                        </w:r>
                        <w:r>
                          <w:rPr>
                            <w:rFonts w:ascii="宋体" w:hAnsi="宋体" w:cs="宋体" w:eastAsia="宋体" w:hint="default"/>
                            <w:sz w:val="21"/>
                            <w:szCs w:val="21"/>
                          </w:rPr>
                          <w:t>IT</w:t>
                        </w:r>
                        <w:r>
                          <w:rPr>
                            <w:rFonts w:ascii="宋体" w:hAnsi="宋体" w:cs="宋体" w:eastAsia="宋体" w:hint="default"/>
                            <w:spacing w:val="-63"/>
                            <w:sz w:val="21"/>
                            <w:szCs w:val="21"/>
                          </w:rPr>
                          <w:t> </w:t>
                        </w:r>
                        <w:r>
                          <w:rPr>
                            <w:rFonts w:ascii="宋体" w:hAnsi="宋体" w:cs="宋体" w:eastAsia="宋体" w:hint="default"/>
                            <w:sz w:val="21"/>
                            <w:szCs w:val="21"/>
                          </w:rPr>
                          <w:t>外包服务基地建设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3,990.03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3,990.03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610.71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1,862.33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46.67%</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93.25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2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0" w:right="0"/>
                          <w:jc w:val="center"/>
                          <w:rPr>
                            <w:rFonts w:ascii="宋体" w:hAnsi="宋体" w:cs="宋体" w:eastAsia="宋体" w:hint="default"/>
                            <w:sz w:val="21"/>
                            <w:szCs w:val="21"/>
                          </w:rPr>
                        </w:pPr>
                        <w:r>
                          <w:rPr>
                            <w:rFonts w:ascii="宋体"/>
                            <w:sz w:val="21"/>
                          </w:rPr>
                          <w:t>--</w:t>
                        </w:r>
                      </w:p>
                    </w:tc>
                    <w:tc>
                      <w:tcPr>
                        <w:tcW w:w="1137"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12,870.16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12,870.16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4,527.28</w:t>
                        </w:r>
                      </w:p>
                    </w:tc>
                    <w:tc>
                      <w:tcPr>
                        <w:tcW w:w="1137" w:type="dxa"/>
                        <w:tcBorders>
                          <w:top w:val="single" w:sz="4" w:space="0" w:color="000000"/>
                          <w:left w:val="single" w:sz="4" w:space="0" w:color="000000"/>
                          <w:bottom w:val="single" w:sz="4" w:space="0" w:color="000000"/>
                          <w:right w:val="single" w:sz="13" w:space="0" w:color="D2D2D2"/>
                        </w:tcBorders>
                      </w:tcPr>
                      <w:p>
                        <w:pPr>
                          <w:pStyle w:val="TableParagraph"/>
                          <w:spacing w:line="243" w:lineRule="exact"/>
                          <w:ind w:right="9"/>
                          <w:jc w:val="right"/>
                          <w:rPr>
                            <w:rFonts w:ascii="宋体" w:hAnsi="宋体" w:cs="宋体" w:eastAsia="宋体" w:hint="default"/>
                            <w:sz w:val="21"/>
                            <w:szCs w:val="21"/>
                          </w:rPr>
                        </w:pPr>
                        <w:r>
                          <w:rPr>
                            <w:rFonts w:ascii="宋体"/>
                            <w:spacing w:val="-1"/>
                            <w:sz w:val="21"/>
                          </w:rPr>
                          <w:t>6,143.36</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593" w:right="0"/>
                          <w:jc w:val="left"/>
                          <w:rPr>
                            <w:rFonts w:ascii="宋体" w:hAnsi="宋体" w:cs="宋体" w:eastAsia="宋体" w:hint="default"/>
                            <w:sz w:val="21"/>
                            <w:szCs w:val="21"/>
                          </w:rPr>
                        </w:pPr>
                        <w:r>
                          <w:rPr>
                            <w:rFonts w:ascii="宋体"/>
                            <w:sz w:val="21"/>
                          </w:rPr>
                          <w:t>--</w:t>
                        </w:r>
                      </w:p>
                    </w:tc>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5" w:right="0"/>
                          <w:jc w:val="center"/>
                          <w:rPr>
                            <w:rFonts w:ascii="宋体" w:hAnsi="宋体" w:cs="宋体" w:eastAsia="宋体" w:hint="default"/>
                            <w:sz w:val="21"/>
                            <w:szCs w:val="21"/>
                          </w:rPr>
                        </w:pPr>
                        <w:r>
                          <w:rPr>
                            <w:rFonts w:ascii="宋体"/>
                            <w:sz w:val="21"/>
                          </w:rPr>
                          <w:t>--</w:t>
                        </w:r>
                      </w:p>
                    </w:tc>
                    <w:tc>
                      <w:tcPr>
                        <w:tcW w:w="1140" w:type="dxa"/>
                        <w:tcBorders>
                          <w:top w:val="single" w:sz="4" w:space="0" w:color="000000"/>
                          <w:left w:val="single" w:sz="12" w:space="0" w:color="D2D2D2"/>
                          <w:bottom w:val="single" w:sz="4" w:space="0" w:color="000000"/>
                          <w:right w:val="single" w:sz="13" w:space="0" w:color="D2D2D2"/>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1,381.41</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527"/>
                          <w:jc w:val="right"/>
                          <w:rPr>
                            <w:rFonts w:ascii="宋体" w:hAnsi="宋体" w:cs="宋体" w:eastAsia="宋体" w:hint="default"/>
                            <w:sz w:val="21"/>
                            <w:szCs w:val="21"/>
                          </w:rPr>
                        </w:pPr>
                        <w:r>
                          <w:rPr>
                            <w:rFonts w:ascii="宋体"/>
                            <w:sz w:val="21"/>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1"/>
                          <w:jc w:val="center"/>
                          <w:rPr>
                            <w:rFonts w:ascii="宋体" w:hAnsi="宋体" w:cs="宋体" w:eastAsia="宋体" w:hint="default"/>
                            <w:sz w:val="21"/>
                            <w:szCs w:val="21"/>
                          </w:rPr>
                        </w:pPr>
                        <w:r>
                          <w:rPr>
                            <w:rFonts w:ascii="宋体"/>
                            <w:sz w:val="21"/>
                          </w:rPr>
                          <w:t>--</w:t>
                        </w:r>
                      </w:p>
                    </w:tc>
                  </w:tr>
                  <w:tr>
                    <w:trPr>
                      <w:trHeight w:val="278" w:hRule="exact"/>
                    </w:trPr>
                    <w:tc>
                      <w:tcPr>
                        <w:tcW w:w="1530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center"/>
                          <w:rPr>
                            <w:rFonts w:ascii="宋体" w:hAnsi="宋体" w:cs="宋体" w:eastAsia="宋体" w:hint="default"/>
                            <w:sz w:val="21"/>
                            <w:szCs w:val="21"/>
                          </w:rPr>
                        </w:pPr>
                        <w:r>
                          <w:rPr>
                            <w:rFonts w:ascii="宋体"/>
                            <w:sz w:val="21"/>
                          </w:rPr>
                          <w:t>--</w:t>
                        </w:r>
                      </w:p>
                    </w:tc>
                    <w:tc>
                      <w:tcPr>
                        <w:tcW w:w="1137"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600</w:t>
                        </w:r>
                      </w:p>
                    </w:tc>
                    <w:tc>
                      <w:tcPr>
                        <w:tcW w:w="1137"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right="9"/>
                          <w:jc w:val="right"/>
                          <w:rPr>
                            <w:rFonts w:ascii="宋体" w:hAnsi="宋体" w:cs="宋体" w:eastAsia="宋体" w:hint="default"/>
                            <w:sz w:val="21"/>
                            <w:szCs w:val="21"/>
                          </w:rPr>
                        </w:pPr>
                        <w:r>
                          <w:rPr>
                            <w:rFonts w:ascii="宋体"/>
                            <w:sz w:val="21"/>
                          </w:rPr>
                          <w:t>600</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93" w:right="0"/>
                          <w:jc w:val="left"/>
                          <w:rPr>
                            <w:rFonts w:ascii="宋体" w:hAnsi="宋体" w:cs="宋体" w:eastAsia="宋体" w:hint="default"/>
                            <w:sz w:val="21"/>
                            <w:szCs w:val="21"/>
                          </w:rPr>
                        </w:pPr>
                        <w:r>
                          <w:rPr>
                            <w:rFonts w:ascii="宋体"/>
                            <w:sz w:val="21"/>
                          </w:rPr>
                          <w:t>--</w:t>
                        </w:r>
                      </w:p>
                    </w:tc>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sz w:val="21"/>
                          </w:rPr>
                          <w:t>--</w:t>
                        </w:r>
                      </w:p>
                    </w:tc>
                    <w:tc>
                      <w:tcPr>
                        <w:tcW w:w="1140" w:type="dxa"/>
                        <w:tcBorders>
                          <w:top w:val="single" w:sz="4" w:space="0" w:color="000000"/>
                          <w:left w:val="single" w:sz="12" w:space="0" w:color="D2D2D2"/>
                          <w:bottom w:val="single" w:sz="4" w:space="0" w:color="000000"/>
                          <w:right w:val="single" w:sz="13" w:space="0" w:color="D2D2D2"/>
                        </w:tcBorders>
                      </w:tcPr>
                      <w:p>
                        <w:pP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527"/>
                          <w:jc w:val="right"/>
                          <w:rPr>
                            <w:rFonts w:ascii="宋体" w:hAnsi="宋体" w:cs="宋体" w:eastAsia="宋体" w:hint="default"/>
                            <w:sz w:val="21"/>
                            <w:szCs w:val="21"/>
                          </w:rPr>
                        </w:pPr>
                        <w:r>
                          <w:rPr>
                            <w:rFonts w:ascii="宋体"/>
                            <w:sz w:val="21"/>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center"/>
                          <w:rPr>
                            <w:rFonts w:ascii="宋体" w:hAnsi="宋体" w:cs="宋体" w:eastAsia="宋体" w:hint="default"/>
                            <w:sz w:val="21"/>
                            <w:szCs w:val="21"/>
                          </w:rPr>
                        </w:pPr>
                        <w:r>
                          <w:rPr>
                            <w:rFonts w:ascii="宋体"/>
                            <w:sz w:val="21"/>
                          </w:rPr>
                          <w:t>--</w:t>
                        </w:r>
                      </w:p>
                    </w:tc>
                    <w:tc>
                      <w:tcPr>
                        <w:tcW w:w="1137"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12,870.16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12,870.16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5,127.28</w:t>
                        </w:r>
                      </w:p>
                    </w:tc>
                    <w:tc>
                      <w:tcPr>
                        <w:tcW w:w="1137"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6,743.36</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93" w:right="0"/>
                          <w:jc w:val="left"/>
                          <w:rPr>
                            <w:rFonts w:ascii="宋体" w:hAnsi="宋体" w:cs="宋体" w:eastAsia="宋体" w:hint="default"/>
                            <w:sz w:val="21"/>
                            <w:szCs w:val="21"/>
                          </w:rPr>
                        </w:pPr>
                        <w:r>
                          <w:rPr>
                            <w:rFonts w:ascii="宋体"/>
                            <w:sz w:val="21"/>
                          </w:rPr>
                          <w:t>--</w:t>
                        </w:r>
                      </w:p>
                    </w:tc>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12" w:space="0" w:color="D2D2D2"/>
                          <w:bottom w:val="single" w:sz="4" w:space="0" w:color="000000"/>
                          <w:right w:val="single" w:sz="13" w:space="0" w:color="D2D2D2"/>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1,381.41</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527"/>
                          <w:jc w:val="right"/>
                          <w:rPr>
                            <w:rFonts w:ascii="宋体" w:hAnsi="宋体" w:cs="宋体" w:eastAsia="宋体" w:hint="default"/>
                            <w:sz w:val="21"/>
                            <w:szCs w:val="21"/>
                          </w:rPr>
                        </w:pPr>
                        <w:r>
                          <w:rPr>
                            <w:rFonts w:ascii="宋体"/>
                            <w:sz w:val="21"/>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276" w:hRule="exact"/>
                    </w:trPr>
                    <w:tc>
                      <w:tcPr>
                        <w:tcW w:w="2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53" w:type="dxa"/>
                        <w:gridSpan w:val="10"/>
                        <w:vMerge w:val="restart"/>
                        <w:tcBorders>
                          <w:top w:val="single" w:sz="4" w:space="0" w:color="000000"/>
                          <w:left w:val="single" w:sz="10" w:space="0" w:color="D2D2D2"/>
                          <w:right w:val="single" w:sz="4" w:space="0" w:color="000000"/>
                        </w:tcBorders>
                      </w:tcPr>
                      <w:p>
                        <w:pPr>
                          <w:pStyle w:val="TableParagraph"/>
                          <w:spacing w:line="239" w:lineRule="exact"/>
                          <w:ind w:left="20" w:right="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012</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日第</w:t>
                        </w:r>
                        <w:r>
                          <w:rPr>
                            <w:rFonts w:ascii="宋体" w:hAnsi="宋体" w:cs="宋体" w:eastAsia="宋体" w:hint="default"/>
                            <w:spacing w:val="-3"/>
                            <w:w w:val="100"/>
                            <w:sz w:val="21"/>
                            <w:szCs w:val="21"/>
                          </w:rPr>
                          <w:t>一</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八</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13"/>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调</w:t>
                        </w:r>
                        <w:r>
                          <w:rPr>
                            <w:rFonts w:ascii="宋体" w:hAnsi="宋体" w:cs="宋体" w:eastAsia="宋体" w:hint="default"/>
                            <w:w w:val="100"/>
                            <w:sz w:val="21"/>
                            <w:szCs w:val="21"/>
                          </w:rPr>
                          <w:t>整部</w:t>
                        </w:r>
                        <w:r>
                          <w:rPr>
                            <w:rFonts w:ascii="宋体" w:hAnsi="宋体" w:cs="宋体" w:eastAsia="宋体" w:hint="default"/>
                            <w:spacing w:val="-3"/>
                            <w:w w:val="100"/>
                            <w:sz w:val="21"/>
                            <w:szCs w:val="21"/>
                          </w:rPr>
                          <w:t>分</w:t>
                        </w:r>
                        <w:r>
                          <w:rPr>
                            <w:rFonts w:ascii="宋体" w:hAnsi="宋体" w:cs="宋体" w:eastAsia="宋体" w:hint="default"/>
                            <w:w w:val="100"/>
                            <w:sz w:val="21"/>
                            <w:szCs w:val="21"/>
                          </w:rPr>
                          <w:t>募</w:t>
                        </w:r>
                        <w:r>
                          <w:rPr>
                            <w:rFonts w:ascii="宋体" w:hAnsi="宋体" w:cs="宋体" w:eastAsia="宋体" w:hint="default"/>
                            <w:spacing w:val="-3"/>
                            <w:w w:val="100"/>
                            <w:sz w:val="21"/>
                            <w:szCs w:val="21"/>
                          </w:rPr>
                          <w:t>投</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进</w:t>
                        </w:r>
                        <w:r>
                          <w:rPr>
                            <w:rFonts w:ascii="宋体" w:hAnsi="宋体" w:cs="宋体" w:eastAsia="宋体" w:hint="default"/>
                            <w:spacing w:val="-3"/>
                            <w:w w:val="100"/>
                            <w:sz w:val="21"/>
                            <w:szCs w:val="21"/>
                          </w:rPr>
                          <w:t>度</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市</w:t>
                        </w:r>
                        <w:r>
                          <w:rPr>
                            <w:rFonts w:ascii="宋体" w:hAnsi="宋体" w:cs="宋体" w:eastAsia="宋体" w:hint="default"/>
                            <w:spacing w:val="-3"/>
                            <w:w w:val="100"/>
                            <w:sz w:val="21"/>
                            <w:szCs w:val="21"/>
                          </w:rPr>
                          <w:t>场需</w:t>
                        </w:r>
                        <w:r>
                          <w:rPr>
                            <w:rFonts w:ascii="宋体" w:hAnsi="宋体" w:cs="宋体" w:eastAsia="宋体" w:hint="default"/>
                            <w:w w:val="100"/>
                            <w:sz w:val="21"/>
                            <w:szCs w:val="21"/>
                          </w:rPr>
                          <w:t>求及</w:t>
                        </w:r>
                        <w:r>
                          <w:rPr>
                            <w:rFonts w:ascii="宋体" w:hAnsi="宋体" w:cs="宋体" w:eastAsia="宋体" w:hint="default"/>
                            <w:spacing w:val="-3"/>
                            <w:w w:val="100"/>
                            <w:sz w:val="21"/>
                            <w:szCs w:val="21"/>
                          </w:rPr>
                          <w:t>实</w:t>
                        </w:r>
                        <w:r>
                          <w:rPr>
                            <w:rFonts w:ascii="宋体" w:hAnsi="宋体" w:cs="宋体" w:eastAsia="宋体" w:hint="default"/>
                            <w:w w:val="100"/>
                            <w:sz w:val="21"/>
                            <w:szCs w:val="21"/>
                          </w:rPr>
                          <w:t>际情</w:t>
                        </w:r>
                      </w:p>
                      <w:p>
                        <w:pPr>
                          <w:pStyle w:val="TableParagraph"/>
                          <w:spacing w:line="237" w:lineRule="auto"/>
                          <w:ind w:left="20" w:right="14"/>
                          <w:jc w:val="left"/>
                          <w:rPr>
                            <w:rFonts w:ascii="宋体" w:hAnsi="宋体" w:cs="宋体" w:eastAsia="宋体" w:hint="default"/>
                            <w:sz w:val="21"/>
                            <w:szCs w:val="21"/>
                          </w:rPr>
                        </w:pPr>
                        <w:r>
                          <w:rPr>
                            <w:rFonts w:ascii="宋体" w:hAnsi="宋体" w:cs="宋体" w:eastAsia="宋体" w:hint="default"/>
                            <w:sz w:val="21"/>
                            <w:szCs w:val="21"/>
                          </w:rPr>
                          <w:t>况，调整了募投项目实施进度，将 “金融 </w:t>
                        </w:r>
                        <w:r>
                          <w:rPr>
                            <w:rFonts w:ascii="宋体" w:hAnsi="宋体" w:cs="宋体" w:eastAsia="宋体" w:hint="default"/>
                            <w:sz w:val="21"/>
                            <w:szCs w:val="21"/>
                          </w:rPr>
                          <w:t>IT </w:t>
                        </w:r>
                        <w:r>
                          <w:rPr>
                            <w:rFonts w:ascii="宋体" w:hAnsi="宋体" w:cs="宋体" w:eastAsia="宋体" w:hint="default"/>
                            <w:sz w:val="21"/>
                            <w:szCs w:val="21"/>
                          </w:rPr>
                          <w:t>外包服务基地建设项目”的实施期间延期至 </w:t>
                        </w:r>
                        <w:r>
                          <w:rPr>
                            <w:rFonts w:ascii="宋体" w:hAnsi="宋体" w:cs="宋体" w:eastAsia="宋体" w:hint="default"/>
                            <w:sz w:val="21"/>
                            <w:szCs w:val="21"/>
                          </w:rPr>
                          <w:t>2013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31</w:t>
                        </w:r>
                        <w:r>
                          <w:rPr>
                            <w:rFonts w:ascii="宋体" w:hAnsi="宋体" w:cs="宋体" w:eastAsia="宋体" w:hint="default"/>
                            <w:spacing w:val="-33"/>
                            <w:sz w:val="21"/>
                            <w:szCs w:val="21"/>
                          </w:rPr>
                          <w:t> </w:t>
                        </w:r>
                        <w:r>
                          <w:rPr>
                            <w:rFonts w:ascii="宋体" w:hAnsi="宋体" w:cs="宋体" w:eastAsia="宋体" w:hint="default"/>
                            <w:sz w:val="21"/>
                            <w:szCs w:val="21"/>
                          </w:rPr>
                          <w:t>日。公司独立董事、监事会</w:t>
                        </w:r>
                        <w:r>
                          <w:rPr>
                            <w:rFonts w:ascii="宋体" w:hAnsi="宋体" w:cs="宋体" w:eastAsia="宋体" w:hint="default"/>
                            <w:w w:val="100"/>
                            <w:sz w:val="21"/>
                            <w:szCs w:val="21"/>
                          </w:rPr>
                          <w:t> </w:t>
                        </w:r>
                        <w:r>
                          <w:rPr>
                            <w:rFonts w:ascii="宋体" w:hAnsi="宋体" w:cs="宋体" w:eastAsia="宋体" w:hint="default"/>
                            <w:spacing w:val="-2"/>
                            <w:sz w:val="21"/>
                            <w:szCs w:val="21"/>
                          </w:rPr>
                          <w:t>保荐机构均对此事项发表了相应的意见，认为本次调整不会偏离公司主营业务，不会对募集资金投资项目实施的整体效果产生负面影响，没</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有变相改变募集资金用途，不影响募集资金投资项目的正常实施，不存在损害公司及投资者利益的情形。公司已于</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日披露</w:t>
                        </w:r>
                        <w:r>
                          <w:rPr>
                            <w:rFonts w:ascii="宋体" w:hAnsi="宋体" w:cs="宋体" w:eastAsia="宋体" w:hint="default"/>
                            <w:w w:val="100"/>
                            <w:sz w:val="21"/>
                            <w:szCs w:val="21"/>
                          </w:rPr>
                          <w:t> </w:t>
                        </w:r>
                        <w:r>
                          <w:rPr>
                            <w:rFonts w:ascii="宋体" w:hAnsi="宋体" w:cs="宋体" w:eastAsia="宋体" w:hint="default"/>
                            <w:sz w:val="21"/>
                            <w:szCs w:val="21"/>
                          </w:rPr>
                          <w:t>了《关于调整部分募投项目投资进度的公告》及相关文件。</w:t>
                        </w:r>
                      </w:p>
                    </w:tc>
                  </w:tr>
                  <w:tr>
                    <w:trPr>
                      <w:trHeight w:val="818" w:hRule="exact"/>
                    </w:trPr>
                    <w:tc>
                      <w:tcPr>
                        <w:tcW w:w="24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未达到计划进度或预计收</w:t>
                        </w:r>
                      </w:p>
                      <w:p>
                        <w:pPr>
                          <w:pStyle w:val="TableParagraph"/>
                          <w:spacing w:line="272" w:lineRule="exact" w:before="27"/>
                          <w:ind w:left="24" w:right="99"/>
                          <w:jc w:val="left"/>
                          <w:rPr>
                            <w:rFonts w:ascii="宋体" w:hAnsi="宋体" w:cs="宋体" w:eastAsia="宋体" w:hint="default"/>
                            <w:sz w:val="21"/>
                            <w:szCs w:val="21"/>
                          </w:rPr>
                        </w:pPr>
                        <w:r>
                          <w:rPr>
                            <w:rFonts w:ascii="宋体" w:hAnsi="宋体" w:cs="宋体" w:eastAsia="宋体" w:hint="default"/>
                            <w:spacing w:val="-2"/>
                            <w:sz w:val="21"/>
                            <w:szCs w:val="21"/>
                          </w:rPr>
                          <w:t>益的情况和原因（分具体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项目）</w:t>
                        </w:r>
                      </w:p>
                    </w:tc>
                    <w:tc>
                      <w:tcPr>
                        <w:tcW w:w="12853" w:type="dxa"/>
                        <w:gridSpan w:val="10"/>
                        <w:vMerge/>
                        <w:tcBorders>
                          <w:left w:val="single" w:sz="10" w:space="0" w:color="D2D2D2"/>
                          <w:right w:val="single" w:sz="4" w:space="0" w:color="000000"/>
                        </w:tcBorders>
                      </w:tcPr>
                      <w:p>
                        <w:pPr/>
                      </w:p>
                    </w:tc>
                  </w:tr>
                  <w:tr>
                    <w:trPr>
                      <w:trHeight w:val="276" w:hRule="exact"/>
                    </w:trPr>
                    <w:tc>
                      <w:tcPr>
                        <w:tcW w:w="2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53" w:type="dxa"/>
                        <w:gridSpan w:val="10"/>
                        <w:vMerge/>
                        <w:tcBorders>
                          <w:left w:val="single" w:sz="10" w:space="0" w:color="D2D2D2"/>
                          <w:bottom w:val="single" w:sz="4" w:space="0" w:color="000000"/>
                          <w:right w:val="single" w:sz="4" w:space="0" w:color="000000"/>
                        </w:tcBorders>
                      </w:tcPr>
                      <w:p>
                        <w:pP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项目可行性发生重大变化</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的情况说明</w:t>
                        </w:r>
                      </w:p>
                    </w:tc>
                    <w:tc>
                      <w:tcPr>
                        <w:tcW w:w="1285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left="1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2449" w:type="dxa"/>
                        <w:vMerge w:val="restart"/>
                        <w:tcBorders>
                          <w:top w:val="single" w:sz="4" w:space="0" w:color="000000"/>
                          <w:left w:val="single" w:sz="4" w:space="0" w:color="000000"/>
                          <w:right w:val="single" w:sz="4" w:space="0" w:color="000000"/>
                        </w:tcBorders>
                        <w:shd w:val="clear" w:color="auto" w:fill="D2D2D2"/>
                      </w:tcPr>
                      <w:p>
                        <w:pPr/>
                      </w:p>
                    </w:tc>
                    <w:tc>
                      <w:tcPr>
                        <w:tcW w:w="128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37" w:hRule="exact"/>
                    </w:trPr>
                    <w:tc>
                      <w:tcPr>
                        <w:tcW w:w="2449" w:type="dxa"/>
                        <w:vMerge/>
                        <w:tcBorders>
                          <w:left w:val="single" w:sz="4" w:space="0" w:color="000000"/>
                          <w:bottom w:val="nil" w:sz="6" w:space="0" w:color="auto"/>
                          <w:right w:val="single" w:sz="4" w:space="0" w:color="000000"/>
                        </w:tcBorders>
                        <w:shd w:val="clear" w:color="auto" w:fill="D2D2D2"/>
                      </w:tcPr>
                      <w:p>
                        <w:pPr/>
                      </w:p>
                    </w:tc>
                    <w:tc>
                      <w:tcPr>
                        <w:tcW w:w="12853" w:type="dxa"/>
                        <w:gridSpan w:val="10"/>
                        <w:vMerge w:val="restart"/>
                        <w:tcBorders>
                          <w:top w:val="single" w:sz="4" w:space="0" w:color="000000"/>
                          <w:left w:val="single" w:sz="10" w:space="0" w:color="D2D2D2"/>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公司超募资金金额为</w:t>
                        </w:r>
                        <w:r>
                          <w:rPr>
                            <w:rFonts w:ascii="宋体" w:hAnsi="宋体" w:cs="宋体" w:eastAsia="宋体" w:hint="default"/>
                            <w:spacing w:val="-42"/>
                            <w:sz w:val="21"/>
                            <w:szCs w:val="21"/>
                          </w:rPr>
                          <w:t> </w:t>
                        </w:r>
                        <w:r>
                          <w:rPr>
                            <w:rFonts w:ascii="宋体" w:hAnsi="宋体" w:cs="宋体" w:eastAsia="宋体" w:hint="default"/>
                            <w:sz w:val="21"/>
                            <w:szCs w:val="21"/>
                          </w:rPr>
                          <w:t>3,387.92</w:t>
                        </w:r>
                        <w:r>
                          <w:rPr>
                            <w:rFonts w:ascii="宋体" w:hAnsi="宋体" w:cs="宋体" w:eastAsia="宋体" w:hint="default"/>
                            <w:spacing w:val="-46"/>
                            <w:sz w:val="21"/>
                            <w:szCs w:val="21"/>
                          </w:rPr>
                          <w:t> </w:t>
                        </w:r>
                        <w:r>
                          <w:rPr>
                            <w:rFonts w:ascii="宋体" w:hAnsi="宋体" w:cs="宋体" w:eastAsia="宋体" w:hint="default"/>
                            <w:spacing w:val="-5"/>
                            <w:sz w:val="21"/>
                            <w:szCs w:val="21"/>
                          </w:rPr>
                          <w:t>万元。</w:t>
                        </w:r>
                        <w:r>
                          <w:rPr>
                            <w:rFonts w:ascii="宋体" w:hAnsi="宋体" w:cs="宋体" w:eastAsia="宋体" w:hint="default"/>
                            <w:spacing w:val="-5"/>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17</w:t>
                        </w:r>
                        <w:r>
                          <w:rPr>
                            <w:rFonts w:ascii="宋体" w:hAnsi="宋体" w:cs="宋体" w:eastAsia="宋体" w:hint="default"/>
                            <w:spacing w:val="-42"/>
                            <w:sz w:val="21"/>
                            <w:szCs w:val="21"/>
                          </w:rPr>
                          <w:t> </w:t>
                        </w:r>
                        <w:r>
                          <w:rPr>
                            <w:rFonts w:ascii="宋体" w:hAnsi="宋体" w:cs="宋体" w:eastAsia="宋体" w:hint="default"/>
                            <w:spacing w:val="-3"/>
                            <w:sz w:val="21"/>
                            <w:szCs w:val="21"/>
                          </w:rPr>
                          <w:t>日，公司第一届董事会第十四次会议审议通过了《关于使用部分超募资金永久补充流动</w:t>
                        </w:r>
                      </w:p>
                      <w:p>
                        <w:pPr>
                          <w:pStyle w:val="TableParagraph"/>
                          <w:spacing w:line="272" w:lineRule="exact"/>
                          <w:ind w:left="20" w:right="0"/>
                          <w:jc w:val="left"/>
                          <w:rPr>
                            <w:rFonts w:ascii="宋体" w:hAnsi="宋体" w:cs="宋体" w:eastAsia="宋体" w:hint="default"/>
                            <w:sz w:val="21"/>
                            <w:szCs w:val="21"/>
                          </w:rPr>
                        </w:pPr>
                        <w:r>
                          <w:rPr>
                            <w:rFonts w:ascii="宋体" w:hAnsi="宋体" w:cs="宋体" w:eastAsia="宋体" w:hint="default"/>
                            <w:w w:val="100"/>
                            <w:sz w:val="21"/>
                            <w:szCs w:val="21"/>
                          </w:rPr>
                          <w:t>资金</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97"/>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意</w:t>
                        </w:r>
                        <w:r>
                          <w:rPr>
                            <w:rFonts w:ascii="宋体" w:hAnsi="宋体" w:cs="宋体" w:eastAsia="宋体" w:hint="default"/>
                            <w:w w:val="100"/>
                            <w:sz w:val="21"/>
                            <w:szCs w:val="21"/>
                          </w:rPr>
                          <w:t>公</w:t>
                        </w:r>
                        <w:r>
                          <w:rPr>
                            <w:rFonts w:ascii="宋体" w:hAnsi="宋体" w:cs="宋体" w:eastAsia="宋体" w:hint="default"/>
                            <w:spacing w:val="-3"/>
                            <w:w w:val="100"/>
                            <w:sz w:val="21"/>
                            <w:szCs w:val="21"/>
                          </w:rPr>
                          <w:t>司使</w:t>
                        </w:r>
                        <w:r>
                          <w:rPr>
                            <w:rFonts w:ascii="宋体" w:hAnsi="宋体" w:cs="宋体" w:eastAsia="宋体" w:hint="default"/>
                            <w:w w:val="100"/>
                            <w:sz w:val="21"/>
                            <w:szCs w:val="21"/>
                          </w:rPr>
                          <w:t>用超</w:t>
                        </w:r>
                        <w:r>
                          <w:rPr>
                            <w:rFonts w:ascii="宋体" w:hAnsi="宋体" w:cs="宋体" w:eastAsia="宋体" w:hint="default"/>
                            <w:spacing w:val="-3"/>
                            <w:w w:val="100"/>
                            <w:sz w:val="21"/>
                            <w:szCs w:val="21"/>
                          </w:rPr>
                          <w:t>募资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宋体" w:hAnsi="宋体" w:cs="宋体" w:eastAsia="宋体" w:hint="default"/>
                            <w:w w:val="100"/>
                            <w:sz w:val="21"/>
                            <w:szCs w:val="21"/>
                          </w:rPr>
                          <w:t>60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元永</w:t>
                        </w:r>
                        <w:r>
                          <w:rPr>
                            <w:rFonts w:ascii="宋体" w:hAnsi="宋体" w:cs="宋体" w:eastAsia="宋体" w:hint="default"/>
                            <w:w w:val="100"/>
                            <w:sz w:val="21"/>
                            <w:szCs w:val="21"/>
                          </w:rPr>
                          <w:t>久补</w:t>
                        </w:r>
                        <w:r>
                          <w:rPr>
                            <w:rFonts w:ascii="宋体" w:hAnsi="宋体" w:cs="宋体" w:eastAsia="宋体" w:hint="default"/>
                            <w:spacing w:val="-3"/>
                            <w:w w:val="100"/>
                            <w:sz w:val="21"/>
                            <w:szCs w:val="21"/>
                          </w:rPr>
                          <w:t>充</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spacing w:val="-97"/>
                            <w:w w:val="100"/>
                            <w:sz w:val="21"/>
                            <w:szCs w:val="21"/>
                          </w:rPr>
                          <w:t>，</w:t>
                        </w:r>
                        <w:r>
                          <w:rPr>
                            <w:rFonts w:ascii="宋体" w:hAnsi="宋体" w:cs="宋体" w:eastAsia="宋体" w:hint="default"/>
                            <w:w w:val="100"/>
                            <w:sz w:val="21"/>
                            <w:szCs w:val="21"/>
                          </w:rPr>
                          <w:t>仅</w:t>
                        </w:r>
                        <w:r>
                          <w:rPr>
                            <w:rFonts w:ascii="宋体" w:hAnsi="宋体" w:cs="宋体" w:eastAsia="宋体" w:hint="default"/>
                            <w:spacing w:val="-3"/>
                            <w:w w:val="100"/>
                            <w:sz w:val="21"/>
                            <w:szCs w:val="21"/>
                          </w:rPr>
                          <w:t>限</w:t>
                        </w:r>
                        <w:r>
                          <w:rPr>
                            <w:rFonts w:ascii="宋体" w:hAnsi="宋体" w:cs="宋体" w:eastAsia="宋体" w:hint="default"/>
                            <w:w w:val="100"/>
                            <w:sz w:val="21"/>
                            <w:szCs w:val="21"/>
                          </w:rPr>
                          <w:t>于</w:t>
                        </w:r>
                        <w:r>
                          <w:rPr>
                            <w:rFonts w:ascii="宋体" w:hAnsi="宋体" w:cs="宋体" w:eastAsia="宋体" w:hint="default"/>
                            <w:spacing w:val="-3"/>
                            <w:w w:val="100"/>
                            <w:sz w:val="21"/>
                            <w:szCs w:val="21"/>
                          </w:rPr>
                          <w:t>与</w:t>
                        </w:r>
                        <w:r>
                          <w:rPr>
                            <w:rFonts w:ascii="宋体" w:hAnsi="宋体" w:cs="宋体" w:eastAsia="宋体" w:hint="default"/>
                            <w:w w:val="100"/>
                            <w:sz w:val="21"/>
                            <w:szCs w:val="21"/>
                          </w:rPr>
                          <w:t>主营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的</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的</w:t>
                        </w:r>
                        <w:r>
                          <w:rPr>
                            <w:rFonts w:ascii="宋体" w:hAnsi="宋体" w:cs="宋体" w:eastAsia="宋体" w:hint="default"/>
                            <w:w w:val="100"/>
                            <w:sz w:val="21"/>
                            <w:szCs w:val="21"/>
                          </w:rPr>
                          <w:t>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已于</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012</w:t>
                        </w:r>
                      </w:p>
                      <w:p>
                        <w:pPr>
                          <w:pStyle w:val="TableParagraph"/>
                          <w:spacing w:line="271" w:lineRule="exact"/>
                          <w:ind w:left="2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日从募集资金专用账户转出。</w:t>
                        </w:r>
                      </w:p>
                      <w:p>
                        <w:pPr>
                          <w:pStyle w:val="TableParagraph"/>
                          <w:spacing w:line="273" w:lineRule="exact"/>
                          <w:ind w:left="20"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日止，公司剩余的超募资金尚未使用，存储于公司的募集资金专用账户。</w:t>
                        </w:r>
                      </w:p>
                    </w:tc>
                  </w:tr>
                  <w:tr>
                    <w:trPr>
                      <w:trHeight w:val="545" w:hRule="exact"/>
                    </w:trPr>
                    <w:tc>
                      <w:tcPr>
                        <w:tcW w:w="24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超募资金的金额、用途及</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使用进展情况</w:t>
                        </w:r>
                      </w:p>
                    </w:tc>
                    <w:tc>
                      <w:tcPr>
                        <w:tcW w:w="12853" w:type="dxa"/>
                        <w:gridSpan w:val="10"/>
                        <w:vMerge/>
                        <w:tcBorders>
                          <w:left w:val="single" w:sz="10" w:space="0" w:color="D2D2D2"/>
                          <w:right w:val="single" w:sz="4" w:space="0" w:color="000000"/>
                        </w:tcBorders>
                      </w:tcPr>
                      <w:p>
                        <w:pPr/>
                      </w:p>
                    </w:tc>
                  </w:tr>
                  <w:tr>
                    <w:trPr>
                      <w:trHeight w:val="418" w:hRule="exact"/>
                    </w:trPr>
                    <w:tc>
                      <w:tcPr>
                        <w:tcW w:w="2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53" w:type="dxa"/>
                        <w:gridSpan w:val="10"/>
                        <w:vMerge/>
                        <w:tcBorders>
                          <w:left w:val="single" w:sz="10" w:space="0" w:color="D2D2D2"/>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募集资金投资项目实施地</w:t>
                        </w:r>
                      </w:p>
                    </w:tc>
                    <w:tc>
                      <w:tcPr>
                        <w:tcW w:w="1285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15"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t>（</w:t>
      </w:r>
      <w:r>
        <w:rPr>
          <w:rFonts w:ascii="宋体" w:hAnsi="宋体" w:cs="宋体" w:eastAsia="宋体" w:hint="default"/>
        </w:rPr>
        <w:t>2</w:t>
      </w:r>
      <w:r>
        <w:rPr/>
        <w:t>）募集资金承诺项目情况</w:t>
      </w:r>
      <w:r>
        <w:rPr>
          <w:b w:val="0"/>
          <w:bCs w:val="0"/>
        </w:rPr>
      </w:r>
    </w:p>
    <w:p>
      <w:pPr>
        <w:pStyle w:val="BodyText"/>
        <w:spacing w:line="240" w:lineRule="auto" w:before="99"/>
        <w:ind w:left="0" w:right="863"/>
        <w:jc w:val="right"/>
      </w:pPr>
      <w:r>
        <w:rPr>
          <w:spacing w:val="-1"/>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36"/>
        <w:ind w:left="0" w:right="106"/>
        <w:jc w:val="right"/>
      </w:pPr>
      <w:r>
        <w:rPr>
          <w:w w:val="100"/>
        </w:rPr>
        <w:t>、</w:t>
      </w:r>
    </w:p>
    <w:p>
      <w:pPr>
        <w:spacing w:after="0" w:line="240" w:lineRule="auto"/>
        <w:jc w:val="right"/>
        <w:sectPr>
          <w:headerReference w:type="default" r:id="rId20"/>
          <w:footerReference w:type="default" r:id="rId21"/>
          <w:pgSz w:w="16840" w:h="11910" w:orient="landscape"/>
          <w:pgMar w:header="566" w:footer="980" w:top="1360" w:bottom="1160" w:left="660" w:right="580"/>
          <w:pgNumType w:start="20"/>
        </w:sectPr>
      </w:pPr>
    </w:p>
    <w:tbl>
      <w:tblPr>
        <w:tblW w:w="0" w:type="auto"/>
        <w:jc w:val="left"/>
        <w:tblInd w:w="104" w:type="dxa"/>
        <w:tblLayout w:type="fixed"/>
        <w:tblCellMar>
          <w:top w:w="0" w:type="dxa"/>
          <w:left w:w="0" w:type="dxa"/>
          <w:bottom w:w="0" w:type="dxa"/>
          <w:right w:w="0" w:type="dxa"/>
        </w:tblCellMar>
        <w:tblLook w:val="01E0"/>
      </w:tblPr>
      <w:tblGrid>
        <w:gridCol w:w="2452"/>
        <w:gridCol w:w="12849"/>
      </w:tblGrid>
      <w:tr>
        <w:trPr>
          <w:trHeight w:val="28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点变更情况</w:t>
            </w: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募集资金投资项目实施方</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式调整情况</w:t>
            </w: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24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2" w:right="103"/>
              <w:jc w:val="left"/>
              <w:rPr>
                <w:rFonts w:ascii="宋体" w:hAnsi="宋体" w:cs="宋体" w:eastAsia="宋体" w:hint="default"/>
                <w:sz w:val="21"/>
                <w:szCs w:val="21"/>
              </w:rPr>
            </w:pPr>
            <w:r>
              <w:rPr>
                <w:rFonts w:ascii="宋体" w:hAnsi="宋体" w:cs="宋体" w:eastAsia="宋体" w:hint="default"/>
                <w:spacing w:val="-2"/>
                <w:sz w:val="21"/>
                <w:szCs w:val="21"/>
              </w:rPr>
              <w:t>募集资金投资项目先期投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入及置换情况</w:t>
            </w: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099" w:hRule="exact"/>
        </w:trPr>
        <w:tc>
          <w:tcPr>
            <w:tcW w:w="2452" w:type="dxa"/>
            <w:vMerge/>
            <w:tcBorders>
              <w:left w:val="single" w:sz="4" w:space="0" w:color="000000"/>
              <w:bottom w:val="single" w:sz="4" w:space="0" w:color="000000"/>
              <w:right w:val="single" w:sz="4" w:space="0" w:color="000000"/>
            </w:tcBorders>
            <w:shd w:val="clear" w:color="auto" w:fill="D2D2D2"/>
          </w:tcPr>
          <w:p>
            <w:pP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公司已用募集资金置换预先已投入募集资金投资项目的自筹资金 </w:t>
            </w:r>
            <w:r>
              <w:rPr>
                <w:rFonts w:ascii="宋体" w:hAnsi="宋体" w:cs="宋体" w:eastAsia="宋体" w:hint="default"/>
                <w:sz w:val="21"/>
                <w:szCs w:val="21"/>
              </w:rPr>
              <w:t>17,232,648.19</w:t>
            </w:r>
            <w:r>
              <w:rPr>
                <w:rFonts w:ascii="宋体" w:hAnsi="宋体" w:cs="宋体" w:eastAsia="宋体" w:hint="default"/>
                <w:spacing w:val="-63"/>
                <w:sz w:val="21"/>
                <w:szCs w:val="21"/>
              </w:rPr>
              <w:t> </w:t>
            </w:r>
            <w:r>
              <w:rPr>
                <w:rFonts w:ascii="宋体" w:hAnsi="宋体" w:cs="宋体" w:eastAsia="宋体" w:hint="default"/>
                <w:sz w:val="21"/>
                <w:szCs w:val="21"/>
              </w:rPr>
              <w:t>元，并取得了华普天健会计师事务所（北京）有限公司于</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z w:val="21"/>
                <w:szCs w:val="21"/>
              </w:rPr>
              <w:t>日出具的会审字</w:t>
            </w:r>
            <w:r>
              <w:rPr>
                <w:rFonts w:ascii="宋体" w:hAnsi="宋体" w:cs="宋体" w:eastAsia="宋体" w:hint="default"/>
                <w:sz w:val="21"/>
                <w:szCs w:val="21"/>
              </w:rPr>
              <w:t>[2012]1346</w:t>
            </w:r>
            <w:r>
              <w:rPr>
                <w:rFonts w:ascii="宋体" w:hAnsi="宋体" w:cs="宋体" w:eastAsia="宋体" w:hint="default"/>
                <w:spacing w:val="-55"/>
                <w:sz w:val="21"/>
                <w:szCs w:val="21"/>
              </w:rPr>
              <w:t> </w:t>
            </w:r>
            <w:r>
              <w:rPr>
                <w:rFonts w:ascii="宋体" w:hAnsi="宋体" w:cs="宋体" w:eastAsia="宋体" w:hint="default"/>
                <w:sz w:val="21"/>
                <w:szCs w:val="21"/>
              </w:rPr>
              <w:t>号的鉴证报告。于</w:t>
            </w:r>
            <w:r>
              <w:rPr>
                <w:rFonts w:ascii="宋体" w:hAnsi="宋体" w:cs="宋体" w:eastAsia="宋体" w:hint="default"/>
                <w:spacing w:val="-53"/>
                <w:sz w:val="21"/>
                <w:szCs w:val="21"/>
              </w:rPr>
              <w:t> </w:t>
            </w: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公司第一届董事会第十四次会议审议通过了《关于使用</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募集资金置换预先投入募集资金投资项目的自筹资金的议案》</w:t>
            </w:r>
            <w:r>
              <w:rPr>
                <w:rFonts w:ascii="宋体" w:hAnsi="宋体" w:cs="宋体" w:eastAsia="宋体" w:hint="default"/>
                <w:sz w:val="21"/>
                <w:szCs w:val="21"/>
              </w:rPr>
              <w:t>,</w:t>
            </w:r>
            <w:r>
              <w:rPr>
                <w:rFonts w:ascii="宋体" w:hAnsi="宋体" w:cs="宋体" w:eastAsia="宋体" w:hint="default"/>
                <w:sz w:val="21"/>
                <w:szCs w:val="21"/>
              </w:rPr>
              <w:t>同意以 </w:t>
            </w:r>
            <w:r>
              <w:rPr>
                <w:rFonts w:ascii="宋体" w:hAnsi="宋体" w:cs="宋体" w:eastAsia="宋体" w:hint="default"/>
                <w:sz w:val="21"/>
                <w:szCs w:val="21"/>
              </w:rPr>
              <w:t>17,232,648.19</w:t>
            </w:r>
            <w:r>
              <w:rPr>
                <w:rFonts w:ascii="宋体" w:hAnsi="宋体" w:cs="宋体" w:eastAsia="宋体" w:hint="default"/>
                <w:spacing w:val="-64"/>
                <w:sz w:val="21"/>
                <w:szCs w:val="21"/>
              </w:rPr>
              <w:t> </w:t>
            </w:r>
            <w:r>
              <w:rPr>
                <w:rFonts w:ascii="宋体" w:hAnsi="宋体" w:cs="宋体" w:eastAsia="宋体" w:hint="default"/>
                <w:sz w:val="21"/>
                <w:szCs w:val="21"/>
              </w:rPr>
              <w:t>元募集资金置换前期投入募投项目的公司自筹资金。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公司独立董事、监事会及保荐机构已对该议案发表了明确的同意意见，公司已于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日完成募集资金置换事宜。</w:t>
            </w:r>
          </w:p>
        </w:tc>
      </w:tr>
      <w:tr>
        <w:trPr>
          <w:trHeight w:val="284" w:hRule="exact"/>
        </w:trPr>
        <w:tc>
          <w:tcPr>
            <w:tcW w:w="24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22" w:right="103"/>
              <w:jc w:val="left"/>
              <w:rPr>
                <w:rFonts w:ascii="宋体" w:hAnsi="宋体" w:cs="宋体" w:eastAsia="宋体" w:hint="default"/>
                <w:sz w:val="21"/>
                <w:szCs w:val="21"/>
              </w:rPr>
            </w:pPr>
            <w:r>
              <w:rPr>
                <w:rFonts w:ascii="宋体" w:hAnsi="宋体" w:cs="宋体" w:eastAsia="宋体" w:hint="default"/>
                <w:spacing w:val="-2"/>
                <w:sz w:val="21"/>
                <w:szCs w:val="21"/>
              </w:rPr>
              <w:t>用闲置募集资金暂时补充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流动资金情况</w:t>
            </w: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463" w:hRule="exact"/>
        </w:trPr>
        <w:tc>
          <w:tcPr>
            <w:tcW w:w="2452" w:type="dxa"/>
            <w:vMerge/>
            <w:tcBorders>
              <w:left w:val="single" w:sz="4" w:space="0" w:color="000000"/>
              <w:bottom w:val="single" w:sz="4" w:space="0" w:color="000000"/>
              <w:right w:val="single" w:sz="4" w:space="0" w:color="000000"/>
            </w:tcBorders>
            <w:shd w:val="clear" w:color="auto" w:fill="D2D2D2"/>
          </w:tcPr>
          <w:p>
            <w:pP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4</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17</w:t>
            </w:r>
            <w:r>
              <w:rPr>
                <w:rFonts w:ascii="宋体" w:hAnsi="宋体" w:cs="宋体" w:eastAsia="宋体" w:hint="default"/>
                <w:spacing w:val="-54"/>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司第</w:t>
            </w:r>
            <w:r>
              <w:rPr>
                <w:rFonts w:ascii="宋体" w:hAnsi="宋体" w:cs="宋体" w:eastAsia="宋体" w:hint="default"/>
                <w:spacing w:val="-3"/>
                <w:w w:val="100"/>
                <w:sz w:val="21"/>
                <w:szCs w:val="21"/>
              </w:rPr>
              <w:t>一</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四</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使</w:t>
            </w:r>
            <w:r>
              <w:rPr>
                <w:rFonts w:ascii="宋体" w:hAnsi="宋体" w:cs="宋体" w:eastAsia="宋体" w:hint="default"/>
                <w:w w:val="100"/>
                <w:sz w:val="21"/>
                <w:szCs w:val="21"/>
              </w:rPr>
              <w:t>用部</w:t>
            </w:r>
            <w:r>
              <w:rPr>
                <w:rFonts w:ascii="宋体" w:hAnsi="宋体" w:cs="宋体" w:eastAsia="宋体" w:hint="default"/>
                <w:spacing w:val="-3"/>
                <w:w w:val="100"/>
                <w:sz w:val="21"/>
                <w:szCs w:val="21"/>
              </w:rPr>
              <w:t>分</w:t>
            </w:r>
            <w:r>
              <w:rPr>
                <w:rFonts w:ascii="宋体" w:hAnsi="宋体" w:cs="宋体" w:eastAsia="宋体" w:hint="default"/>
                <w:w w:val="100"/>
                <w:sz w:val="21"/>
                <w:szCs w:val="21"/>
              </w:rPr>
              <w:t>闲</w:t>
            </w:r>
            <w:r>
              <w:rPr>
                <w:rFonts w:ascii="宋体" w:hAnsi="宋体" w:cs="宋体" w:eastAsia="宋体" w:hint="default"/>
                <w:spacing w:val="-3"/>
                <w:w w:val="100"/>
                <w:sz w:val="21"/>
                <w:szCs w:val="21"/>
              </w:rPr>
              <w:t>置</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暂</w:t>
            </w:r>
            <w:r>
              <w:rPr>
                <w:rFonts w:ascii="宋体" w:hAnsi="宋体" w:cs="宋体" w:eastAsia="宋体" w:hint="default"/>
                <w:spacing w:val="-3"/>
                <w:w w:val="100"/>
                <w:sz w:val="21"/>
                <w:szCs w:val="21"/>
              </w:rPr>
              <w:t>时</w:t>
            </w:r>
            <w:r>
              <w:rPr>
                <w:rFonts w:ascii="宋体" w:hAnsi="宋体" w:cs="宋体" w:eastAsia="宋体" w:hint="default"/>
                <w:w w:val="100"/>
                <w:sz w:val="21"/>
                <w:szCs w:val="21"/>
              </w:rPr>
              <w:t>补充</w:t>
            </w:r>
            <w:r>
              <w:rPr>
                <w:rFonts w:ascii="宋体" w:hAnsi="宋体" w:cs="宋体" w:eastAsia="宋体" w:hint="default"/>
                <w:spacing w:val="-3"/>
                <w:w w:val="100"/>
                <w:sz w:val="21"/>
                <w:szCs w:val="21"/>
              </w:rPr>
              <w:t>流</w:t>
            </w:r>
            <w:r>
              <w:rPr>
                <w:rFonts w:ascii="宋体" w:hAnsi="宋体" w:cs="宋体" w:eastAsia="宋体" w:hint="default"/>
                <w:w w:val="100"/>
                <w:sz w:val="21"/>
                <w:szCs w:val="21"/>
              </w:rPr>
              <w:t>动</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意公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使用</w:t>
            </w:r>
          </w:p>
          <w:p>
            <w:pPr>
              <w:pStyle w:val="TableParagraph"/>
              <w:spacing w:line="272" w:lineRule="exact" w:before="27"/>
              <w:ind w:left="23" w:right="14"/>
              <w:jc w:val="left"/>
              <w:rPr>
                <w:rFonts w:ascii="宋体" w:hAnsi="宋体" w:cs="宋体" w:eastAsia="宋体" w:hint="default"/>
                <w:sz w:val="21"/>
                <w:szCs w:val="21"/>
              </w:rPr>
            </w:pPr>
            <w:r>
              <w:rPr>
                <w:rFonts w:ascii="宋体" w:hAnsi="宋体" w:cs="宋体" w:eastAsia="宋体" w:hint="default"/>
                <w:sz w:val="21"/>
                <w:szCs w:val="21"/>
              </w:rPr>
              <w:t>闲置的</w:t>
            </w:r>
            <w:r>
              <w:rPr>
                <w:rFonts w:ascii="宋体" w:hAnsi="宋体" w:cs="宋体" w:eastAsia="宋体" w:hint="default"/>
                <w:spacing w:val="-31"/>
                <w:sz w:val="21"/>
                <w:szCs w:val="21"/>
              </w:rPr>
              <w:t> </w:t>
            </w:r>
            <w:r>
              <w:rPr>
                <w:rFonts w:ascii="宋体" w:hAnsi="宋体" w:cs="宋体" w:eastAsia="宋体" w:hint="default"/>
                <w:sz w:val="21"/>
                <w:szCs w:val="21"/>
              </w:rPr>
              <w:t>1,600.00</w:t>
            </w:r>
            <w:r>
              <w:rPr>
                <w:rFonts w:ascii="宋体" w:hAnsi="宋体" w:cs="宋体" w:eastAsia="宋体" w:hint="default"/>
                <w:spacing w:val="-30"/>
                <w:sz w:val="21"/>
                <w:szCs w:val="21"/>
              </w:rPr>
              <w:t> </w:t>
            </w:r>
            <w:r>
              <w:rPr>
                <w:rFonts w:ascii="宋体" w:hAnsi="宋体" w:cs="宋体" w:eastAsia="宋体" w:hint="default"/>
                <w:spacing w:val="-3"/>
                <w:sz w:val="21"/>
                <w:szCs w:val="21"/>
              </w:rPr>
              <w:t>万元（不超过本次募集资金净额的</w:t>
            </w:r>
            <w:r>
              <w:rPr>
                <w:rFonts w:ascii="宋体" w:hAnsi="宋体" w:cs="宋体" w:eastAsia="宋体" w:hint="default"/>
                <w:spacing w:val="-36"/>
                <w:sz w:val="21"/>
                <w:szCs w:val="21"/>
              </w:rPr>
              <w:t> </w:t>
            </w:r>
            <w:r>
              <w:rPr>
                <w:rFonts w:ascii="宋体" w:hAnsi="宋体" w:cs="宋体" w:eastAsia="宋体" w:hint="default"/>
                <w:spacing w:val="-3"/>
                <w:sz w:val="21"/>
                <w:szCs w:val="21"/>
              </w:rPr>
              <w:t>10%</w:t>
            </w:r>
            <w:r>
              <w:rPr>
                <w:rFonts w:ascii="宋体" w:hAnsi="宋体" w:cs="宋体" w:eastAsia="宋体" w:hint="default"/>
                <w:spacing w:val="-3"/>
                <w:sz w:val="21"/>
                <w:szCs w:val="21"/>
              </w:rPr>
              <w:t>）募集资金暂时补充公司流动资金，仅限于与主营业务相关的生产经营使用。使用期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限为自该项资金从募集资金专用账户转出之日起不超过</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pacing w:val="-4"/>
                <w:sz w:val="21"/>
                <w:szCs w:val="21"/>
              </w:rPr>
              <w:t>个月。公司独立董事发表了独立意见，保荐机构发表了核查意见。公司于</w:t>
            </w:r>
            <w:r>
              <w:rPr>
                <w:rFonts w:ascii="宋体" w:hAnsi="宋体" w:cs="宋体" w:eastAsia="宋体" w:hint="default"/>
                <w:spacing w:val="-43"/>
                <w:sz w:val="21"/>
                <w:szCs w:val="21"/>
              </w:rPr>
              <w:t> </w:t>
            </w:r>
            <w:r>
              <w:rPr>
                <w:rFonts w:ascii="宋体" w:hAnsi="宋体" w:cs="宋体" w:eastAsia="宋体" w:hint="default"/>
                <w:sz w:val="21"/>
                <w:szCs w:val="21"/>
              </w:rPr>
              <w:t>2012</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p>
          <w:p>
            <w:pPr>
              <w:pStyle w:val="TableParagraph"/>
              <w:spacing w:line="272" w:lineRule="exact" w:before="1"/>
              <w:ind w:left="23" w:right="10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日共计使用闲置募集资金补充流动资金</w:t>
            </w:r>
            <w:r>
              <w:rPr>
                <w:rFonts w:ascii="宋体" w:hAnsi="宋体" w:cs="宋体" w:eastAsia="宋体" w:hint="default"/>
                <w:spacing w:val="-53"/>
                <w:sz w:val="21"/>
                <w:szCs w:val="21"/>
              </w:rPr>
              <w:t> </w:t>
            </w:r>
            <w:r>
              <w:rPr>
                <w:rFonts w:ascii="宋体" w:hAnsi="宋体" w:cs="宋体" w:eastAsia="宋体" w:hint="default"/>
                <w:sz w:val="21"/>
                <w:szCs w:val="21"/>
              </w:rPr>
              <w:t>1,600.00</w:t>
            </w:r>
            <w:r>
              <w:rPr>
                <w:rFonts w:ascii="宋体" w:hAnsi="宋体" w:cs="宋体" w:eastAsia="宋体" w:hint="default"/>
                <w:spacing w:val="-55"/>
                <w:sz w:val="21"/>
                <w:szCs w:val="21"/>
              </w:rPr>
              <w:t> </w:t>
            </w:r>
            <w:r>
              <w:rPr>
                <w:rFonts w:ascii="宋体" w:hAnsi="宋体" w:cs="宋体" w:eastAsia="宋体" w:hint="default"/>
                <w:sz w:val="21"/>
                <w:szCs w:val="21"/>
              </w:rPr>
              <w:t>万元。公司已于</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日将用于暂时补充流动资金的</w:t>
            </w:r>
            <w:r>
              <w:rPr>
                <w:rFonts w:ascii="宋体" w:hAnsi="宋体" w:cs="宋体" w:eastAsia="宋体" w:hint="default"/>
                <w:w w:val="100"/>
                <w:sz w:val="21"/>
                <w:szCs w:val="21"/>
              </w:rPr>
              <w:t> </w:t>
            </w:r>
            <w:r>
              <w:rPr>
                <w:rFonts w:ascii="宋体" w:hAnsi="宋体" w:cs="宋体" w:eastAsia="宋体" w:hint="default"/>
                <w:spacing w:val="-1"/>
                <w:sz w:val="21"/>
                <w:szCs w:val="21"/>
              </w:rPr>
              <w:t>闲置募集资金</w:t>
            </w:r>
            <w:r>
              <w:rPr>
                <w:rFonts w:ascii="宋体" w:hAnsi="宋体" w:cs="宋体" w:eastAsia="宋体" w:hint="default"/>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pacing w:val="-1"/>
                <w:sz w:val="21"/>
                <w:szCs w:val="21"/>
              </w:rPr>
              <w:t>600.00</w:t>
            </w:r>
            <w:r>
              <w:rPr>
                <w:rFonts w:ascii="宋体" w:hAnsi="宋体" w:cs="宋体" w:eastAsia="宋体" w:hint="default"/>
                <w:spacing w:val="-13"/>
                <w:sz w:val="21"/>
                <w:szCs w:val="21"/>
              </w:rPr>
              <w:t> </w:t>
            </w:r>
            <w:r>
              <w:rPr>
                <w:rFonts w:ascii="宋体" w:hAnsi="宋体" w:cs="宋体" w:eastAsia="宋体" w:hint="default"/>
                <w:spacing w:val="-2"/>
                <w:sz w:val="21"/>
                <w:szCs w:val="21"/>
              </w:rPr>
              <w:t>万元全部归还至公司募集资金专用账户，同时将募集资金归还情况通知了保荐机构和保荐代表人。</w:t>
            </w:r>
          </w:p>
          <w:p>
            <w:pPr>
              <w:pStyle w:val="TableParagraph"/>
              <w:spacing w:line="272" w:lineRule="exact" w:before="1"/>
              <w:ind w:left="23" w:right="14"/>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8"/>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50"/>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11</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宋体" w:hAnsi="宋体" w:cs="宋体" w:eastAsia="宋体" w:hint="default"/>
                <w:w w:val="100"/>
                <w:sz w:val="21"/>
                <w:szCs w:val="21"/>
              </w:rPr>
              <w:t>9</w:t>
            </w:r>
            <w:r>
              <w:rPr>
                <w:rFonts w:ascii="宋体" w:hAnsi="宋体" w:cs="宋体" w:eastAsia="宋体" w:hint="default"/>
                <w:spacing w:val="-52"/>
                <w:w w:val="100"/>
                <w:sz w:val="21"/>
                <w:szCs w:val="21"/>
              </w:rPr>
              <w:t> </w:t>
            </w:r>
            <w:r>
              <w:rPr>
                <w:rFonts w:ascii="宋体" w:hAnsi="宋体" w:cs="宋体" w:eastAsia="宋体" w:hint="default"/>
                <w:spacing w:val="-4"/>
                <w:w w:val="100"/>
                <w:sz w:val="21"/>
                <w:szCs w:val="21"/>
              </w:rPr>
              <w:t>日，公司第一届董事会第十七次会议审议通过了《关于继续使用部分闲置募集资金暂时补充流动资金的议案》，同意公司</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继续使用部分闲置的</w:t>
            </w:r>
            <w:r>
              <w:rPr>
                <w:rFonts w:ascii="宋体" w:hAnsi="宋体" w:cs="宋体" w:eastAsia="宋体" w:hint="default"/>
                <w:spacing w:val="-60"/>
                <w:sz w:val="21"/>
                <w:szCs w:val="21"/>
              </w:rPr>
              <w:t> </w:t>
            </w:r>
            <w:r>
              <w:rPr>
                <w:rFonts w:ascii="宋体" w:hAnsi="宋体" w:cs="宋体" w:eastAsia="宋体" w:hint="default"/>
                <w:sz w:val="21"/>
                <w:szCs w:val="21"/>
              </w:rPr>
              <w:t>1,600</w:t>
            </w:r>
            <w:r>
              <w:rPr>
                <w:rFonts w:ascii="宋体" w:hAnsi="宋体" w:cs="宋体" w:eastAsia="宋体" w:hint="default"/>
                <w:spacing w:val="-16"/>
                <w:sz w:val="21"/>
                <w:szCs w:val="21"/>
              </w:rPr>
              <w:t> </w:t>
            </w:r>
            <w:r>
              <w:rPr>
                <w:rFonts w:ascii="宋体" w:hAnsi="宋体" w:cs="宋体" w:eastAsia="宋体" w:hint="default"/>
                <w:sz w:val="21"/>
                <w:szCs w:val="21"/>
              </w:rPr>
              <w:t>万元（不超过本次募集资金净额的</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z w:val="21"/>
                <w:szCs w:val="21"/>
              </w:rPr>
              <w:t>）募集资金暂时补充流动资金，用于与主营业务相关的生产经营活动，使</w:t>
            </w:r>
          </w:p>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z w:val="21"/>
                <w:szCs w:val="21"/>
              </w:rPr>
              <w:t>用期限为自该项资金从募集资金专用账户转出之日起不超过 </w:t>
            </w: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pacing w:val="-4"/>
                <w:sz w:val="21"/>
                <w:szCs w:val="21"/>
              </w:rPr>
              <w:t>个月。公司独立董事发表了独立意见，保荐机构发表了核查意见。本次继续使</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用的闲置募集资金已于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日从募集资金专用账户转出。</w:t>
            </w:r>
          </w:p>
        </w:tc>
      </w:tr>
      <w:tr>
        <w:trPr>
          <w:trHeight w:val="281" w:hRule="exact"/>
        </w:trPr>
        <w:tc>
          <w:tcPr>
            <w:tcW w:w="2452"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项目实施出现募集资金结</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余的金额及原因</w:t>
            </w: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452" w:type="dxa"/>
            <w:vMerge/>
            <w:tcBorders>
              <w:left w:val="single" w:sz="4" w:space="0" w:color="000000"/>
              <w:bottom w:val="single" w:sz="4" w:space="0" w:color="000000"/>
              <w:right w:val="single" w:sz="4" w:space="0" w:color="000000"/>
            </w:tcBorders>
            <w:shd w:val="clear" w:color="auto" w:fill="D2D2D2"/>
          </w:tcPr>
          <w:p>
            <w:pP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尚未使用的募集资金用途</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及去向</w:t>
            </w: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尚未使用的募集资金（包括超募资金）全部存储在公司募集资金银行专户中，按募集资金管理办法严格管理和使用。</w:t>
            </w:r>
          </w:p>
        </w:tc>
      </w:tr>
      <w:tr>
        <w:trPr>
          <w:trHeight w:val="554"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募集资金使用及披露中存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在的问题或其他情况</w:t>
            </w:r>
          </w:p>
        </w:tc>
        <w:tc>
          <w:tcPr>
            <w:tcW w:w="1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566" w:footer="980" w:top="1440" w:bottom="1160" w:left="660" w:right="640"/>
        </w:sectPr>
      </w:pPr>
    </w:p>
    <w:p>
      <w:pPr>
        <w:spacing w:line="240" w:lineRule="auto" w:before="8"/>
        <w:rPr>
          <w:rFonts w:ascii="宋体" w:hAnsi="宋体" w:cs="宋体" w:eastAsia="宋体" w:hint="default"/>
          <w:sz w:val="27"/>
          <w:szCs w:val="27"/>
        </w:rPr>
      </w:pPr>
      <w:r>
        <w:rPr/>
        <w:pict>
          <v:group style="position:absolute;margin-left:54.84pt;margin-top:28.299982pt;width:485.65pt;height:40.15pt;mso-position-horizontal-relative:page;mso-position-vertical-relative:page;z-index:-64933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spacing w:line="326" w:lineRule="auto" w:before="36"/>
        <w:ind w:left="573" w:right="435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报告期内，公司不存在募集资金变更项目的情况。</w:t>
      </w:r>
    </w:p>
    <w:p>
      <w:pPr>
        <w:spacing w:line="326" w:lineRule="auto" w:before="19"/>
        <w:ind w:left="573" w:right="435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）非募集资金投资的重大项目情况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报告期内，公司不存在非募集资金投资的重大项目。</w:t>
      </w:r>
    </w:p>
    <w:p>
      <w:pPr>
        <w:spacing w:line="324" w:lineRule="auto" w:before="21"/>
        <w:ind w:left="678" w:right="4350" w:hanging="52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）证券投资情况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报告期内，公司未发生证券投资的情况。</w:t>
      </w:r>
    </w:p>
    <w:p>
      <w:pPr>
        <w:spacing w:line="326" w:lineRule="auto" w:before="23"/>
        <w:ind w:left="678" w:right="4350" w:hanging="52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）持有其他上市公司股权情况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报告期内，公司未持有其他上市公司的股权。</w:t>
      </w:r>
    </w:p>
    <w:p>
      <w:pPr>
        <w:spacing w:line="326" w:lineRule="auto" w:before="19"/>
        <w:ind w:left="678" w:right="4350" w:hanging="52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）持有非上市金融企业股权情况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报告期内，公司未持有非上市金融企业股权。</w:t>
      </w:r>
    </w:p>
    <w:p>
      <w:pPr>
        <w:spacing w:line="326" w:lineRule="auto" w:before="19"/>
        <w:ind w:left="678" w:right="4350" w:hanging="52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）买卖其他上市公司股份的情况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报告期内，公司未曾买卖其他上市公司的股份。</w:t>
      </w:r>
    </w:p>
    <w:p>
      <w:pPr>
        <w:spacing w:line="410" w:lineRule="auto" w:before="124"/>
        <w:ind w:left="573" w:right="435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9</w:t>
      </w:r>
      <w:r>
        <w:rPr>
          <w:rFonts w:ascii="宋体" w:hAnsi="宋体" w:cs="宋体" w:eastAsia="宋体" w:hint="default"/>
          <w:b/>
          <w:bCs/>
          <w:sz w:val="21"/>
          <w:szCs w:val="21"/>
        </w:rPr>
        <w:t>）外币金融资产和外币金融负债</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报告期内，公司不存在外币金融资产和外币金融负债。</w:t>
      </w:r>
    </w:p>
    <w:p>
      <w:pPr>
        <w:pStyle w:val="Heading5"/>
        <w:spacing w:line="218" w:lineRule="exact"/>
        <w:ind w:right="4"/>
        <w:jc w:val="left"/>
        <w:rPr>
          <w:b w:val="0"/>
          <w:bCs w:val="0"/>
        </w:rPr>
      </w:pPr>
      <w:r>
        <w:rPr>
          <w:rFonts w:ascii="宋体" w:hAnsi="宋体" w:cs="宋体" w:eastAsia="宋体" w:hint="default"/>
        </w:rPr>
        <w:t>6</w:t>
      </w:r>
      <w:r>
        <w:rPr/>
        <w:t>、主要控股参股公司分析</w:t>
      </w:r>
      <w:r>
        <w:rPr>
          <w:b w:val="0"/>
          <w:bCs w:val="0"/>
        </w:rPr>
      </w:r>
    </w:p>
    <w:p>
      <w:pPr>
        <w:spacing w:line="240" w:lineRule="auto" w:before="9"/>
        <w:rPr>
          <w:rFonts w:ascii="宋体" w:hAnsi="宋体" w:cs="宋体" w:eastAsia="宋体" w:hint="default"/>
          <w:b/>
          <w:bCs/>
          <w:sz w:val="17"/>
          <w:szCs w:val="17"/>
        </w:rPr>
      </w:pPr>
    </w:p>
    <w:p>
      <w:pPr>
        <w:spacing w:line="321" w:lineRule="auto" w:before="0"/>
        <w:ind w:left="678" w:right="4" w:hanging="10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）沈阳荣科全濠科技有限公司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荣科全濠成立于</w:t>
      </w:r>
      <w:r>
        <w:rPr>
          <w:rFonts w:ascii="宋体" w:hAnsi="宋体" w:cs="宋体" w:eastAsia="宋体" w:hint="default"/>
          <w:spacing w:val="-2"/>
          <w:sz w:val="21"/>
          <w:szCs w:val="21"/>
        </w:rPr>
        <w:t>2009</w:t>
      </w:r>
      <w:r>
        <w:rPr>
          <w:rFonts w:ascii="宋体" w:hAnsi="宋体" w:cs="宋体" w:eastAsia="宋体" w:hint="default"/>
          <w:spacing w:val="-2"/>
          <w:sz w:val="21"/>
          <w:szCs w:val="21"/>
        </w:rPr>
        <w:t>年</w:t>
      </w:r>
      <w:r>
        <w:rPr>
          <w:rFonts w:ascii="宋体" w:hAnsi="宋体" w:cs="宋体" w:eastAsia="宋体" w:hint="default"/>
          <w:spacing w:val="-2"/>
          <w:sz w:val="21"/>
          <w:szCs w:val="21"/>
        </w:rPr>
        <w:t>9</w:t>
      </w:r>
      <w:r>
        <w:rPr>
          <w:rFonts w:ascii="宋体" w:hAnsi="宋体" w:cs="宋体" w:eastAsia="宋体" w:hint="default"/>
          <w:spacing w:val="-2"/>
          <w:sz w:val="21"/>
          <w:szCs w:val="21"/>
        </w:rPr>
        <w:t>月</w:t>
      </w:r>
      <w:r>
        <w:rPr>
          <w:rFonts w:ascii="宋体" w:hAnsi="宋体" w:cs="宋体" w:eastAsia="宋体" w:hint="default"/>
          <w:spacing w:val="-2"/>
          <w:sz w:val="21"/>
          <w:szCs w:val="21"/>
        </w:rPr>
        <w:t>21</w:t>
      </w:r>
      <w:r>
        <w:rPr>
          <w:rFonts w:ascii="宋体" w:hAnsi="宋体" w:cs="宋体" w:eastAsia="宋体" w:hint="default"/>
          <w:spacing w:val="-2"/>
          <w:sz w:val="21"/>
          <w:szCs w:val="21"/>
        </w:rPr>
        <w:t>日，是一家由荣科科技控股</w:t>
      </w:r>
      <w:r>
        <w:rPr>
          <w:rFonts w:ascii="宋体" w:hAnsi="宋体" w:cs="宋体" w:eastAsia="宋体" w:hint="default"/>
          <w:spacing w:val="-2"/>
          <w:sz w:val="21"/>
          <w:szCs w:val="21"/>
        </w:rPr>
        <w:t>70%</w:t>
      </w:r>
      <w:r>
        <w:rPr>
          <w:rFonts w:ascii="宋体" w:hAnsi="宋体" w:cs="宋体" w:eastAsia="宋体" w:hint="default"/>
          <w:spacing w:val="-2"/>
          <w:sz w:val="21"/>
          <w:szCs w:val="21"/>
        </w:rPr>
        <w:t>的科技公司，合资方全濠科技股份有限</w:t>
      </w:r>
    </w:p>
    <w:p>
      <w:pPr>
        <w:pStyle w:val="BodyText"/>
        <w:spacing w:line="201" w:lineRule="exact"/>
        <w:ind w:right="4"/>
        <w:jc w:val="left"/>
      </w:pPr>
      <w:r>
        <w:rPr/>
        <w:t>公司是一家注册于台湾的企业，成立于</w:t>
      </w:r>
      <w:r>
        <w:rPr>
          <w:rFonts w:ascii="宋体" w:hAnsi="宋体" w:cs="宋体" w:eastAsia="宋体" w:hint="default"/>
        </w:rPr>
        <w:t>1993</w:t>
      </w:r>
      <w:r>
        <w:rPr/>
        <w:t>年</w:t>
      </w:r>
      <w:r>
        <w:rPr>
          <w:rFonts w:ascii="宋体" w:hAnsi="宋体" w:cs="宋体" w:eastAsia="宋体" w:hint="default"/>
        </w:rPr>
        <w:t>11</w:t>
      </w:r>
      <w:r>
        <w:rPr/>
        <w:t>月</w:t>
      </w:r>
      <w:r>
        <w:rPr>
          <w:rFonts w:ascii="宋体" w:hAnsi="宋体" w:cs="宋体" w:eastAsia="宋体" w:hint="default"/>
        </w:rPr>
        <w:t>2</w:t>
      </w:r>
      <w:r>
        <w:rPr/>
        <w:t>日，资本额为新台币</w:t>
      </w:r>
      <w:r>
        <w:rPr>
          <w:rFonts w:ascii="宋体" w:hAnsi="宋体" w:cs="宋体" w:eastAsia="宋体" w:hint="default"/>
        </w:rPr>
        <w:t>6,000</w:t>
      </w:r>
      <w:r>
        <w:rPr/>
        <w:t>万元，实收新台币</w:t>
      </w:r>
      <w:r>
        <w:rPr>
          <w:rFonts w:ascii="宋体" w:hAnsi="宋体" w:cs="宋体" w:eastAsia="宋体" w:hint="default"/>
        </w:rPr>
        <w:t>3,570</w:t>
      </w:r>
      <w:r>
        <w:rPr/>
        <w:t>万</w:t>
      </w:r>
    </w:p>
    <w:p>
      <w:pPr>
        <w:pStyle w:val="BodyText"/>
        <w:spacing w:line="272" w:lineRule="exact" w:before="26"/>
        <w:ind w:right="4"/>
        <w:jc w:val="left"/>
      </w:pPr>
      <w:r>
        <w:rPr>
          <w:spacing w:val="-2"/>
        </w:rPr>
        <w:t>元，负责人为王吉明，所在地位台北县中和市中正路</w:t>
      </w:r>
      <w:r>
        <w:rPr>
          <w:rFonts w:ascii="宋体" w:hAnsi="宋体" w:cs="宋体" w:eastAsia="宋体" w:hint="default"/>
          <w:spacing w:val="-2"/>
        </w:rPr>
        <w:t>965</w:t>
      </w:r>
      <w:r>
        <w:rPr>
          <w:spacing w:val="-2"/>
        </w:rPr>
        <w:t>号</w:t>
      </w:r>
      <w:r>
        <w:rPr>
          <w:rFonts w:ascii="宋体" w:hAnsi="宋体" w:cs="宋体" w:eastAsia="宋体" w:hint="default"/>
          <w:spacing w:val="-2"/>
        </w:rPr>
        <w:t>11</w:t>
      </w:r>
      <w:r>
        <w:rPr>
          <w:spacing w:val="-2"/>
        </w:rPr>
        <w:t>楼，营业项目为电器及试听电子产品制造业、</w:t>
      </w:r>
      <w:r>
        <w:rPr>
          <w:spacing w:val="-37"/>
        </w:rPr>
        <w:t> </w:t>
      </w:r>
      <w:r>
        <w:rPr>
          <w:spacing w:val="-37"/>
        </w:rPr>
      </w:r>
      <w:r>
        <w:rPr/>
        <w:t>有线通信机械器材制造业以及无线通信机械器材制造业等。</w:t>
      </w:r>
    </w:p>
    <w:p>
      <w:pPr>
        <w:pStyle w:val="BodyText"/>
        <w:spacing w:line="272" w:lineRule="exact" w:before="1"/>
        <w:ind w:right="4" w:firstLine="526"/>
        <w:jc w:val="left"/>
      </w:pPr>
      <w:r>
        <w:rPr>
          <w:spacing w:val="-2"/>
        </w:rPr>
        <w:t>荣科全濠注册资本</w:t>
      </w:r>
      <w:r>
        <w:rPr>
          <w:rFonts w:ascii="宋体" w:hAnsi="宋体" w:cs="宋体" w:eastAsia="宋体" w:hint="default"/>
          <w:spacing w:val="-2"/>
        </w:rPr>
        <w:t>500</w:t>
      </w:r>
      <w:r>
        <w:rPr>
          <w:spacing w:val="-2"/>
        </w:rPr>
        <w:t>万元，实收资本</w:t>
      </w:r>
      <w:r>
        <w:rPr>
          <w:rFonts w:ascii="宋体" w:hAnsi="宋体" w:cs="宋体" w:eastAsia="宋体" w:hint="default"/>
          <w:spacing w:val="-2"/>
        </w:rPr>
        <w:t>500</w:t>
      </w:r>
      <w:r>
        <w:rPr>
          <w:spacing w:val="-2"/>
        </w:rPr>
        <w:t>万元。该公司注册地址为沈阳市浑南新区浑南四路</w:t>
      </w:r>
      <w:r>
        <w:rPr>
          <w:rFonts w:ascii="宋体" w:hAnsi="宋体" w:cs="宋体" w:eastAsia="宋体" w:hint="default"/>
          <w:spacing w:val="-2"/>
        </w:rPr>
        <w:t>1</w:t>
      </w:r>
      <w:r>
        <w:rPr>
          <w:spacing w:val="-2"/>
        </w:rPr>
        <w:t>号富腾</w:t>
      </w:r>
      <w:r>
        <w:rPr>
          <w:spacing w:val="-3"/>
          <w:w w:val="100"/>
        </w:rPr>
        <w:t> </w:t>
      </w:r>
      <w:r>
        <w:rPr/>
        <w:t>国际</w:t>
      </w:r>
      <w:r>
        <w:rPr>
          <w:rFonts w:ascii="宋体" w:hAnsi="宋体" w:cs="宋体" w:eastAsia="宋体" w:hint="default"/>
        </w:rPr>
        <w:t>B</w:t>
      </w:r>
      <w:r>
        <w:rPr/>
        <w:t>座</w:t>
      </w:r>
      <w:r>
        <w:rPr>
          <w:rFonts w:ascii="宋体" w:hAnsi="宋体" w:cs="宋体" w:eastAsia="宋体" w:hint="default"/>
        </w:rPr>
        <w:t>14</w:t>
      </w:r>
      <w:r>
        <w:rPr/>
        <w:t>层</w:t>
      </w:r>
      <w:r>
        <w:rPr>
          <w:rFonts w:ascii="宋体" w:hAnsi="宋体" w:cs="宋体" w:eastAsia="宋体" w:hint="default"/>
        </w:rPr>
        <w:t>21</w:t>
      </w:r>
      <w:r>
        <w:rPr/>
        <w:t>号，主要从事通信信息技术、监控软硬件产品的开发及咨询服务等业务。</w:t>
      </w:r>
    </w:p>
    <w:p>
      <w:pPr>
        <w:pStyle w:val="BodyText"/>
        <w:spacing w:line="272" w:lineRule="exact" w:before="1"/>
        <w:ind w:right="4" w:firstLine="526"/>
        <w:jc w:val="left"/>
      </w:pP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日，荣科全濠总资产</w:t>
      </w:r>
      <w:r>
        <w:rPr>
          <w:rFonts w:ascii="宋体" w:hAnsi="宋体" w:cs="宋体" w:eastAsia="宋体" w:hint="default"/>
          <w:spacing w:val="-2"/>
        </w:rPr>
        <w:t>489.50</w:t>
      </w:r>
      <w:r>
        <w:rPr>
          <w:spacing w:val="-2"/>
        </w:rPr>
        <w:t>万元，净资产</w:t>
      </w:r>
      <w:r>
        <w:rPr>
          <w:rFonts w:ascii="宋体" w:hAnsi="宋体" w:cs="宋体" w:eastAsia="宋体" w:hint="default"/>
          <w:spacing w:val="-2"/>
        </w:rPr>
        <w:t>488.44</w:t>
      </w:r>
      <w:r>
        <w:rPr>
          <w:spacing w:val="-2"/>
        </w:rPr>
        <w:t>万元，</w:t>
      </w:r>
      <w:r>
        <w:rPr>
          <w:rFonts w:ascii="宋体" w:hAnsi="宋体" w:cs="宋体" w:eastAsia="宋体" w:hint="default"/>
          <w:spacing w:val="-2"/>
        </w:rPr>
        <w:t>2012</w:t>
      </w:r>
      <w:r>
        <w:rPr>
          <w:spacing w:val="-2"/>
        </w:rPr>
        <w:t>年实现净利润</w:t>
      </w:r>
      <w:r>
        <w:rPr>
          <w:rFonts w:ascii="宋体" w:hAnsi="宋体" w:cs="宋体" w:eastAsia="宋体" w:hint="default"/>
          <w:spacing w:val="-2"/>
        </w:rPr>
        <w:t>-21.15</w:t>
      </w:r>
      <w:r>
        <w:rPr>
          <w:rFonts w:ascii="宋体" w:hAnsi="宋体" w:cs="宋体" w:eastAsia="宋体" w:hint="default"/>
          <w:w w:val="100"/>
        </w:rPr>
        <w:t> </w:t>
      </w:r>
      <w:r>
        <w:rPr/>
        <w:t>万元。</w:t>
      </w:r>
    </w:p>
    <w:p>
      <w:pPr>
        <w:spacing w:line="321" w:lineRule="auto" w:before="70"/>
        <w:ind w:left="678" w:right="4" w:hanging="10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）辽宁荣科金融服务有限公司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荣科金融成立于</w:t>
      </w:r>
      <w:r>
        <w:rPr>
          <w:rFonts w:ascii="宋体" w:hAnsi="宋体" w:cs="宋体" w:eastAsia="宋体" w:hint="default"/>
          <w:spacing w:val="-2"/>
          <w:sz w:val="21"/>
          <w:szCs w:val="21"/>
        </w:rPr>
        <w:t>2010</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w:t>
      </w:r>
      <w:r>
        <w:rPr>
          <w:rFonts w:ascii="宋体" w:hAnsi="宋体" w:cs="宋体" w:eastAsia="宋体" w:hint="default"/>
          <w:spacing w:val="-2"/>
          <w:sz w:val="21"/>
          <w:szCs w:val="21"/>
        </w:rPr>
        <w:t>9</w:t>
      </w:r>
      <w:r>
        <w:rPr>
          <w:rFonts w:ascii="宋体" w:hAnsi="宋体" w:cs="宋体" w:eastAsia="宋体" w:hint="default"/>
          <w:spacing w:val="-2"/>
          <w:sz w:val="21"/>
          <w:szCs w:val="21"/>
        </w:rPr>
        <w:t>日，成立时注册资本</w:t>
      </w:r>
      <w:r>
        <w:rPr>
          <w:rFonts w:ascii="宋体" w:hAnsi="宋体" w:cs="宋体" w:eastAsia="宋体" w:hint="default"/>
          <w:spacing w:val="-2"/>
          <w:sz w:val="21"/>
          <w:szCs w:val="21"/>
        </w:rPr>
        <w:t>500</w:t>
      </w:r>
      <w:r>
        <w:rPr>
          <w:rFonts w:ascii="宋体" w:hAnsi="宋体" w:cs="宋体" w:eastAsia="宋体" w:hint="default"/>
          <w:spacing w:val="-2"/>
          <w:sz w:val="21"/>
          <w:szCs w:val="21"/>
        </w:rPr>
        <w:t>万元，为本公司募投项目“金融</w:t>
      </w:r>
      <w:r>
        <w:rPr>
          <w:rFonts w:ascii="宋体" w:hAnsi="宋体" w:cs="宋体" w:eastAsia="宋体" w:hint="default"/>
          <w:spacing w:val="-2"/>
          <w:sz w:val="21"/>
          <w:szCs w:val="21"/>
        </w:rPr>
        <w:t>IT</w:t>
      </w:r>
      <w:r>
        <w:rPr>
          <w:rFonts w:ascii="宋体" w:hAnsi="宋体" w:cs="宋体" w:eastAsia="宋体" w:hint="default"/>
          <w:spacing w:val="-2"/>
          <w:sz w:val="21"/>
          <w:szCs w:val="21"/>
        </w:rPr>
        <w:t>外包服务基地</w:t>
      </w:r>
    </w:p>
    <w:p>
      <w:pPr>
        <w:pStyle w:val="BodyText"/>
        <w:spacing w:line="200" w:lineRule="exact"/>
        <w:ind w:right="4"/>
        <w:jc w:val="left"/>
        <w:rPr>
          <w:rFonts w:ascii="宋体" w:hAnsi="宋体" w:cs="宋体" w:eastAsia="宋体" w:hint="default"/>
        </w:rPr>
      </w:pPr>
      <w:r>
        <w:rPr/>
        <w:t>建设项目“的实施主体。报告期内，公司以募投资金先后两次向其增资共</w:t>
      </w:r>
      <w:r>
        <w:rPr>
          <w:rFonts w:ascii="宋体" w:hAnsi="宋体" w:cs="宋体" w:eastAsia="宋体" w:hint="default"/>
        </w:rPr>
        <w:t>2,500</w:t>
      </w:r>
      <w:r>
        <w:rPr/>
        <w:t>万元，截至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p>
    <w:p>
      <w:pPr>
        <w:pStyle w:val="BodyText"/>
        <w:spacing w:line="237" w:lineRule="auto"/>
        <w:ind w:right="184"/>
        <w:jc w:val="both"/>
      </w:pPr>
      <w:r>
        <w:rPr>
          <w:spacing w:val="-2"/>
        </w:rPr>
        <w:t>日，该公司注册资本</w:t>
      </w:r>
      <w:r>
        <w:rPr>
          <w:rFonts w:ascii="宋体" w:hAnsi="宋体" w:cs="宋体" w:eastAsia="宋体" w:hint="default"/>
          <w:spacing w:val="-2"/>
        </w:rPr>
        <w:t>3,000</w:t>
      </w:r>
      <w:r>
        <w:rPr>
          <w:spacing w:val="-2"/>
        </w:rPr>
        <w:t>万元，实收资本</w:t>
      </w:r>
      <w:r>
        <w:rPr>
          <w:rFonts w:ascii="宋体" w:hAnsi="宋体" w:cs="宋体" w:eastAsia="宋体" w:hint="default"/>
          <w:spacing w:val="-2"/>
        </w:rPr>
        <w:t>3,000</w:t>
      </w:r>
      <w:r>
        <w:rPr>
          <w:spacing w:val="-2"/>
        </w:rPr>
        <w:t>万元，为本司全资子公司。荣科金融注册地和主要生产经</w:t>
      </w:r>
      <w:r>
        <w:rPr>
          <w:spacing w:val="-38"/>
        </w:rPr>
        <w:t> </w:t>
      </w:r>
      <w:r>
        <w:rPr>
          <w:spacing w:val="-38"/>
        </w:rPr>
      </w:r>
      <w:r>
        <w:rPr>
          <w:spacing w:val="-2"/>
        </w:rPr>
        <w:t>营地为辽宁省铁岭市新城区金沙江路如意大厦</w:t>
      </w:r>
      <w:r>
        <w:rPr>
          <w:rFonts w:ascii="宋体" w:hAnsi="宋体" w:cs="宋体" w:eastAsia="宋体" w:hint="default"/>
          <w:spacing w:val="-2"/>
        </w:rPr>
        <w:t>5</w:t>
      </w:r>
      <w:r>
        <w:rPr>
          <w:spacing w:val="-2"/>
        </w:rPr>
        <w:t>、</w:t>
      </w:r>
      <w:r>
        <w:rPr>
          <w:rFonts w:ascii="宋体" w:hAnsi="宋体" w:cs="宋体" w:eastAsia="宋体" w:hint="default"/>
          <w:spacing w:val="-2"/>
        </w:rPr>
        <w:t>6</w:t>
      </w:r>
      <w:r>
        <w:rPr>
          <w:spacing w:val="-2"/>
        </w:rPr>
        <w:t>层，主要从事金融服务咨询、计算机软硬件技术开发、</w:t>
      </w:r>
      <w:r>
        <w:rPr>
          <w:spacing w:val="-18"/>
        </w:rPr>
        <w:t> </w:t>
      </w:r>
      <w:r>
        <w:rPr>
          <w:spacing w:val="-18"/>
        </w:rPr>
      </w:r>
      <w:r>
        <w:rPr/>
        <w:t>计算机系统集成及咨询服务等业务。</w:t>
      </w:r>
    </w:p>
    <w:p>
      <w:pPr>
        <w:pStyle w:val="BodyText"/>
        <w:spacing w:line="272" w:lineRule="exact" w:before="26"/>
        <w:ind w:right="4" w:firstLine="526"/>
        <w:jc w:val="left"/>
      </w:pPr>
      <w:r>
        <w:rPr>
          <w:spacing w:val="-5"/>
        </w:rPr>
        <w:t>截至</w:t>
      </w:r>
      <w:r>
        <w:rPr>
          <w:rFonts w:ascii="宋体" w:hAnsi="宋体" w:cs="宋体" w:eastAsia="宋体" w:hint="default"/>
          <w:spacing w:val="-5"/>
        </w:rPr>
        <w:t>2012</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日，荣科金融总资产</w:t>
      </w:r>
      <w:r>
        <w:rPr>
          <w:rFonts w:ascii="宋体" w:hAnsi="宋体" w:cs="宋体" w:eastAsia="宋体" w:hint="default"/>
          <w:spacing w:val="-5"/>
        </w:rPr>
        <w:t>4,354.45</w:t>
      </w:r>
      <w:r>
        <w:rPr>
          <w:spacing w:val="-5"/>
        </w:rPr>
        <w:t>万元，净资产</w:t>
      </w:r>
      <w:r>
        <w:rPr>
          <w:rFonts w:ascii="宋体" w:hAnsi="宋体" w:cs="宋体" w:eastAsia="宋体" w:hint="default"/>
          <w:spacing w:val="-5"/>
        </w:rPr>
        <w:t>3,030.38</w:t>
      </w:r>
      <w:r>
        <w:rPr>
          <w:spacing w:val="-5"/>
        </w:rPr>
        <w:t>万元，</w:t>
      </w:r>
      <w:r>
        <w:rPr>
          <w:rFonts w:ascii="宋体" w:hAnsi="宋体" w:cs="宋体" w:eastAsia="宋体" w:hint="default"/>
          <w:spacing w:val="-5"/>
        </w:rPr>
        <w:t>2012</w:t>
      </w:r>
      <w:r>
        <w:rPr>
          <w:spacing w:val="-5"/>
        </w:rPr>
        <w:t>年实现净利润</w:t>
      </w:r>
      <w:r>
        <w:rPr>
          <w:rFonts w:ascii="宋体" w:hAnsi="宋体" w:cs="宋体" w:eastAsia="宋体" w:hint="default"/>
          <w:spacing w:val="-5"/>
        </w:rPr>
        <w:t>23.40</w:t>
      </w:r>
      <w:r>
        <w:rPr>
          <w:rFonts w:ascii="宋体" w:hAnsi="宋体" w:cs="宋体" w:eastAsia="宋体" w:hint="default"/>
          <w:w w:val="100"/>
        </w:rPr>
        <w:t> </w:t>
      </w:r>
      <w:r>
        <w:rPr/>
        <w:t>万元。</w:t>
      </w:r>
    </w:p>
    <w:p>
      <w:pPr>
        <w:spacing w:line="321" w:lineRule="auto" w:before="70"/>
        <w:ind w:left="678" w:right="4" w:hanging="10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）北京荣科爱信科技有限公司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荣科爱信成立于</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4</w:t>
      </w:r>
      <w:r>
        <w:rPr>
          <w:rFonts w:ascii="宋体" w:hAnsi="宋体" w:cs="宋体" w:eastAsia="宋体" w:hint="default"/>
          <w:spacing w:val="-2"/>
          <w:sz w:val="21"/>
          <w:szCs w:val="21"/>
        </w:rPr>
        <w:t>日，注册资本</w:t>
      </w:r>
      <w:r>
        <w:rPr>
          <w:rFonts w:ascii="宋体" w:hAnsi="宋体" w:cs="宋体" w:eastAsia="宋体" w:hint="default"/>
          <w:spacing w:val="-2"/>
          <w:sz w:val="21"/>
          <w:szCs w:val="21"/>
        </w:rPr>
        <w:t>100</w:t>
      </w:r>
      <w:r>
        <w:rPr>
          <w:rFonts w:ascii="宋体" w:hAnsi="宋体" w:cs="宋体" w:eastAsia="宋体" w:hint="default"/>
          <w:spacing w:val="-2"/>
          <w:sz w:val="21"/>
          <w:szCs w:val="21"/>
        </w:rPr>
        <w:t>万元，实收资本</w:t>
      </w:r>
      <w:r>
        <w:rPr>
          <w:rFonts w:ascii="宋体" w:hAnsi="宋体" w:cs="宋体" w:eastAsia="宋体" w:hint="default"/>
          <w:spacing w:val="-2"/>
          <w:sz w:val="21"/>
          <w:szCs w:val="21"/>
        </w:rPr>
        <w:t>100</w:t>
      </w:r>
      <w:r>
        <w:rPr>
          <w:rFonts w:ascii="宋体" w:hAnsi="宋体" w:cs="宋体" w:eastAsia="宋体" w:hint="default"/>
          <w:spacing w:val="-2"/>
          <w:sz w:val="21"/>
          <w:szCs w:val="21"/>
        </w:rPr>
        <w:t>万元，为本公司全资子公司。该公</w:t>
      </w:r>
    </w:p>
    <w:p>
      <w:pPr>
        <w:pStyle w:val="BodyText"/>
        <w:spacing w:line="200" w:lineRule="exact"/>
        <w:ind w:right="4"/>
        <w:jc w:val="left"/>
      </w:pPr>
      <w:r>
        <w:rPr/>
        <w:t>司注册地和主要生产经营地为北京市海淀区上地三街</w:t>
      </w:r>
      <w:r>
        <w:rPr>
          <w:rFonts w:ascii="宋体" w:hAnsi="宋体" w:cs="宋体" w:eastAsia="宋体" w:hint="default"/>
        </w:rPr>
        <w:t>9</w:t>
      </w:r>
      <w:r>
        <w:rPr/>
        <w:t>号</w:t>
      </w:r>
      <w:r>
        <w:rPr>
          <w:rFonts w:ascii="宋体" w:hAnsi="宋体" w:cs="宋体" w:eastAsia="宋体" w:hint="default"/>
        </w:rPr>
        <w:t>A</w:t>
      </w:r>
      <w:r>
        <w:rPr/>
        <w:t>座</w:t>
      </w:r>
      <w:r>
        <w:rPr>
          <w:rFonts w:ascii="宋体" w:hAnsi="宋体" w:cs="宋体" w:eastAsia="宋体" w:hint="default"/>
        </w:rPr>
        <w:t>6</w:t>
      </w:r>
      <w:r>
        <w:rPr/>
        <w:t>层</w:t>
      </w:r>
      <w:r>
        <w:rPr>
          <w:rFonts w:ascii="宋体" w:hAnsi="宋体" w:cs="宋体" w:eastAsia="宋体" w:hint="default"/>
        </w:rPr>
        <w:t>A701</w:t>
      </w:r>
      <w:r>
        <w:rPr/>
        <w:t>室，主要从事行业软件开发。</w:t>
      </w:r>
    </w:p>
    <w:p>
      <w:pPr>
        <w:pStyle w:val="BodyText"/>
        <w:spacing w:line="273" w:lineRule="exact"/>
        <w:ind w:left="678" w:right="4"/>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日，荣科爱信总资产</w:t>
      </w:r>
      <w:r>
        <w:rPr>
          <w:rFonts w:ascii="宋体" w:hAnsi="宋体" w:cs="宋体" w:eastAsia="宋体" w:hint="default"/>
        </w:rPr>
        <w:t>152.65</w:t>
      </w:r>
      <w:r>
        <w:rPr/>
        <w:t>万元，净资产</w:t>
      </w:r>
      <w:r>
        <w:rPr>
          <w:rFonts w:ascii="宋体" w:hAnsi="宋体" w:cs="宋体" w:eastAsia="宋体" w:hint="default"/>
        </w:rPr>
        <w:t>116.89</w:t>
      </w:r>
      <w:r>
        <w:rPr/>
        <w:t>万元，</w:t>
      </w:r>
      <w:r>
        <w:rPr>
          <w:rFonts w:ascii="宋体" w:hAnsi="宋体" w:cs="宋体" w:eastAsia="宋体" w:hint="default"/>
        </w:rPr>
        <w:t>2012</w:t>
      </w:r>
      <w:r>
        <w:rPr/>
        <w:t>年实现净利润</w:t>
      </w:r>
      <w:r>
        <w:rPr>
          <w:rFonts w:ascii="宋体" w:hAnsi="宋体" w:cs="宋体" w:eastAsia="宋体" w:hint="default"/>
        </w:rPr>
        <w:t>6.91</w:t>
      </w:r>
      <w:r>
        <w:rPr/>
        <w:t>万</w:t>
      </w:r>
    </w:p>
    <w:p>
      <w:pPr>
        <w:pStyle w:val="Heading5"/>
        <w:spacing w:line="321" w:lineRule="auto"/>
        <w:ind w:right="6777"/>
        <w:jc w:val="left"/>
        <w:rPr>
          <w:b w:val="0"/>
          <w:bCs w:val="0"/>
        </w:rPr>
      </w:pPr>
      <w:r>
        <w:rPr>
          <w:rFonts w:ascii="宋体" w:hAnsi="宋体" w:cs="宋体" w:eastAsia="宋体" w:hint="default"/>
          <w:b w:val="0"/>
          <w:bCs w:val="0"/>
        </w:rPr>
        <w:t>元。</w:t>
      </w:r>
      <w:r>
        <w:rPr>
          <w:rFonts w:ascii="宋体" w:hAnsi="宋体" w:cs="宋体" w:eastAsia="宋体" w:hint="default"/>
          <w:b w:val="0"/>
          <w:bCs w:val="0"/>
          <w:spacing w:val="-103"/>
        </w:rPr>
        <w:t> </w:t>
      </w:r>
      <w:r>
        <w:rPr>
          <w:rFonts w:ascii="宋体" w:hAnsi="宋体" w:cs="宋体" w:eastAsia="宋体" w:hint="default"/>
        </w:rPr>
        <w:t>7</w:t>
      </w:r>
      <w:r>
        <w:rPr/>
        <w:t>、公司控制的特殊目的主体情况</w:t>
      </w:r>
      <w:r>
        <w:rPr>
          <w:b w:val="0"/>
          <w:bCs w:val="0"/>
        </w:rPr>
      </w:r>
    </w:p>
    <w:p>
      <w:pPr>
        <w:pStyle w:val="BodyText"/>
        <w:spacing w:line="240" w:lineRule="auto" w:before="110"/>
        <w:ind w:left="575" w:right="4"/>
        <w:jc w:val="left"/>
      </w:pPr>
      <w:r>
        <w:rPr/>
        <w:t>报告期内，公司不存在控制的特殊目的的主体。</w:t>
      </w:r>
    </w:p>
    <w:p>
      <w:pPr>
        <w:spacing w:after="0" w:line="240" w:lineRule="auto"/>
        <w:jc w:val="left"/>
        <w:sectPr>
          <w:headerReference w:type="default" r:id="rId22"/>
          <w:footerReference w:type="default" r:id="rId23"/>
          <w:pgSz w:w="11910" w:h="16840"/>
          <w:pgMar w:header="884" w:footer="979" w:top="1100" w:bottom="1160" w:left="980" w:right="920"/>
          <w:pgNumType w:start="22"/>
        </w:sectPr>
      </w:pPr>
    </w:p>
    <w:p>
      <w:pPr>
        <w:spacing w:line="240" w:lineRule="auto" w:before="8"/>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150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4"/>
        <w:spacing w:line="240" w:lineRule="auto" w:before="26"/>
        <w:ind w:right="4"/>
        <w:jc w:val="left"/>
        <w:rPr>
          <w:b w:val="0"/>
          <w:bCs w:val="0"/>
        </w:rPr>
      </w:pPr>
      <w:r>
        <w:rPr/>
        <w:t>三、公司未来发展的展望</w:t>
      </w:r>
      <w:r>
        <w:rPr>
          <w:b w:val="0"/>
          <w:bCs w:val="0"/>
        </w:rPr>
      </w:r>
    </w:p>
    <w:p>
      <w:pPr>
        <w:pStyle w:val="Heading5"/>
        <w:spacing w:line="340" w:lineRule="auto" w:before="201"/>
        <w:ind w:left="575" w:right="7409" w:hanging="106"/>
        <w:jc w:val="left"/>
        <w:rPr>
          <w:b w:val="0"/>
          <w:bCs w:val="0"/>
        </w:rPr>
      </w:pPr>
      <w:r>
        <w:rPr/>
        <w:t>（一）行业格局和趋势</w:t>
      </w:r>
      <w:r>
        <w:rPr>
          <w:w w:val="100"/>
        </w:rPr>
        <w:t> </w:t>
      </w:r>
      <w:r>
        <w:rPr>
          <w:rFonts w:ascii="宋体" w:hAnsi="宋体" w:cs="宋体" w:eastAsia="宋体" w:hint="default"/>
        </w:rPr>
        <w:t>1</w:t>
      </w:r>
      <w:r>
        <w:rPr/>
        <w:t>、行业格局</w:t>
      </w:r>
      <w:r>
        <w:rPr>
          <w:b w:val="0"/>
          <w:bCs w:val="0"/>
        </w:rPr>
      </w:r>
    </w:p>
    <w:p>
      <w:pPr>
        <w:pStyle w:val="BodyText"/>
        <w:spacing w:line="237" w:lineRule="auto" w:before="33"/>
        <w:ind w:right="4" w:firstLine="420"/>
        <w:jc w:val="left"/>
      </w:pPr>
      <w:r>
        <w:rPr/>
        <w:t>过去十年</w:t>
      </w:r>
      <w:r>
        <w:rPr>
          <w:rFonts w:ascii="宋体" w:hAnsi="宋体" w:cs="宋体" w:eastAsia="宋体" w:hint="default"/>
        </w:rPr>
        <w:t>,</w:t>
      </w:r>
      <w:r>
        <w:rPr/>
        <w:t>中国的软件产业和企业经历了高速的增长。未来产业将呈现三个趋势：以软件开发、运营</w:t>
      </w:r>
      <w:r>
        <w:rPr>
          <w:w w:val="100"/>
        </w:rPr>
        <w:t> </w:t>
      </w:r>
      <w:r>
        <w:rPr>
          <w:spacing w:val="-2"/>
        </w:rPr>
        <w:t>服务等为代表的高端服务将成为软件产业发展的重点；产品与服务融合的趋势明显</w:t>
      </w:r>
      <w:r>
        <w:rPr>
          <w:rFonts w:ascii="宋体" w:hAnsi="宋体" w:cs="宋体" w:eastAsia="宋体" w:hint="default"/>
          <w:spacing w:val="-2"/>
        </w:rPr>
        <w:t>,</w:t>
      </w:r>
      <w:r>
        <w:rPr>
          <w:spacing w:val="-2"/>
        </w:rPr>
        <w:t>产业集中度不断增加；</w:t>
      </w:r>
      <w:r>
        <w:rPr>
          <w:spacing w:val="-42"/>
        </w:rPr>
        <w:t> </w:t>
      </w:r>
      <w:r>
        <w:rPr>
          <w:spacing w:val="-42"/>
        </w:rPr>
      </w:r>
      <w:r>
        <w:rPr/>
        <w:t>技术变革推动产业模式和竞争格局发生变化。</w:t>
      </w:r>
    </w:p>
    <w:p>
      <w:pPr>
        <w:pStyle w:val="BodyText"/>
        <w:spacing w:line="394" w:lineRule="exact" w:before="46"/>
        <w:ind w:left="573" w:right="4" w:firstLine="2"/>
        <w:jc w:val="left"/>
      </w:pPr>
      <w:r>
        <w:rPr>
          <w:rFonts w:ascii="宋体" w:hAnsi="宋体" w:cs="宋体" w:eastAsia="宋体" w:hint="default"/>
          <w:b/>
          <w:bCs/>
        </w:rPr>
        <w:t>2</w:t>
      </w:r>
      <w:r>
        <w:rPr>
          <w:rFonts w:ascii="宋体" w:hAnsi="宋体" w:cs="宋体" w:eastAsia="宋体" w:hint="default"/>
          <w:b/>
          <w:bCs/>
        </w:rPr>
        <w:t>、行业发展趋势</w:t>
      </w:r>
      <w:r>
        <w:rPr>
          <w:rFonts w:ascii="宋体" w:hAnsi="宋体" w:cs="宋体" w:eastAsia="宋体" w:hint="default"/>
          <w:b/>
          <w:bCs/>
          <w:w w:val="100"/>
        </w:rPr>
        <w:t> </w:t>
      </w:r>
      <w:r>
        <w:rPr>
          <w:spacing w:val="-2"/>
        </w:rPr>
        <w:t>“十二五”时期，是我国软件和信息技术服务业加快发展和提升的重要战略机遇期。软件和信息技术</w:t>
      </w:r>
    </w:p>
    <w:p>
      <w:pPr>
        <w:pStyle w:val="BodyText"/>
        <w:spacing w:line="222" w:lineRule="exact"/>
        <w:ind w:right="4"/>
        <w:jc w:val="left"/>
      </w:pPr>
      <w:r>
        <w:rPr/>
        <w:t>服务向经济社会各个领域的融合渗透不断深化，行业应用需求更为强劲，这为软件和信息技术服务业带来</w:t>
      </w:r>
    </w:p>
    <w:p>
      <w:pPr>
        <w:pStyle w:val="BodyText"/>
        <w:spacing w:line="237" w:lineRule="auto" w:before="2"/>
        <w:ind w:right="4"/>
        <w:jc w:val="left"/>
      </w:pPr>
      <w:r>
        <w:rPr>
          <w:spacing w:val="-5"/>
        </w:rPr>
        <w:t>了更为广阔的创新发展空间。软件和信息技术服务业“十二五”发展规划指出，要面向政府、金融、通信、</w:t>
      </w:r>
      <w:r>
        <w:rPr>
          <w:spacing w:val="-7"/>
        </w:rPr>
        <w:t> </w:t>
      </w:r>
      <w:r>
        <w:rPr>
          <w:spacing w:val="-7"/>
        </w:rPr>
      </w:r>
      <w:r>
        <w:rPr>
          <w:spacing w:val="-2"/>
        </w:rPr>
        <w:t>交通、贸易、物流、能源等领域的行业信息化需求，重视社会民生领域软件研发，提高在科技、教育、医</w:t>
      </w:r>
      <w:r>
        <w:rPr>
          <w:spacing w:val="-45"/>
        </w:rPr>
        <w:t> </w:t>
      </w:r>
      <w:r>
        <w:rPr>
          <w:spacing w:val="-45"/>
        </w:rPr>
      </w:r>
      <w:r>
        <w:rPr>
          <w:spacing w:val="-2"/>
        </w:rPr>
        <w:t>疗、社保、环保和安全生产等领域的应用水平，大力支持面向生活领域的软件开发和消费型信息服务业发</w:t>
      </w:r>
      <w:r>
        <w:rPr>
          <w:spacing w:val="-44"/>
        </w:rPr>
        <w:t> </w:t>
      </w:r>
      <w:r>
        <w:rPr>
          <w:spacing w:val="-44"/>
        </w:rPr>
      </w:r>
      <w:r>
        <w:rPr/>
        <w:t>展，满足人民群众日益增长的物质生活和精神文化新需求。</w:t>
      </w:r>
    </w:p>
    <w:p>
      <w:pPr>
        <w:pStyle w:val="BodyText"/>
        <w:tabs>
          <w:tab w:pos="8979" w:val="left" w:leader="none"/>
        </w:tabs>
        <w:spacing w:line="237" w:lineRule="auto" w:before="1"/>
        <w:ind w:right="100" w:firstLine="420"/>
        <w:jc w:val="left"/>
      </w:pPr>
      <w:r>
        <w:rPr>
          <w:spacing w:val="-5"/>
        </w:rPr>
        <w:t>“十二五”期间城镇化是内需增长的最大动力，是经济结构调整的重要依托，城镇化将发挥拉动消费、</w:t>
      </w:r>
      <w:r>
        <w:rPr>
          <w:w w:val="100"/>
        </w:rPr>
        <w:t> </w:t>
      </w:r>
      <w:r>
        <w:rPr/>
        <w:t>扩大和优化投资、改善民生的多重效应。预计“十二五”期间城镇人口将从</w:t>
      </w:r>
      <w:r>
        <w:rPr>
          <w:rFonts w:ascii="宋体" w:hAnsi="宋体" w:cs="宋体" w:eastAsia="宋体" w:hint="default"/>
        </w:rPr>
        <w:t>2011</w:t>
      </w:r>
      <w:r>
        <w:rPr/>
        <w:t>年的</w:t>
      </w:r>
      <w:r>
        <w:rPr>
          <w:rFonts w:ascii="宋体" w:hAnsi="宋体" w:cs="宋体" w:eastAsia="宋体" w:hint="default"/>
        </w:rPr>
        <w:t>47.5%</w:t>
      </w:r>
      <w:r>
        <w:rPr/>
        <w:t>提高至</w:t>
      </w:r>
      <w:r>
        <w:rPr>
          <w:rFonts w:ascii="宋体" w:hAnsi="宋体" w:cs="宋体" w:eastAsia="宋体" w:hint="default"/>
        </w:rPr>
        <w:t>51.5%</w:t>
      </w:r>
      <w:r>
        <w:rPr/>
        <w:t>，</w:t>
      </w:r>
      <w:r>
        <w:rPr>
          <w:w w:val="100"/>
        </w:rPr>
        <w:t> </w:t>
      </w:r>
      <w:r>
        <w:rPr/>
        <w:t>“不完全城镇人口”将转化为“完全城镇人口”。过去信息化与工业化的深度融合增加了供给，现在信息</w:t>
      </w:r>
      <w:r>
        <w:rPr>
          <w:w w:val="100"/>
        </w:rPr>
        <w:t> </w:t>
      </w:r>
      <w:r>
        <w:rPr/>
        <w:t>化将与城镇化深度融合则有望创造供给。目前来看，“智慧城市”是信息化与城镇化结合的最佳模式。截</w:t>
      </w:r>
      <w:r>
        <w:rPr>
          <w:w w:val="100"/>
        </w:rPr>
        <w:t> </w:t>
      </w:r>
      <w:r>
        <w:rPr>
          <w:spacing w:val="-2"/>
        </w:rPr>
        <w:t>至目前我国提出智慧城市建设的城市总数达到了</w:t>
      </w:r>
      <w:r>
        <w:rPr>
          <w:rFonts w:ascii="宋体" w:hAnsi="宋体" w:cs="宋体" w:eastAsia="宋体" w:hint="default"/>
          <w:spacing w:val="-2"/>
        </w:rPr>
        <w:t>154</w:t>
      </w:r>
      <w:r>
        <w:rPr>
          <w:spacing w:val="-2"/>
        </w:rPr>
        <w:t>个，投资规模预计超过</w:t>
      </w:r>
      <w:r>
        <w:rPr>
          <w:rFonts w:ascii="宋体" w:hAnsi="宋体" w:cs="宋体" w:eastAsia="宋体" w:hint="default"/>
          <w:spacing w:val="-2"/>
        </w:rPr>
        <w:t>1.1</w:t>
      </w:r>
      <w:r>
        <w:rPr>
          <w:spacing w:val="-2"/>
        </w:rPr>
        <w:t>万亿元。而在“十二五”规</w:t>
      </w:r>
      <w:r>
        <w:rPr>
          <w:spacing w:val="-41"/>
        </w:rPr>
        <w:t> </w:t>
      </w:r>
      <w:r>
        <w:rPr>
          <w:spacing w:val="-41"/>
        </w:rPr>
      </w:r>
      <w:r>
        <w:rPr/>
        <w:t>划政府报告中提出建设智慧城市的地级以上城市共有</w:t>
      </w:r>
      <w:r>
        <w:rPr>
          <w:rFonts w:ascii="宋体" w:hAnsi="宋体" w:cs="宋体" w:eastAsia="宋体" w:hint="default"/>
        </w:rPr>
        <w:t>41</w:t>
      </w:r>
      <w:r>
        <w:rPr/>
        <w:t>个，其中副省级城市</w:t>
      </w:r>
      <w:r>
        <w:rPr>
          <w:rFonts w:ascii="宋体" w:hAnsi="宋体" w:cs="宋体" w:eastAsia="宋体" w:hint="default"/>
        </w:rPr>
        <w:t>10</w:t>
      </w:r>
      <w:r>
        <w:rPr/>
        <w:t>个，直辖市中北京、上海、</w:t>
      </w:r>
      <w:r>
        <w:rPr>
          <w:w w:val="100"/>
        </w:rPr>
        <w:t> </w:t>
      </w:r>
      <w:r>
        <w:rPr/>
        <w:t>天津均提出了智慧城市建设。智慧城市建设已成为加强创新社会管理、提高城市管理水平的内在要求。智</w:t>
      </w:r>
      <w:r>
        <w:rPr>
          <w:w w:val="100"/>
        </w:rPr>
        <w:t> </w:t>
      </w:r>
      <w:r>
        <w:rPr>
          <w:spacing w:val="-2"/>
        </w:rPr>
        <w:t>慧城市的真正落地就对应到“医食住行”和城市管理的具体方面。</w:t>
      </w:r>
      <w:r>
        <w:rPr>
          <w:rFonts w:ascii="宋体" w:hAnsi="宋体" w:cs="宋体" w:eastAsia="宋体" w:hint="default"/>
          <w:spacing w:val="-2"/>
        </w:rPr>
        <w:t>2013</w:t>
      </w:r>
      <w:r>
        <w:rPr>
          <w:spacing w:val="-2"/>
        </w:rPr>
        <w:t>年，各地在基础设施信息化和部分</w:t>
      </w:r>
      <w:r>
        <w:rPr>
          <w:spacing w:val="-41"/>
        </w:rPr>
        <w:t> </w:t>
      </w:r>
      <w:r>
        <w:rPr>
          <w:spacing w:val="-41"/>
        </w:rPr>
      </w:r>
      <w:r>
        <w:rPr/>
        <w:t>先行项目成熟的基础上，将陆续启动智慧交通、智慧服务、智慧城市管理等综合性强、建设周期长、实施</w:t>
      </w:r>
      <w:r>
        <w:rPr>
          <w:w w:val="100"/>
        </w:rPr>
        <w:t> </w:t>
      </w:r>
      <w:r>
        <w:rPr>
          <w:spacing w:val="-2"/>
        </w:rPr>
        <w:t>难度大的信息化项目，这些项目将在未来</w:t>
      </w:r>
      <w:r>
        <w:rPr>
          <w:rFonts w:ascii="宋体" w:hAnsi="宋体" w:cs="宋体" w:eastAsia="宋体" w:hint="default"/>
          <w:spacing w:val="-2"/>
        </w:rPr>
        <w:t>2</w:t>
      </w:r>
      <w:r>
        <w:rPr>
          <w:spacing w:val="-2"/>
        </w:rPr>
        <w:t>～</w:t>
      </w:r>
      <w:r>
        <w:rPr>
          <w:rFonts w:ascii="宋体" w:hAnsi="宋体" w:cs="宋体" w:eastAsia="宋体" w:hint="default"/>
          <w:spacing w:val="-2"/>
        </w:rPr>
        <w:t>3</w:t>
      </w:r>
      <w:r>
        <w:rPr>
          <w:spacing w:val="-2"/>
        </w:rPr>
        <w:t>年显现成效，民生投资大幕拉开医疗社保受益。</w:t>
        <w:tab/>
      </w:r>
      <w:r>
        <w:rPr>
          <w:rFonts w:ascii="宋体" w:hAnsi="宋体" w:cs="宋体" w:eastAsia="宋体" w:hint="default"/>
          <w:spacing w:val="-2"/>
        </w:rPr>
        <w:t>2013</w:t>
      </w:r>
      <w:r>
        <w:rPr>
          <w:spacing w:val="-2"/>
        </w:rPr>
        <w:t>年，</w:t>
      </w:r>
      <w:r>
        <w:rPr>
          <w:spacing w:val="-98"/>
        </w:rPr>
        <w:t> </w:t>
      </w:r>
      <w:r>
        <w:rPr>
          <w:spacing w:val="-2"/>
        </w:rPr>
        <w:t>养老、社保、卫生、教育和农业农村信息化将进一步拓展深化。跨医院电子病历信息交换共享将在更多医</w:t>
      </w:r>
      <w:r>
        <w:rPr>
          <w:spacing w:val="-44"/>
        </w:rPr>
        <w:t> </w:t>
      </w:r>
      <w:r>
        <w:rPr>
          <w:spacing w:val="-44"/>
        </w:rPr>
      </w:r>
      <w:r>
        <w:rPr/>
        <w:t>院得以应用；居家上班、远程服务将逐渐流行；社保卡将加快向农村普及，应用范围将进一步扩大。</w:t>
      </w:r>
    </w:p>
    <w:p>
      <w:pPr>
        <w:pStyle w:val="BodyText"/>
        <w:spacing w:line="237" w:lineRule="auto"/>
        <w:ind w:right="206" w:firstLine="420"/>
        <w:jc w:val="both"/>
      </w:pPr>
      <w:r>
        <w:rPr>
          <w:spacing w:val="-2"/>
        </w:rPr>
        <w:t>在数据中心第三方服务市场，前瞻产业研究院第三方服务行业分析认为，受“十二五”对云计算、物</w:t>
      </w:r>
      <w:r>
        <w:rPr>
          <w:w w:val="100"/>
        </w:rPr>
        <w:t> </w:t>
      </w:r>
      <w:r>
        <w:rPr>
          <w:spacing w:val="-2"/>
        </w:rPr>
        <w:t>联网等信息化应用以及两化深度融合工作的不断贯彻，数据中心第三方服务将继续保持高速增长。预计到</w:t>
      </w:r>
      <w:r>
        <w:rPr>
          <w:spacing w:val="-44"/>
        </w:rPr>
        <w:t> </w:t>
      </w:r>
      <w:r>
        <w:rPr>
          <w:spacing w:val="-44"/>
        </w:rPr>
      </w:r>
      <w:r>
        <w:rPr>
          <w:rFonts w:ascii="宋体" w:hAnsi="宋体" w:cs="宋体" w:eastAsia="宋体" w:hint="default"/>
        </w:rPr>
        <w:t>2015 </w:t>
      </w:r>
      <w:r>
        <w:rPr/>
        <w:t>年，我国数据中心第三方服务市场规模将达到</w:t>
      </w:r>
      <w:r>
        <w:rPr>
          <w:rFonts w:ascii="宋体" w:hAnsi="宋体" w:cs="宋体" w:eastAsia="宋体" w:hint="default"/>
        </w:rPr>
        <w:t>394.3</w:t>
      </w:r>
      <w:r>
        <w:rPr>
          <w:rFonts w:ascii="宋体" w:hAnsi="宋体" w:cs="宋体" w:eastAsia="宋体" w:hint="default"/>
          <w:spacing w:val="-12"/>
        </w:rPr>
        <w:t> </w:t>
      </w:r>
      <w:r>
        <w:rPr/>
        <w:t>亿元人民币，年复合增长率</w:t>
      </w:r>
      <w:r>
        <w:rPr>
          <w:rFonts w:ascii="宋体" w:hAnsi="宋体" w:cs="宋体" w:eastAsia="宋体" w:hint="default"/>
        </w:rPr>
        <w:t>22.7%</w:t>
      </w:r>
      <w:r>
        <w:rPr/>
        <w:t>。</w:t>
      </w:r>
    </w:p>
    <w:p>
      <w:pPr>
        <w:pStyle w:val="BodyText"/>
        <w:spacing w:line="390" w:lineRule="atLeast" w:before="4"/>
        <w:ind w:left="678" w:right="4" w:hanging="104"/>
        <w:jc w:val="left"/>
      </w:pPr>
      <w:r>
        <w:rPr>
          <w:rFonts w:ascii="宋体" w:hAnsi="宋体" w:cs="宋体" w:eastAsia="宋体" w:hint="default"/>
          <w:b/>
          <w:bCs/>
        </w:rPr>
        <w:t>（二）公司发展战略</w:t>
      </w:r>
      <w:r>
        <w:rPr>
          <w:rFonts w:ascii="宋体" w:hAnsi="宋体" w:cs="宋体" w:eastAsia="宋体" w:hint="default"/>
          <w:b/>
          <w:bCs/>
          <w:spacing w:val="-103"/>
        </w:rPr>
        <w:t> </w:t>
      </w:r>
      <w:r>
        <w:rPr>
          <w:spacing w:val="-2"/>
        </w:rPr>
        <w:t>未来三年，公司的整体经营目标是：以我国对信息产业、民族软件企业战略支持与快速增长的相关</w:t>
      </w:r>
    </w:p>
    <w:p>
      <w:pPr>
        <w:pStyle w:val="BodyText"/>
        <w:spacing w:line="237" w:lineRule="auto" w:before="1"/>
        <w:ind w:right="206"/>
        <w:jc w:val="left"/>
      </w:pPr>
      <w:r>
        <w:rPr>
          <w:spacing w:val="-2"/>
        </w:rPr>
        <w:t>市场需求为契机，以公司目前所服务的行业与客户为基础，依靠人才资源、技术水平和服务能力的不断积</w:t>
      </w:r>
      <w:r>
        <w:rPr>
          <w:spacing w:val="-43"/>
        </w:rPr>
        <w:t> </w:t>
      </w:r>
      <w:r>
        <w:rPr>
          <w:spacing w:val="-43"/>
        </w:rPr>
      </w:r>
      <w:r>
        <w:rPr/>
        <w:t>累和完善，专注数据中心服务、重点行业信息化解决方案及金融</w:t>
      </w:r>
      <w:r>
        <w:rPr>
          <w:rFonts w:ascii="宋体" w:hAnsi="宋体" w:cs="宋体" w:eastAsia="宋体" w:hint="default"/>
        </w:rPr>
        <w:t>IT</w:t>
      </w:r>
      <w:r>
        <w:rPr/>
        <w:t>外包服务领域，力争</w:t>
      </w:r>
      <w:r>
        <w:rPr>
          <w:rFonts w:ascii="宋体" w:hAnsi="宋体" w:cs="宋体" w:eastAsia="宋体" w:hint="default"/>
        </w:rPr>
        <w:t>2-3</w:t>
      </w:r>
      <w:r>
        <w:rPr/>
        <w:t>年内在相关行</w:t>
      </w:r>
      <w:r>
        <w:rPr>
          <w:w w:val="100"/>
        </w:rPr>
        <w:t> </w:t>
      </w:r>
      <w:r>
        <w:rPr/>
        <w:t>业细分市场获得领先地位。</w:t>
      </w:r>
    </w:p>
    <w:p>
      <w:pPr>
        <w:pStyle w:val="Heading5"/>
        <w:spacing w:line="343" w:lineRule="auto" w:before="117"/>
        <w:ind w:left="575" w:right="7301"/>
        <w:jc w:val="left"/>
        <w:rPr>
          <w:b w:val="0"/>
          <w:bCs w:val="0"/>
        </w:rPr>
      </w:pPr>
      <w:r>
        <w:rPr/>
        <w:t>（三）</w:t>
      </w:r>
      <w:r>
        <w:rPr>
          <w:rFonts w:ascii="宋体" w:hAnsi="宋体" w:cs="宋体" w:eastAsia="宋体" w:hint="default"/>
        </w:rPr>
        <w:t>2013</w:t>
      </w:r>
      <w:r>
        <w:rPr/>
        <w:t>年经营计划</w:t>
      </w:r>
      <w:r>
        <w:rPr>
          <w:w w:val="100"/>
        </w:rPr>
        <w:t> </w:t>
      </w:r>
      <w:r>
        <w:rPr>
          <w:rFonts w:ascii="宋体" w:hAnsi="宋体" w:cs="宋体" w:eastAsia="宋体" w:hint="default"/>
        </w:rPr>
        <w:t>1</w:t>
      </w:r>
      <w:r>
        <w:rPr/>
        <w:t>、突出主营业务</w:t>
      </w:r>
      <w:r>
        <w:rPr>
          <w:b w:val="0"/>
          <w:bCs w:val="0"/>
        </w:rPr>
      </w:r>
    </w:p>
    <w:p>
      <w:pPr>
        <w:pStyle w:val="BodyText"/>
        <w:spacing w:line="237" w:lineRule="auto" w:before="28"/>
        <w:ind w:right="4" w:firstLine="420"/>
        <w:jc w:val="left"/>
      </w:pPr>
      <w:r>
        <w:rPr/>
        <w:t>在众多的“智慧城市”建设领域中</w:t>
      </w:r>
      <w:r>
        <w:rPr>
          <w:rFonts w:ascii="宋体" w:hAnsi="宋体" w:cs="宋体" w:eastAsia="宋体" w:hint="default"/>
        </w:rPr>
        <w:t>,</w:t>
      </w:r>
      <w:r>
        <w:rPr/>
        <w:t>社会保障和医疗卫生被放在了突出的位置上。十八大报告中明确</w:t>
      </w:r>
      <w:r>
        <w:rPr>
          <w:w w:val="100"/>
        </w:rPr>
        <w:t> </w:t>
      </w:r>
      <w:r>
        <w:rPr/>
        <w:t>提出要“统筹推进城乡社会保障体系建设和提高人民健康水平”，</w:t>
      </w:r>
      <w:r>
        <w:rPr>
          <w:rFonts w:ascii="宋体" w:hAnsi="宋体" w:cs="宋体" w:eastAsia="宋体" w:hint="default"/>
        </w:rPr>
        <w:t>,</w:t>
      </w:r>
      <w:r>
        <w:rPr/>
        <w:t>而这一目标的实现离不开信息化的建</w:t>
      </w:r>
      <w:r>
        <w:rPr>
          <w:w w:val="100"/>
        </w:rPr>
        <w:t> </w:t>
      </w:r>
      <w:r>
        <w:rPr>
          <w:spacing w:val="-3"/>
        </w:rPr>
        <w:t>设。人民对城市生活水平要求的不断提高推动着医疗和社保信息化高速增长。 </w:t>
      </w:r>
      <w:r>
        <w:rPr>
          <w:spacing w:val="-5"/>
        </w:rPr>
        <w:t>根据市场的需求状况，</w:t>
      </w:r>
      <w:r>
        <w:rPr>
          <w:rFonts w:ascii="宋体" w:hAnsi="宋体" w:cs="宋体" w:eastAsia="宋体" w:hint="default"/>
          <w:spacing w:val="-5"/>
        </w:rPr>
        <w:t>2013</w:t>
      </w:r>
      <w:r>
        <w:rPr>
          <w:rFonts w:ascii="宋体" w:hAnsi="宋体" w:cs="宋体" w:eastAsia="宋体" w:hint="default"/>
          <w:spacing w:val="-65"/>
        </w:rPr>
        <w:t> </w:t>
      </w:r>
      <w:r>
        <w:rPr>
          <w:rFonts w:ascii="宋体" w:hAnsi="宋体" w:cs="宋体" w:eastAsia="宋体" w:hint="default"/>
          <w:spacing w:val="-65"/>
        </w:rPr>
      </w:r>
      <w:r>
        <w:rPr>
          <w:spacing w:val="-2"/>
        </w:rPr>
        <w:t>年公司将加大力度发展医疗卫生业务，针对“成为健康管理的提供者”这个定位，加大医疗卫生保健行业</w:t>
      </w:r>
      <w:r>
        <w:rPr>
          <w:spacing w:val="-46"/>
        </w:rPr>
        <w:t> </w:t>
      </w:r>
      <w:r>
        <w:rPr>
          <w:spacing w:val="-46"/>
        </w:rPr>
      </w:r>
      <w:r>
        <w:rPr/>
        <w:t>的投入，培养和团结该方面人才，增强公司在医疗卫生行业的竞争力。</w:t>
      </w:r>
    </w:p>
    <w:p>
      <w:pPr>
        <w:spacing w:line="390" w:lineRule="atLeast" w:before="4"/>
        <w:ind w:left="573" w:right="4" w:firstLine="105"/>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、加大技术创新及产品研发力度</w:t>
      </w:r>
      <w:r>
        <w:rPr>
          <w:rFonts w:ascii="宋体" w:hAnsi="宋体" w:cs="宋体" w:eastAsia="宋体" w:hint="default"/>
          <w:b/>
          <w:bCs/>
          <w:w w:val="100"/>
          <w:sz w:val="21"/>
          <w:szCs w:val="21"/>
        </w:rPr>
        <w:t> </w:t>
      </w:r>
      <w:r>
        <w:rPr>
          <w:rFonts w:ascii="宋体" w:hAnsi="宋体" w:cs="宋体" w:eastAsia="宋体" w:hint="default"/>
          <w:spacing w:val="-2"/>
          <w:sz w:val="21"/>
          <w:szCs w:val="21"/>
        </w:rPr>
        <w:t>技术创新和产品研发是企业持续发展的源泉。</w:t>
      </w:r>
      <w:r>
        <w:rPr>
          <w:rFonts w:ascii="宋体" w:hAnsi="宋体" w:cs="宋体" w:eastAsia="宋体" w:hint="default"/>
          <w:spacing w:val="-2"/>
          <w:sz w:val="21"/>
          <w:szCs w:val="21"/>
        </w:rPr>
        <w:t>2013</w:t>
      </w:r>
      <w:r>
        <w:rPr>
          <w:rFonts w:ascii="宋体" w:hAnsi="宋体" w:cs="宋体" w:eastAsia="宋体" w:hint="default"/>
          <w:spacing w:val="-2"/>
          <w:sz w:val="21"/>
          <w:szCs w:val="21"/>
        </w:rPr>
        <w:t>年公司在智慧城市建设的大潮中，将深入研究行业</w:t>
      </w:r>
    </w:p>
    <w:p>
      <w:pPr>
        <w:pStyle w:val="BodyText"/>
        <w:spacing w:line="272" w:lineRule="exact" w:before="27"/>
        <w:ind w:right="4"/>
        <w:jc w:val="left"/>
      </w:pPr>
      <w:r>
        <w:rPr>
          <w:spacing w:val="-2"/>
        </w:rPr>
        <w:t>应用，不断完善面向社保、医疗、卫生、政务等民生行业、以用户需求为核心的软件产品，同时，加大电</w:t>
      </w:r>
      <w:r>
        <w:rPr>
          <w:spacing w:val="-49"/>
        </w:rPr>
        <w:t> </w:t>
      </w:r>
      <w:r>
        <w:rPr>
          <w:spacing w:val="-49"/>
        </w:rPr>
      </w:r>
      <w:r>
        <w:rPr/>
        <w:t>子政务、数字城市等智慧城市建设项目的研发力度。</w:t>
      </w:r>
    </w:p>
    <w:p>
      <w:pPr>
        <w:pStyle w:val="Heading5"/>
        <w:spacing w:line="240" w:lineRule="auto" w:before="94"/>
        <w:ind w:left="678" w:right="4"/>
        <w:jc w:val="left"/>
        <w:rPr>
          <w:b w:val="0"/>
          <w:bCs w:val="0"/>
        </w:rPr>
      </w:pPr>
      <w:r>
        <w:rPr>
          <w:rFonts w:ascii="宋体" w:hAnsi="宋体" w:cs="宋体" w:eastAsia="宋体" w:hint="default"/>
        </w:rPr>
        <w:t>3</w:t>
      </w:r>
      <w:r>
        <w:rPr/>
        <w:t>、进一步提高服务意识</w:t>
      </w:r>
      <w:r>
        <w:rPr>
          <w:b w:val="0"/>
          <w:bCs w:val="0"/>
        </w:rPr>
      </w:r>
    </w:p>
    <w:p>
      <w:pPr>
        <w:spacing w:after="0" w:line="240" w:lineRule="auto"/>
        <w:jc w:val="left"/>
        <w:sectPr>
          <w:pgSz w:w="11910" w:h="16840"/>
          <w:pgMar w:header="884" w:footer="979" w:top="1100" w:bottom="1160" w:left="980" w:right="920"/>
        </w:sectPr>
      </w:pPr>
    </w:p>
    <w:p>
      <w:pPr>
        <w:spacing w:line="240" w:lineRule="auto" w:before="2"/>
        <w:rPr>
          <w:rFonts w:ascii="宋体" w:hAnsi="宋体" w:cs="宋体" w:eastAsia="宋体" w:hint="default"/>
          <w:b/>
          <w:bCs/>
          <w:sz w:val="20"/>
          <w:szCs w:val="20"/>
        </w:rPr>
      </w:pPr>
      <w:r>
        <w:rPr/>
        <w:pict>
          <v:group style="position:absolute;margin-left:54.84pt;margin-top:28.299982pt;width:485.65pt;height:40.15pt;mso-position-horizontal-relative:page;mso-position-vertical-relative:page;z-index:152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2" w:lineRule="exact" w:before="64"/>
        <w:ind w:right="4" w:firstLine="526"/>
        <w:jc w:val="left"/>
      </w:pPr>
      <w:r>
        <w:rPr>
          <w:spacing w:val="-2"/>
        </w:rPr>
        <w:t>推动落实重点客户的“绿色通道”专属服务，做到重要事项专人跟进，让荣科的重点客户体验到贵</w:t>
      </w:r>
      <w:r>
        <w:rPr>
          <w:w w:val="100"/>
        </w:rPr>
        <w:t> </w:t>
      </w:r>
      <w:r>
        <w:rPr/>
        <w:t>宾级的服务，从而提高项目质量，降低项目实施成本，保证项目按期交付，提高客户的满意度。</w:t>
      </w:r>
    </w:p>
    <w:p>
      <w:pPr>
        <w:spacing w:line="392" w:lineRule="exact" w:before="25"/>
        <w:ind w:left="678" w:right="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、优化业务结构，提升盈利能力</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在软件方面，加强应用软件产品的研发投入，努力实现在医疗卫生、社保民政、政府等行业的产品</w:t>
      </w:r>
    </w:p>
    <w:p>
      <w:pPr>
        <w:pStyle w:val="BodyText"/>
        <w:spacing w:line="223" w:lineRule="exact"/>
        <w:ind w:right="4"/>
        <w:jc w:val="left"/>
      </w:pPr>
      <w:r>
        <w:rPr/>
        <w:t>创新；加大软件产品化比例，由项目型产品逐渐转为技术性产品，从而减少成本投入；通过优化基础研发</w:t>
      </w:r>
    </w:p>
    <w:p>
      <w:pPr>
        <w:pStyle w:val="BodyText"/>
        <w:spacing w:line="240" w:lineRule="auto"/>
        <w:ind w:left="678" w:right="4" w:hanging="527"/>
        <w:jc w:val="left"/>
      </w:pPr>
      <w:r>
        <w:rPr/>
        <w:t>平台，提高软件开发效率。</w:t>
      </w:r>
      <w:r>
        <w:rPr>
          <w:w w:val="100"/>
        </w:rPr>
        <w:t> </w:t>
      </w:r>
      <w:r>
        <w:rPr>
          <w:spacing w:val="-2"/>
        </w:rPr>
        <w:t>在运维服务方面，加强与厂商及科研院所的研发合作，紧跟市场动态，细分客户需求，不断研发优</w:t>
      </w:r>
    </w:p>
    <w:p>
      <w:pPr>
        <w:pStyle w:val="BodyText"/>
        <w:spacing w:line="274" w:lineRule="exact" w:before="22"/>
        <w:ind w:right="4"/>
        <w:jc w:val="left"/>
      </w:pPr>
      <w:r>
        <w:rPr>
          <w:spacing w:val="-2"/>
        </w:rPr>
        <w:t>势产品及解决方案；通过提高与厂商的产品及服务合作级别，从而得到原厂商更多的支持，以提升公司自</w:t>
      </w:r>
      <w:r>
        <w:rPr>
          <w:spacing w:val="-44"/>
        </w:rPr>
        <w:t> </w:t>
      </w:r>
      <w:r>
        <w:rPr>
          <w:spacing w:val="-44"/>
        </w:rPr>
      </w:r>
      <w:r>
        <w:rPr/>
        <w:t>身的竞争力。</w:t>
      </w:r>
    </w:p>
    <w:p>
      <w:pPr>
        <w:spacing w:line="394" w:lineRule="exact" w:before="21"/>
        <w:ind w:left="678" w:right="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、完成组织机构变革</w:t>
      </w:r>
      <w:r>
        <w:rPr>
          <w:rFonts w:ascii="宋体" w:hAnsi="宋体" w:cs="宋体" w:eastAsia="宋体" w:hint="default"/>
          <w:b/>
          <w:bCs/>
          <w:w w:val="100"/>
          <w:sz w:val="21"/>
          <w:szCs w:val="21"/>
        </w:rPr>
        <w:t> </w:t>
      </w:r>
      <w:r>
        <w:rPr>
          <w:rFonts w:ascii="宋体" w:hAnsi="宋体" w:cs="宋体" w:eastAsia="宋体" w:hint="default"/>
          <w:spacing w:val="-2"/>
          <w:sz w:val="21"/>
          <w:szCs w:val="21"/>
        </w:rPr>
        <w:t>为适应公司的发展需要，引进专业管理咨询团队的先进理念，完成以事业部为利润中心的考核体系</w:t>
      </w:r>
    </w:p>
    <w:p>
      <w:pPr>
        <w:pStyle w:val="BodyText"/>
        <w:spacing w:line="222" w:lineRule="exact"/>
        <w:ind w:right="4"/>
        <w:jc w:val="left"/>
      </w:pPr>
      <w:r>
        <w:rPr/>
        <w:t>的构建，将现行的扁平式组织架构向矩阵式过渡。</w:t>
      </w:r>
    </w:p>
    <w:p>
      <w:pPr>
        <w:pStyle w:val="Heading5"/>
        <w:spacing w:line="340" w:lineRule="auto" w:before="118"/>
        <w:ind w:left="678" w:right="7304" w:hanging="104"/>
        <w:jc w:val="left"/>
        <w:rPr>
          <w:b w:val="0"/>
          <w:bCs w:val="0"/>
        </w:rPr>
      </w:pPr>
      <w:r>
        <w:rPr/>
        <w:t>（四）可能面对的风险</w:t>
      </w:r>
      <w:r>
        <w:rPr>
          <w:w w:val="100"/>
        </w:rPr>
        <w:t> </w:t>
      </w:r>
      <w:r>
        <w:rPr>
          <w:rFonts w:ascii="宋体" w:hAnsi="宋体" w:cs="宋体" w:eastAsia="宋体" w:hint="default"/>
        </w:rPr>
        <w:t>1</w:t>
      </w:r>
      <w:r>
        <w:rPr/>
        <w:t>、市场相对集中风险</w:t>
      </w:r>
      <w:r>
        <w:rPr>
          <w:b w:val="0"/>
          <w:bCs w:val="0"/>
        </w:rPr>
      </w:r>
    </w:p>
    <w:p>
      <w:pPr>
        <w:pStyle w:val="BodyText"/>
        <w:spacing w:line="237" w:lineRule="auto" w:before="33"/>
        <w:ind w:right="4" w:firstLine="526"/>
        <w:jc w:val="left"/>
      </w:pPr>
      <w:r>
        <w:rPr>
          <w:spacing w:val="-2"/>
        </w:rPr>
        <w:t>现阶段本公司的业务市场集中于东北地区，如果公司不能有效拓展其他市场区域、不能保持和提升</w:t>
      </w:r>
      <w:r>
        <w:rPr>
          <w:w w:val="100"/>
        </w:rPr>
        <w:t> </w:t>
      </w:r>
      <w:r>
        <w:rPr/>
        <w:t>在东北地区市场的占有率以及东北地区</w:t>
      </w:r>
      <w:r>
        <w:rPr>
          <w:rFonts w:ascii="宋体" w:hAnsi="宋体" w:cs="宋体" w:eastAsia="宋体" w:hint="default"/>
        </w:rPr>
        <w:t>IT</w:t>
      </w:r>
      <w:r>
        <w:rPr/>
        <w:t>服务市场发生重大不利变化，都将影响公司业务的持续快速发</w:t>
      </w:r>
      <w:r>
        <w:rPr>
          <w:w w:val="100"/>
        </w:rPr>
        <w:t> </w:t>
      </w:r>
      <w:r>
        <w:rPr/>
        <w:t>展。</w:t>
      </w:r>
    </w:p>
    <w:p>
      <w:pPr>
        <w:spacing w:line="394" w:lineRule="exact" w:before="46"/>
        <w:ind w:left="678" w:right="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、主要客户集中的风险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公司客户主要集中在金融行业、社保医疗机构、政府部门等。如果公司的服务质量、响应速度以及</w:t>
      </w:r>
    </w:p>
    <w:p>
      <w:pPr>
        <w:pStyle w:val="BodyText"/>
        <w:spacing w:line="222" w:lineRule="exact"/>
        <w:ind w:right="4"/>
        <w:jc w:val="left"/>
      </w:pPr>
      <w:r>
        <w:rPr/>
        <w:t>整体技术水平、后续技术服务能力和持续创新能力不足，对客户的正常业务经营造成影响，公司对主要客</w:t>
      </w:r>
    </w:p>
    <w:p>
      <w:pPr>
        <w:spacing w:line="340" w:lineRule="auto" w:before="0"/>
        <w:ind w:left="678" w:right="4350" w:hanging="527"/>
        <w:jc w:val="left"/>
        <w:rPr>
          <w:rFonts w:ascii="宋体" w:hAnsi="宋体" w:cs="宋体" w:eastAsia="宋体" w:hint="default"/>
          <w:sz w:val="21"/>
          <w:szCs w:val="21"/>
        </w:rPr>
      </w:pPr>
      <w:r>
        <w:rPr>
          <w:rFonts w:ascii="宋体" w:hAnsi="宋体" w:cs="宋体" w:eastAsia="宋体" w:hint="default"/>
          <w:spacing w:val="-2"/>
          <w:sz w:val="21"/>
          <w:szCs w:val="21"/>
        </w:rPr>
        <w:t>户收入额将受到影响，进而影响到公司的盈利水平。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、固定资产折旧增加而导致利润下滑的风险</w:t>
      </w:r>
      <w:r>
        <w:rPr>
          <w:rFonts w:ascii="宋体" w:hAnsi="宋体" w:cs="宋体" w:eastAsia="宋体" w:hint="default"/>
          <w:sz w:val="21"/>
          <w:szCs w:val="21"/>
        </w:rPr>
      </w:r>
    </w:p>
    <w:p>
      <w:pPr>
        <w:pStyle w:val="BodyText"/>
        <w:spacing w:line="237" w:lineRule="auto" w:before="30"/>
        <w:ind w:right="4" w:firstLine="526"/>
        <w:jc w:val="left"/>
      </w:pPr>
      <w:r>
        <w:rPr/>
        <w:t>公司本次募集资金投资项目建成后，将有大量新增固定资产。根据公司的折旧政策，募集资金投资</w:t>
      </w:r>
      <w:r>
        <w:rPr>
          <w:w w:val="100"/>
        </w:rPr>
        <w:t> </w:t>
      </w:r>
      <w:r>
        <w:rPr>
          <w:spacing w:val="-2"/>
        </w:rPr>
        <w:t>项目建成后</w:t>
      </w:r>
      <w:r>
        <w:rPr>
          <w:rFonts w:ascii="宋体" w:hAnsi="宋体" w:cs="宋体" w:eastAsia="宋体" w:hint="default"/>
          <w:spacing w:val="-2"/>
        </w:rPr>
        <w:t>,</w:t>
      </w:r>
      <w:r>
        <w:rPr>
          <w:spacing w:val="-2"/>
        </w:rPr>
        <w:t>在新增固定资产使用寿命期限内每年将增加折旧额</w:t>
      </w:r>
      <w:r>
        <w:rPr>
          <w:rFonts w:ascii="宋体" w:hAnsi="宋体" w:cs="宋体" w:eastAsia="宋体" w:hint="default"/>
          <w:spacing w:val="-2"/>
        </w:rPr>
        <w:t>1,000</w:t>
      </w:r>
      <w:r>
        <w:rPr>
          <w:spacing w:val="-2"/>
        </w:rPr>
        <w:t>余万元。如果市场环境发生重大不利</w:t>
      </w:r>
      <w:r>
        <w:rPr>
          <w:spacing w:val="-41"/>
        </w:rPr>
        <w:t> </w:t>
      </w:r>
      <w:r>
        <w:rPr>
          <w:spacing w:val="-41"/>
        </w:rPr>
      </w:r>
      <w:r>
        <w:rPr>
          <w:spacing w:val="-2"/>
        </w:rPr>
        <w:t>变化，公司收入、利润不能持续增长或增长速度放缓，同时公司募集资金投资项目在建设期满后不能按照</w:t>
      </w:r>
      <w:r>
        <w:rPr>
          <w:spacing w:val="-43"/>
        </w:rPr>
        <w:t> </w:t>
      </w:r>
      <w:r>
        <w:rPr>
          <w:spacing w:val="-43"/>
        </w:rPr>
      </w:r>
      <w:r>
        <w:rPr/>
        <w:t>预期产生效益，则公司存在因为固定资产折旧增加而导致利润下滑的风险。</w:t>
      </w:r>
    </w:p>
    <w:p>
      <w:pPr>
        <w:spacing w:line="240" w:lineRule="auto" w:before="9"/>
        <w:rPr>
          <w:rFonts w:ascii="宋体" w:hAnsi="宋体" w:cs="宋体" w:eastAsia="宋体" w:hint="default"/>
          <w:sz w:val="14"/>
          <w:szCs w:val="14"/>
        </w:rPr>
      </w:pPr>
    </w:p>
    <w:p>
      <w:pPr>
        <w:pStyle w:val="Heading4"/>
        <w:spacing w:line="240" w:lineRule="auto"/>
        <w:ind w:right="4"/>
        <w:jc w:val="left"/>
        <w:rPr>
          <w:b w:val="0"/>
          <w:bCs w:val="0"/>
        </w:rPr>
      </w:pPr>
      <w:r>
        <w:rPr/>
        <w:t>四、董事会对会计师事务所本报告期“非标准审计报告”的说明</w:t>
      </w:r>
      <w:r>
        <w:rPr>
          <w:b w:val="0"/>
          <w:bCs w:val="0"/>
        </w:rPr>
      </w:r>
    </w:p>
    <w:p>
      <w:pPr>
        <w:pStyle w:val="BodyText"/>
        <w:spacing w:line="240" w:lineRule="auto" w:before="203"/>
        <w:ind w:left="573" w:right="4"/>
        <w:jc w:val="left"/>
      </w:pPr>
      <w:r>
        <w:rPr/>
        <w:t>不适用</w:t>
      </w:r>
    </w:p>
    <w:p>
      <w:pPr>
        <w:spacing w:line="240" w:lineRule="auto" w:before="9"/>
        <w:rPr>
          <w:rFonts w:ascii="宋体" w:hAnsi="宋体" w:cs="宋体" w:eastAsia="宋体" w:hint="default"/>
          <w:sz w:val="14"/>
          <w:szCs w:val="14"/>
        </w:rPr>
      </w:pPr>
    </w:p>
    <w:p>
      <w:pPr>
        <w:pStyle w:val="Heading4"/>
        <w:spacing w:line="240" w:lineRule="auto"/>
        <w:ind w:right="4"/>
        <w:jc w:val="left"/>
        <w:rPr>
          <w:b w:val="0"/>
          <w:bCs w:val="0"/>
        </w:rPr>
      </w:pPr>
      <w:r>
        <w:rPr/>
        <w:t>五、董事会关于报告期会计政策、会计估计变更或重要前期差错更正的说明</w:t>
      </w:r>
      <w:r>
        <w:rPr>
          <w:b w:val="0"/>
          <w:bCs w:val="0"/>
        </w:rPr>
      </w:r>
    </w:p>
    <w:p>
      <w:pPr>
        <w:pStyle w:val="BodyText"/>
        <w:spacing w:line="240" w:lineRule="auto" w:before="204"/>
        <w:ind w:left="573" w:right="4"/>
        <w:jc w:val="left"/>
      </w:pPr>
      <w:r>
        <w:rPr/>
        <w:t>公司无会计政策变更事项、无会计估计变更事项、无重要前期差错更正事项。</w:t>
      </w:r>
    </w:p>
    <w:p>
      <w:pPr>
        <w:spacing w:line="240" w:lineRule="auto" w:before="9"/>
        <w:rPr>
          <w:rFonts w:ascii="宋体" w:hAnsi="宋体" w:cs="宋体" w:eastAsia="宋体" w:hint="default"/>
          <w:sz w:val="14"/>
          <w:szCs w:val="14"/>
        </w:rPr>
      </w:pPr>
    </w:p>
    <w:p>
      <w:pPr>
        <w:pStyle w:val="Heading4"/>
        <w:spacing w:line="240" w:lineRule="auto"/>
        <w:ind w:right="4"/>
        <w:jc w:val="left"/>
        <w:rPr>
          <w:b w:val="0"/>
          <w:bCs w:val="0"/>
        </w:rPr>
      </w:pPr>
      <w:r>
        <w:rPr/>
        <w:t>六、公司利润分配及分红派息情况</w:t>
      </w:r>
      <w:r>
        <w:rPr>
          <w:b w:val="0"/>
          <w:bCs w:val="0"/>
        </w:rPr>
      </w:r>
    </w:p>
    <w:p>
      <w:pPr>
        <w:spacing w:line="390" w:lineRule="atLeast" w:before="85"/>
        <w:ind w:left="678" w:right="4" w:hanging="104"/>
        <w:jc w:val="left"/>
        <w:rPr>
          <w:rFonts w:ascii="宋体" w:hAnsi="宋体" w:cs="宋体" w:eastAsia="宋体" w:hint="default"/>
          <w:sz w:val="21"/>
          <w:szCs w:val="21"/>
        </w:rPr>
      </w:pPr>
      <w:r>
        <w:rPr>
          <w:rFonts w:ascii="宋体" w:hAnsi="宋体" w:cs="宋体" w:eastAsia="宋体" w:hint="default"/>
          <w:b/>
          <w:bCs/>
          <w:sz w:val="21"/>
          <w:szCs w:val="21"/>
        </w:rPr>
        <w:t>报告期内利润分配政策特别是现金分红政策的制定、执行或调整情况</w:t>
      </w:r>
      <w:r>
        <w:rPr>
          <w:rFonts w:ascii="宋体" w:hAnsi="宋体" w:cs="宋体" w:eastAsia="宋体" w:hint="default"/>
          <w:b/>
          <w:bCs/>
          <w:w w:val="100"/>
          <w:sz w:val="21"/>
          <w:szCs w:val="21"/>
        </w:rPr>
        <w:t> </w:t>
      </w:r>
      <w:r>
        <w:rPr>
          <w:rFonts w:ascii="宋体" w:hAnsi="宋体" w:cs="宋体" w:eastAsia="宋体" w:hint="default"/>
          <w:spacing w:val="-2"/>
          <w:sz w:val="21"/>
          <w:szCs w:val="21"/>
        </w:rPr>
        <w:t>为加强股东回报的稳定性和连续性，公司于</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13</w:t>
      </w:r>
      <w:r>
        <w:rPr>
          <w:rFonts w:ascii="宋体" w:hAnsi="宋体" w:cs="宋体" w:eastAsia="宋体" w:hint="default"/>
          <w:spacing w:val="-2"/>
          <w:sz w:val="21"/>
          <w:szCs w:val="21"/>
        </w:rPr>
        <w:t>日召开了第一届董事会第十二次会议，在</w:t>
      </w:r>
    </w:p>
    <w:p>
      <w:pPr>
        <w:pStyle w:val="BodyText"/>
        <w:spacing w:line="274" w:lineRule="exact" w:before="22"/>
        <w:ind w:left="681" w:right="4" w:hanging="529"/>
        <w:jc w:val="left"/>
      </w:pPr>
      <w:r>
        <w:rPr>
          <w:spacing w:val="-5"/>
        </w:rPr>
        <w:t>股东大会授权范围内审议通过了上市后适用的《公司章程》，《公司章程》中有关股利分配的政策为如下：</w:t>
      </w:r>
      <w:r>
        <w:rPr>
          <w:spacing w:val="-7"/>
        </w:rPr>
        <w:t> </w:t>
      </w:r>
      <w:r>
        <w:rPr>
          <w:spacing w:val="-7"/>
        </w:rPr>
      </w:r>
      <w:r>
        <w:rPr>
          <w:rFonts w:ascii="宋体" w:hAnsi="宋体" w:cs="宋体" w:eastAsia="宋体" w:hint="default"/>
          <w:spacing w:val="-3"/>
        </w:rPr>
        <w:t>1</w:t>
      </w:r>
      <w:r>
        <w:rPr>
          <w:spacing w:val="-3"/>
        </w:rPr>
        <w:t>、公司实施积极的利润分配政策，重视对投资者的合理投资回报，并保持连续性和稳定性。公司可</w:t>
      </w:r>
    </w:p>
    <w:p>
      <w:pPr>
        <w:pStyle w:val="BodyText"/>
        <w:spacing w:line="245" w:lineRule="exact"/>
        <w:ind w:right="4"/>
        <w:jc w:val="left"/>
      </w:pPr>
      <w:r>
        <w:rPr/>
        <w:t>以采取现金或股票等方式分配利润，利润分配不得超过累计可分配利润的范围，不得损害公司持续经营能</w:t>
      </w:r>
    </w:p>
    <w:p>
      <w:pPr>
        <w:pStyle w:val="BodyText"/>
        <w:spacing w:line="272" w:lineRule="exact" w:before="27"/>
        <w:ind w:right="4"/>
        <w:jc w:val="left"/>
      </w:pPr>
      <w:r>
        <w:rPr>
          <w:spacing w:val="-2"/>
        </w:rPr>
        <w:t>力。公司董事会、监事会和股东大会对利润分配政策的决策和论证过程中应当充分考虑独立董事、外部监</w:t>
      </w:r>
      <w:r>
        <w:rPr>
          <w:spacing w:val="-43"/>
        </w:rPr>
        <w:t> </w:t>
      </w:r>
      <w:r>
        <w:rPr>
          <w:spacing w:val="-43"/>
        </w:rPr>
      </w:r>
      <w:r>
        <w:rPr/>
        <w:t>事和公众投资者的意见。</w:t>
      </w:r>
    </w:p>
    <w:p>
      <w:pPr>
        <w:pStyle w:val="BodyText"/>
        <w:spacing w:line="272" w:lineRule="exact" w:before="2"/>
        <w:ind w:right="4" w:firstLine="528"/>
        <w:jc w:val="left"/>
      </w:pPr>
      <w:r>
        <w:rPr>
          <w:rFonts w:ascii="宋体" w:hAnsi="宋体" w:cs="宋体" w:eastAsia="宋体" w:hint="default"/>
          <w:spacing w:val="-2"/>
        </w:rPr>
        <w:t>2</w:t>
      </w:r>
      <w:r>
        <w:rPr>
          <w:spacing w:val="-2"/>
        </w:rPr>
        <w:t>、如无重大投资计划或重大现金支出发生，公司应当采取现金方式分配股利，以现金方式分配的利</w:t>
      </w:r>
      <w:r>
        <w:rPr>
          <w:w w:val="100"/>
        </w:rPr>
        <w:t> </w:t>
      </w:r>
      <w:r>
        <w:rPr/>
        <w:t>润不少于当年实现的可分配利润的</w:t>
      </w:r>
      <w:r>
        <w:rPr>
          <w:rFonts w:ascii="宋体" w:hAnsi="宋体" w:cs="宋体" w:eastAsia="宋体" w:hint="default"/>
        </w:rPr>
        <w:t>20%</w:t>
      </w:r>
      <w:r>
        <w:rPr/>
        <w:t>。公司在实施上述现金分配股利的同时，可以派发红股。</w:t>
      </w:r>
    </w:p>
    <w:p>
      <w:pPr>
        <w:pStyle w:val="BodyText"/>
        <w:spacing w:line="249" w:lineRule="exact"/>
        <w:ind w:left="678" w:right="4"/>
        <w:jc w:val="left"/>
      </w:pPr>
      <w:r>
        <w:rPr/>
        <w:t>重大投资计划或重大现金支出是指以下情形之一：</w:t>
      </w:r>
    </w:p>
    <w:p>
      <w:pPr>
        <w:spacing w:after="0" w:line="249" w:lineRule="exact"/>
        <w:jc w:val="left"/>
        <w:sectPr>
          <w:pgSz w:w="11910" w:h="16840"/>
          <w:pgMar w:header="884" w:footer="979" w:top="1100" w:bottom="1160" w:left="980" w:right="92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155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2" w:lineRule="exact" w:before="64"/>
        <w:ind w:right="142" w:firstLine="422"/>
        <w:jc w:val="left"/>
      </w:pPr>
      <w:r>
        <w:rPr>
          <w:spacing w:val="-2"/>
        </w:rPr>
        <w:t>（</w:t>
      </w:r>
      <w:r>
        <w:rPr>
          <w:rFonts w:ascii="宋体" w:hAnsi="宋体" w:cs="宋体" w:eastAsia="宋体" w:hint="default"/>
          <w:spacing w:val="-2"/>
        </w:rPr>
        <w:t>1</w:t>
      </w:r>
      <w:r>
        <w:rPr>
          <w:spacing w:val="-2"/>
        </w:rPr>
        <w:t>）公司未来十二个月内拟对外投资、收购资产或购买设备累计支出达到或超过公司最近一期经审</w:t>
      </w:r>
      <w:r>
        <w:rPr>
          <w:w w:val="100"/>
        </w:rPr>
        <w:t> </w:t>
      </w:r>
      <w:r>
        <w:rPr/>
        <w:t>计净资产的</w:t>
      </w:r>
      <w:r>
        <w:rPr>
          <w:rFonts w:ascii="宋体" w:hAnsi="宋体" w:cs="宋体" w:eastAsia="宋体" w:hint="default"/>
        </w:rPr>
        <w:t>50%</w:t>
      </w:r>
      <w:r>
        <w:rPr/>
        <w:t>；</w:t>
      </w:r>
    </w:p>
    <w:p>
      <w:pPr>
        <w:pStyle w:val="BodyText"/>
        <w:spacing w:line="272" w:lineRule="exact" w:before="1"/>
        <w:ind w:right="142" w:firstLine="422"/>
        <w:jc w:val="left"/>
      </w:pPr>
      <w:r>
        <w:rPr>
          <w:spacing w:val="-2"/>
        </w:rPr>
        <w:t>（</w:t>
      </w:r>
      <w:r>
        <w:rPr>
          <w:rFonts w:ascii="宋体" w:hAnsi="宋体" w:cs="宋体" w:eastAsia="宋体" w:hint="default"/>
          <w:spacing w:val="-2"/>
        </w:rPr>
        <w:t>2</w:t>
      </w:r>
      <w:r>
        <w:rPr>
          <w:spacing w:val="-2"/>
        </w:rPr>
        <w:t>）公司未来十二个月内拟对外投资、收购资产或购买设备累计支出达到或超过公司最近一期经审</w:t>
      </w:r>
      <w:r>
        <w:rPr>
          <w:w w:val="100"/>
        </w:rPr>
        <w:t> </w:t>
      </w:r>
      <w:r>
        <w:rPr/>
        <w:t>计总资产的</w:t>
      </w:r>
      <w:r>
        <w:rPr>
          <w:rFonts w:ascii="宋体" w:hAnsi="宋体" w:cs="宋体" w:eastAsia="宋体" w:hint="default"/>
        </w:rPr>
        <w:t>30%</w:t>
      </w:r>
      <w:r>
        <w:rPr/>
        <w:t>。</w:t>
      </w:r>
    </w:p>
    <w:p>
      <w:pPr>
        <w:pStyle w:val="BodyText"/>
        <w:spacing w:line="272" w:lineRule="exact" w:before="1"/>
        <w:ind w:left="681" w:right="142" w:hanging="3"/>
        <w:jc w:val="left"/>
      </w:pPr>
      <w:r>
        <w:rPr>
          <w:spacing w:val="-2"/>
        </w:rPr>
        <w:t>上述重大投资计划或重大现金支出须经董事会批准，报股东大会审议通过后方可实施。</w:t>
      </w:r>
      <w:r>
        <w:rPr>
          <w:spacing w:val="-35"/>
        </w:rPr>
        <w:t> </w:t>
      </w:r>
      <w:r>
        <w:rPr>
          <w:spacing w:val="-35"/>
        </w:rPr>
      </w:r>
      <w:r>
        <w:rPr>
          <w:rFonts w:ascii="宋体" w:hAnsi="宋体" w:cs="宋体" w:eastAsia="宋体" w:hint="default"/>
        </w:rPr>
        <w:t>3</w:t>
      </w:r>
      <w:r>
        <w:rPr/>
        <w:t>、公司董事会可以根据公司的资金需求状况提议公司进行中期现金分配。</w:t>
      </w:r>
    </w:p>
    <w:p>
      <w:pPr>
        <w:pStyle w:val="BodyText"/>
        <w:spacing w:line="272" w:lineRule="exact" w:before="1"/>
        <w:ind w:right="142" w:firstLine="528"/>
        <w:jc w:val="left"/>
      </w:pPr>
      <w:r>
        <w:rPr>
          <w:rFonts w:ascii="宋体" w:hAnsi="宋体" w:cs="宋体" w:eastAsia="宋体" w:hint="default"/>
          <w:spacing w:val="-2"/>
        </w:rPr>
        <w:t>4</w:t>
      </w:r>
      <w:r>
        <w:rPr>
          <w:spacing w:val="-2"/>
        </w:rPr>
        <w:t>、公司将保持股利分配政策的连续性、稳定性，如果变更股利分配政策，必须经过董事会、股东大</w:t>
      </w:r>
      <w:r>
        <w:rPr>
          <w:w w:val="100"/>
        </w:rPr>
        <w:t> </w:t>
      </w:r>
      <w:r>
        <w:rPr/>
        <w:t>会表决通过。</w:t>
      </w:r>
    </w:p>
    <w:p>
      <w:pPr>
        <w:pStyle w:val="BodyText"/>
        <w:spacing w:line="272" w:lineRule="exact" w:before="1"/>
        <w:ind w:right="142" w:firstLine="528"/>
        <w:jc w:val="left"/>
      </w:pPr>
      <w:r>
        <w:rPr>
          <w:rFonts w:ascii="宋体" w:hAnsi="宋体" w:cs="宋体" w:eastAsia="宋体" w:hint="default"/>
          <w:spacing w:val="-2"/>
        </w:rPr>
        <w:t>5</w:t>
      </w:r>
      <w:r>
        <w:rPr>
          <w:spacing w:val="-2"/>
        </w:rPr>
        <w:t>、公司将根据自身实际情况，并结合股东（特别是公众投资者）、独立董事和外部监事的意见制定</w:t>
      </w:r>
      <w:r>
        <w:rPr>
          <w:w w:val="100"/>
        </w:rPr>
        <w:t> </w:t>
      </w:r>
      <w:r>
        <w:rPr>
          <w:spacing w:val="-2"/>
        </w:rPr>
        <w:t>或调整股东回报计划。但公司保证现行及未来的股东回报计划不得违反以下原则：即如无重大投资计划或</w:t>
      </w:r>
    </w:p>
    <w:p>
      <w:pPr>
        <w:pStyle w:val="BodyText"/>
        <w:spacing w:line="272" w:lineRule="exact" w:before="1"/>
        <w:ind w:right="142"/>
        <w:jc w:val="left"/>
      </w:pPr>
      <w:r>
        <w:rPr>
          <w:spacing w:val="-2"/>
        </w:rPr>
        <w:t>重大现金支出发生，公司应当采取现金方式分配股利，以现金方式分配的利润不少于当年实现的可分配利</w:t>
      </w:r>
      <w:r>
        <w:rPr>
          <w:spacing w:val="-43"/>
        </w:rPr>
        <w:t> </w:t>
      </w:r>
      <w:r>
        <w:rPr>
          <w:spacing w:val="-43"/>
        </w:rPr>
      </w:r>
      <w:r>
        <w:rPr/>
        <w:t>润的</w:t>
      </w:r>
      <w:r>
        <w:rPr>
          <w:rFonts w:ascii="宋体" w:hAnsi="宋体" w:cs="宋体" w:eastAsia="宋体" w:hint="default"/>
        </w:rPr>
        <w:t>20%</w:t>
      </w:r>
      <w:r>
        <w:rPr/>
        <w:t>。</w:t>
      </w:r>
    </w:p>
    <w:p>
      <w:pPr>
        <w:pStyle w:val="BodyText"/>
        <w:spacing w:line="272" w:lineRule="exact" w:before="2"/>
        <w:ind w:right="142" w:firstLine="528"/>
        <w:jc w:val="left"/>
      </w:pPr>
      <w:r>
        <w:rPr>
          <w:rFonts w:ascii="宋体" w:hAnsi="宋体" w:cs="宋体" w:eastAsia="宋体" w:hint="default"/>
          <w:spacing w:val="-2"/>
        </w:rPr>
        <w:t>6</w:t>
      </w:r>
      <w:r>
        <w:rPr>
          <w:spacing w:val="-2"/>
        </w:rPr>
        <w:t>、公司股东大会对利润分配方案作出决议后</w:t>
      </w:r>
      <w:r>
        <w:rPr>
          <w:rFonts w:ascii="宋体" w:hAnsi="宋体" w:cs="宋体" w:eastAsia="宋体" w:hint="default"/>
          <w:spacing w:val="-2"/>
        </w:rPr>
        <w:t>,</w:t>
      </w:r>
      <w:r>
        <w:rPr>
          <w:spacing w:val="-2"/>
        </w:rPr>
        <w:t>公司董事会须在股东大会召开后</w:t>
      </w:r>
      <w:r>
        <w:rPr>
          <w:rFonts w:ascii="宋体" w:hAnsi="宋体" w:cs="宋体" w:eastAsia="宋体" w:hint="default"/>
          <w:spacing w:val="-2"/>
        </w:rPr>
        <w:t>2</w:t>
      </w:r>
      <w:r>
        <w:rPr>
          <w:spacing w:val="-2"/>
        </w:rPr>
        <w:t>个月内完成股利（或</w:t>
      </w:r>
      <w:r>
        <w:rPr>
          <w:w w:val="100"/>
        </w:rPr>
        <w:t> </w:t>
      </w:r>
      <w:r>
        <w:rPr/>
        <w:t>股份）的派发事项。</w:t>
      </w:r>
    </w:p>
    <w:p>
      <w:pPr>
        <w:spacing w:line="240" w:lineRule="auto" w:before="10"/>
        <w:rPr>
          <w:rFonts w:ascii="宋体" w:hAnsi="宋体" w:cs="宋体" w:eastAsia="宋体" w:hint="default"/>
          <w:sz w:val="18"/>
          <w:szCs w:val="18"/>
        </w:rPr>
      </w:pPr>
    </w:p>
    <w:p>
      <w:pPr>
        <w:pStyle w:val="Heading5"/>
        <w:spacing w:line="274" w:lineRule="exact"/>
        <w:ind w:left="575" w:right="142"/>
        <w:jc w:val="left"/>
        <w:rPr>
          <w:b w:val="0"/>
          <w:bCs w:val="0"/>
        </w:rPr>
      </w:pPr>
      <w:r>
        <w:rPr/>
        <w:t>公司报告期利润分配预案及资本公积金转增股本预案与公司章程和分红管理办法等的相关规定一致</w:t>
      </w:r>
      <w:r>
        <w:rPr>
          <w:b w:val="0"/>
          <w:bCs w:val="0"/>
        </w:rPr>
      </w:r>
    </w:p>
    <w:p>
      <w:pPr>
        <w:spacing w:line="340" w:lineRule="auto" w:before="0"/>
        <w:ind w:left="575" w:right="142" w:hanging="3"/>
        <w:jc w:val="left"/>
        <w:rPr>
          <w:rFonts w:ascii="宋体" w:hAnsi="宋体" w:cs="宋体" w:eastAsia="宋体" w:hint="default"/>
          <w:sz w:val="21"/>
          <w:szCs w:val="21"/>
        </w:rPr>
      </w:pPr>
      <w:r>
        <w:rPr>
          <w:rFonts w:ascii="宋体" w:hAnsi="宋体" w:cs="宋体" w:eastAsia="宋体" w:hint="default"/>
          <w:sz w:val="21"/>
          <w:szCs w:val="21"/>
        </w:rPr>
        <w:t>√ 是</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否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公司报告期利润分配预案及资本公积金转增股本预案符合公司章程等的相关规定。</w:t>
      </w:r>
      <w:r>
        <w:rPr>
          <w:rFonts w:ascii="宋体" w:hAnsi="宋体" w:cs="宋体" w:eastAsia="宋体" w:hint="default"/>
          <w:spacing w:val="-1"/>
          <w:sz w:val="21"/>
          <w:szCs w:val="21"/>
        </w:rPr>
      </w:r>
    </w:p>
    <w:p>
      <w:pPr>
        <w:pStyle w:val="BodyText"/>
        <w:spacing w:line="240" w:lineRule="auto" w:before="30"/>
        <w:ind w:right="142"/>
        <w:jc w:val="left"/>
      </w:pPr>
      <w:r>
        <w:rPr/>
        <w:t>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36"/>
        <w:ind w:left="0" w:right="108"/>
        <w:jc w:val="right"/>
      </w:pPr>
      <w:r>
        <w:rPr/>
        <w:pict>
          <v:shape style="position:absolute;margin-left:58.812pt;margin-top:-109.436348pt;width:478.55pt;height:140.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3"/>
                    <w:gridCol w:w="5863"/>
                  </w:tblGrid>
                  <w:tr>
                    <w:trPr>
                      <w:trHeight w:val="28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0</w:t>
                        </w:r>
                      </w:p>
                    </w:tc>
                  </w:tr>
                  <w:tr>
                    <w:trPr>
                      <w:trHeight w:val="28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1.5</w:t>
                        </w:r>
                      </w:p>
                    </w:tc>
                  </w:tr>
                  <w:tr>
                    <w:trPr>
                      <w:trHeight w:val="28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股转增数（股）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z w:val="21"/>
                          </w:rPr>
                          <w:t>10</w:t>
                        </w:r>
                      </w:p>
                    </w:tc>
                  </w:tr>
                  <w:tr>
                    <w:trPr>
                      <w:trHeight w:val="28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68,000,000.00</w:t>
                        </w:r>
                      </w:p>
                    </w:tc>
                  </w:tr>
                  <w:tr>
                    <w:trPr>
                      <w:trHeight w:val="28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10,200,000.00</w:t>
                        </w:r>
                      </w:p>
                    </w:tc>
                  </w:tr>
                  <w:tr>
                    <w:trPr>
                      <w:trHeight w:val="28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97,820,269.88</w:t>
                        </w:r>
                      </w:p>
                    </w:tc>
                  </w:tr>
                  <w:tr>
                    <w:trPr>
                      <w:trHeight w:val="283"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772"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r>
                    <w:trPr>
                      <w:trHeight w:val="826"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以截止</w:t>
                        </w:r>
                        <w:r>
                          <w:rPr>
                            <w:rFonts w:ascii="宋体" w:hAnsi="宋体" w:cs="宋体" w:eastAsia="宋体" w:hint="default"/>
                            <w:spacing w:val="-69"/>
                            <w:sz w:val="21"/>
                            <w:szCs w:val="21"/>
                          </w:rPr>
                          <w:t> </w:t>
                        </w: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31</w:t>
                        </w:r>
                        <w:r>
                          <w:rPr>
                            <w:rFonts w:ascii="宋体" w:hAnsi="宋体" w:cs="宋体" w:eastAsia="宋体" w:hint="default"/>
                            <w:spacing w:val="-3"/>
                            <w:sz w:val="21"/>
                            <w:szCs w:val="21"/>
                          </w:rPr>
                          <w:t> </w:t>
                        </w:r>
                        <w:r>
                          <w:rPr>
                            <w:rFonts w:ascii="宋体" w:hAnsi="宋体" w:cs="宋体" w:eastAsia="宋体" w:hint="default"/>
                            <w:sz w:val="21"/>
                            <w:szCs w:val="21"/>
                          </w:rPr>
                          <w:t>日公司总股本</w:t>
                        </w:r>
                        <w:r>
                          <w:rPr>
                            <w:rFonts w:ascii="宋体" w:hAnsi="宋体" w:cs="宋体" w:eastAsia="宋体" w:hint="default"/>
                            <w:spacing w:val="-66"/>
                            <w:sz w:val="21"/>
                            <w:szCs w:val="21"/>
                          </w:rPr>
                          <w:t> </w:t>
                        </w:r>
                        <w:r>
                          <w:rPr>
                            <w:rFonts w:ascii="宋体" w:hAnsi="宋体" w:cs="宋体" w:eastAsia="宋体" w:hint="default"/>
                            <w:sz w:val="21"/>
                            <w:szCs w:val="21"/>
                          </w:rPr>
                          <w:t>68,000,000 </w:t>
                        </w:r>
                        <w:r>
                          <w:rPr>
                            <w:rFonts w:ascii="宋体" w:hAnsi="宋体" w:cs="宋体" w:eastAsia="宋体" w:hint="default"/>
                            <w:sz w:val="21"/>
                            <w:szCs w:val="21"/>
                          </w:rPr>
                          <w:t>股为基数向全体股东每</w:t>
                        </w:r>
                        <w:r>
                          <w:rPr>
                            <w:rFonts w:ascii="宋体" w:hAnsi="宋体" w:cs="宋体" w:eastAsia="宋体" w:hint="default"/>
                            <w:spacing w:val="-66"/>
                            <w:sz w:val="21"/>
                            <w:szCs w:val="21"/>
                          </w:rPr>
                          <w:t> </w:t>
                        </w:r>
                        <w:r>
                          <w:rPr>
                            <w:rFonts w:ascii="宋体" w:hAnsi="宋体" w:cs="宋体" w:eastAsia="宋体" w:hint="default"/>
                            <w:sz w:val="21"/>
                            <w:szCs w:val="21"/>
                          </w:rPr>
                          <w:t>10 </w:t>
                        </w:r>
                        <w:r>
                          <w:rPr>
                            <w:rFonts w:ascii="宋体" w:hAnsi="宋体" w:cs="宋体" w:eastAsia="宋体" w:hint="default"/>
                            <w:sz w:val="21"/>
                            <w:szCs w:val="21"/>
                          </w:rPr>
                          <w:t>股派发现金红利</w:t>
                        </w:r>
                        <w:r>
                          <w:rPr>
                            <w:rFonts w:ascii="宋体" w:hAnsi="宋体" w:cs="宋体" w:eastAsia="宋体" w:hint="default"/>
                            <w:spacing w:val="-69"/>
                            <w:sz w:val="21"/>
                            <w:szCs w:val="21"/>
                          </w:rPr>
                          <w:t> </w:t>
                        </w:r>
                        <w:r>
                          <w:rPr>
                            <w:rFonts w:ascii="宋体" w:hAnsi="宋体" w:cs="宋体" w:eastAsia="宋体" w:hint="default"/>
                            <w:sz w:val="21"/>
                            <w:szCs w:val="21"/>
                          </w:rPr>
                          <w:t>1.5</w:t>
                        </w:r>
                        <w:r>
                          <w:rPr>
                            <w:rFonts w:ascii="宋体" w:hAnsi="宋体" w:cs="宋体" w:eastAsia="宋体" w:hint="default"/>
                            <w:spacing w:val="-66"/>
                            <w:sz w:val="21"/>
                            <w:szCs w:val="21"/>
                          </w:rPr>
                          <w:t> </w:t>
                        </w:r>
                        <w:r>
                          <w:rPr>
                            <w:rFonts w:ascii="宋体" w:hAnsi="宋体" w:cs="宋体" w:eastAsia="宋体" w:hint="default"/>
                            <w:spacing w:val="-3"/>
                            <w:sz w:val="21"/>
                            <w:szCs w:val="21"/>
                          </w:rPr>
                          <w:t>元人</w:t>
                        </w:r>
                        <w:r>
                          <w:rPr>
                            <w:rFonts w:ascii="宋体" w:hAnsi="宋体" w:cs="宋体" w:eastAsia="宋体" w:hint="default"/>
                            <w:sz w:val="21"/>
                            <w:szCs w:val="21"/>
                          </w:rPr>
                        </w:r>
                      </w:p>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民</w:t>
                        </w:r>
                        <w:r>
                          <w:rPr>
                            <w:rFonts w:ascii="宋体" w:hAnsi="宋体" w:cs="宋体" w:eastAsia="宋体" w:hint="default"/>
                            <w:spacing w:val="-65"/>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spacing w:val="-63"/>
                            <w:w w:val="100"/>
                            <w:sz w:val="21"/>
                            <w:szCs w:val="21"/>
                          </w:rPr>
                          <w:t>，</w:t>
                        </w:r>
                        <w:r>
                          <w:rPr>
                            <w:rFonts w:ascii="宋体" w:hAnsi="宋体" w:cs="宋体" w:eastAsia="宋体" w:hint="default"/>
                            <w:spacing w:val="-3"/>
                            <w:w w:val="100"/>
                            <w:sz w:val="21"/>
                            <w:szCs w:val="21"/>
                          </w:rPr>
                          <w:t>合</w:t>
                        </w:r>
                        <w:r>
                          <w:rPr>
                            <w:rFonts w:ascii="宋体" w:hAnsi="宋体" w:cs="宋体" w:eastAsia="宋体" w:hint="default"/>
                            <w:w w:val="100"/>
                            <w:sz w:val="21"/>
                            <w:szCs w:val="21"/>
                          </w:rPr>
                          <w:t>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红</w:t>
                        </w:r>
                        <w:r>
                          <w:rPr>
                            <w:rFonts w:ascii="宋体" w:hAnsi="宋体" w:cs="宋体" w:eastAsia="宋体" w:hint="default"/>
                            <w:w w:val="100"/>
                            <w:sz w:val="21"/>
                            <w:szCs w:val="21"/>
                          </w:rPr>
                          <w:t>利</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3"/>
                            <w:w w:val="100"/>
                            <w:sz w:val="21"/>
                            <w:szCs w:val="21"/>
                          </w:rPr>
                          <w:t>,</w:t>
                        </w:r>
                        <w:r>
                          <w:rPr>
                            <w:rFonts w:ascii="宋体" w:hAnsi="宋体" w:cs="宋体" w:eastAsia="宋体" w:hint="default"/>
                            <w:w w:val="100"/>
                            <w:sz w:val="21"/>
                            <w:szCs w:val="21"/>
                          </w:rPr>
                          <w:t>200</w:t>
                        </w:r>
                        <w:r>
                          <w:rPr>
                            <w:rFonts w:ascii="宋体" w:hAnsi="宋体" w:cs="宋体" w:eastAsia="宋体" w:hint="default"/>
                            <w:spacing w:val="-3"/>
                            <w:w w:val="100"/>
                            <w:sz w:val="21"/>
                            <w:szCs w:val="21"/>
                          </w:rPr>
                          <w:t>,</w:t>
                        </w:r>
                        <w:r>
                          <w:rPr>
                            <w:rFonts w:ascii="宋体" w:hAnsi="宋体" w:cs="宋体" w:eastAsia="宋体" w:hint="default"/>
                            <w:w w:val="100"/>
                            <w:sz w:val="21"/>
                            <w:szCs w:val="21"/>
                          </w:rPr>
                          <w:t>000</w:t>
                        </w:r>
                        <w:r>
                          <w:rPr>
                            <w:rFonts w:ascii="宋体" w:hAnsi="宋体" w:cs="宋体" w:eastAsia="宋体" w:hint="default"/>
                            <w:spacing w:val="-3"/>
                            <w:w w:val="100"/>
                            <w:sz w:val="21"/>
                            <w:szCs w:val="21"/>
                          </w:rPr>
                          <w:t>.</w:t>
                        </w:r>
                        <w:r>
                          <w:rPr>
                            <w:rFonts w:ascii="宋体" w:hAnsi="宋体" w:cs="宋体" w:eastAsia="宋体" w:hint="default"/>
                            <w:w w:val="100"/>
                            <w:sz w:val="21"/>
                            <w:szCs w:val="21"/>
                          </w:rPr>
                          <w:t>00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63"/>
                            <w:w w:val="100"/>
                            <w:sz w:val="21"/>
                            <w:szCs w:val="21"/>
                          </w:rPr>
                          <w:t>；</w:t>
                        </w:r>
                        <w:r>
                          <w:rPr>
                            <w:rFonts w:ascii="宋体" w:hAnsi="宋体" w:cs="宋体" w:eastAsia="宋体" w:hint="default"/>
                            <w:spacing w:val="-3"/>
                            <w:w w:val="100"/>
                            <w:sz w:val="21"/>
                            <w:szCs w:val="21"/>
                          </w:rPr>
                          <w:t>同时</w:t>
                        </w:r>
                        <w:r>
                          <w:rPr>
                            <w:rFonts w:ascii="宋体" w:hAnsi="宋体" w:cs="宋体" w:eastAsia="宋体" w:hint="default"/>
                            <w:spacing w:val="-63"/>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金</w:t>
                        </w:r>
                        <w:r>
                          <w:rPr>
                            <w:rFonts w:ascii="宋体" w:hAnsi="宋体" w:cs="宋体" w:eastAsia="宋体" w:hint="default"/>
                            <w:spacing w:val="-3"/>
                            <w:w w:val="100"/>
                            <w:sz w:val="21"/>
                            <w:szCs w:val="21"/>
                          </w:rPr>
                          <w:t>向全</w:t>
                        </w:r>
                        <w:r>
                          <w:rPr>
                            <w:rFonts w:ascii="宋体" w:hAnsi="宋体" w:cs="宋体" w:eastAsia="宋体" w:hint="default"/>
                            <w:w w:val="100"/>
                            <w:sz w:val="21"/>
                            <w:szCs w:val="21"/>
                          </w:rPr>
                          <w:t>体股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转增</w:t>
                        </w:r>
                        <w:r>
                          <w:rPr>
                            <w:rFonts w:ascii="宋体" w:hAnsi="宋体" w:cs="宋体" w:eastAsia="宋体" w:hint="default"/>
                            <w:spacing w:val="-55"/>
                            <w:sz w:val="21"/>
                            <w:szCs w:val="21"/>
                          </w:rPr>
                          <w:t> </w:t>
                        </w:r>
                        <w:r>
                          <w:rPr>
                            <w:rFonts w:ascii="宋体" w:hAnsi="宋体" w:cs="宋体" w:eastAsia="宋体" w:hint="default"/>
                            <w:w w:val="100"/>
                            <w:sz w:val="21"/>
                            <w:szCs w:val="21"/>
                          </w:rPr>
                          <w:t>10</w:t>
                        </w:r>
                        <w:r>
                          <w:rPr>
                            <w:rFonts w:ascii="宋体" w:hAnsi="宋体" w:cs="宋体" w:eastAsia="宋体" w:hint="default"/>
                            <w:spacing w:val="-2"/>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合计转增股本</w:t>
                        </w:r>
                        <w:r>
                          <w:rPr>
                            <w:rFonts w:ascii="宋体" w:hAnsi="宋体" w:cs="宋体" w:eastAsia="宋体" w:hint="default"/>
                            <w:spacing w:val="-54"/>
                            <w:sz w:val="21"/>
                            <w:szCs w:val="21"/>
                          </w:rPr>
                          <w:t> </w:t>
                        </w:r>
                        <w:r>
                          <w:rPr>
                            <w:rFonts w:ascii="宋体" w:hAnsi="宋体" w:cs="宋体" w:eastAsia="宋体" w:hint="default"/>
                            <w:sz w:val="21"/>
                            <w:szCs w:val="21"/>
                          </w:rPr>
                          <w:t>68,000,000</w:t>
                        </w:r>
                        <w:r>
                          <w:rPr>
                            <w:rFonts w:ascii="宋体" w:hAnsi="宋体" w:cs="宋体" w:eastAsia="宋体" w:hint="default"/>
                            <w:spacing w:val="-4"/>
                            <w:sz w:val="21"/>
                            <w:szCs w:val="21"/>
                          </w:rPr>
                          <w:t> </w:t>
                        </w:r>
                        <w:r>
                          <w:rPr>
                            <w:rFonts w:ascii="宋体" w:hAnsi="宋体" w:cs="宋体" w:eastAsia="宋体" w:hint="default"/>
                            <w:sz w:val="21"/>
                            <w:szCs w:val="21"/>
                          </w:rPr>
                          <w:t>股，转增后公司总股本将变更为</w:t>
                        </w:r>
                        <w:r>
                          <w:rPr>
                            <w:rFonts w:ascii="宋体" w:hAnsi="宋体" w:cs="宋体" w:eastAsia="宋体" w:hint="default"/>
                            <w:spacing w:val="-53"/>
                            <w:sz w:val="21"/>
                            <w:szCs w:val="21"/>
                          </w:rPr>
                          <w:t> </w:t>
                        </w:r>
                        <w:r>
                          <w:rPr>
                            <w:rFonts w:ascii="宋体" w:hAnsi="宋体" w:cs="宋体" w:eastAsia="宋体" w:hint="default"/>
                            <w:sz w:val="21"/>
                            <w:szCs w:val="21"/>
                          </w:rPr>
                          <w:t>136,000,000</w:t>
                        </w:r>
                        <w:r>
                          <w:rPr>
                            <w:rFonts w:ascii="宋体" w:hAnsi="宋体" w:cs="宋体" w:eastAsia="宋体" w:hint="default"/>
                            <w:spacing w:val="-3"/>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tc>
                  </w:tr>
                </w:tbl>
                <w:p>
                  <w:pPr/>
                </w:p>
              </w:txbxContent>
            </v:textbox>
            <w10:wrap type="none"/>
          </v:shape>
        </w:pict>
      </w:r>
      <w:r>
        <w:rPr>
          <w:spacing w:val="-3"/>
          <w:w w:val="100"/>
        </w:rPr>
        <w:t>，</w:t>
      </w:r>
      <w:r>
        <w:rPr>
          <w:w w:val="100"/>
        </w:rPr>
      </w:r>
    </w:p>
    <w:p>
      <w:pPr>
        <w:spacing w:line="240" w:lineRule="auto" w:before="10"/>
        <w:rPr>
          <w:rFonts w:ascii="宋体" w:hAnsi="宋体" w:cs="宋体" w:eastAsia="宋体" w:hint="default"/>
          <w:sz w:val="27"/>
          <w:szCs w:val="27"/>
        </w:rPr>
      </w:pPr>
    </w:p>
    <w:p>
      <w:pPr>
        <w:pStyle w:val="Heading5"/>
        <w:spacing w:line="240" w:lineRule="auto" w:before="36"/>
        <w:ind w:left="575" w:right="142"/>
        <w:jc w:val="left"/>
        <w:rPr>
          <w:b w:val="0"/>
          <w:bCs w:val="0"/>
        </w:rPr>
      </w:pPr>
      <w:r>
        <w:rPr/>
        <w:t>公司近</w:t>
      </w:r>
      <w:r>
        <w:rPr>
          <w:spacing w:val="-55"/>
        </w:rPr>
        <w:t> </w:t>
      </w:r>
      <w:r>
        <w:rPr>
          <w:rFonts w:ascii="宋体" w:hAnsi="宋体" w:cs="宋体" w:eastAsia="宋体" w:hint="default"/>
        </w:rPr>
        <w:t>3</w:t>
      </w:r>
      <w:r>
        <w:rPr>
          <w:rFonts w:ascii="宋体" w:hAnsi="宋体" w:cs="宋体" w:eastAsia="宋体" w:hint="default"/>
          <w:spacing w:val="-55"/>
        </w:rPr>
        <w:t> </w:t>
      </w:r>
      <w:r>
        <w:rPr/>
        <w:t>年（含报告期）的利润分配方案及资本公积金转增股本方案情况</w:t>
      </w:r>
      <w:r>
        <w:rPr>
          <w:b w:val="0"/>
          <w:bCs w:val="0"/>
        </w:rPr>
      </w:r>
    </w:p>
    <w:p>
      <w:pPr>
        <w:pStyle w:val="BodyText"/>
        <w:spacing w:line="273" w:lineRule="exact" w:before="118"/>
        <w:ind w:left="681" w:right="142"/>
        <w:jc w:val="left"/>
      </w:pPr>
      <w:r>
        <w:rPr>
          <w:rFonts w:ascii="宋体" w:hAnsi="宋体" w:cs="宋体" w:eastAsia="宋体" w:hint="default"/>
        </w:rPr>
        <w:t>2010</w:t>
      </w:r>
      <w:r>
        <w:rPr/>
        <w:t>年度公司未进行利润分配。</w:t>
      </w:r>
    </w:p>
    <w:p>
      <w:pPr>
        <w:pStyle w:val="BodyText"/>
        <w:spacing w:line="237" w:lineRule="auto"/>
        <w:ind w:right="142" w:firstLine="528"/>
        <w:jc w:val="left"/>
      </w:pPr>
      <w:r>
        <w:rPr>
          <w:rFonts w:ascii="宋体" w:hAnsi="宋体" w:cs="宋体" w:eastAsia="宋体" w:hint="default"/>
        </w:rPr>
        <w:t>2011</w:t>
      </w:r>
      <w:r>
        <w:rPr/>
        <w:t>年度公司利润分配方案为：以总股本</w:t>
      </w:r>
      <w:r>
        <w:rPr>
          <w:rFonts w:ascii="宋体" w:hAnsi="宋体" w:cs="宋体" w:eastAsia="宋体" w:hint="default"/>
        </w:rPr>
        <w:t>68,000,000</w:t>
      </w:r>
      <w:r>
        <w:rPr/>
        <w:t>股为基数向全体股东每</w:t>
      </w:r>
      <w:r>
        <w:rPr>
          <w:rFonts w:ascii="宋体" w:hAnsi="宋体" w:cs="宋体" w:eastAsia="宋体" w:hint="default"/>
        </w:rPr>
        <w:t>10</w:t>
      </w:r>
      <w:r>
        <w:rPr/>
        <w:t>股派发现金股利</w:t>
      </w:r>
      <w:r>
        <w:rPr>
          <w:rFonts w:ascii="宋体" w:hAnsi="宋体" w:cs="宋体" w:eastAsia="宋体" w:hint="default"/>
        </w:rPr>
        <w:t>2.00</w:t>
      </w:r>
      <w:r>
        <w:rPr>
          <w:rFonts w:ascii="宋体" w:hAnsi="宋体" w:cs="宋体" w:eastAsia="宋体" w:hint="default"/>
          <w:w w:val="100"/>
        </w:rPr>
        <w:t> </w:t>
      </w:r>
      <w:r>
        <w:rPr>
          <w:spacing w:val="-10"/>
        </w:rPr>
        <w:t>元人民币（含税），共计派发现金</w:t>
      </w:r>
      <w:r>
        <w:rPr>
          <w:rFonts w:ascii="宋体" w:hAnsi="宋体" w:cs="宋体" w:eastAsia="宋体" w:hint="default"/>
          <w:spacing w:val="-10"/>
        </w:rPr>
        <w:t>13,600,000</w:t>
      </w:r>
      <w:r>
        <w:rPr>
          <w:spacing w:val="-10"/>
        </w:rPr>
        <w:t>元，剩余未分配利润结转下一年度。</w:t>
      </w:r>
      <w:r>
        <w:rPr>
          <w:rFonts w:ascii="宋体" w:hAnsi="宋体" w:cs="宋体" w:eastAsia="宋体" w:hint="default"/>
          <w:spacing w:val="-10"/>
        </w:rPr>
        <w:t>2012</w:t>
      </w:r>
      <w:r>
        <w:rPr>
          <w:spacing w:val="-10"/>
        </w:rPr>
        <w:t>年</w:t>
      </w:r>
      <w:r>
        <w:rPr>
          <w:rFonts w:ascii="宋体" w:hAnsi="宋体" w:cs="宋体" w:eastAsia="宋体" w:hint="default"/>
          <w:spacing w:val="-10"/>
        </w:rPr>
        <w:t>5</w:t>
      </w:r>
      <w:r>
        <w:rPr>
          <w:spacing w:val="-10"/>
        </w:rPr>
        <w:t>月</w:t>
      </w:r>
      <w:r>
        <w:rPr>
          <w:rFonts w:ascii="宋体" w:hAnsi="宋体" w:cs="宋体" w:eastAsia="宋体" w:hint="default"/>
          <w:spacing w:val="-10"/>
        </w:rPr>
        <w:t>17</w:t>
      </w:r>
      <w:r>
        <w:rPr>
          <w:spacing w:val="-10"/>
        </w:rPr>
        <w:t>日，公司</w:t>
      </w:r>
      <w:r>
        <w:rPr>
          <w:spacing w:val="70"/>
        </w:rPr>
        <w:t> </w:t>
      </w:r>
      <w:r>
        <w:rPr>
          <w:rFonts w:ascii="宋体" w:hAnsi="宋体" w:cs="宋体" w:eastAsia="宋体" w:hint="default"/>
        </w:rPr>
        <w:t>2011</w:t>
      </w:r>
      <w:r>
        <w:rPr>
          <w:rFonts w:ascii="宋体" w:hAnsi="宋体" w:cs="宋体" w:eastAsia="宋体" w:hint="default"/>
          <w:spacing w:val="-90"/>
        </w:rPr>
        <w:t> </w:t>
      </w:r>
      <w:r>
        <w:rPr>
          <w:rFonts w:ascii="宋体" w:hAnsi="宋体" w:cs="宋体" w:eastAsia="宋体" w:hint="default"/>
          <w:spacing w:val="-90"/>
        </w:rPr>
      </w:r>
      <w:r>
        <w:rPr/>
        <w:t>年年度股东大会审议通过了该分配方案，并于</w:t>
      </w:r>
      <w:r>
        <w:rPr>
          <w:spacing w:val="-6"/>
        </w:rPr>
        <w:t> </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6</w:t>
      </w:r>
      <w:r>
        <w:rPr/>
        <w:t>日分派实施完毕。</w:t>
      </w:r>
    </w:p>
    <w:p>
      <w:pPr>
        <w:pStyle w:val="BodyText"/>
        <w:spacing w:line="273" w:lineRule="exact"/>
        <w:ind w:left="681" w:right="142"/>
        <w:jc w:val="left"/>
      </w:pPr>
      <w:r>
        <w:rPr>
          <w:rFonts w:ascii="宋体" w:hAnsi="宋体" w:cs="宋体" w:eastAsia="宋体" w:hint="default"/>
        </w:rPr>
        <w:t>2012</w:t>
      </w:r>
      <w:r>
        <w:rPr/>
        <w:t>年度公司利润分配及资本公积转增股本的预案为：以截止</w:t>
      </w:r>
      <w:r>
        <w:rPr>
          <w:rFonts w:ascii="宋体" w:hAnsi="宋体" w:cs="宋体" w:eastAsia="宋体" w:hint="default"/>
        </w:rPr>
        <w:t>2012 </w:t>
      </w:r>
      <w:r>
        <w:rPr/>
        <w:t>年</w:t>
      </w:r>
      <w:r>
        <w:rPr>
          <w:rFonts w:ascii="宋体" w:hAnsi="宋体" w:cs="宋体" w:eastAsia="宋体" w:hint="default"/>
        </w:rPr>
        <w:t>12 </w:t>
      </w:r>
      <w:r>
        <w:rPr/>
        <w:t>月</w:t>
      </w:r>
      <w:r>
        <w:rPr>
          <w:rFonts w:ascii="宋体" w:hAnsi="宋体" w:cs="宋体" w:eastAsia="宋体" w:hint="default"/>
        </w:rPr>
        <w:t>31</w:t>
      </w:r>
      <w:r>
        <w:rPr>
          <w:rFonts w:ascii="宋体" w:hAnsi="宋体" w:cs="宋体" w:eastAsia="宋体" w:hint="default"/>
          <w:spacing w:val="-10"/>
        </w:rPr>
        <w:t> </w:t>
      </w:r>
      <w:r>
        <w:rPr/>
        <w:t>日公司总股本</w:t>
      </w:r>
    </w:p>
    <w:p>
      <w:pPr>
        <w:pStyle w:val="BodyText"/>
        <w:spacing w:line="272" w:lineRule="exact"/>
        <w:ind w:right="142"/>
        <w:jc w:val="left"/>
      </w:pPr>
      <w:r>
        <w:rPr>
          <w:rFonts w:ascii="宋体" w:hAnsi="宋体" w:cs="宋体" w:eastAsia="宋体" w:hint="default"/>
        </w:rPr>
        <w:t>68,000,000 </w:t>
      </w:r>
      <w:r>
        <w:rPr/>
        <w:t>股为基数向全体股东每</w:t>
      </w:r>
      <w:r>
        <w:rPr>
          <w:rFonts w:ascii="宋体" w:hAnsi="宋体" w:cs="宋体" w:eastAsia="宋体" w:hint="default"/>
        </w:rPr>
        <w:t>10</w:t>
      </w:r>
      <w:r>
        <w:rPr>
          <w:rFonts w:ascii="宋体" w:hAnsi="宋体" w:cs="宋体" w:eastAsia="宋体" w:hint="default"/>
          <w:spacing w:val="-11"/>
        </w:rPr>
        <w:t> </w:t>
      </w:r>
      <w:r>
        <w:rPr/>
        <w:t>股派发现金红利</w:t>
      </w:r>
      <w:r>
        <w:rPr>
          <w:rFonts w:ascii="宋体" w:hAnsi="宋体" w:cs="宋体" w:eastAsia="宋体" w:hint="default"/>
        </w:rPr>
        <w:t>1.5</w:t>
      </w:r>
      <w:r>
        <w:rPr/>
        <w:t>元人民币（含税），合计派发现金红利</w:t>
      </w:r>
    </w:p>
    <w:p>
      <w:pPr>
        <w:pStyle w:val="BodyText"/>
        <w:spacing w:line="272" w:lineRule="exact" w:before="27"/>
        <w:ind w:right="147"/>
        <w:jc w:val="left"/>
      </w:pPr>
      <w:r>
        <w:rPr>
          <w:rFonts w:ascii="宋体" w:hAnsi="宋体" w:cs="宋体" w:eastAsia="宋体" w:hint="default"/>
        </w:rPr>
        <w:t>10,200,000.00</w:t>
      </w:r>
      <w:r>
        <w:rPr/>
        <w:t>元；同时，以资本公积金向全体股东每</w:t>
      </w:r>
      <w:r>
        <w:rPr>
          <w:rFonts w:ascii="宋体" w:hAnsi="宋体" w:cs="宋体" w:eastAsia="宋体" w:hint="default"/>
        </w:rPr>
        <w:t>10 </w:t>
      </w:r>
      <w:r>
        <w:rPr/>
        <w:t>股转增</w:t>
      </w:r>
      <w:r>
        <w:rPr>
          <w:rFonts w:ascii="宋体" w:hAnsi="宋体" w:cs="宋体" w:eastAsia="宋体" w:hint="default"/>
        </w:rPr>
        <w:t>10 </w:t>
      </w:r>
      <w:r>
        <w:rPr/>
        <w:t>股，合计转增股本</w:t>
      </w:r>
      <w:r>
        <w:rPr>
          <w:rFonts w:ascii="宋体" w:hAnsi="宋体" w:cs="宋体" w:eastAsia="宋体" w:hint="default"/>
        </w:rPr>
        <w:t>68,000,000</w:t>
      </w:r>
      <w:r>
        <w:rPr>
          <w:rFonts w:ascii="宋体" w:hAnsi="宋体" w:cs="宋体" w:eastAsia="宋体" w:hint="default"/>
          <w:spacing w:val="-21"/>
        </w:rPr>
        <w:t> </w:t>
      </w:r>
      <w:r>
        <w:rPr>
          <w:spacing w:val="-4"/>
        </w:rPr>
        <w:t>股，转</w:t>
      </w:r>
      <w:r>
        <w:rPr>
          <w:w w:val="100"/>
        </w:rPr>
        <w:t> </w:t>
      </w:r>
      <w:r>
        <w:rPr/>
        <w:t>增后公司总股本将变更为</w:t>
      </w:r>
      <w:r>
        <w:rPr>
          <w:rFonts w:ascii="宋体" w:hAnsi="宋体" w:cs="宋体" w:eastAsia="宋体" w:hint="default"/>
        </w:rPr>
        <w:t>136,000,000</w:t>
      </w:r>
      <w:r>
        <w:rPr>
          <w:rFonts w:ascii="宋体" w:hAnsi="宋体" w:cs="宋体" w:eastAsia="宋体" w:hint="default"/>
          <w:spacing w:val="-8"/>
        </w:rPr>
        <w:t> </w:t>
      </w:r>
      <w:r>
        <w:rPr/>
        <w:t>股。该预案尚需</w:t>
      </w:r>
      <w:r>
        <w:rPr>
          <w:rFonts w:ascii="宋体" w:hAnsi="宋体" w:cs="宋体" w:eastAsia="宋体" w:hint="default"/>
        </w:rPr>
        <w:t>2012</w:t>
      </w:r>
      <w:r>
        <w:rPr/>
        <w:t>年年度股东大会审议通过后方可实施。</w:t>
      </w:r>
    </w:p>
    <w:p>
      <w:pPr>
        <w:pStyle w:val="BodyText"/>
        <w:spacing w:line="240" w:lineRule="auto" w:before="94"/>
        <w:ind w:right="142"/>
        <w:jc w:val="left"/>
      </w:pPr>
      <w:r>
        <w:rPr/>
        <w:t>公司近三年现金分红情况表</w:t>
      </w:r>
    </w:p>
    <w:p>
      <w:pPr>
        <w:pStyle w:val="BodyText"/>
        <w:spacing w:line="271" w:lineRule="exact"/>
        <w:ind w:left="0" w:right="359"/>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391"/>
        <w:gridCol w:w="2393"/>
        <w:gridCol w:w="2393"/>
        <w:gridCol w:w="2391"/>
      </w:tblGrid>
      <w:tr>
        <w:trPr>
          <w:trHeight w:val="139" w:hRule="exact"/>
        </w:trPr>
        <w:tc>
          <w:tcPr>
            <w:tcW w:w="2391" w:type="dxa"/>
            <w:vMerge w:val="restart"/>
            <w:tcBorders>
              <w:top w:val="single" w:sz="4" w:space="0" w:color="000000"/>
              <w:left w:val="single" w:sz="4" w:space="0" w:color="000000"/>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公司股东的净利润的比率</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137" w:hRule="exact"/>
        </w:trPr>
        <w:tc>
          <w:tcPr>
            <w:tcW w:w="2391" w:type="dxa"/>
            <w:vMerge/>
            <w:tcBorders>
              <w:left w:val="single" w:sz="4" w:space="0" w:color="000000"/>
              <w:bottom w:val="nil" w:sz="6" w:space="0" w:color="auto"/>
              <w:right w:val="single" w:sz="4" w:space="0" w:color="000000"/>
            </w:tcBorders>
            <w:shd w:val="clear" w:color="auto" w:fill="D2D2D2"/>
          </w:tcPr>
          <w:p>
            <w:pPr/>
          </w:p>
        </w:tc>
        <w:tc>
          <w:tcPr>
            <w:tcW w:w="2393"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分红年度合并报表中归属</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于上市公司股东的净利润</w:t>
            </w:r>
          </w:p>
        </w:tc>
        <w:tc>
          <w:tcPr>
            <w:tcW w:w="2391" w:type="dxa"/>
            <w:vMerge/>
            <w:tcBorders>
              <w:left w:val="single" w:sz="4" w:space="0" w:color="000000"/>
              <w:right w:val="single" w:sz="4" w:space="0" w:color="000000"/>
            </w:tcBorders>
            <w:shd w:val="clear" w:color="auto" w:fill="D2D2D2"/>
          </w:tcPr>
          <w:p>
            <w:pPr/>
          </w:p>
        </w:tc>
      </w:tr>
      <w:tr>
        <w:trPr>
          <w:trHeight w:val="27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3" w:type="dxa"/>
            <w:vMerge/>
            <w:tcBorders>
              <w:left w:val="single" w:sz="4" w:space="0" w:color="000000"/>
              <w:right w:val="single" w:sz="4" w:space="0" w:color="000000"/>
            </w:tcBorders>
            <w:shd w:val="clear" w:color="auto" w:fill="D2D2D2"/>
          </w:tcPr>
          <w:p>
            <w:pPr/>
          </w:p>
        </w:tc>
        <w:tc>
          <w:tcPr>
            <w:tcW w:w="2391" w:type="dxa"/>
            <w:vMerge/>
            <w:tcBorders>
              <w:left w:val="single" w:sz="4" w:space="0" w:color="000000"/>
              <w:right w:val="single" w:sz="4" w:space="0" w:color="000000"/>
            </w:tcBorders>
            <w:shd w:val="clear" w:color="auto" w:fill="D2D2D2"/>
          </w:tcPr>
          <w:p>
            <w:pPr/>
          </w:p>
        </w:tc>
      </w:tr>
      <w:tr>
        <w:trPr>
          <w:trHeight w:val="134" w:hRule="exact"/>
        </w:trPr>
        <w:tc>
          <w:tcPr>
            <w:tcW w:w="2391" w:type="dxa"/>
            <w:vMerge w:val="restart"/>
            <w:tcBorders>
              <w:top w:val="nil" w:sz="6" w:space="0" w:color="auto"/>
              <w:left w:val="single" w:sz="4" w:space="0" w:color="000000"/>
              <w:right w:val="single" w:sz="4" w:space="0" w:color="000000"/>
            </w:tcBorders>
            <w:shd w:val="clear" w:color="auto" w:fill="D2D2D2"/>
          </w:tcPr>
          <w:p>
            <w:pPr/>
          </w:p>
        </w:tc>
        <w:tc>
          <w:tcPr>
            <w:tcW w:w="2393" w:type="dxa"/>
            <w:vMerge w:val="restart"/>
            <w:tcBorders>
              <w:top w:val="nil" w:sz="6" w:space="0" w:color="auto"/>
              <w:left w:val="single" w:sz="4" w:space="0" w:color="000000"/>
              <w:right w:val="single" w:sz="4" w:space="0" w:color="000000"/>
            </w:tcBorders>
            <w:shd w:val="clear" w:color="auto" w:fill="D2D2D2"/>
          </w:tcPr>
          <w:p>
            <w:pPr/>
          </w:p>
        </w:tc>
        <w:tc>
          <w:tcPr>
            <w:tcW w:w="2393" w:type="dxa"/>
            <w:vMerge/>
            <w:tcBorders>
              <w:left w:val="single" w:sz="4" w:space="0" w:color="000000"/>
              <w:bottom w:val="nil" w:sz="6" w:space="0" w:color="auto"/>
              <w:right w:val="single" w:sz="4" w:space="0" w:color="000000"/>
            </w:tcBorders>
            <w:shd w:val="clear" w:color="auto" w:fill="D2D2D2"/>
          </w:tcPr>
          <w:p>
            <w:pPr/>
          </w:p>
        </w:tc>
        <w:tc>
          <w:tcPr>
            <w:tcW w:w="2391" w:type="dxa"/>
            <w:vMerge/>
            <w:tcBorders>
              <w:left w:val="single" w:sz="4" w:space="0" w:color="000000"/>
              <w:right w:val="single" w:sz="4" w:space="0" w:color="000000"/>
            </w:tcBorders>
            <w:shd w:val="clear" w:color="auto" w:fill="D2D2D2"/>
          </w:tcPr>
          <w:p>
            <w:pPr/>
          </w:p>
        </w:tc>
      </w:tr>
      <w:tr>
        <w:trPr>
          <w:trHeight w:val="14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49,862,341.25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20.46%</w:t>
            </w:r>
          </w:p>
        </w:tc>
      </w:tr>
      <w:tr>
        <w:trPr>
          <w:trHeight w:val="28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44,869,022.63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30.31%</w:t>
            </w:r>
          </w:p>
        </w:tc>
      </w:tr>
      <w:tr>
        <w:trPr>
          <w:trHeight w:val="28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35,292,031.42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z w:val="21"/>
              </w:rPr>
              <w:t>0%</w:t>
            </w:r>
          </w:p>
        </w:tc>
      </w:tr>
    </w:tbl>
    <w:p>
      <w:pPr>
        <w:pStyle w:val="BodyText"/>
        <w:spacing w:line="274" w:lineRule="exact" w:before="86"/>
        <w:ind w:left="573" w:right="142"/>
        <w:jc w:val="left"/>
      </w:pPr>
      <w:r>
        <w:rPr/>
        <w:t>公司报告期内盈利且母公司未分配利润为正但未提出现金红利分配预案</w:t>
      </w:r>
    </w:p>
    <w:p>
      <w:pPr>
        <w:pStyle w:val="BodyText"/>
        <w:spacing w:line="274" w:lineRule="exact"/>
        <w:ind w:left="573" w:right="142"/>
        <w:jc w:val="left"/>
      </w:pPr>
      <w:r>
        <w:rPr/>
        <w:t>□适用 √不适用</w:t>
      </w:r>
    </w:p>
    <w:p>
      <w:pPr>
        <w:spacing w:after="0" w:line="274" w:lineRule="exact"/>
        <w:jc w:val="left"/>
        <w:sectPr>
          <w:pgSz w:w="11910" w:h="16840"/>
          <w:pgMar w:header="884" w:footer="979" w:top="1100" w:bottom="1160" w:left="980" w:right="980"/>
        </w:sectPr>
      </w:pPr>
    </w:p>
    <w:p>
      <w:pPr>
        <w:spacing w:line="240" w:lineRule="auto" w:before="8"/>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160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4"/>
        <w:spacing w:line="240" w:lineRule="auto" w:before="26"/>
        <w:ind w:left="212" w:right="0"/>
        <w:jc w:val="left"/>
        <w:rPr>
          <w:b w:val="0"/>
          <w:bCs w:val="0"/>
        </w:rPr>
      </w:pPr>
      <w:r>
        <w:rPr/>
        <w:t>七、内幕信息知情人管理制度的建立和执行情况</w:t>
      </w:r>
      <w:r>
        <w:rPr>
          <w:b w:val="0"/>
          <w:bCs w:val="0"/>
        </w:rPr>
      </w:r>
    </w:p>
    <w:p>
      <w:pPr>
        <w:pStyle w:val="BodyText"/>
        <w:spacing w:line="237" w:lineRule="auto" w:before="203"/>
        <w:ind w:left="212" w:right="0" w:firstLine="526"/>
        <w:jc w:val="left"/>
      </w:pPr>
      <w:r>
        <w:rPr/>
        <w:t>为规范公司内幕信息管理，加强内幕信息保密工作，维护信息披露的公开、公平、公正原则，保护</w:t>
      </w:r>
      <w:r>
        <w:rPr>
          <w:w w:val="100"/>
        </w:rPr>
        <w:t> </w:t>
      </w:r>
      <w:r>
        <w:rPr>
          <w:spacing w:val="-2"/>
        </w:rPr>
        <w:t>广大投资者的合法权益，根据《中华人民共和国公司法》、《中华人民共和国证券法》、《上市公司信息</w:t>
      </w:r>
      <w:r>
        <w:rPr>
          <w:spacing w:val="-50"/>
        </w:rPr>
        <w:t> </w:t>
      </w:r>
      <w:r>
        <w:rPr>
          <w:spacing w:val="-50"/>
        </w:rPr>
      </w:r>
      <w:r>
        <w:rPr>
          <w:spacing w:val="-9"/>
          <w:w w:val="100"/>
        </w:rPr>
        <w:t>披露管理办法》、《深圳证券交易所创业板上市规则》、《深圳证券交易所创业板上市公司规范运作指引》、</w:t>
      </w:r>
    </w:p>
    <w:p>
      <w:pPr>
        <w:pStyle w:val="BodyText"/>
        <w:spacing w:line="274" w:lineRule="exact" w:before="22"/>
        <w:ind w:left="212" w:right="0"/>
        <w:jc w:val="left"/>
      </w:pPr>
      <w:r>
        <w:rPr>
          <w:spacing w:val="-2"/>
        </w:rPr>
        <w:t>《关于上市公司建立内幕信息知情人登记管理制度的规定》等有关法律、法规、业务规则的相关规定，公</w:t>
      </w:r>
      <w:r>
        <w:rPr>
          <w:spacing w:val="-44"/>
        </w:rPr>
        <w:t> </w:t>
      </w:r>
      <w:r>
        <w:rPr>
          <w:spacing w:val="-44"/>
        </w:rPr>
      </w:r>
      <w:r>
        <w:rPr/>
        <w:t>司制定了《内幕信息知情人登记管理制度》。</w:t>
      </w:r>
    </w:p>
    <w:p>
      <w:pPr>
        <w:pStyle w:val="BodyText"/>
        <w:spacing w:line="245" w:lineRule="exact"/>
        <w:ind w:left="738" w:right="0"/>
        <w:jc w:val="left"/>
      </w:pPr>
      <w:r>
        <w:rPr/>
        <w:t>该制度经公司</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6</w:t>
      </w:r>
      <w:r>
        <w:rPr/>
        <w:t>日召开的公司第一届董事会第十三次会议审议通过，并于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8</w:t>
      </w:r>
      <w:r>
        <w:rPr/>
        <w:t>日披</w:t>
      </w:r>
    </w:p>
    <w:p>
      <w:pPr>
        <w:pStyle w:val="BodyText"/>
        <w:spacing w:line="272" w:lineRule="exact" w:before="27"/>
        <w:ind w:left="738" w:right="0" w:hanging="527"/>
        <w:jc w:val="left"/>
      </w:pPr>
      <w:r>
        <w:rPr/>
        <w:t>露于中国证监会指定的创业板信息披露网站”巨潮资讯网”（</w:t>
      </w:r>
      <w:r>
        <w:rPr>
          <w:rFonts w:ascii="宋体" w:hAnsi="宋体" w:cs="宋体" w:eastAsia="宋体" w:hint="default"/>
        </w:rPr>
        <w:t>http://www.cninfo.com.cn)</w:t>
      </w:r>
      <w:r>
        <w:rPr/>
        <w:t>。</w:t>
      </w:r>
      <w:r>
        <w:rPr>
          <w:w w:val="100"/>
        </w:rPr>
        <w:t> </w:t>
      </w:r>
      <w:r>
        <w:rPr>
          <w:spacing w:val="-2"/>
        </w:rPr>
        <w:t>报告期内，公司严格按照《内幕信息知情人登记管理制度》的相关规定，积极做好公司定期报告及</w:t>
      </w:r>
    </w:p>
    <w:p>
      <w:pPr>
        <w:pStyle w:val="BodyText"/>
        <w:spacing w:line="272" w:lineRule="exact" w:before="1"/>
        <w:ind w:left="212" w:right="0"/>
        <w:jc w:val="left"/>
      </w:pPr>
      <w:r>
        <w:rPr>
          <w:spacing w:val="-5"/>
        </w:rPr>
        <w:t>重大事项在商议筹划、论证咨询、合同订立等阶段及报告传递、编制、决议、披露等环节的信息管理工作，</w:t>
      </w:r>
      <w:r>
        <w:rPr>
          <w:spacing w:val="-7"/>
        </w:rPr>
        <w:t> </w:t>
      </w:r>
      <w:r>
        <w:rPr>
          <w:spacing w:val="-7"/>
        </w:rPr>
      </w:r>
      <w:r>
        <w:rPr/>
        <w:t>有效维护了广大投资者，特别是中小投资者的合法权益。</w:t>
      </w:r>
    </w:p>
    <w:p>
      <w:pPr>
        <w:pStyle w:val="BodyText"/>
        <w:spacing w:line="240" w:lineRule="auto" w:before="94"/>
        <w:ind w:left="738" w:right="0"/>
        <w:jc w:val="left"/>
      </w:pPr>
      <w:r>
        <w:rPr/>
        <w:t>报告期内，公司不存在内幕信息知情人涉嫌内幕的情况，也不存在受监管部门查处和要求整改的情</w:t>
      </w:r>
    </w:p>
    <w:p>
      <w:pPr>
        <w:pStyle w:val="BodyText"/>
        <w:spacing w:line="271" w:lineRule="exact"/>
        <w:ind w:left="212" w:right="0"/>
        <w:jc w:val="left"/>
      </w:pPr>
      <w:r>
        <w:rPr/>
        <w:t>况。</w:t>
      </w:r>
    </w:p>
    <w:p>
      <w:pPr>
        <w:spacing w:line="240" w:lineRule="auto" w:before="10"/>
        <w:rPr>
          <w:rFonts w:ascii="宋体" w:hAnsi="宋体" w:cs="宋体" w:eastAsia="宋体" w:hint="default"/>
          <w:sz w:val="17"/>
          <w:szCs w:val="17"/>
        </w:rPr>
      </w:pPr>
    </w:p>
    <w:p>
      <w:pPr>
        <w:pStyle w:val="Heading4"/>
        <w:spacing w:line="240" w:lineRule="auto"/>
        <w:ind w:left="212" w:right="0"/>
        <w:jc w:val="left"/>
        <w:rPr>
          <w:b w:val="0"/>
          <w:bCs w:val="0"/>
        </w:rPr>
      </w:pPr>
      <w:r>
        <w:rPr/>
        <w:t>八、报告期内接待调研、沟通、采访等活动登记表</w:t>
      </w:r>
      <w:r>
        <w:rPr>
          <w:b w:val="0"/>
          <w:bCs w:val="0"/>
        </w:rPr>
      </w:r>
    </w:p>
    <w:p>
      <w:pPr>
        <w:spacing w:line="240" w:lineRule="auto" w:before="2"/>
        <w:rPr>
          <w:rFonts w:ascii="宋体" w:hAnsi="宋体" w:cs="宋体" w:eastAsia="宋体" w:hint="default"/>
          <w:b/>
          <w:bCs/>
          <w:sz w:val="21"/>
          <w:szCs w:val="21"/>
        </w:rPr>
      </w:pPr>
    </w:p>
    <w:tbl>
      <w:tblPr>
        <w:tblW w:w="0" w:type="auto"/>
        <w:jc w:val="left"/>
        <w:tblInd w:w="116" w:type="dxa"/>
        <w:tblLayout w:type="fixed"/>
        <w:tblCellMar>
          <w:top w:w="0" w:type="dxa"/>
          <w:left w:w="0" w:type="dxa"/>
          <w:bottom w:w="0" w:type="dxa"/>
          <w:right w:w="0" w:type="dxa"/>
        </w:tblCellMar>
        <w:tblLook w:val="01E0"/>
      </w:tblPr>
      <w:tblGrid>
        <w:gridCol w:w="1844"/>
        <w:gridCol w:w="1275"/>
        <w:gridCol w:w="1135"/>
        <w:gridCol w:w="936"/>
        <w:gridCol w:w="2639"/>
        <w:gridCol w:w="1994"/>
      </w:tblGrid>
      <w:tr>
        <w:trPr>
          <w:trHeight w:val="947"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4" w:right="38" w:hanging="212"/>
              <w:jc w:val="left"/>
              <w:rPr>
                <w:rFonts w:ascii="宋体" w:hAnsi="宋体" w:cs="宋体" w:eastAsia="宋体" w:hint="default"/>
                <w:sz w:val="21"/>
                <w:szCs w:val="21"/>
              </w:rPr>
            </w:pPr>
            <w:r>
              <w:rPr>
                <w:rFonts w:ascii="宋体" w:hAnsi="宋体" w:cs="宋体" w:eastAsia="宋体" w:hint="default"/>
                <w:sz w:val="21"/>
                <w:szCs w:val="21"/>
              </w:rPr>
              <w:t>接待对象</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573" w:right="40" w:hanging="526"/>
              <w:jc w:val="left"/>
              <w:rPr>
                <w:rFonts w:ascii="宋体" w:hAnsi="宋体" w:cs="宋体" w:eastAsia="宋体" w:hint="default"/>
                <w:sz w:val="21"/>
                <w:szCs w:val="21"/>
              </w:rPr>
            </w:pPr>
            <w:r>
              <w:rPr>
                <w:rFonts w:ascii="宋体" w:hAnsi="宋体" w:cs="宋体" w:eastAsia="宋体" w:hint="default"/>
                <w:sz w:val="21"/>
                <w:szCs w:val="21"/>
              </w:rPr>
              <w:t>谈论的主要内容及提</w:t>
            </w:r>
            <w:r>
              <w:rPr>
                <w:rFonts w:ascii="宋体" w:hAnsi="宋体" w:cs="宋体" w:eastAsia="宋体" w:hint="default"/>
                <w:w w:val="100"/>
                <w:sz w:val="21"/>
                <w:szCs w:val="21"/>
              </w:rPr>
              <w:t> </w:t>
            </w:r>
            <w:r>
              <w:rPr>
                <w:rFonts w:ascii="宋体" w:hAnsi="宋体" w:cs="宋体" w:eastAsia="宋体" w:hint="default"/>
                <w:sz w:val="21"/>
                <w:szCs w:val="21"/>
              </w:rPr>
              <w:t>供的资料</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民生证券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公司主营业务情况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国金证券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公司经营和技术情况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深圳悟空投资管理有限公司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公司主营业务情况</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72" w:lineRule="exact"/>
              <w:ind w:left="24" w:right="79"/>
              <w:jc w:val="left"/>
              <w:rPr>
                <w:rFonts w:ascii="宋体" w:hAnsi="宋体" w:cs="宋体" w:eastAsia="宋体" w:hint="default"/>
                <w:sz w:val="21"/>
                <w:szCs w:val="21"/>
              </w:rPr>
            </w:pPr>
            <w:r>
              <w:rPr>
                <w:rFonts w:ascii="宋体" w:hAnsi="宋体" w:cs="宋体" w:eastAsia="宋体" w:hint="default"/>
                <w:spacing w:val="-2"/>
                <w:sz w:val="21"/>
                <w:szCs w:val="21"/>
              </w:rPr>
              <w:t>中信证券、海通证券、方正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基金、鹏华基金、富国基金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公司主营业务情况</w:t>
            </w:r>
          </w:p>
        </w:tc>
      </w:tr>
      <w:tr>
        <w:trPr>
          <w:trHeight w:val="94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湘财证券、华泰证券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72" w:lineRule="exact"/>
              <w:ind w:left="24" w:right="65"/>
              <w:jc w:val="left"/>
              <w:rPr>
                <w:rFonts w:ascii="宋体" w:hAnsi="宋体" w:cs="宋体" w:eastAsia="宋体" w:hint="default"/>
                <w:sz w:val="21"/>
                <w:szCs w:val="21"/>
              </w:rPr>
            </w:pPr>
            <w:r>
              <w:rPr>
                <w:rFonts w:ascii="宋体" w:hAnsi="宋体" w:cs="宋体" w:eastAsia="宋体" w:hint="default"/>
                <w:spacing w:val="-2"/>
                <w:sz w:val="21"/>
                <w:szCs w:val="21"/>
              </w:rPr>
              <w:t>公司主营业务情况及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募投项目情况</w:t>
            </w:r>
          </w:p>
        </w:tc>
      </w:tr>
    </w:tbl>
    <w:p>
      <w:pPr>
        <w:spacing w:after="0" w:line="272" w:lineRule="exact"/>
        <w:jc w:val="left"/>
        <w:rPr>
          <w:rFonts w:ascii="宋体" w:hAnsi="宋体" w:cs="宋体" w:eastAsia="宋体" w:hint="default"/>
          <w:sz w:val="21"/>
          <w:szCs w:val="21"/>
        </w:rPr>
        <w:sectPr>
          <w:pgSz w:w="11910" w:h="16840"/>
          <w:pgMar w:header="884" w:footer="979" w:top="1100" w:bottom="1160" w:left="920" w:right="920"/>
        </w:sectPr>
      </w:pPr>
    </w:p>
    <w:p>
      <w:pPr>
        <w:spacing w:line="240" w:lineRule="auto" w:before="2"/>
        <w:rPr>
          <w:rFonts w:ascii="宋体" w:hAnsi="宋体" w:cs="宋体" w:eastAsia="宋体" w:hint="default"/>
          <w:b/>
          <w:bCs/>
          <w:sz w:val="25"/>
          <w:szCs w:val="25"/>
        </w:rPr>
      </w:pPr>
      <w:r>
        <w:rPr/>
        <w:pict>
          <v:group style="position:absolute;margin-left:54.84pt;margin-top:28.299982pt;width:485.65pt;height:40.15pt;mso-position-horizontal-relative:page;mso-position-vertical-relative:page;z-index:162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1"/>
        <w:spacing w:line="240" w:lineRule="auto"/>
        <w:ind w:left="3751" w:right="380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11"/>
        <w:rPr>
          <w:rFonts w:ascii="宋体" w:hAnsi="宋体" w:cs="宋体" w:eastAsia="宋体" w:hint="default"/>
          <w:b/>
          <w:bCs/>
          <w:sz w:val="29"/>
          <w:szCs w:val="29"/>
        </w:rPr>
      </w:pPr>
    </w:p>
    <w:p>
      <w:pPr>
        <w:pStyle w:val="Heading4"/>
        <w:spacing w:line="240" w:lineRule="auto" w:before="26"/>
        <w:ind w:right="4"/>
        <w:jc w:val="left"/>
        <w:rPr>
          <w:b w:val="0"/>
          <w:bCs w:val="0"/>
        </w:rPr>
      </w:pPr>
      <w:r>
        <w:rPr/>
        <w:t>一、重大诉讼仲裁事项</w:t>
      </w:r>
      <w:r>
        <w:rPr>
          <w:b w:val="0"/>
          <w:bCs w:val="0"/>
        </w:rPr>
      </w:r>
    </w:p>
    <w:p>
      <w:pPr>
        <w:spacing w:line="240" w:lineRule="auto" w:before="9"/>
        <w:rPr>
          <w:rFonts w:ascii="宋体" w:hAnsi="宋体" w:cs="宋体" w:eastAsia="宋体" w:hint="default"/>
          <w:b/>
          <w:bCs/>
          <w:sz w:val="17"/>
          <w:szCs w:val="17"/>
        </w:rPr>
      </w:pPr>
    </w:p>
    <w:p>
      <w:pPr>
        <w:pStyle w:val="BodyText"/>
        <w:spacing w:line="272" w:lineRule="exact"/>
        <w:ind w:right="4870"/>
        <w:jc w:val="left"/>
      </w:pPr>
      <w:r>
        <w:rPr/>
        <w:t>□适用</w:t>
      </w:r>
      <w:r>
        <w:rPr>
          <w:spacing w:val="-2"/>
        </w:rPr>
        <w:t> </w:t>
      </w:r>
      <w:r>
        <w:rPr/>
        <w:t>√</w:t>
      </w:r>
      <w:r>
        <w:rPr>
          <w:spacing w:val="-2"/>
        </w:rPr>
        <w:t> </w:t>
      </w:r>
      <w:r>
        <w:rPr/>
        <w:t>不适用</w:t>
      </w:r>
      <w:r>
        <w:rPr>
          <w:spacing w:val="-101"/>
        </w:rPr>
        <w:t> </w:t>
      </w:r>
      <w:r>
        <w:rPr>
          <w:spacing w:val="-101"/>
        </w:rPr>
      </w:r>
      <w:r>
        <w:rPr>
          <w:spacing w:val="-2"/>
        </w:rPr>
        <w:t>本年度公司无重大诉讼、仲裁事项。</w:t>
      </w:r>
    </w:p>
    <w:p>
      <w:pPr>
        <w:pStyle w:val="Heading4"/>
        <w:spacing w:line="240" w:lineRule="auto" w:before="169"/>
        <w:ind w:right="4"/>
        <w:jc w:val="left"/>
        <w:rPr>
          <w:b w:val="0"/>
          <w:bCs w:val="0"/>
        </w:rPr>
      </w:pPr>
      <w:r>
        <w:rPr/>
        <w:t>二、上市公司发生控股股东及其关联方非经营性占用资金情况</w:t>
      </w:r>
      <w:r>
        <w:rPr>
          <w:b w:val="0"/>
          <w:bCs w:val="0"/>
        </w:rPr>
      </w:r>
    </w:p>
    <w:p>
      <w:pPr>
        <w:pStyle w:val="BodyText"/>
        <w:spacing w:line="475" w:lineRule="auto" w:before="201"/>
        <w:ind w:right="4870"/>
        <w:jc w:val="left"/>
      </w:pPr>
      <w:r>
        <w:rPr/>
        <w:t>□适用</w:t>
      </w:r>
      <w:r>
        <w:rPr>
          <w:spacing w:val="-2"/>
        </w:rPr>
        <w:t> </w:t>
      </w:r>
      <w:r>
        <w:rPr/>
        <w:t>√</w:t>
      </w:r>
      <w:r>
        <w:rPr>
          <w:spacing w:val="-2"/>
        </w:rPr>
        <w:t> </w:t>
      </w:r>
      <w:r>
        <w:rPr/>
        <w:t>不适用</w:t>
      </w:r>
      <w:r>
        <w:rPr>
          <w:spacing w:val="-101"/>
        </w:rPr>
        <w:t> </w:t>
      </w:r>
      <w:r>
        <w:rPr>
          <w:spacing w:val="-101"/>
        </w:rPr>
      </w:r>
      <w:r>
        <w:rPr>
          <w:spacing w:val="-2"/>
        </w:rPr>
        <w:t>会计师事务所对资金占用的专项审核意见</w:t>
      </w:r>
    </w:p>
    <w:p>
      <w:pPr>
        <w:pStyle w:val="BodyText"/>
        <w:spacing w:line="240" w:lineRule="auto" w:before="52"/>
        <w:ind w:left="0" w:right="208"/>
        <w:jc w:val="right"/>
      </w:pPr>
      <w:r>
        <w:rPr/>
        <w:t>会审字</w:t>
      </w:r>
      <w:r>
        <w:rPr>
          <w:rFonts w:ascii="宋体" w:hAnsi="宋体" w:cs="宋体" w:eastAsia="宋体" w:hint="default"/>
        </w:rPr>
        <w:t>[2013]0931</w:t>
      </w:r>
      <w:r>
        <w:rPr>
          <w:rFonts w:ascii="宋体" w:hAnsi="宋体" w:cs="宋体" w:eastAsia="宋体" w:hint="default"/>
          <w:spacing w:val="-54"/>
        </w:rPr>
        <w:t> </w:t>
      </w:r>
      <w:r>
        <w:rPr/>
        <w:t>号</w:t>
      </w:r>
    </w:p>
    <w:p>
      <w:pPr>
        <w:spacing w:line="240" w:lineRule="auto" w:before="0"/>
        <w:rPr>
          <w:rFonts w:ascii="宋体" w:hAnsi="宋体" w:cs="宋体" w:eastAsia="宋体" w:hint="default"/>
          <w:sz w:val="20"/>
          <w:szCs w:val="20"/>
        </w:rPr>
      </w:pPr>
    </w:p>
    <w:p>
      <w:pPr>
        <w:pStyle w:val="Heading2"/>
        <w:spacing w:line="357" w:lineRule="auto"/>
        <w:ind w:right="1723" w:firstLine="5"/>
        <w:jc w:val="center"/>
        <w:rPr>
          <w:b w:val="0"/>
          <w:bCs w:val="0"/>
        </w:rPr>
      </w:pPr>
      <w:r>
        <w:rPr/>
        <w:t>关于荣科科技股份有限公司</w:t>
      </w:r>
      <w:r>
        <w:rPr>
          <w:w w:val="99"/>
        </w:rPr>
        <w:t> </w:t>
      </w:r>
      <w:r>
        <w:rPr>
          <w:w w:val="95"/>
        </w:rPr>
        <w:t>控股股东及其他关联方资金占用情况专项审核报告</w:t>
      </w:r>
      <w:r>
        <w:rPr>
          <w:b w:val="0"/>
          <w:bCs w:val="0"/>
        </w:rPr>
      </w:r>
    </w:p>
    <w:p>
      <w:pPr>
        <w:pStyle w:val="BodyText"/>
        <w:spacing w:line="390" w:lineRule="atLeast" w:before="184"/>
        <w:ind w:left="573" w:right="4" w:hanging="421"/>
        <w:jc w:val="left"/>
      </w:pPr>
      <w:r>
        <w:rPr/>
        <w:t>荣科科技股份有限公司全体股东：</w:t>
      </w:r>
      <w:r>
        <w:rPr>
          <w:w w:val="100"/>
        </w:rPr>
        <w:t> </w:t>
      </w:r>
      <w:r>
        <w:rPr>
          <w:spacing w:val="-5"/>
        </w:rPr>
        <w:t>我们接受委托，依据中国注册会计师审计准则审计了荣科科技股份有限公司（以下简称荣科科技公司）</w:t>
      </w:r>
    </w:p>
    <w:p>
      <w:pPr>
        <w:pStyle w:val="BodyText"/>
        <w:spacing w:line="272" w:lineRule="exact"/>
        <w:ind w:right="4"/>
        <w:jc w:val="left"/>
      </w:pPr>
      <w:r>
        <w:rPr>
          <w:rFonts w:ascii="宋体" w:hAnsi="宋体" w:cs="宋体" w:eastAsia="宋体" w:hint="default"/>
        </w:rPr>
        <w:t>2012</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日的合并及母公司资产负债表，</w:t>
      </w:r>
      <w:r>
        <w:rPr>
          <w:rFonts w:ascii="宋体" w:hAnsi="宋体" w:cs="宋体" w:eastAsia="宋体" w:hint="default"/>
        </w:rPr>
        <w:t>2012</w:t>
      </w:r>
      <w:r>
        <w:rPr>
          <w:rFonts w:ascii="宋体" w:hAnsi="宋体" w:cs="宋体" w:eastAsia="宋体" w:hint="default"/>
          <w:spacing w:val="-40"/>
        </w:rPr>
        <w:t> </w:t>
      </w:r>
      <w:r>
        <w:rPr/>
        <w:t>年度的合并及母公司利润表、合并及母公司现金流</w:t>
      </w:r>
    </w:p>
    <w:p>
      <w:pPr>
        <w:pStyle w:val="BodyText"/>
        <w:spacing w:line="240" w:lineRule="auto"/>
        <w:ind w:right="4"/>
        <w:jc w:val="left"/>
      </w:pPr>
      <w:r>
        <w:rPr>
          <w:spacing w:val="-3"/>
        </w:rPr>
        <w:t>量表和合并及母公司股东权益变动表以及财务报表附注，并于</w:t>
      </w:r>
      <w:r>
        <w:rPr>
          <w:spacing w:val="-44"/>
        </w:rPr>
        <w:t> </w:t>
      </w:r>
      <w:r>
        <w:rPr>
          <w:rFonts w:ascii="宋体" w:hAnsi="宋体" w:cs="宋体" w:eastAsia="宋体" w:hint="default"/>
        </w:rPr>
        <w:t>2013</w:t>
      </w:r>
      <w:r>
        <w:rPr>
          <w:rFonts w:ascii="宋体" w:hAnsi="宋体" w:cs="宋体" w:eastAsia="宋体" w:hint="default"/>
          <w:spacing w:val="-45"/>
        </w:rPr>
        <w:t> </w:t>
      </w:r>
      <w:r>
        <w:rPr/>
        <w:t>年</w:t>
      </w:r>
      <w:r>
        <w:rPr>
          <w:spacing w:val="-48"/>
        </w:rPr>
        <w:t> </w:t>
      </w:r>
      <w:r>
        <w:rPr>
          <w:rFonts w:ascii="宋体" w:hAnsi="宋体" w:cs="宋体" w:eastAsia="宋体" w:hint="default"/>
        </w:rPr>
        <w:t>3</w:t>
      </w:r>
      <w:r>
        <w:rPr>
          <w:rFonts w:ascii="宋体" w:hAnsi="宋体" w:cs="宋体" w:eastAsia="宋体" w:hint="default"/>
          <w:spacing w:val="-45"/>
        </w:rPr>
        <w:t> </w:t>
      </w:r>
      <w:r>
        <w:rPr/>
        <w:t>月</w:t>
      </w:r>
      <w:r>
        <w:rPr>
          <w:spacing w:val="-48"/>
        </w:rPr>
        <w:t> </w:t>
      </w:r>
      <w:r>
        <w:rPr>
          <w:rFonts w:ascii="宋体" w:hAnsi="宋体" w:cs="宋体" w:eastAsia="宋体" w:hint="default"/>
        </w:rPr>
        <w:t>25</w:t>
      </w:r>
      <w:r>
        <w:rPr>
          <w:rFonts w:ascii="宋体" w:hAnsi="宋体" w:cs="宋体" w:eastAsia="宋体" w:hint="default"/>
          <w:spacing w:val="-45"/>
        </w:rPr>
        <w:t> </w:t>
      </w:r>
      <w:r>
        <w:rPr/>
        <w:t>日出具了会审字</w:t>
      </w:r>
      <w:r>
        <w:rPr>
          <w:rFonts w:ascii="宋体" w:hAnsi="宋体" w:cs="宋体" w:eastAsia="宋体" w:hint="default"/>
        </w:rPr>
        <w:t>[2013]0929</w:t>
      </w:r>
      <w:r>
        <w:rPr>
          <w:rFonts w:ascii="宋体" w:hAnsi="宋体" w:cs="宋体" w:eastAsia="宋体" w:hint="default"/>
          <w:spacing w:val="-102"/>
        </w:rPr>
        <w:t> </w:t>
      </w:r>
      <w:r>
        <w:rPr>
          <w:rFonts w:ascii="宋体" w:hAnsi="宋体" w:cs="宋体" w:eastAsia="宋体" w:hint="default"/>
          <w:spacing w:val="-102"/>
        </w:rPr>
      </w:r>
      <w:r>
        <w:rPr/>
        <w:t>号的标准无保留意见审计报告。</w:t>
      </w:r>
    </w:p>
    <w:p>
      <w:pPr>
        <w:pStyle w:val="BodyText"/>
        <w:spacing w:line="237" w:lineRule="auto" w:before="119"/>
        <w:ind w:right="206" w:firstLine="420"/>
        <w:jc w:val="both"/>
      </w:pPr>
      <w:r>
        <w:rPr>
          <w:spacing w:val="-2"/>
        </w:rPr>
        <w:t>根据中国证券监督管理委员会和国务院国有资产监督管理委员会《关于规范上市公司与关联方资金往</w:t>
      </w:r>
      <w:r>
        <w:rPr>
          <w:w w:val="100"/>
        </w:rPr>
        <w:t> </w:t>
      </w:r>
      <w:r>
        <w:rPr>
          <w:spacing w:val="-3"/>
        </w:rPr>
        <w:t>来及上市公司对外担保若干问题的通知》（证监发字</w:t>
      </w:r>
      <w:r>
        <w:rPr>
          <w:rFonts w:ascii="宋体" w:hAnsi="宋体" w:cs="宋体" w:eastAsia="宋体" w:hint="default"/>
          <w:spacing w:val="-3"/>
        </w:rPr>
        <w:t>[2003]56 </w:t>
      </w:r>
      <w:r>
        <w:rPr>
          <w:spacing w:val="-4"/>
        </w:rPr>
        <w:t>号文）的要求，荣科科技公司编制了后附的</w:t>
      </w:r>
      <w:r>
        <w:rPr>
          <w:spacing w:val="-69"/>
        </w:rPr>
        <w:t> </w:t>
      </w:r>
      <w:r>
        <w:rPr>
          <w:spacing w:val="-69"/>
        </w:rPr>
      </w:r>
      <w:r>
        <w:rPr>
          <w:rFonts w:ascii="宋体" w:hAnsi="宋体" w:cs="宋体" w:eastAsia="宋体" w:hint="default"/>
        </w:rPr>
        <w:t>2012</w:t>
      </w:r>
      <w:r>
        <w:rPr>
          <w:rFonts w:ascii="宋体" w:hAnsi="宋体" w:cs="宋体" w:eastAsia="宋体" w:hint="default"/>
          <w:spacing w:val="4"/>
        </w:rPr>
        <w:t> </w:t>
      </w:r>
      <w:r>
        <w:rPr>
          <w:spacing w:val="-2"/>
        </w:rPr>
        <w:t>年度控股股东及其他关联方资金占用情况汇总表（以下简称汇总表）。</w:t>
      </w:r>
    </w:p>
    <w:p>
      <w:pPr>
        <w:pStyle w:val="BodyText"/>
        <w:spacing w:line="272" w:lineRule="exact" w:before="146"/>
        <w:ind w:right="206" w:firstLine="420"/>
        <w:jc w:val="both"/>
      </w:pPr>
      <w:r>
        <w:rPr>
          <w:spacing w:val="-2"/>
        </w:rPr>
        <w:t>如实编制和对外披露汇总表并确保其真实、合法及完整是荣科科技公司管理层的责任。我们对汇总表</w:t>
      </w:r>
      <w:r>
        <w:rPr>
          <w:w w:val="100"/>
        </w:rPr>
        <w:t> </w:t>
      </w:r>
      <w:r>
        <w:rPr/>
        <w:t>所载资料与本所审计荣科科技公司 </w:t>
      </w:r>
      <w:r>
        <w:rPr>
          <w:rFonts w:ascii="宋体" w:hAnsi="宋体" w:cs="宋体" w:eastAsia="宋体" w:hint="default"/>
        </w:rPr>
        <w:t>2012</w:t>
      </w:r>
      <w:r>
        <w:rPr>
          <w:rFonts w:ascii="宋体" w:hAnsi="宋体" w:cs="宋体" w:eastAsia="宋体" w:hint="default"/>
          <w:spacing w:val="-29"/>
        </w:rPr>
        <w:t> </w:t>
      </w:r>
      <w:r>
        <w:rPr/>
        <w:t>年度财务报表时所复核的会计资料和经审计的财务报表的相关内</w:t>
      </w:r>
    </w:p>
    <w:p>
      <w:pPr>
        <w:pStyle w:val="BodyText"/>
        <w:spacing w:line="272" w:lineRule="exact" w:before="1"/>
        <w:ind w:right="4"/>
        <w:jc w:val="left"/>
      </w:pPr>
      <w:r>
        <w:rPr/>
        <w:t>容进行了核对，在所有重大方面没有发现不一致。除了对荣科科技公司实施 </w:t>
      </w:r>
      <w:r>
        <w:rPr>
          <w:rFonts w:ascii="宋体" w:hAnsi="宋体" w:cs="宋体" w:eastAsia="宋体" w:hint="default"/>
        </w:rPr>
        <w:t>2012</w:t>
      </w:r>
      <w:r>
        <w:rPr>
          <w:rFonts w:ascii="宋体" w:hAnsi="宋体" w:cs="宋体" w:eastAsia="宋体" w:hint="default"/>
          <w:spacing w:val="-31"/>
        </w:rPr>
        <w:t> </w:t>
      </w:r>
      <w:r>
        <w:rPr/>
        <w:t>年度财务报表审计中所</w:t>
      </w:r>
      <w:r>
        <w:rPr>
          <w:w w:val="100"/>
        </w:rPr>
        <w:t> </w:t>
      </w:r>
      <w:r>
        <w:rPr>
          <w:spacing w:val="-2"/>
        </w:rPr>
        <w:t>执行的对关联方交易有关的审计程序外，我们并未对汇总表所载资料执行额外的审计程序。为了更好地理</w:t>
      </w:r>
    </w:p>
    <w:p>
      <w:pPr>
        <w:pStyle w:val="BodyText"/>
        <w:spacing w:line="249" w:lineRule="exact"/>
        <w:ind w:left="573" w:right="4" w:hanging="421"/>
        <w:jc w:val="left"/>
      </w:pPr>
      <w:r>
        <w:rPr/>
        <w:t>解荣科科技公司的控股股东及其他关联方占用资金情况，后附汇总表应当与已审计的财务报表一并阅读。</w:t>
      </w:r>
    </w:p>
    <w:p>
      <w:pPr>
        <w:pStyle w:val="BodyText"/>
        <w:spacing w:line="272" w:lineRule="exact" w:before="144"/>
        <w:ind w:right="206" w:firstLine="420"/>
        <w:jc w:val="both"/>
      </w:pPr>
      <w:r>
        <w:rPr>
          <w:spacing w:val="-2"/>
        </w:rPr>
        <w:t>本专项审核报告仅作为荣科科技公司披露控股股东及其他关联方资金占用情况之用，不得用作任何其</w:t>
      </w:r>
      <w:r>
        <w:rPr>
          <w:w w:val="100"/>
        </w:rPr>
        <w:t> </w:t>
      </w:r>
      <w:r>
        <w:rPr/>
        <w:t>他目的。</w:t>
      </w:r>
    </w:p>
    <w:p>
      <w:pPr>
        <w:pStyle w:val="BodyText"/>
        <w:spacing w:line="240" w:lineRule="auto" w:before="94"/>
        <w:ind w:left="573" w:right="4"/>
        <w:jc w:val="left"/>
      </w:pPr>
      <w:r>
        <w:rPr/>
        <w:t>附件：荣科科技股份有限公司</w:t>
      </w:r>
      <w:r>
        <w:rPr>
          <w:spacing w:val="-54"/>
        </w:rPr>
        <w:t> </w:t>
      </w:r>
      <w:r>
        <w:rPr>
          <w:rFonts w:ascii="宋体" w:hAnsi="宋体" w:cs="宋体" w:eastAsia="宋体" w:hint="default"/>
        </w:rPr>
        <w:t>2012</w:t>
      </w:r>
      <w:r>
        <w:rPr>
          <w:rFonts w:ascii="宋体" w:hAnsi="宋体" w:cs="宋体" w:eastAsia="宋体" w:hint="default"/>
          <w:spacing w:val="-57"/>
        </w:rPr>
        <w:t> </w:t>
      </w:r>
      <w:r>
        <w:rPr/>
        <w:t>年度控股股东及其他关联方资金占用情况汇总表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4984" w:val="left" w:leader="none"/>
        </w:tabs>
        <w:spacing w:line="273" w:lineRule="exact"/>
        <w:ind w:left="573" w:right="4"/>
        <w:jc w:val="left"/>
      </w:pPr>
      <w:r>
        <w:rPr>
          <w:spacing w:val="-2"/>
        </w:rPr>
        <w:t>华普天健会计师事务所</w:t>
        <w:tab/>
        <w:t>中国注册会计师：</w:t>
      </w:r>
    </w:p>
    <w:p>
      <w:pPr>
        <w:pStyle w:val="BodyText"/>
        <w:spacing w:line="273" w:lineRule="exact"/>
        <w:ind w:left="784" w:right="4"/>
        <w:jc w:val="left"/>
      </w:pPr>
      <w:r>
        <w:rPr/>
        <w:t>（北京）有限公司</w:t>
      </w:r>
    </w:p>
    <w:p>
      <w:pPr>
        <w:spacing w:line="240" w:lineRule="auto" w:before="8"/>
        <w:rPr>
          <w:rFonts w:ascii="宋体" w:hAnsi="宋体" w:cs="宋体" w:eastAsia="宋体" w:hint="default"/>
          <w:sz w:val="20"/>
          <w:szCs w:val="20"/>
        </w:rPr>
      </w:pPr>
    </w:p>
    <w:p>
      <w:pPr>
        <w:pStyle w:val="BodyText"/>
        <w:tabs>
          <w:tab w:pos="4994" w:val="left" w:leader="none"/>
        </w:tabs>
        <w:spacing w:line="240" w:lineRule="auto"/>
        <w:ind w:left="1108" w:right="4"/>
        <w:jc w:val="left"/>
      </w:pPr>
      <w:r>
        <w:rPr>
          <w:spacing w:val="-2"/>
        </w:rPr>
        <w:t>中国·北京</w:t>
        <w:tab/>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0" w:right="770"/>
        <w:jc w:val="right"/>
      </w:pPr>
      <w:r>
        <w:rPr>
          <w:spacing w:val="-2"/>
        </w:rPr>
        <w:t>二〇一三年三月二十五日</w:t>
      </w:r>
    </w:p>
    <w:p>
      <w:pPr>
        <w:spacing w:after="0" w:line="240" w:lineRule="auto"/>
        <w:jc w:val="right"/>
        <w:sectPr>
          <w:pgSz w:w="11910" w:h="16840"/>
          <w:pgMar w:header="884" w:footer="979" w:top="1100" w:bottom="1160" w:left="980" w:right="920"/>
        </w:sectPr>
      </w:pPr>
    </w:p>
    <w:p>
      <w:pPr>
        <w:spacing w:line="240" w:lineRule="auto" w:before="1"/>
        <w:rPr>
          <w:rFonts w:ascii="宋体" w:hAnsi="宋体" w:cs="宋体" w:eastAsia="宋体" w:hint="default"/>
          <w:sz w:val="6"/>
          <w:szCs w:val="6"/>
        </w:rPr>
      </w:pPr>
    </w:p>
    <w:p>
      <w:pPr>
        <w:spacing w:line="803" w:lineRule="exact"/>
        <w:ind w:left="11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732.25pt;height:40.15pt;mso-position-horizontal-relative:char;mso-position-vertical-relative:line" coordorigin="0,0" coordsize="14645,803">
            <v:group style="position:absolute;left:7;top:586;width:14631;height:2" coordorigin="7,586" coordsize="14631,2">
              <v:shape style="position:absolute;left:7;top:586;width:14631;height:2" coordorigin="7,586" coordsize="14631,0" path="m7,586l14638,586e" filled="false" stroked="true" strokeweight=".72pt" strokecolor="#000000">
                <v:path arrowok="t"/>
              </v:shape>
              <v:shape style="position:absolute;left:43;top:0;width:2160;height:803" type="#_x0000_t75" stroked="false">
                <v:imagedata r:id="rId7" o:title=""/>
              </v:shape>
              <v:shape style="position:absolute;left:12667;top:318;width:1945;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年年度报告全文</w:t>
                      </w:r>
                    </w:p>
                  </w:txbxContent>
                </v:textbox>
                <w10:wrap type="none"/>
              </v:shape>
            </v:group>
          </v:group>
        </w:pict>
      </w:r>
      <w:r>
        <w:rPr>
          <w:rFonts w:ascii="宋体" w:hAnsi="宋体" w:cs="宋体" w:eastAsia="宋体" w:hint="default"/>
          <w:position w:val="-15"/>
          <w:sz w:val="20"/>
          <w:szCs w:val="20"/>
        </w:rPr>
      </w:r>
    </w:p>
    <w:p>
      <w:pPr>
        <w:spacing w:after="0" w:line="803" w:lineRule="exact"/>
        <w:rPr>
          <w:rFonts w:ascii="宋体" w:hAnsi="宋体" w:cs="宋体" w:eastAsia="宋体" w:hint="default"/>
          <w:sz w:val="20"/>
          <w:szCs w:val="20"/>
        </w:rPr>
        <w:sectPr>
          <w:headerReference w:type="default" r:id="rId24"/>
          <w:footerReference w:type="default" r:id="rId25"/>
          <w:pgSz w:w="16840" w:h="11910" w:orient="landscape"/>
          <w:pgMar w:header="0" w:footer="0" w:top="480" w:bottom="280" w:left="980" w:right="980"/>
        </w:sectPr>
      </w:pPr>
    </w:p>
    <w:p>
      <w:pPr>
        <w:pStyle w:val="BodyText"/>
        <w:spacing w:line="240" w:lineRule="auto" w:before="37"/>
        <w:ind w:right="-16"/>
        <w:jc w:val="left"/>
      </w:pPr>
      <w:r>
        <w:rPr/>
        <w:t>附表：</w:t>
      </w:r>
    </w:p>
    <w:p>
      <w:pPr>
        <w:spacing w:line="240" w:lineRule="auto" w:before="6"/>
        <w:rPr>
          <w:rFonts w:ascii="宋体" w:hAnsi="宋体" w:cs="宋体" w:eastAsia="宋体" w:hint="default"/>
          <w:sz w:val="22"/>
          <w:szCs w:val="22"/>
        </w:rPr>
      </w:pPr>
      <w:r>
        <w:rPr/>
        <w:br w:type="column"/>
      </w:r>
      <w:r>
        <w:rPr>
          <w:rFonts w:ascii="宋体"/>
          <w:sz w:val="22"/>
        </w:rPr>
      </w:r>
    </w:p>
    <w:p>
      <w:pPr>
        <w:pStyle w:val="Heading3"/>
        <w:spacing w:line="240" w:lineRule="auto"/>
        <w:ind w:left="134" w:right="4148"/>
        <w:jc w:val="center"/>
        <w:rPr>
          <w:b w:val="0"/>
          <w:bCs w:val="0"/>
        </w:rPr>
      </w:pPr>
      <w:r>
        <w:rPr/>
        <w:t>荣科科技股份有限公司</w:t>
      </w:r>
      <w:r>
        <w:rPr>
          <w:b w:val="0"/>
          <w:bCs w:val="0"/>
        </w:rPr>
      </w:r>
    </w:p>
    <w:p>
      <w:pPr>
        <w:pStyle w:val="Heading3"/>
        <w:spacing w:line="240" w:lineRule="auto" w:before="178"/>
        <w:ind w:left="134" w:right="4151"/>
        <w:jc w:val="center"/>
        <w:rPr>
          <w:b w:val="0"/>
          <w:bCs w:val="0"/>
        </w:rPr>
      </w:pPr>
      <w:r>
        <w:rPr>
          <w:rFonts w:ascii="宋体" w:hAnsi="宋体" w:cs="宋体" w:eastAsia="宋体" w:hint="default"/>
        </w:rPr>
        <w:t>2012</w:t>
      </w:r>
      <w:r>
        <w:rPr>
          <w:rFonts w:ascii="宋体" w:hAnsi="宋体" w:cs="宋体" w:eastAsia="宋体" w:hint="default"/>
          <w:spacing w:val="-73"/>
        </w:rPr>
        <w:t> </w:t>
      </w:r>
      <w:r>
        <w:rPr/>
        <w:t>年度控股股东及其他关联方资金占用情况汇总表</w:t>
      </w:r>
      <w:r>
        <w:rPr>
          <w:b w:val="0"/>
          <w:bCs w:val="0"/>
        </w:rPr>
      </w:r>
    </w:p>
    <w:p>
      <w:pPr>
        <w:spacing w:after="0" w:line="240" w:lineRule="auto"/>
        <w:jc w:val="center"/>
        <w:sectPr>
          <w:type w:val="continuous"/>
          <w:pgSz w:w="16840" w:h="11910" w:orient="landscape"/>
          <w:pgMar w:top="1100" w:bottom="1160" w:left="980" w:right="980"/>
          <w:cols w:num="2" w:equalWidth="0">
            <w:col w:w="787" w:space="3229"/>
            <w:col w:w="10864"/>
          </w:cols>
        </w:sectPr>
      </w:pPr>
    </w:p>
    <w:p>
      <w:pPr>
        <w:spacing w:line="240" w:lineRule="auto" w:before="13"/>
        <w:rPr>
          <w:rFonts w:ascii="宋体" w:hAnsi="宋体" w:cs="宋体" w:eastAsia="宋体" w:hint="default"/>
          <w:b/>
          <w:bCs/>
          <w:sz w:val="11"/>
          <w:szCs w:val="11"/>
        </w:rPr>
      </w:pPr>
    </w:p>
    <w:p>
      <w:pPr>
        <w:pStyle w:val="BodyText"/>
        <w:tabs>
          <w:tab w:pos="12754" w:val="left" w:leader="none"/>
        </w:tabs>
        <w:spacing w:line="240" w:lineRule="auto" w:before="36"/>
        <w:ind w:right="0"/>
        <w:jc w:val="left"/>
      </w:pPr>
      <w:r>
        <w:rPr>
          <w:spacing w:val="-2"/>
        </w:rPr>
        <w:t>编制单位：荣科科技股份有限公司</w:t>
        <w:tab/>
      </w:r>
      <w:r>
        <w:rPr>
          <w:spacing w:val="-1"/>
        </w:rPr>
        <w:t>单位：元</w:t>
      </w:r>
    </w:p>
    <w:p>
      <w:pPr>
        <w:spacing w:line="240" w:lineRule="auto" w:before="7"/>
        <w:rPr>
          <w:rFonts w:ascii="宋体" w:hAnsi="宋体" w:cs="宋体" w:eastAsia="宋体" w:hint="default"/>
          <w:sz w:val="2"/>
          <w:szCs w:val="2"/>
        </w:rPr>
      </w:pPr>
    </w:p>
    <w:tbl>
      <w:tblPr>
        <w:tblW w:w="0" w:type="auto"/>
        <w:jc w:val="left"/>
        <w:tblInd w:w="239" w:type="dxa"/>
        <w:tblLayout w:type="fixed"/>
        <w:tblCellMar>
          <w:top w:w="0" w:type="dxa"/>
          <w:left w:w="0" w:type="dxa"/>
          <w:bottom w:w="0" w:type="dxa"/>
          <w:right w:w="0" w:type="dxa"/>
        </w:tblCellMar>
        <w:tblLook w:val="01E0"/>
      </w:tblPr>
      <w:tblGrid>
        <w:gridCol w:w="1558"/>
        <w:gridCol w:w="1198"/>
        <w:gridCol w:w="1443"/>
        <w:gridCol w:w="1555"/>
        <w:gridCol w:w="1558"/>
        <w:gridCol w:w="1582"/>
        <w:gridCol w:w="1582"/>
        <w:gridCol w:w="1476"/>
        <w:gridCol w:w="1102"/>
        <w:gridCol w:w="1325"/>
      </w:tblGrid>
      <w:tr>
        <w:trPr>
          <w:trHeight w:val="735" w:hRule="exact"/>
        </w:trPr>
        <w:tc>
          <w:tcPr>
            <w:tcW w:w="1558" w:type="dxa"/>
            <w:tcBorders>
              <w:top w:val="single" w:sz="8" w:space="0" w:color="000000"/>
              <w:left w:val="single" w:sz="8" w:space="0" w:color="000000"/>
              <w:bottom w:val="single" w:sz="4" w:space="0" w:color="000000"/>
              <w:right w:val="single" w:sz="4" w:space="0" w:color="000000"/>
            </w:tcBorders>
          </w:tcPr>
          <w:p>
            <w:pPr>
              <w:pStyle w:val="TableParagraph"/>
              <w:spacing w:line="240" w:lineRule="exact" w:before="120"/>
              <w:ind w:left="504" w:right="243" w:hanging="263"/>
              <w:jc w:val="left"/>
              <w:rPr>
                <w:rFonts w:ascii="宋体" w:hAnsi="宋体" w:cs="宋体" w:eastAsia="宋体" w:hint="default"/>
                <w:sz w:val="21"/>
                <w:szCs w:val="21"/>
              </w:rPr>
            </w:pPr>
            <w:r>
              <w:rPr>
                <w:rFonts w:ascii="宋体" w:hAnsi="宋体" w:cs="宋体" w:eastAsia="宋体" w:hint="default"/>
                <w:b/>
                <w:bCs/>
                <w:sz w:val="21"/>
                <w:szCs w:val="21"/>
              </w:rPr>
              <w:t>资金占用方</w:t>
            </w:r>
            <w:r>
              <w:rPr>
                <w:rFonts w:ascii="宋体" w:hAnsi="宋体" w:cs="宋体" w:eastAsia="宋体" w:hint="default"/>
                <w:b/>
                <w:bCs/>
                <w:w w:val="100"/>
                <w:sz w:val="21"/>
                <w:szCs w:val="21"/>
              </w:rPr>
              <w:t> </w:t>
            </w:r>
            <w:r>
              <w:rPr>
                <w:rFonts w:ascii="宋体" w:hAnsi="宋体" w:cs="宋体" w:eastAsia="宋体" w:hint="default"/>
                <w:b/>
                <w:bCs/>
                <w:sz w:val="21"/>
                <w:szCs w:val="21"/>
              </w:rPr>
              <w:t>类</w:t>
            </w:r>
            <w:r>
              <w:rPr>
                <w:rFonts w:ascii="宋体" w:hAnsi="宋体" w:cs="宋体" w:eastAsia="宋体" w:hint="default"/>
                <w:b/>
                <w:bCs/>
                <w:spacing w:val="-1"/>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1198"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120"/>
              <w:ind w:left="276" w:right="168" w:hanging="104"/>
              <w:jc w:val="left"/>
              <w:rPr>
                <w:rFonts w:ascii="宋体" w:hAnsi="宋体" w:cs="宋体" w:eastAsia="宋体" w:hint="default"/>
                <w:sz w:val="21"/>
                <w:szCs w:val="21"/>
              </w:rPr>
            </w:pPr>
            <w:r>
              <w:rPr>
                <w:rFonts w:ascii="宋体" w:hAnsi="宋体" w:cs="宋体" w:eastAsia="宋体" w:hint="default"/>
                <w:b/>
                <w:bCs/>
                <w:sz w:val="21"/>
                <w:szCs w:val="21"/>
              </w:rPr>
              <w:t>资金占用</w:t>
            </w:r>
            <w:r>
              <w:rPr>
                <w:rFonts w:ascii="宋体" w:hAnsi="宋体" w:cs="宋体" w:eastAsia="宋体" w:hint="default"/>
                <w:b/>
                <w:bCs/>
                <w:w w:val="100"/>
                <w:sz w:val="21"/>
                <w:szCs w:val="21"/>
              </w:rPr>
              <w:t> </w:t>
            </w:r>
            <w:r>
              <w:rPr>
                <w:rFonts w:ascii="宋体" w:hAnsi="宋体" w:cs="宋体" w:eastAsia="宋体" w:hint="default"/>
                <w:b/>
                <w:bCs/>
                <w:sz w:val="21"/>
                <w:szCs w:val="21"/>
              </w:rPr>
              <w:t>方名称</w:t>
            </w:r>
            <w:r>
              <w:rPr>
                <w:rFonts w:ascii="宋体" w:hAnsi="宋体" w:cs="宋体" w:eastAsia="宋体" w:hint="default"/>
                <w:sz w:val="21"/>
                <w:szCs w:val="21"/>
              </w:rPr>
            </w:r>
          </w:p>
        </w:tc>
        <w:tc>
          <w:tcPr>
            <w:tcW w:w="1443"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ind w:left="189" w:right="185" w:hanging="1"/>
              <w:jc w:val="center"/>
              <w:rPr>
                <w:rFonts w:ascii="宋体" w:hAnsi="宋体" w:cs="宋体" w:eastAsia="宋体" w:hint="default"/>
                <w:sz w:val="21"/>
                <w:szCs w:val="21"/>
              </w:rPr>
            </w:pPr>
            <w:r>
              <w:rPr>
                <w:rFonts w:ascii="宋体" w:hAnsi="宋体" w:cs="宋体" w:eastAsia="宋体" w:hint="default"/>
                <w:b/>
                <w:bCs/>
                <w:sz w:val="21"/>
                <w:szCs w:val="21"/>
              </w:rPr>
              <w:t>占用方与上</w:t>
            </w:r>
            <w:r>
              <w:rPr>
                <w:rFonts w:ascii="宋体" w:hAnsi="宋体" w:cs="宋体" w:eastAsia="宋体" w:hint="default"/>
                <w:b/>
                <w:bCs/>
                <w:w w:val="100"/>
                <w:sz w:val="21"/>
                <w:szCs w:val="21"/>
              </w:rPr>
              <w:t> </w:t>
            </w:r>
            <w:r>
              <w:rPr>
                <w:rFonts w:ascii="宋体" w:hAnsi="宋体" w:cs="宋体" w:eastAsia="宋体" w:hint="default"/>
                <w:b/>
                <w:bCs/>
                <w:sz w:val="21"/>
                <w:szCs w:val="21"/>
              </w:rPr>
              <w:t>市公司的关</w:t>
            </w:r>
            <w:r>
              <w:rPr>
                <w:rFonts w:ascii="宋体" w:hAnsi="宋体" w:cs="宋体" w:eastAsia="宋体" w:hint="default"/>
                <w:sz w:val="21"/>
                <w:szCs w:val="21"/>
              </w:rPr>
            </w:r>
          </w:p>
          <w:p>
            <w:pPr>
              <w:pStyle w:val="TableParagraph"/>
              <w:spacing w:line="222" w:lineRule="exact"/>
              <w:ind w:right="2"/>
              <w:jc w:val="center"/>
              <w:rPr>
                <w:rFonts w:ascii="宋体" w:hAnsi="宋体" w:cs="宋体" w:eastAsia="宋体" w:hint="default"/>
                <w:sz w:val="21"/>
                <w:szCs w:val="21"/>
              </w:rPr>
            </w:pPr>
            <w:r>
              <w:rPr>
                <w:rFonts w:ascii="宋体" w:hAnsi="宋体" w:cs="宋体" w:eastAsia="宋体" w:hint="default"/>
                <w:b/>
                <w:bCs/>
                <w:sz w:val="21"/>
                <w:szCs w:val="21"/>
              </w:rPr>
              <w:t>联关系</w:t>
            </w:r>
            <w:r>
              <w:rPr>
                <w:rFonts w:ascii="宋体" w:hAnsi="宋体" w:cs="宋体" w:eastAsia="宋体" w:hint="default"/>
                <w:sz w:val="21"/>
                <w:szCs w:val="21"/>
              </w:rPr>
            </w:r>
          </w:p>
        </w:tc>
        <w:tc>
          <w:tcPr>
            <w:tcW w:w="1555"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120"/>
              <w:ind w:left="244" w:right="137" w:hanging="106"/>
              <w:jc w:val="left"/>
              <w:rPr>
                <w:rFonts w:ascii="宋体" w:hAnsi="宋体" w:cs="宋体" w:eastAsia="宋体" w:hint="default"/>
                <w:sz w:val="21"/>
                <w:szCs w:val="21"/>
              </w:rPr>
            </w:pPr>
            <w:r>
              <w:rPr>
                <w:rFonts w:ascii="宋体" w:hAnsi="宋体" w:cs="宋体" w:eastAsia="宋体" w:hint="default"/>
                <w:b/>
                <w:bCs/>
                <w:sz w:val="21"/>
                <w:szCs w:val="21"/>
              </w:rPr>
              <w:t>上市公司核算</w:t>
            </w:r>
            <w:r>
              <w:rPr>
                <w:rFonts w:ascii="宋体" w:hAnsi="宋体" w:cs="宋体" w:eastAsia="宋体" w:hint="default"/>
                <w:b/>
                <w:bCs/>
                <w:spacing w:val="-104"/>
                <w:sz w:val="21"/>
                <w:szCs w:val="21"/>
              </w:rPr>
              <w:t> </w:t>
            </w:r>
            <w:r>
              <w:rPr>
                <w:rFonts w:ascii="宋体" w:hAnsi="宋体" w:cs="宋体" w:eastAsia="宋体" w:hint="default"/>
                <w:b/>
                <w:bCs/>
                <w:sz w:val="21"/>
                <w:szCs w:val="21"/>
              </w:rPr>
              <w:t>的会计科目</w:t>
            </w:r>
            <w:r>
              <w:rPr>
                <w:rFonts w:ascii="宋体" w:hAnsi="宋体" w:cs="宋体" w:eastAsia="宋体" w:hint="default"/>
                <w:sz w:val="21"/>
                <w:szCs w:val="21"/>
              </w:rPr>
            </w: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120"/>
              <w:ind w:left="352" w:right="111" w:hanging="238"/>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4"/>
                <w:sz w:val="21"/>
                <w:szCs w:val="21"/>
              </w:rPr>
              <w:t> </w:t>
            </w:r>
            <w:r>
              <w:rPr>
                <w:rFonts w:ascii="宋体" w:hAnsi="宋体" w:cs="宋体" w:eastAsia="宋体" w:hint="default"/>
                <w:b/>
                <w:bCs/>
                <w:sz w:val="21"/>
                <w:szCs w:val="21"/>
              </w:rPr>
              <w:t>年初占用</w:t>
            </w:r>
            <w:r>
              <w:rPr>
                <w:rFonts w:ascii="宋体" w:hAnsi="宋体" w:cs="宋体" w:eastAsia="宋体" w:hint="default"/>
                <w:b/>
                <w:bCs/>
                <w:w w:val="100"/>
                <w:sz w:val="21"/>
                <w:szCs w:val="21"/>
              </w:rPr>
              <w:t> </w:t>
            </w:r>
            <w:r>
              <w:rPr>
                <w:rFonts w:ascii="宋体" w:hAnsi="宋体" w:cs="宋体" w:eastAsia="宋体" w:hint="default"/>
                <w:b/>
                <w:bCs/>
                <w:sz w:val="21"/>
                <w:szCs w:val="21"/>
              </w:rPr>
              <w:t>资金余额</w:t>
            </w:r>
            <w:r>
              <w:rPr>
                <w:rFonts w:ascii="宋体" w:hAnsi="宋体" w:cs="宋体" w:eastAsia="宋体" w:hint="default"/>
                <w:sz w:val="21"/>
                <w:szCs w:val="21"/>
              </w:rPr>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120"/>
              <w:ind w:left="155" w:right="122" w:hanging="29"/>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4"/>
                <w:sz w:val="21"/>
                <w:szCs w:val="21"/>
              </w:rPr>
              <w:t> </w:t>
            </w:r>
            <w:r>
              <w:rPr>
                <w:rFonts w:ascii="宋体" w:hAnsi="宋体" w:cs="宋体" w:eastAsia="宋体" w:hint="default"/>
                <w:b/>
                <w:bCs/>
                <w:sz w:val="21"/>
                <w:szCs w:val="21"/>
              </w:rPr>
              <w:t>年度占用</w:t>
            </w:r>
            <w:r>
              <w:rPr>
                <w:rFonts w:ascii="宋体" w:hAnsi="宋体" w:cs="宋体" w:eastAsia="宋体" w:hint="default"/>
                <w:b/>
                <w:bCs/>
                <w:w w:val="100"/>
                <w:sz w:val="21"/>
                <w:szCs w:val="21"/>
              </w:rPr>
              <w:t> </w:t>
            </w:r>
            <w:r>
              <w:rPr>
                <w:rFonts w:ascii="宋体" w:hAnsi="宋体" w:cs="宋体" w:eastAsia="宋体" w:hint="default"/>
                <w:b/>
                <w:bCs/>
                <w:sz w:val="21"/>
                <w:szCs w:val="21"/>
              </w:rPr>
              <w:t>累计发生金额</w:t>
            </w:r>
            <w:r>
              <w:rPr>
                <w:rFonts w:ascii="宋体" w:hAnsi="宋体" w:cs="宋体" w:eastAsia="宋体" w:hint="default"/>
                <w:sz w:val="21"/>
                <w:szCs w:val="21"/>
              </w:rPr>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120"/>
              <w:ind w:left="153" w:right="125" w:hanging="29"/>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4"/>
                <w:sz w:val="21"/>
                <w:szCs w:val="21"/>
              </w:rPr>
              <w:t> </w:t>
            </w:r>
            <w:r>
              <w:rPr>
                <w:rFonts w:ascii="宋体" w:hAnsi="宋体" w:cs="宋体" w:eastAsia="宋体" w:hint="default"/>
                <w:b/>
                <w:bCs/>
                <w:sz w:val="21"/>
                <w:szCs w:val="21"/>
              </w:rPr>
              <w:t>年度偿还</w:t>
            </w:r>
            <w:r>
              <w:rPr>
                <w:rFonts w:ascii="宋体" w:hAnsi="宋体" w:cs="宋体" w:eastAsia="宋体" w:hint="default"/>
                <w:b/>
                <w:bCs/>
                <w:w w:val="100"/>
                <w:sz w:val="21"/>
                <w:szCs w:val="21"/>
              </w:rPr>
              <w:t> </w:t>
            </w:r>
            <w:r>
              <w:rPr>
                <w:rFonts w:ascii="宋体" w:hAnsi="宋体" w:cs="宋体" w:eastAsia="宋体" w:hint="default"/>
                <w:b/>
                <w:bCs/>
                <w:sz w:val="21"/>
                <w:szCs w:val="21"/>
              </w:rPr>
              <w:t>累计发生金额</w:t>
            </w:r>
            <w:r>
              <w:rPr>
                <w:rFonts w:ascii="宋体" w:hAnsi="宋体" w:cs="宋体" w:eastAsia="宋体" w:hint="default"/>
                <w:sz w:val="21"/>
                <w:szCs w:val="21"/>
              </w:rPr>
            </w:r>
          </w:p>
        </w:tc>
        <w:tc>
          <w:tcPr>
            <w:tcW w:w="1476"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120"/>
              <w:ind w:left="206" w:right="179" w:hanging="29"/>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4"/>
                <w:sz w:val="21"/>
                <w:szCs w:val="21"/>
              </w:rPr>
              <w:t> </w:t>
            </w:r>
            <w:r>
              <w:rPr>
                <w:rFonts w:ascii="宋体" w:hAnsi="宋体" w:cs="宋体" w:eastAsia="宋体" w:hint="default"/>
                <w:b/>
                <w:bCs/>
                <w:sz w:val="21"/>
                <w:szCs w:val="21"/>
              </w:rPr>
              <w:t>年末占</w:t>
            </w:r>
            <w:r>
              <w:rPr>
                <w:rFonts w:ascii="宋体" w:hAnsi="宋体" w:cs="宋体" w:eastAsia="宋体" w:hint="default"/>
                <w:b/>
                <w:bCs/>
                <w:w w:val="100"/>
                <w:sz w:val="21"/>
                <w:szCs w:val="21"/>
              </w:rPr>
              <w:t> </w:t>
            </w:r>
            <w:r>
              <w:rPr>
                <w:rFonts w:ascii="宋体" w:hAnsi="宋体" w:cs="宋体" w:eastAsia="宋体" w:hint="default"/>
                <w:b/>
                <w:bCs/>
                <w:sz w:val="21"/>
                <w:szCs w:val="21"/>
              </w:rPr>
              <w:t>用资金余额</w:t>
            </w:r>
            <w:r>
              <w:rPr>
                <w:rFonts w:ascii="宋体" w:hAnsi="宋体" w:cs="宋体" w:eastAsia="宋体" w:hint="default"/>
                <w:sz w:val="21"/>
                <w:szCs w:val="21"/>
              </w:rPr>
            </w:r>
          </w:p>
        </w:tc>
        <w:tc>
          <w:tcPr>
            <w:tcW w:w="1102"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120"/>
              <w:ind w:left="333" w:right="120" w:hanging="209"/>
              <w:jc w:val="left"/>
              <w:rPr>
                <w:rFonts w:ascii="宋体" w:hAnsi="宋体" w:cs="宋体" w:eastAsia="宋体" w:hint="default"/>
                <w:sz w:val="21"/>
                <w:szCs w:val="21"/>
              </w:rPr>
            </w:pPr>
            <w:r>
              <w:rPr>
                <w:rFonts w:ascii="宋体" w:hAnsi="宋体" w:cs="宋体" w:eastAsia="宋体" w:hint="default"/>
                <w:b/>
                <w:bCs/>
                <w:sz w:val="21"/>
                <w:szCs w:val="21"/>
              </w:rPr>
              <w:t>占用形成</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325"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b/>
                <w:bCs/>
                <w:sz w:val="21"/>
                <w:szCs w:val="21"/>
              </w:rPr>
              <w:t>占用性质</w:t>
            </w:r>
            <w:r>
              <w:rPr>
                <w:rFonts w:ascii="宋体" w:hAnsi="宋体" w:cs="宋体" w:eastAsia="宋体" w:hint="default"/>
                <w:sz w:val="21"/>
                <w:szCs w:val="21"/>
              </w:rPr>
            </w:r>
          </w:p>
        </w:tc>
      </w:tr>
      <w:tr>
        <w:trPr>
          <w:trHeight w:val="958" w:hRule="exact"/>
        </w:trPr>
        <w:tc>
          <w:tcPr>
            <w:tcW w:w="1558" w:type="dxa"/>
            <w:tcBorders>
              <w:top w:val="single" w:sz="4" w:space="0" w:color="000000"/>
              <w:left w:val="single" w:sz="8" w:space="0" w:color="000000"/>
              <w:bottom w:val="single" w:sz="4" w:space="0" w:color="000000"/>
              <w:right w:val="single" w:sz="4" w:space="0" w:color="000000"/>
            </w:tcBorders>
          </w:tcPr>
          <w:p>
            <w:pPr>
              <w:pStyle w:val="TableParagraph"/>
              <w:spacing w:line="240" w:lineRule="exact" w:before="113"/>
              <w:ind w:left="98" w:right="100"/>
              <w:jc w:val="both"/>
              <w:rPr>
                <w:rFonts w:ascii="宋体" w:hAnsi="宋体" w:cs="宋体" w:eastAsia="宋体" w:hint="default"/>
                <w:sz w:val="21"/>
                <w:szCs w:val="21"/>
              </w:rPr>
            </w:pPr>
            <w:r>
              <w:rPr>
                <w:rFonts w:ascii="宋体" w:hAnsi="宋体" w:cs="宋体" w:eastAsia="宋体" w:hint="default"/>
                <w:spacing w:val="11"/>
                <w:sz w:val="21"/>
                <w:szCs w:val="21"/>
              </w:rPr>
              <w:t>控股股东、实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1"/>
                <w:sz w:val="21"/>
                <w:szCs w:val="21"/>
              </w:rPr>
              <w:t>际控制人及其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附属企业</w:t>
            </w:r>
          </w:p>
        </w:tc>
        <w:tc>
          <w:tcPr>
            <w:tcW w:w="1198"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8" w:space="0" w:color="000000"/>
            </w:tcBorders>
          </w:tcPr>
          <w:p>
            <w:pPr/>
          </w:p>
        </w:tc>
      </w:tr>
      <w:tr>
        <w:trPr>
          <w:trHeight w:val="526" w:hRule="exact"/>
        </w:trPr>
        <w:tc>
          <w:tcPr>
            <w:tcW w:w="1558" w:type="dxa"/>
            <w:tcBorders>
              <w:top w:val="single" w:sz="4" w:space="0" w:color="000000"/>
              <w:left w:val="single" w:sz="8" w:space="0" w:color="000000"/>
              <w:bottom w:val="single" w:sz="4" w:space="0" w:color="000000"/>
              <w:right w:val="single" w:sz="4" w:space="0" w:color="000000"/>
            </w:tcBorders>
          </w:tcPr>
          <w:p>
            <w:pPr>
              <w:pStyle w:val="TableParagraph"/>
              <w:tabs>
                <w:tab w:pos="422" w:val="left" w:leader="none"/>
              </w:tabs>
              <w:spacing w:line="240" w:lineRule="auto" w:before="88"/>
              <w:ind w:right="4"/>
              <w:jc w:val="center"/>
              <w:rPr>
                <w:rFonts w:ascii="宋体" w:hAnsi="宋体" w:cs="宋体" w:eastAsia="宋体" w:hint="default"/>
                <w:sz w:val="21"/>
                <w:szCs w:val="21"/>
              </w:rPr>
            </w:pPr>
            <w:r>
              <w:rPr>
                <w:rFonts w:ascii="宋体" w:hAnsi="宋体" w:cs="宋体" w:eastAsia="宋体" w:hint="default"/>
                <w:b/>
                <w:bCs/>
                <w:sz w:val="21"/>
                <w:szCs w:val="21"/>
              </w:rPr>
              <w:t>小</w:t>
              <w:tab/>
              <w:t>计</w:t>
            </w:r>
            <w:r>
              <w:rPr>
                <w:rFonts w:ascii="宋体" w:hAnsi="宋体" w:cs="宋体" w:eastAsia="宋体"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0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8" w:space="0" w:color="000000"/>
            </w:tcBorders>
          </w:tcPr>
          <w:p>
            <w:pPr/>
          </w:p>
        </w:tc>
      </w:tr>
      <w:tr>
        <w:trPr>
          <w:trHeight w:val="828" w:hRule="exact"/>
        </w:trPr>
        <w:tc>
          <w:tcPr>
            <w:tcW w:w="1558"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exact"/>
              <w:ind w:left="98" w:right="100"/>
              <w:jc w:val="both"/>
              <w:rPr>
                <w:rFonts w:ascii="宋体" w:hAnsi="宋体" w:cs="宋体" w:eastAsia="宋体" w:hint="default"/>
                <w:sz w:val="21"/>
                <w:szCs w:val="21"/>
              </w:rPr>
            </w:pPr>
            <w:r>
              <w:rPr>
                <w:rFonts w:ascii="宋体" w:hAnsi="宋体" w:cs="宋体" w:eastAsia="宋体" w:hint="default"/>
                <w:spacing w:val="11"/>
                <w:sz w:val="21"/>
                <w:szCs w:val="21"/>
              </w:rPr>
              <w:t>上市公司的子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1"/>
                <w:sz w:val="21"/>
                <w:szCs w:val="21"/>
              </w:rPr>
              <w:t>公司及其附属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企业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辽宁荣科</w:t>
            </w:r>
          </w:p>
          <w:p>
            <w:pPr>
              <w:pStyle w:val="TableParagraph"/>
              <w:spacing w:line="272" w:lineRule="exact" w:before="27"/>
              <w:ind w:left="172" w:right="170"/>
              <w:jc w:val="left"/>
              <w:rPr>
                <w:rFonts w:ascii="宋体" w:hAnsi="宋体" w:cs="宋体" w:eastAsia="宋体" w:hint="default"/>
                <w:sz w:val="21"/>
                <w:szCs w:val="21"/>
              </w:rPr>
            </w:pPr>
            <w:r>
              <w:rPr>
                <w:rFonts w:ascii="宋体" w:hAnsi="宋体" w:cs="宋体" w:eastAsia="宋体" w:hint="default"/>
                <w:sz w:val="21"/>
                <w:szCs w:val="21"/>
              </w:rPr>
              <w:t>金融服务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28,348,848.49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25,028,176.99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3,320,671.50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32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非经营往来</w:t>
            </w:r>
          </w:p>
        </w:tc>
      </w:tr>
      <w:tr>
        <w:trPr>
          <w:trHeight w:val="826" w:hRule="exact"/>
        </w:trPr>
        <w:tc>
          <w:tcPr>
            <w:tcW w:w="1558" w:type="dxa"/>
            <w:vMerge/>
            <w:tcBorders>
              <w:left w:val="single" w:sz="8"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北京荣科</w:t>
            </w:r>
          </w:p>
          <w:p>
            <w:pPr>
              <w:pStyle w:val="TableParagraph"/>
              <w:spacing w:line="240" w:lineRule="auto"/>
              <w:ind w:left="172" w:right="170"/>
              <w:jc w:val="left"/>
              <w:rPr>
                <w:rFonts w:ascii="宋体" w:hAnsi="宋体" w:cs="宋体" w:eastAsia="宋体" w:hint="default"/>
                <w:sz w:val="21"/>
                <w:szCs w:val="21"/>
              </w:rPr>
            </w:pPr>
            <w:r>
              <w:rPr>
                <w:rFonts w:ascii="宋体" w:hAnsi="宋体" w:cs="宋体" w:eastAsia="宋体" w:hint="default"/>
                <w:sz w:val="21"/>
                <w:szCs w:val="21"/>
              </w:rPr>
              <w:t>爱信科技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451,893.05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451,893.05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32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非经营往来</w:t>
            </w:r>
          </w:p>
        </w:tc>
      </w:tr>
      <w:tr>
        <w:trPr>
          <w:trHeight w:val="634" w:hRule="exact"/>
        </w:trPr>
        <w:tc>
          <w:tcPr>
            <w:tcW w:w="1558" w:type="dxa"/>
            <w:tcBorders>
              <w:top w:val="single" w:sz="4" w:space="0" w:color="000000"/>
              <w:left w:val="single" w:sz="8" w:space="0" w:color="000000"/>
              <w:bottom w:val="single" w:sz="4" w:space="0" w:color="000000"/>
              <w:right w:val="single" w:sz="4" w:space="0" w:color="000000"/>
            </w:tcBorders>
          </w:tcPr>
          <w:p>
            <w:pPr>
              <w:pStyle w:val="TableParagraph"/>
              <w:tabs>
                <w:tab w:pos="422" w:val="left" w:leader="none"/>
              </w:tabs>
              <w:spacing w:line="240" w:lineRule="auto" w:before="143"/>
              <w:ind w:right="4"/>
              <w:jc w:val="center"/>
              <w:rPr>
                <w:rFonts w:ascii="宋体" w:hAnsi="宋体" w:cs="宋体" w:eastAsia="宋体" w:hint="default"/>
                <w:sz w:val="21"/>
                <w:szCs w:val="21"/>
              </w:rPr>
            </w:pPr>
            <w:r>
              <w:rPr>
                <w:rFonts w:ascii="宋体" w:hAnsi="宋体" w:cs="宋体" w:eastAsia="宋体" w:hint="default"/>
                <w:b/>
                <w:bCs/>
                <w:sz w:val="21"/>
                <w:szCs w:val="21"/>
              </w:rPr>
              <w:t>小</w:t>
              <w:tab/>
              <w:t>计</w:t>
            </w:r>
            <w:r>
              <w:rPr>
                <w:rFonts w:ascii="宋体" w:hAnsi="宋体" w:cs="宋体" w:eastAsia="宋体"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28,800,741.54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25,480,070.04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3,320,671.50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8" w:space="0" w:color="000000"/>
            </w:tcBorders>
          </w:tcPr>
          <w:p>
            <w:pPr/>
          </w:p>
        </w:tc>
      </w:tr>
      <w:tr>
        <w:trPr>
          <w:trHeight w:val="641" w:hRule="exact"/>
        </w:trPr>
        <w:tc>
          <w:tcPr>
            <w:tcW w:w="1558" w:type="dxa"/>
            <w:tcBorders>
              <w:top w:val="single" w:sz="4" w:space="0" w:color="000000"/>
              <w:left w:val="single" w:sz="8" w:space="0" w:color="000000"/>
              <w:bottom w:val="single" w:sz="8" w:space="0" w:color="000000"/>
              <w:right w:val="single" w:sz="4" w:space="0" w:color="000000"/>
            </w:tcBorders>
          </w:tcPr>
          <w:p>
            <w:pPr>
              <w:pStyle w:val="TableParagraph"/>
              <w:tabs>
                <w:tab w:pos="422" w:val="left" w:leader="none"/>
              </w:tabs>
              <w:spacing w:line="240" w:lineRule="auto" w:before="143"/>
              <w:ind w:right="4"/>
              <w:jc w:val="center"/>
              <w:rPr>
                <w:rFonts w:ascii="宋体" w:hAnsi="宋体" w:cs="宋体" w:eastAsia="宋体" w:hint="default"/>
                <w:sz w:val="21"/>
                <w:szCs w:val="21"/>
              </w:rPr>
            </w:pPr>
            <w:r>
              <w:rPr>
                <w:rFonts w:ascii="宋体" w:hAnsi="宋体" w:cs="宋体" w:eastAsia="宋体" w:hint="default"/>
                <w:b/>
                <w:bCs/>
                <w:sz w:val="21"/>
                <w:szCs w:val="21"/>
              </w:rPr>
              <w:t>总</w:t>
              <w:tab/>
              <w:t>计</w:t>
            </w:r>
            <w:r>
              <w:rPr>
                <w:rFonts w:ascii="宋体" w:hAnsi="宋体" w:cs="宋体" w:eastAsia="宋体" w:hint="default"/>
                <w:sz w:val="21"/>
                <w:szCs w:val="21"/>
              </w:rPr>
            </w:r>
          </w:p>
        </w:tc>
        <w:tc>
          <w:tcPr>
            <w:tcW w:w="119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5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58" w:type="dxa"/>
            <w:tcBorders>
              <w:top w:val="single" w:sz="4" w:space="0" w:color="000000"/>
              <w:left w:val="single" w:sz="4" w:space="0" w:color="000000"/>
              <w:bottom w:val="single" w:sz="8" w:space="0" w:color="000000"/>
              <w:right w:val="single" w:sz="4" w:space="0" w:color="000000"/>
            </w:tcBorders>
          </w:tcPr>
          <w:p>
            <w:pP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28,800,741.54</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25,480,070.04</w:t>
            </w:r>
          </w:p>
        </w:tc>
        <w:tc>
          <w:tcPr>
            <w:tcW w:w="14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3,320,671.50</w:t>
            </w:r>
          </w:p>
        </w:tc>
        <w:tc>
          <w:tcPr>
            <w:tcW w:w="1102" w:type="dxa"/>
            <w:tcBorders>
              <w:top w:val="single" w:sz="4" w:space="0" w:color="000000"/>
              <w:left w:val="single" w:sz="4" w:space="0" w:color="000000"/>
              <w:bottom w:val="single" w:sz="8" w:space="0" w:color="000000"/>
              <w:right w:val="single" w:sz="4" w:space="0" w:color="000000"/>
            </w:tcBorders>
          </w:tcPr>
          <w:p>
            <w:pPr/>
          </w:p>
        </w:tc>
        <w:tc>
          <w:tcPr>
            <w:tcW w:w="1325" w:type="dxa"/>
            <w:tcBorders>
              <w:top w:val="single" w:sz="4" w:space="0" w:color="000000"/>
              <w:left w:val="single" w:sz="4" w:space="0" w:color="000000"/>
              <w:bottom w:val="single" w:sz="8" w:space="0" w:color="000000"/>
              <w:right w:val="single" w:sz="8" w:space="0" w:color="000000"/>
            </w:tcBorders>
          </w:tcPr>
          <w:p>
            <w:pPr/>
          </w:p>
        </w:tc>
      </w:tr>
    </w:tbl>
    <w:p>
      <w:pPr>
        <w:tabs>
          <w:tab w:pos="5332" w:val="left" w:leader="none"/>
          <w:tab w:pos="10393" w:val="left" w:leader="none"/>
        </w:tabs>
        <w:spacing w:line="274" w:lineRule="exact" w:before="0"/>
        <w:ind w:left="635" w:right="0" w:firstLine="0"/>
        <w:jc w:val="left"/>
        <w:rPr>
          <w:rFonts w:ascii="宋体" w:hAnsi="宋体" w:cs="宋体" w:eastAsia="宋体" w:hint="default"/>
          <w:sz w:val="24"/>
          <w:szCs w:val="24"/>
        </w:rPr>
      </w:pPr>
      <w:r>
        <w:rPr>
          <w:rFonts w:ascii="宋体" w:hAnsi="宋体" w:cs="宋体" w:eastAsia="宋体" w:hint="default"/>
          <w:b/>
          <w:bCs/>
          <w:sz w:val="24"/>
          <w:szCs w:val="24"/>
        </w:rPr>
        <w:t>法定代表人：</w:t>
      </w:r>
      <w:r>
        <w:rPr>
          <w:rFonts w:ascii="宋体" w:hAnsi="宋体" w:cs="宋体" w:eastAsia="宋体" w:hint="default"/>
          <w:sz w:val="24"/>
          <w:szCs w:val="24"/>
        </w:rPr>
        <w:t>付永全</w:t>
        <w:tab/>
      </w:r>
      <w:r>
        <w:rPr>
          <w:rFonts w:ascii="宋体" w:hAnsi="宋体" w:cs="宋体" w:eastAsia="宋体" w:hint="default"/>
          <w:b/>
          <w:bCs/>
          <w:w w:val="95"/>
          <w:sz w:val="24"/>
          <w:szCs w:val="24"/>
        </w:rPr>
        <w:t>主管会计工作负责人：</w:t>
      </w:r>
      <w:r>
        <w:rPr>
          <w:rFonts w:ascii="宋体" w:hAnsi="宋体" w:cs="宋体" w:eastAsia="宋体" w:hint="default"/>
          <w:w w:val="95"/>
          <w:sz w:val="24"/>
          <w:szCs w:val="24"/>
        </w:rPr>
        <w:t>冯丽</w:t>
        <w:tab/>
      </w:r>
      <w:r>
        <w:rPr>
          <w:rFonts w:ascii="宋体" w:hAnsi="宋体" w:cs="宋体" w:eastAsia="宋体" w:hint="default"/>
          <w:b/>
          <w:bCs/>
          <w:sz w:val="24"/>
          <w:szCs w:val="24"/>
        </w:rPr>
        <w:t>会计机构负责人：</w:t>
      </w:r>
      <w:r>
        <w:rPr>
          <w:rFonts w:ascii="宋体" w:hAnsi="宋体" w:cs="宋体" w:eastAsia="宋体" w:hint="default"/>
          <w:sz w:val="24"/>
          <w:szCs w:val="24"/>
        </w:rPr>
        <w:t>汤淼云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76"/>
        <w:ind w:left="0" w:right="148" w:firstLine="0"/>
        <w:jc w:val="right"/>
        <w:rPr>
          <w:rFonts w:ascii="Times New Roman" w:hAnsi="Times New Roman" w:cs="Times New Roman" w:eastAsia="Times New Roman" w:hint="default"/>
          <w:sz w:val="18"/>
          <w:szCs w:val="18"/>
        </w:rPr>
      </w:pPr>
      <w:r>
        <w:rPr>
          <w:rFonts w:ascii="Times New Roman"/>
          <w:sz w:val="18"/>
        </w:rPr>
        <w:t>28</w:t>
      </w:r>
    </w:p>
    <w:p>
      <w:pPr>
        <w:spacing w:after="0"/>
        <w:jc w:val="right"/>
        <w:rPr>
          <w:rFonts w:ascii="Times New Roman" w:hAnsi="Times New Roman" w:cs="Times New Roman" w:eastAsia="Times New Roman" w:hint="default"/>
          <w:sz w:val="18"/>
          <w:szCs w:val="18"/>
        </w:rPr>
        <w:sectPr>
          <w:type w:val="continuous"/>
          <w:pgSz w:w="16840" w:h="11910" w:orient="landscape"/>
          <w:pgMar w:top="1100" w:bottom="1160" w:left="980" w:right="980"/>
        </w:sectPr>
      </w:pPr>
    </w:p>
    <w:p>
      <w:pPr>
        <w:spacing w:line="240" w:lineRule="auto" w:before="5"/>
        <w:rPr>
          <w:rFonts w:ascii="Times New Roman" w:hAnsi="Times New Roman" w:cs="Times New Roman" w:eastAsia="Times New Roman" w:hint="default"/>
          <w:sz w:val="23"/>
          <w:szCs w:val="23"/>
        </w:rPr>
      </w:pPr>
      <w:r>
        <w:rPr/>
        <w:pict>
          <v:group style="position:absolute;margin-left:54.84pt;margin-top:28.299982pt;width:485.65pt;height:40.15pt;mso-position-horizontal-relative:page;mso-position-vertical-relative:page;z-index:169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4"/>
        <w:spacing w:line="240" w:lineRule="auto" w:before="26"/>
        <w:ind w:right="142"/>
        <w:jc w:val="left"/>
        <w:rPr>
          <w:b w:val="0"/>
          <w:bCs w:val="0"/>
        </w:rPr>
      </w:pPr>
      <w:r>
        <w:rPr/>
        <w:t>三、破产重整相关事项</w:t>
      </w:r>
      <w:r>
        <w:rPr>
          <w:b w:val="0"/>
          <w:bCs w:val="0"/>
        </w:rPr>
      </w:r>
    </w:p>
    <w:p>
      <w:pPr>
        <w:pStyle w:val="BodyText"/>
        <w:spacing w:line="240" w:lineRule="auto" w:before="201"/>
        <w:ind w:left="573" w:right="142"/>
        <w:jc w:val="left"/>
      </w:pPr>
      <w:r>
        <w:rPr/>
        <w:t>报告期内，公司不存在破产重整相关事项。</w:t>
      </w:r>
    </w:p>
    <w:p>
      <w:pPr>
        <w:spacing w:line="240" w:lineRule="auto" w:before="9"/>
        <w:rPr>
          <w:rFonts w:ascii="宋体" w:hAnsi="宋体" w:cs="宋体" w:eastAsia="宋体" w:hint="default"/>
          <w:sz w:val="14"/>
          <w:szCs w:val="14"/>
        </w:rPr>
      </w:pPr>
    </w:p>
    <w:p>
      <w:pPr>
        <w:pStyle w:val="Heading4"/>
        <w:spacing w:line="240" w:lineRule="auto"/>
        <w:ind w:right="142"/>
        <w:jc w:val="left"/>
        <w:rPr>
          <w:b w:val="0"/>
          <w:bCs w:val="0"/>
        </w:rPr>
      </w:pPr>
      <w:r>
        <w:rPr/>
        <w:t>四、资产交易事项</w:t>
      </w:r>
      <w:r>
        <w:rPr>
          <w:b w:val="0"/>
          <w:bCs w:val="0"/>
        </w:rPr>
      </w:r>
    </w:p>
    <w:p>
      <w:pPr>
        <w:spacing w:line="398" w:lineRule="auto" w:before="203"/>
        <w:ind w:left="573" w:right="5093"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报告期内，公司不存在收购资产情况。</w:t>
      </w:r>
    </w:p>
    <w:p>
      <w:pPr>
        <w:pStyle w:val="Heading5"/>
        <w:spacing w:line="231" w:lineRule="exact"/>
        <w:ind w:right="142"/>
        <w:jc w:val="left"/>
        <w:rPr>
          <w:b w:val="0"/>
          <w:bCs w:val="0"/>
        </w:rPr>
      </w:pPr>
      <w:r>
        <w:rPr>
          <w:rFonts w:ascii="宋体" w:hAnsi="宋体" w:cs="宋体" w:eastAsia="宋体" w:hint="default"/>
        </w:rPr>
        <w:t>2</w:t>
      </w:r>
      <w:r>
        <w:rPr/>
        <w:t>、出售资产情况</w:t>
      </w:r>
      <w:r>
        <w:rPr>
          <w:b w:val="0"/>
          <w:bCs w:val="0"/>
        </w:rPr>
      </w:r>
    </w:p>
    <w:p>
      <w:pPr>
        <w:spacing w:line="240" w:lineRule="auto" w:before="11"/>
        <w:rPr>
          <w:rFonts w:ascii="宋体" w:hAnsi="宋体" w:cs="宋体" w:eastAsia="宋体" w:hint="default"/>
          <w:b/>
          <w:bCs/>
          <w:sz w:val="13"/>
          <w:szCs w:val="13"/>
        </w:rPr>
      </w:pPr>
    </w:p>
    <w:p>
      <w:pPr>
        <w:spacing w:line="321" w:lineRule="auto" w:before="0"/>
        <w:ind w:left="152" w:right="5093" w:firstLine="420"/>
        <w:jc w:val="left"/>
        <w:rPr>
          <w:rFonts w:ascii="宋体" w:hAnsi="宋体" w:cs="宋体" w:eastAsia="宋体" w:hint="default"/>
          <w:sz w:val="21"/>
          <w:szCs w:val="21"/>
        </w:rPr>
      </w:pPr>
      <w:r>
        <w:rPr>
          <w:rFonts w:ascii="宋体" w:hAnsi="宋体" w:cs="宋体" w:eastAsia="宋体" w:hint="default"/>
          <w:spacing w:val="-2"/>
          <w:sz w:val="21"/>
          <w:szCs w:val="21"/>
        </w:rPr>
        <w:t>报告期内，公司不存在出售资产情况。</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338" w:lineRule="auto" w:before="110"/>
        <w:ind w:left="152" w:right="142" w:firstLine="420"/>
        <w:jc w:val="left"/>
        <w:rPr>
          <w:rFonts w:ascii="宋体" w:hAnsi="宋体" w:cs="宋体" w:eastAsia="宋体" w:hint="default"/>
          <w:sz w:val="21"/>
          <w:szCs w:val="21"/>
        </w:rPr>
      </w:pPr>
      <w:r>
        <w:rPr>
          <w:rFonts w:ascii="宋体" w:hAnsi="宋体" w:cs="宋体" w:eastAsia="宋体" w:hint="default"/>
          <w:sz w:val="21"/>
          <w:szCs w:val="21"/>
        </w:rPr>
        <w:t>报告期内，公司不存在企业合并情况。</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、自资产重组报告书或收购出售资产公告刊登后，该事项的进展情况及对报告期经营成果与财务状况的</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影响</w:t>
      </w:r>
      <w:r>
        <w:rPr>
          <w:rFonts w:ascii="宋体" w:hAnsi="宋体" w:cs="宋体" w:eastAsia="宋体" w:hint="default"/>
          <w:sz w:val="21"/>
          <w:szCs w:val="21"/>
        </w:rPr>
      </w:r>
    </w:p>
    <w:p>
      <w:pPr>
        <w:pStyle w:val="BodyText"/>
        <w:spacing w:line="240" w:lineRule="auto" w:before="95"/>
        <w:ind w:left="573" w:right="142"/>
        <w:jc w:val="left"/>
      </w:pPr>
      <w:r>
        <w:rPr/>
        <w:t>报告期内，公司不存在资产重组事项。</w:t>
      </w:r>
    </w:p>
    <w:p>
      <w:pPr>
        <w:spacing w:line="240" w:lineRule="auto" w:before="11"/>
        <w:rPr>
          <w:rFonts w:ascii="宋体" w:hAnsi="宋体" w:cs="宋体" w:eastAsia="宋体" w:hint="default"/>
          <w:sz w:val="14"/>
          <w:szCs w:val="14"/>
        </w:rPr>
      </w:pPr>
    </w:p>
    <w:p>
      <w:pPr>
        <w:pStyle w:val="Heading4"/>
        <w:spacing w:line="240" w:lineRule="auto"/>
        <w:ind w:right="142"/>
        <w:jc w:val="left"/>
        <w:rPr>
          <w:b w:val="0"/>
          <w:bCs w:val="0"/>
        </w:rPr>
      </w:pPr>
      <w:r>
        <w:rPr/>
        <w:t>五、公司股权激励的实施情况及其影响</w:t>
      </w:r>
      <w:r>
        <w:rPr>
          <w:b w:val="0"/>
          <w:bCs w:val="0"/>
        </w:rPr>
      </w:r>
    </w:p>
    <w:p>
      <w:pPr>
        <w:spacing w:line="400" w:lineRule="auto" w:before="201"/>
        <w:ind w:left="152" w:right="5093" w:firstLine="420"/>
        <w:jc w:val="left"/>
        <w:rPr>
          <w:rFonts w:ascii="宋体" w:hAnsi="宋体" w:cs="宋体" w:eastAsia="宋体" w:hint="default"/>
          <w:sz w:val="21"/>
          <w:szCs w:val="21"/>
        </w:rPr>
      </w:pPr>
      <w:r>
        <w:rPr>
          <w:rFonts w:ascii="宋体" w:hAnsi="宋体" w:cs="宋体" w:eastAsia="宋体" w:hint="default"/>
          <w:spacing w:val="-2"/>
          <w:sz w:val="21"/>
          <w:szCs w:val="21"/>
        </w:rPr>
        <w:t>截止本报告期末，公司尚未实施股权激励。</w:t>
      </w:r>
      <w:r>
        <w:rPr>
          <w:rFonts w:ascii="宋体" w:hAnsi="宋体" w:cs="宋体" w:eastAsia="宋体" w:hint="default"/>
          <w:w w:val="100"/>
          <w:sz w:val="21"/>
          <w:szCs w:val="21"/>
        </w:rPr>
        <w:t> </w:t>
      </w: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321" w:lineRule="auto" w:before="40"/>
        <w:ind w:left="152" w:right="2399" w:firstLine="420"/>
        <w:jc w:val="left"/>
        <w:rPr>
          <w:rFonts w:ascii="宋体" w:hAnsi="宋体" w:cs="宋体" w:eastAsia="宋体" w:hint="default"/>
          <w:sz w:val="21"/>
          <w:szCs w:val="21"/>
        </w:rPr>
      </w:pPr>
      <w:r>
        <w:rPr>
          <w:rFonts w:ascii="宋体" w:hAnsi="宋体" w:cs="宋体" w:eastAsia="宋体" w:hint="default"/>
          <w:spacing w:val="-2"/>
          <w:sz w:val="21"/>
          <w:szCs w:val="21"/>
        </w:rPr>
        <w:t>报告期内，公司未发生与日常经营相关的关联交易</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321" w:lineRule="auto" w:before="109"/>
        <w:ind w:left="152" w:right="2399" w:firstLine="420"/>
        <w:jc w:val="left"/>
        <w:rPr>
          <w:rFonts w:ascii="宋体" w:hAnsi="宋体" w:cs="宋体" w:eastAsia="宋体" w:hint="default"/>
          <w:sz w:val="21"/>
          <w:szCs w:val="21"/>
        </w:rPr>
      </w:pPr>
      <w:r>
        <w:rPr>
          <w:rFonts w:ascii="宋体" w:hAnsi="宋体" w:cs="宋体" w:eastAsia="宋体" w:hint="default"/>
          <w:spacing w:val="-2"/>
          <w:sz w:val="21"/>
          <w:szCs w:val="21"/>
        </w:rPr>
        <w:t>报告期内，公司无资产收购、出售发生的关联交易。</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line="321" w:lineRule="auto" w:before="112"/>
        <w:ind w:left="152" w:right="2399" w:firstLine="420"/>
        <w:jc w:val="left"/>
        <w:rPr>
          <w:rFonts w:ascii="宋体" w:hAnsi="宋体" w:cs="宋体" w:eastAsia="宋体" w:hint="default"/>
          <w:sz w:val="21"/>
          <w:szCs w:val="21"/>
        </w:rPr>
      </w:pPr>
      <w:r>
        <w:rPr>
          <w:rFonts w:ascii="宋体" w:hAnsi="宋体" w:cs="宋体" w:eastAsia="宋体" w:hint="default"/>
          <w:spacing w:val="-2"/>
          <w:sz w:val="21"/>
          <w:szCs w:val="21"/>
        </w:rPr>
        <w:t>报告期内，公司无共同对外投资的重大关联交易发生。</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pStyle w:val="BodyText"/>
        <w:spacing w:line="240" w:lineRule="auto" w:before="110"/>
        <w:ind w:left="573" w:right="142"/>
        <w:jc w:val="left"/>
      </w:pPr>
      <w:r>
        <w:rPr/>
        <w:t>报告期内，公司无关联债权债务往来。</w:t>
      </w:r>
    </w:p>
    <w:p>
      <w:pPr>
        <w:spacing w:line="240" w:lineRule="auto" w:before="8"/>
        <w:rPr>
          <w:rFonts w:ascii="宋体" w:hAnsi="宋体" w:cs="宋体" w:eastAsia="宋体" w:hint="default"/>
          <w:sz w:val="20"/>
          <w:szCs w:val="20"/>
        </w:rPr>
      </w:pPr>
    </w:p>
    <w:p>
      <w:pPr>
        <w:pStyle w:val="BodyText"/>
        <w:spacing w:line="274" w:lineRule="exact"/>
        <w:ind w:left="573" w:right="142"/>
        <w:jc w:val="left"/>
      </w:pPr>
      <w:r>
        <w:rPr/>
        <w:t>是否存在非经营性关联债权债务往来</w:t>
      </w:r>
    </w:p>
    <w:p>
      <w:pPr>
        <w:spacing w:line="321" w:lineRule="auto" w:before="0"/>
        <w:ind w:left="152" w:right="7771" w:firstLine="42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2"/>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pStyle w:val="BodyText"/>
        <w:spacing w:line="240" w:lineRule="auto" w:before="109"/>
        <w:ind w:left="573" w:right="142"/>
        <w:jc w:val="left"/>
      </w:pPr>
      <w:r>
        <w:rPr/>
        <w:t>报告期内，公司未发生其他重大关联交易。</w:t>
      </w:r>
    </w:p>
    <w:p>
      <w:pPr>
        <w:spacing w:line="240" w:lineRule="auto" w:before="11"/>
        <w:rPr>
          <w:rFonts w:ascii="宋体" w:hAnsi="宋体" w:cs="宋体" w:eastAsia="宋体" w:hint="default"/>
          <w:sz w:val="14"/>
          <w:szCs w:val="14"/>
        </w:rPr>
      </w:pPr>
    </w:p>
    <w:p>
      <w:pPr>
        <w:pStyle w:val="Heading4"/>
        <w:spacing w:line="240" w:lineRule="auto"/>
        <w:ind w:right="142"/>
        <w:jc w:val="left"/>
        <w:rPr>
          <w:b w:val="0"/>
          <w:bCs w:val="0"/>
        </w:rPr>
      </w:pPr>
      <w:r>
        <w:rPr/>
        <w:t>七、重大合同及其履行情况</w:t>
      </w:r>
      <w:r>
        <w:rPr>
          <w:b w:val="0"/>
          <w:bCs w:val="0"/>
        </w:rPr>
      </w:r>
    </w:p>
    <w:p>
      <w:pPr>
        <w:pStyle w:val="Heading5"/>
        <w:spacing w:line="240" w:lineRule="auto" w:before="201"/>
        <w:ind w:right="142"/>
        <w:jc w:val="left"/>
        <w:rPr>
          <w:b w:val="0"/>
          <w:bCs w:val="0"/>
        </w:rPr>
      </w:pPr>
      <w:r>
        <w:rPr>
          <w:rFonts w:ascii="宋体" w:hAnsi="宋体" w:cs="宋体" w:eastAsia="宋体" w:hint="default"/>
        </w:rPr>
        <w:t>1</w:t>
      </w:r>
      <w:r>
        <w:rPr/>
        <w:t>、为公司带来的利润达到公司本期利润总额</w:t>
      </w:r>
      <w:r>
        <w:rPr>
          <w:spacing w:val="-53"/>
        </w:rPr>
        <w:t> </w:t>
      </w:r>
      <w:r>
        <w:rPr>
          <w:rFonts w:ascii="宋体" w:hAnsi="宋体" w:cs="宋体" w:eastAsia="宋体" w:hint="default"/>
        </w:rPr>
        <w:t>10</w:t>
      </w:r>
      <w:r>
        <w:rPr/>
        <w:t>％以上（含</w:t>
      </w:r>
      <w:r>
        <w:rPr>
          <w:spacing w:val="-53"/>
        </w:rPr>
        <w:t> </w:t>
      </w:r>
      <w:r>
        <w:rPr>
          <w:rFonts w:ascii="宋体" w:hAnsi="宋体" w:cs="宋体" w:eastAsia="宋体" w:hint="default"/>
        </w:rPr>
        <w:t>10</w:t>
      </w:r>
      <w:r>
        <w:rPr/>
        <w:t>％）的托管、承包、租赁事项</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42"/>
        <w:jc w:val="left"/>
        <w:rPr>
          <w:b w:val="0"/>
          <w:bCs w:val="0"/>
        </w:rPr>
      </w:pPr>
      <w:r>
        <w:rPr/>
        <w:t>（</w:t>
      </w:r>
      <w:r>
        <w:rPr>
          <w:rFonts w:ascii="宋体" w:hAnsi="宋体" w:cs="宋体" w:eastAsia="宋体" w:hint="default"/>
        </w:rPr>
        <w:t>1</w:t>
      </w:r>
      <w:r>
        <w:rPr/>
        <w:t>）托管情况</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left="678" w:right="142"/>
        <w:jc w:val="left"/>
      </w:pPr>
      <w:r>
        <w:rPr/>
        <w:t>公司没有发生或以前期间发生但延续到报告期的托管或其他公司托管事项。</w:t>
      </w:r>
    </w:p>
    <w:p>
      <w:pPr>
        <w:spacing w:after="0" w:line="240" w:lineRule="auto"/>
        <w:jc w:val="left"/>
        <w:sectPr>
          <w:footerReference w:type="default" r:id="rId26"/>
          <w:pgSz w:w="11910" w:h="16840"/>
          <w:pgMar w:footer="979" w:header="0" w:top="1100" w:bottom="1160" w:left="980" w:right="980"/>
          <w:pgNumType w:start="29"/>
        </w:sectPr>
      </w:pPr>
    </w:p>
    <w:p>
      <w:pPr>
        <w:spacing w:line="240" w:lineRule="auto" w:before="4"/>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172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left="692" w:right="0"/>
        <w:jc w:val="left"/>
        <w:rPr>
          <w:b w:val="0"/>
          <w:bCs w:val="0"/>
        </w:rPr>
      </w:pP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1218" w:right="0"/>
        <w:jc w:val="left"/>
      </w:pPr>
      <w:r>
        <w:rPr/>
        <w:t>公司没有发生或以前期间发生但延续到报告期的承包或其他公司承包事项。</w:t>
      </w:r>
    </w:p>
    <w:p>
      <w:pPr>
        <w:spacing w:line="240" w:lineRule="auto" w:before="2"/>
        <w:rPr>
          <w:rFonts w:ascii="宋体" w:hAnsi="宋体" w:cs="宋体" w:eastAsia="宋体" w:hint="default"/>
          <w:sz w:val="15"/>
          <w:szCs w:val="15"/>
        </w:rPr>
      </w:pPr>
    </w:p>
    <w:p>
      <w:pPr>
        <w:pStyle w:val="Heading5"/>
        <w:spacing w:line="240" w:lineRule="auto"/>
        <w:ind w:left="692" w:right="0"/>
        <w:jc w:val="left"/>
        <w:rPr>
          <w:b w:val="0"/>
          <w:bCs w:val="0"/>
        </w:rPr>
      </w:pPr>
      <w:r>
        <w:rPr/>
        <w:t>（</w:t>
      </w:r>
      <w:r>
        <w:rPr>
          <w:rFonts w:ascii="宋体" w:hAnsi="宋体" w:cs="宋体" w:eastAsia="宋体" w:hint="default"/>
        </w:rPr>
        <w:t>3</w:t>
      </w:r>
      <w:r>
        <w:rPr/>
        <w:t>）租赁情况</w:t>
      </w:r>
      <w:r>
        <w:rPr>
          <w:b w:val="0"/>
          <w:bCs w:val="0"/>
        </w:rPr>
      </w:r>
    </w:p>
    <w:p>
      <w:pPr>
        <w:spacing w:line="240" w:lineRule="auto" w:before="12"/>
        <w:rPr>
          <w:rFonts w:ascii="宋体" w:hAnsi="宋体" w:cs="宋体" w:eastAsia="宋体" w:hint="default"/>
          <w:b/>
          <w:bCs/>
          <w:sz w:val="14"/>
          <w:szCs w:val="14"/>
        </w:rPr>
      </w:pPr>
    </w:p>
    <w:p>
      <w:pPr>
        <w:pStyle w:val="BodyText"/>
        <w:spacing w:line="274" w:lineRule="exact"/>
        <w:ind w:left="1218" w:right="0"/>
        <w:jc w:val="left"/>
      </w:pPr>
      <w:r>
        <w:rPr/>
        <w:t>公司没有发生或以前期间发生但延续到报告期的为公司带来的利润达到公司本期利润总额</w:t>
      </w:r>
      <w:r>
        <w:rPr>
          <w:rFonts w:ascii="宋体" w:hAnsi="宋体" w:cs="宋体" w:eastAsia="宋体" w:hint="default"/>
        </w:rPr>
        <w:t>10</w:t>
      </w:r>
      <w:r>
        <w:rPr/>
        <w:t>％以上</w:t>
      </w:r>
    </w:p>
    <w:p>
      <w:pPr>
        <w:spacing w:line="321" w:lineRule="auto" w:before="0"/>
        <w:ind w:left="692" w:right="5212" w:firstLine="0"/>
        <w:jc w:val="left"/>
        <w:rPr>
          <w:rFonts w:ascii="宋体" w:hAnsi="宋体" w:cs="宋体" w:eastAsia="宋体" w:hint="default"/>
          <w:sz w:val="21"/>
          <w:szCs w:val="21"/>
        </w:rPr>
      </w:pPr>
      <w:r>
        <w:rPr>
          <w:rFonts w:ascii="宋体" w:hAnsi="宋体" w:cs="宋体" w:eastAsia="宋体" w:hint="default"/>
          <w:spacing w:val="-2"/>
          <w:sz w:val="21"/>
          <w:szCs w:val="21"/>
        </w:rPr>
        <w:t>（含</w:t>
      </w:r>
      <w:r>
        <w:rPr>
          <w:rFonts w:ascii="宋体" w:hAnsi="宋体" w:cs="宋体" w:eastAsia="宋体" w:hint="default"/>
          <w:spacing w:val="-2"/>
          <w:sz w:val="21"/>
          <w:szCs w:val="21"/>
        </w:rPr>
        <w:t>10</w:t>
      </w:r>
      <w:r>
        <w:rPr>
          <w:rFonts w:ascii="宋体" w:hAnsi="宋体" w:cs="宋体" w:eastAsia="宋体" w:hint="default"/>
          <w:spacing w:val="-2"/>
          <w:sz w:val="21"/>
          <w:szCs w:val="21"/>
        </w:rPr>
        <w:t>％）的租赁或其他公司租赁事项。</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12"/>
        <w:ind w:left="0" w:right="659"/>
        <w:jc w:val="right"/>
      </w:pPr>
      <w:r>
        <w:rPr>
          <w:spacing w:val="-1"/>
        </w:rPr>
        <w:t>单位：万元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25"/>
        <w:gridCol w:w="1261"/>
        <w:gridCol w:w="1149"/>
        <w:gridCol w:w="1981"/>
        <w:gridCol w:w="848"/>
        <w:gridCol w:w="1131"/>
        <w:gridCol w:w="1002"/>
        <w:gridCol w:w="703"/>
        <w:gridCol w:w="1043"/>
      </w:tblGrid>
      <w:tr>
        <w:trPr>
          <w:trHeight w:val="278" w:hRule="exact"/>
        </w:trPr>
        <w:tc>
          <w:tcPr>
            <w:tcW w:w="1054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16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46" w:hRule="exact"/>
        </w:trPr>
        <w:tc>
          <w:tcPr>
            <w:tcW w:w="1425" w:type="dxa"/>
            <w:vMerge w:val="restart"/>
            <w:tcBorders>
              <w:top w:val="single" w:sz="4" w:space="0" w:color="000000"/>
              <w:left w:val="single" w:sz="4" w:space="0" w:color="000000"/>
              <w:right w:val="single" w:sz="4" w:space="0" w:color="000000"/>
            </w:tcBorders>
            <w:shd w:val="clear" w:color="auto" w:fill="D2D2D2"/>
          </w:tcPr>
          <w:p>
            <w:pP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担保额度相</w:t>
            </w:r>
          </w:p>
          <w:p>
            <w:pPr>
              <w:pStyle w:val="TableParagraph"/>
              <w:spacing w:line="240" w:lineRule="auto"/>
              <w:ind w:left="416" w:right="93" w:hanging="315"/>
              <w:jc w:val="left"/>
              <w:rPr>
                <w:rFonts w:ascii="宋体" w:hAnsi="宋体" w:cs="宋体" w:eastAsia="宋体" w:hint="default"/>
                <w:sz w:val="21"/>
                <w:szCs w:val="21"/>
              </w:rPr>
            </w:pPr>
            <w:r>
              <w:rPr>
                <w:rFonts w:ascii="宋体" w:hAnsi="宋体" w:cs="宋体" w:eastAsia="宋体" w:hint="default"/>
                <w:sz w:val="21"/>
                <w:szCs w:val="21"/>
              </w:rPr>
              <w:t>关公告披露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日期</w:t>
            </w:r>
          </w:p>
        </w:tc>
        <w:tc>
          <w:tcPr>
            <w:tcW w:w="1149" w:type="dxa"/>
            <w:vMerge w:val="restart"/>
            <w:tcBorders>
              <w:top w:val="single" w:sz="4" w:space="0" w:color="000000"/>
              <w:left w:val="single" w:sz="4" w:space="0" w:color="000000"/>
              <w:right w:val="single" w:sz="4" w:space="0" w:color="000000"/>
            </w:tcBorders>
            <w:shd w:val="clear" w:color="auto" w:fill="D2D2D2"/>
          </w:tcPr>
          <w:p>
            <w:pPr/>
          </w:p>
        </w:tc>
        <w:tc>
          <w:tcPr>
            <w:tcW w:w="19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1" w:type="dxa"/>
            <w:vMerge w:val="restart"/>
            <w:tcBorders>
              <w:top w:val="single" w:sz="4" w:space="0" w:color="000000"/>
              <w:left w:val="single" w:sz="4" w:space="0" w:color="000000"/>
              <w:right w:val="single" w:sz="4" w:space="0" w:color="000000"/>
            </w:tcBorders>
            <w:shd w:val="clear" w:color="auto" w:fill="D2D2D2"/>
          </w:tcPr>
          <w:p>
            <w:pPr/>
          </w:p>
        </w:tc>
        <w:tc>
          <w:tcPr>
            <w:tcW w:w="1002"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3"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exact"/>
              <w:ind w:left="97" w:right="0"/>
              <w:jc w:val="left"/>
              <w:rPr>
                <w:rFonts w:ascii="宋体" w:hAnsi="宋体" w:cs="宋体" w:eastAsia="宋体" w:hint="default"/>
                <w:sz w:val="21"/>
                <w:szCs w:val="21"/>
              </w:rPr>
            </w:pPr>
            <w:r>
              <w:rPr>
                <w:rFonts w:ascii="宋体" w:hAnsi="宋体" w:cs="宋体" w:eastAsia="宋体" w:hint="default"/>
                <w:sz w:val="21"/>
                <w:szCs w:val="21"/>
              </w:rPr>
              <w:t>是否为关</w:t>
            </w:r>
          </w:p>
          <w:p>
            <w:pPr>
              <w:pStyle w:val="TableParagraph"/>
              <w:spacing w:line="273" w:lineRule="exact"/>
              <w:ind w:left="97" w:right="0"/>
              <w:jc w:val="left"/>
              <w:rPr>
                <w:rFonts w:ascii="宋体" w:hAnsi="宋体" w:cs="宋体" w:eastAsia="宋体" w:hint="default"/>
                <w:sz w:val="21"/>
                <w:szCs w:val="21"/>
              </w:rPr>
            </w:pPr>
            <w:r>
              <w:rPr>
                <w:rFonts w:ascii="宋体" w:hAnsi="宋体" w:cs="宋体" w:eastAsia="宋体" w:hint="default"/>
                <w:sz w:val="21"/>
                <w:szCs w:val="21"/>
              </w:rPr>
              <w:t>联方担保</w:t>
            </w:r>
          </w:p>
          <w:p>
            <w:pPr>
              <w:pStyle w:val="TableParagraph"/>
              <w:spacing w:line="274" w:lineRule="exact"/>
              <w:ind w:left="23" w:right="-44"/>
              <w:jc w:val="left"/>
              <w:rPr>
                <w:rFonts w:ascii="宋体" w:hAnsi="宋体" w:cs="宋体" w:eastAsia="宋体" w:hint="default"/>
                <w:sz w:val="21"/>
                <w:szCs w:val="21"/>
              </w:rPr>
            </w:pPr>
            <w:r>
              <w:rPr>
                <w:rFonts w:ascii="宋体" w:hAnsi="宋体" w:cs="宋体" w:eastAsia="宋体" w:hint="default"/>
                <w:sz w:val="21"/>
                <w:szCs w:val="21"/>
              </w:rPr>
              <w:t>（是或否）</w:t>
            </w:r>
          </w:p>
        </w:tc>
      </w:tr>
      <w:tr>
        <w:trPr>
          <w:trHeight w:val="134" w:hRule="exact"/>
        </w:trPr>
        <w:tc>
          <w:tcPr>
            <w:tcW w:w="1425" w:type="dxa"/>
            <w:vMerge/>
            <w:tcBorders>
              <w:left w:val="single" w:sz="4" w:space="0" w:color="000000"/>
              <w:bottom w:val="nil" w:sz="6" w:space="0" w:color="auto"/>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981" w:type="dxa"/>
            <w:vMerge w:val="restart"/>
            <w:tcBorders>
              <w:top w:val="nil" w:sz="6" w:space="0" w:color="auto"/>
              <w:left w:val="single" w:sz="4" w:space="0" w:color="000000"/>
              <w:right w:val="single" w:sz="4" w:space="0" w:color="000000"/>
            </w:tcBorders>
            <w:shd w:val="clear" w:color="auto" w:fill="D2D2D2"/>
          </w:tcPr>
          <w:p>
            <w:pPr>
              <w:pStyle w:val="TableParagraph"/>
              <w:spacing w:line="239" w:lineRule="exact"/>
              <w:ind w:right="6"/>
              <w:jc w:val="center"/>
              <w:rPr>
                <w:rFonts w:ascii="宋体" w:hAnsi="宋体" w:cs="宋体" w:eastAsia="宋体" w:hint="default"/>
                <w:sz w:val="21"/>
                <w:szCs w:val="21"/>
              </w:rPr>
            </w:pPr>
            <w:r>
              <w:rPr>
                <w:rFonts w:ascii="宋体" w:hAnsi="宋体" w:cs="宋体" w:eastAsia="宋体" w:hint="default"/>
                <w:sz w:val="21"/>
                <w:szCs w:val="21"/>
              </w:rPr>
              <w:t>实际发生日期（协议</w:t>
            </w:r>
          </w:p>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签署日）</w:t>
            </w:r>
          </w:p>
        </w:tc>
        <w:tc>
          <w:tcPr>
            <w:tcW w:w="848" w:type="dxa"/>
            <w:vMerge w:val="restart"/>
            <w:tcBorders>
              <w:top w:val="nil" w:sz="6" w:space="0" w:color="auto"/>
              <w:left w:val="single" w:sz="4" w:space="0" w:color="000000"/>
              <w:right w:val="single" w:sz="4" w:space="0" w:color="000000"/>
            </w:tcBorders>
            <w:shd w:val="clear" w:color="auto" w:fill="D2D2D2"/>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保金额</w:t>
            </w:r>
          </w:p>
        </w:tc>
        <w:tc>
          <w:tcPr>
            <w:tcW w:w="1131"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39" w:lineRule="exact"/>
              <w:ind w:left="27"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3" w:lineRule="exact"/>
              <w:ind w:left="27"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043" w:type="dxa"/>
            <w:vMerge/>
            <w:tcBorders>
              <w:left w:val="single" w:sz="4" w:space="0" w:color="000000"/>
              <w:right w:val="single" w:sz="4" w:space="0" w:color="000000"/>
            </w:tcBorders>
            <w:shd w:val="clear" w:color="auto" w:fill="D2D2D2"/>
          </w:tcPr>
          <w:p>
            <w:pPr/>
          </w:p>
        </w:tc>
      </w:tr>
      <w:tr>
        <w:trPr>
          <w:trHeight w:val="274" w:hRule="exact"/>
        </w:trPr>
        <w:tc>
          <w:tcPr>
            <w:tcW w:w="1425" w:type="dxa"/>
            <w:tcBorders>
              <w:top w:val="nil" w:sz="6" w:space="0" w:color="auto"/>
              <w:left w:val="single" w:sz="10" w:space="0" w:color="D2D2D2"/>
              <w:bottom w:val="nil" w:sz="6" w:space="0" w:color="auto"/>
              <w:right w:val="single" w:sz="10" w:space="0" w:color="D2D2D2"/>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担保对象名称</w:t>
            </w:r>
            <w:r>
              <w:rPr>
                <w:rFonts w:ascii="宋体" w:hAnsi="宋体" w:cs="宋体" w:eastAsia="宋体" w:hint="default"/>
                <w:sz w:val="21"/>
                <w:szCs w:val="21"/>
              </w:rPr>
            </w:r>
          </w:p>
        </w:tc>
        <w:tc>
          <w:tcPr>
            <w:tcW w:w="1261" w:type="dxa"/>
            <w:vMerge/>
            <w:tcBorders>
              <w:left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981" w:type="dxa"/>
            <w:vMerge/>
            <w:tcBorders>
              <w:left w:val="single" w:sz="4" w:space="0" w:color="000000"/>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1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right="177"/>
              <w:jc w:val="right"/>
              <w:rPr>
                <w:rFonts w:ascii="宋体" w:hAnsi="宋体" w:cs="宋体" w:eastAsia="宋体" w:hint="default"/>
                <w:sz w:val="21"/>
                <w:szCs w:val="21"/>
              </w:rPr>
            </w:pPr>
            <w:r>
              <w:rPr>
                <w:rFonts w:ascii="宋体" w:hAnsi="宋体" w:cs="宋体" w:eastAsia="宋体" w:hint="default"/>
                <w:sz w:val="21"/>
                <w:szCs w:val="21"/>
              </w:rPr>
              <w:t>担保期</w:t>
            </w:r>
          </w:p>
        </w:tc>
        <w:tc>
          <w:tcPr>
            <w:tcW w:w="703" w:type="dxa"/>
            <w:vMerge/>
            <w:tcBorders>
              <w:left w:val="single" w:sz="4" w:space="0" w:color="000000"/>
              <w:right w:val="single" w:sz="4" w:space="0" w:color="000000"/>
            </w:tcBorders>
            <w:shd w:val="clear" w:color="auto" w:fill="D2D2D2"/>
          </w:tcPr>
          <w:p>
            <w:pPr/>
          </w:p>
        </w:tc>
        <w:tc>
          <w:tcPr>
            <w:tcW w:w="1043" w:type="dxa"/>
            <w:vMerge/>
            <w:tcBorders>
              <w:left w:val="single" w:sz="4" w:space="0" w:color="000000"/>
              <w:right w:val="single" w:sz="4" w:space="0" w:color="000000"/>
            </w:tcBorders>
            <w:shd w:val="clear" w:color="auto" w:fill="D2D2D2"/>
          </w:tcPr>
          <w:p>
            <w:pPr/>
          </w:p>
        </w:tc>
      </w:tr>
      <w:tr>
        <w:trPr>
          <w:trHeight w:val="240" w:hRule="exact"/>
        </w:trPr>
        <w:tc>
          <w:tcPr>
            <w:tcW w:w="1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1" w:type="dxa"/>
            <w:vMerge/>
            <w:tcBorders>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1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c>
          <w:tcPr>
            <w:tcW w:w="1043" w:type="dxa"/>
            <w:vMerge/>
            <w:tcBorders>
              <w:left w:val="single" w:sz="4" w:space="0" w:color="000000"/>
              <w:bottom w:val="single" w:sz="4" w:space="0" w:color="000000"/>
              <w:right w:val="single" w:sz="4" w:space="0" w:color="000000"/>
            </w:tcBorders>
            <w:shd w:val="clear" w:color="auto" w:fill="D2D2D2"/>
          </w:tcPr>
          <w:p>
            <w:pPr/>
          </w:p>
        </w:tc>
      </w:tr>
      <w:tr>
        <w:trPr>
          <w:trHeight w:val="590" w:hRule="exact"/>
        </w:trPr>
        <w:tc>
          <w:tcPr>
            <w:tcW w:w="2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3" w:right="127"/>
              <w:jc w:val="left"/>
              <w:rPr>
                <w:rFonts w:ascii="宋体" w:hAnsi="宋体" w:cs="宋体" w:eastAsia="宋体" w:hint="default"/>
                <w:sz w:val="21"/>
                <w:szCs w:val="21"/>
              </w:rPr>
            </w:pPr>
            <w:r>
              <w:rPr>
                <w:rFonts w:ascii="宋体" w:hAnsi="宋体" w:cs="宋体" w:eastAsia="宋体" w:hint="default"/>
                <w:spacing w:val="-2"/>
                <w:sz w:val="21"/>
                <w:szCs w:val="21"/>
              </w:rPr>
              <w:t>报告期内审批的对外担保额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度合计（</w:t>
            </w:r>
            <w:r>
              <w:rPr>
                <w:rFonts w:ascii="宋体" w:hAnsi="宋体" w:cs="宋体" w:eastAsia="宋体" w:hint="default"/>
                <w:sz w:val="21"/>
                <w:szCs w:val="21"/>
              </w:rPr>
              <w:t>A1</w:t>
            </w:r>
            <w:r>
              <w:rPr>
                <w:rFonts w:ascii="宋体" w:hAnsi="宋体" w:cs="宋体" w:eastAsia="宋体" w:hint="default"/>
                <w:sz w:val="21"/>
                <w:szCs w:val="21"/>
              </w:rPr>
              <w:t>）</w:t>
            </w:r>
          </w:p>
        </w:tc>
        <w:tc>
          <w:tcPr>
            <w:tcW w:w="3130" w:type="dxa"/>
            <w:gridSpan w:val="2"/>
            <w:tcBorders>
              <w:top w:val="single" w:sz="54" w:space="0" w:color="D2D2D2"/>
              <w:left w:val="single" w:sz="10" w:space="0" w:color="D2D2D2"/>
              <w:bottom w:val="single" w:sz="4" w:space="0" w:color="000000"/>
              <w:right w:val="single" w:sz="14" w:space="0" w:color="D2D2D2"/>
            </w:tcBorders>
          </w:tcPr>
          <w:p>
            <w:pPr>
              <w:pStyle w:val="TableParagraph"/>
              <w:spacing w:line="240" w:lineRule="auto" w:before="76"/>
              <w:ind w:right="11"/>
              <w:jc w:val="right"/>
              <w:rPr>
                <w:rFonts w:ascii="宋体" w:hAnsi="宋体" w:cs="宋体" w:eastAsia="宋体" w:hint="default"/>
                <w:sz w:val="21"/>
                <w:szCs w:val="21"/>
              </w:rPr>
            </w:pPr>
            <w:r>
              <w:rPr>
                <w:rFonts w:ascii="宋体"/>
                <w:w w:val="100"/>
                <w:sz w:val="21"/>
              </w:rPr>
              <w:t>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1" w:right="51"/>
              <w:jc w:val="left"/>
              <w:rPr>
                <w:rFonts w:ascii="宋体" w:hAnsi="宋体" w:cs="宋体" w:eastAsia="宋体" w:hint="default"/>
                <w:sz w:val="21"/>
                <w:szCs w:val="21"/>
              </w:rPr>
            </w:pPr>
            <w:r>
              <w:rPr>
                <w:rFonts w:ascii="宋体" w:hAnsi="宋体" w:cs="宋体" w:eastAsia="宋体" w:hint="default"/>
                <w:sz w:val="21"/>
                <w:szCs w:val="21"/>
              </w:rPr>
              <w:t>报告期内对外担保实</w:t>
            </w:r>
            <w:r>
              <w:rPr>
                <w:rFonts w:ascii="宋体" w:hAnsi="宋体" w:cs="宋体" w:eastAsia="宋体" w:hint="default"/>
                <w:w w:val="100"/>
                <w:sz w:val="21"/>
                <w:szCs w:val="21"/>
              </w:rPr>
              <w:t> </w:t>
            </w:r>
            <w:r>
              <w:rPr>
                <w:rFonts w:ascii="宋体" w:hAnsi="宋体" w:cs="宋体" w:eastAsia="宋体" w:hint="default"/>
                <w:sz w:val="21"/>
                <w:szCs w:val="21"/>
              </w:rPr>
              <w:t>际发生额合计（</w:t>
            </w:r>
            <w:r>
              <w:rPr>
                <w:rFonts w:ascii="宋体" w:hAnsi="宋体" w:cs="宋体" w:eastAsia="宋体" w:hint="default"/>
                <w:sz w:val="21"/>
                <w:szCs w:val="21"/>
              </w:rPr>
              <w:t>A2</w:t>
            </w:r>
            <w:r>
              <w:rPr>
                <w:rFonts w:ascii="宋体" w:hAnsi="宋体" w:cs="宋体" w:eastAsia="宋体" w:hint="default"/>
                <w:sz w:val="21"/>
                <w:szCs w:val="21"/>
              </w:rPr>
              <w:t>）</w:t>
            </w:r>
          </w:p>
        </w:tc>
        <w:tc>
          <w:tcPr>
            <w:tcW w:w="2748" w:type="dxa"/>
            <w:gridSpan w:val="3"/>
            <w:tcBorders>
              <w:top w:val="single" w:sz="54" w:space="0" w:color="D2D2D2"/>
              <w:left w:val="single" w:sz="13" w:space="0" w:color="D2D2D2"/>
              <w:bottom w:val="single" w:sz="4" w:space="0" w:color="000000"/>
              <w:right w:val="single" w:sz="4" w:space="0" w:color="000000"/>
            </w:tcBorders>
          </w:tcPr>
          <w:p>
            <w:pPr>
              <w:pStyle w:val="TableParagraph"/>
              <w:spacing w:line="240" w:lineRule="auto" w:before="76"/>
              <w:ind w:right="19"/>
              <w:jc w:val="right"/>
              <w:rPr>
                <w:rFonts w:ascii="宋体" w:hAnsi="宋体" w:cs="宋体" w:eastAsia="宋体" w:hint="default"/>
                <w:sz w:val="21"/>
                <w:szCs w:val="21"/>
              </w:rPr>
            </w:pPr>
            <w:r>
              <w:rPr>
                <w:rFonts w:ascii="宋体"/>
                <w:w w:val="100"/>
                <w:sz w:val="21"/>
              </w:rPr>
              <w:t>0</w:t>
            </w:r>
          </w:p>
        </w:tc>
      </w:tr>
      <w:tr>
        <w:trPr>
          <w:trHeight w:val="562" w:hRule="exact"/>
        </w:trPr>
        <w:tc>
          <w:tcPr>
            <w:tcW w:w="2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报告期末已审批的对外担保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额度合计（</w:t>
            </w:r>
            <w:r>
              <w:rPr>
                <w:rFonts w:ascii="宋体" w:hAnsi="宋体" w:cs="宋体" w:eastAsia="宋体" w:hint="default"/>
                <w:sz w:val="21"/>
                <w:szCs w:val="21"/>
              </w:rPr>
              <w:t>A3</w:t>
            </w:r>
            <w:r>
              <w:rPr>
                <w:rFonts w:ascii="宋体" w:hAnsi="宋体" w:cs="宋体" w:eastAsia="宋体" w:hint="default"/>
                <w:sz w:val="21"/>
                <w:szCs w:val="21"/>
              </w:rPr>
              <w:t>）</w:t>
            </w:r>
          </w:p>
        </w:tc>
        <w:tc>
          <w:tcPr>
            <w:tcW w:w="3130"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02"/>
              <w:ind w:right="11"/>
              <w:jc w:val="right"/>
              <w:rPr>
                <w:rFonts w:ascii="宋体" w:hAnsi="宋体" w:cs="宋体" w:eastAsia="宋体" w:hint="default"/>
                <w:sz w:val="21"/>
                <w:szCs w:val="21"/>
              </w:rPr>
            </w:pPr>
            <w:r>
              <w:rPr>
                <w:rFonts w:ascii="宋体"/>
                <w:w w:val="100"/>
                <w:sz w:val="21"/>
              </w:rPr>
              <w:t>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报告期末实际对外担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保余额合计（</w:t>
            </w:r>
            <w:r>
              <w:rPr>
                <w:rFonts w:ascii="宋体" w:hAnsi="宋体" w:cs="宋体" w:eastAsia="宋体" w:hint="default"/>
                <w:sz w:val="21"/>
                <w:szCs w:val="21"/>
              </w:rPr>
              <w:t>A4</w:t>
            </w:r>
            <w:r>
              <w:rPr>
                <w:rFonts w:ascii="宋体" w:hAnsi="宋体" w:cs="宋体" w:eastAsia="宋体" w:hint="default"/>
                <w:sz w:val="21"/>
                <w:szCs w:val="21"/>
              </w:rPr>
              <w:t>）</w:t>
            </w:r>
          </w:p>
        </w:tc>
        <w:tc>
          <w:tcPr>
            <w:tcW w:w="274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0</w:t>
            </w:r>
          </w:p>
        </w:tc>
      </w:tr>
      <w:tr>
        <w:trPr>
          <w:trHeight w:val="271" w:hRule="exact"/>
        </w:trPr>
        <w:tc>
          <w:tcPr>
            <w:tcW w:w="1054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46" w:hRule="exact"/>
        </w:trPr>
        <w:tc>
          <w:tcPr>
            <w:tcW w:w="1425" w:type="dxa"/>
            <w:vMerge w:val="restart"/>
            <w:tcBorders>
              <w:top w:val="single" w:sz="4" w:space="0" w:color="000000"/>
              <w:left w:val="single" w:sz="4" w:space="0" w:color="000000"/>
              <w:right w:val="single" w:sz="4" w:space="0" w:color="000000"/>
            </w:tcBorders>
            <w:shd w:val="clear" w:color="auto" w:fill="D2D2D2"/>
          </w:tcPr>
          <w:p>
            <w:pP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z w:val="21"/>
                <w:szCs w:val="21"/>
              </w:rPr>
              <w:t>担保额度相</w:t>
            </w:r>
          </w:p>
          <w:p>
            <w:pPr>
              <w:pStyle w:val="TableParagraph"/>
              <w:spacing w:line="272" w:lineRule="exact" w:before="27"/>
              <w:ind w:left="416" w:right="93" w:hanging="315"/>
              <w:jc w:val="left"/>
              <w:rPr>
                <w:rFonts w:ascii="宋体" w:hAnsi="宋体" w:cs="宋体" w:eastAsia="宋体" w:hint="default"/>
                <w:sz w:val="21"/>
                <w:szCs w:val="21"/>
              </w:rPr>
            </w:pPr>
            <w:r>
              <w:rPr>
                <w:rFonts w:ascii="宋体" w:hAnsi="宋体" w:cs="宋体" w:eastAsia="宋体" w:hint="default"/>
                <w:sz w:val="21"/>
                <w:szCs w:val="21"/>
              </w:rPr>
              <w:t>关公告披露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日期</w:t>
            </w:r>
          </w:p>
        </w:tc>
        <w:tc>
          <w:tcPr>
            <w:tcW w:w="1149" w:type="dxa"/>
            <w:vMerge w:val="restart"/>
            <w:tcBorders>
              <w:top w:val="single" w:sz="4" w:space="0" w:color="000000"/>
              <w:left w:val="single" w:sz="4" w:space="0" w:color="000000"/>
              <w:right w:val="single" w:sz="4" w:space="0" w:color="000000"/>
            </w:tcBorders>
            <w:shd w:val="clear" w:color="auto" w:fill="D2D2D2"/>
          </w:tcPr>
          <w:p>
            <w:pPr/>
          </w:p>
        </w:tc>
        <w:tc>
          <w:tcPr>
            <w:tcW w:w="19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1" w:type="dxa"/>
            <w:vMerge w:val="restart"/>
            <w:tcBorders>
              <w:top w:val="single" w:sz="4" w:space="0" w:color="000000"/>
              <w:left w:val="single" w:sz="4" w:space="0" w:color="000000"/>
              <w:right w:val="single" w:sz="4" w:space="0" w:color="000000"/>
            </w:tcBorders>
            <w:shd w:val="clear" w:color="auto" w:fill="D2D2D2"/>
          </w:tcPr>
          <w:p>
            <w:pPr/>
          </w:p>
        </w:tc>
        <w:tc>
          <w:tcPr>
            <w:tcW w:w="1002"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3"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97" w:right="0"/>
              <w:jc w:val="left"/>
              <w:rPr>
                <w:rFonts w:ascii="宋体" w:hAnsi="宋体" w:cs="宋体" w:eastAsia="宋体" w:hint="default"/>
                <w:sz w:val="21"/>
                <w:szCs w:val="21"/>
              </w:rPr>
            </w:pPr>
            <w:r>
              <w:rPr>
                <w:rFonts w:ascii="宋体" w:hAnsi="宋体" w:cs="宋体" w:eastAsia="宋体" w:hint="default"/>
                <w:sz w:val="21"/>
                <w:szCs w:val="21"/>
              </w:rPr>
              <w:t>是否为关</w:t>
            </w:r>
          </w:p>
          <w:p>
            <w:pPr>
              <w:pStyle w:val="TableParagraph"/>
              <w:spacing w:line="272" w:lineRule="exact"/>
              <w:ind w:left="97" w:right="0"/>
              <w:jc w:val="left"/>
              <w:rPr>
                <w:rFonts w:ascii="宋体" w:hAnsi="宋体" w:cs="宋体" w:eastAsia="宋体" w:hint="default"/>
                <w:sz w:val="21"/>
                <w:szCs w:val="21"/>
              </w:rPr>
            </w:pPr>
            <w:r>
              <w:rPr>
                <w:rFonts w:ascii="宋体" w:hAnsi="宋体" w:cs="宋体" w:eastAsia="宋体" w:hint="default"/>
                <w:sz w:val="21"/>
                <w:szCs w:val="21"/>
              </w:rPr>
              <w:t>联方担保</w:t>
            </w:r>
          </w:p>
          <w:p>
            <w:pPr>
              <w:pStyle w:val="TableParagraph"/>
              <w:spacing w:line="273" w:lineRule="exact"/>
              <w:ind w:left="23" w:right="-44"/>
              <w:jc w:val="left"/>
              <w:rPr>
                <w:rFonts w:ascii="宋体" w:hAnsi="宋体" w:cs="宋体" w:eastAsia="宋体" w:hint="default"/>
                <w:sz w:val="21"/>
                <w:szCs w:val="21"/>
              </w:rPr>
            </w:pPr>
            <w:r>
              <w:rPr>
                <w:rFonts w:ascii="宋体" w:hAnsi="宋体" w:cs="宋体" w:eastAsia="宋体" w:hint="default"/>
                <w:sz w:val="21"/>
                <w:szCs w:val="21"/>
              </w:rPr>
              <w:t>（是或否）</w:t>
            </w:r>
          </w:p>
        </w:tc>
      </w:tr>
      <w:tr>
        <w:trPr>
          <w:trHeight w:val="137" w:hRule="exact"/>
        </w:trPr>
        <w:tc>
          <w:tcPr>
            <w:tcW w:w="1425" w:type="dxa"/>
            <w:vMerge/>
            <w:tcBorders>
              <w:left w:val="single" w:sz="4" w:space="0" w:color="000000"/>
              <w:bottom w:val="nil" w:sz="6" w:space="0" w:color="auto"/>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9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实际发生日期</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8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保金额</w:t>
            </w:r>
          </w:p>
        </w:tc>
        <w:tc>
          <w:tcPr>
            <w:tcW w:w="1131"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27"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043" w:type="dxa"/>
            <w:vMerge/>
            <w:tcBorders>
              <w:left w:val="single" w:sz="4" w:space="0" w:color="000000"/>
              <w:right w:val="single" w:sz="4" w:space="0" w:color="000000"/>
            </w:tcBorders>
            <w:shd w:val="clear" w:color="auto" w:fill="D2D2D2"/>
          </w:tcPr>
          <w:p>
            <w:pPr/>
          </w:p>
        </w:tc>
      </w:tr>
      <w:tr>
        <w:trPr>
          <w:trHeight w:val="271" w:hRule="exact"/>
        </w:trPr>
        <w:tc>
          <w:tcPr>
            <w:tcW w:w="1425" w:type="dxa"/>
            <w:tcBorders>
              <w:top w:val="nil" w:sz="6" w:space="0" w:color="auto"/>
              <w:left w:val="single" w:sz="10" w:space="0" w:color="D2D2D2"/>
              <w:bottom w:val="nil" w:sz="6" w:space="0" w:color="auto"/>
              <w:right w:val="single" w:sz="10" w:space="0" w:color="D2D2D2"/>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担保对象名称</w:t>
            </w:r>
            <w:r>
              <w:rPr>
                <w:rFonts w:ascii="宋体" w:hAnsi="宋体" w:cs="宋体" w:eastAsia="宋体" w:hint="default"/>
                <w:sz w:val="21"/>
                <w:szCs w:val="21"/>
              </w:rPr>
            </w:r>
          </w:p>
        </w:tc>
        <w:tc>
          <w:tcPr>
            <w:tcW w:w="1261" w:type="dxa"/>
            <w:vMerge/>
            <w:tcBorders>
              <w:left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981" w:type="dxa"/>
            <w:vMerge/>
            <w:tcBorders>
              <w:left w:val="single" w:sz="4" w:space="0" w:color="000000"/>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1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right="177"/>
              <w:jc w:val="right"/>
              <w:rPr>
                <w:rFonts w:ascii="宋体" w:hAnsi="宋体" w:cs="宋体" w:eastAsia="宋体" w:hint="default"/>
                <w:sz w:val="21"/>
                <w:szCs w:val="21"/>
              </w:rPr>
            </w:pPr>
            <w:r>
              <w:rPr>
                <w:rFonts w:ascii="宋体" w:hAnsi="宋体" w:cs="宋体" w:eastAsia="宋体" w:hint="default"/>
                <w:sz w:val="21"/>
                <w:szCs w:val="21"/>
              </w:rPr>
              <w:t>担保期</w:t>
            </w:r>
          </w:p>
        </w:tc>
        <w:tc>
          <w:tcPr>
            <w:tcW w:w="703" w:type="dxa"/>
            <w:vMerge/>
            <w:tcBorders>
              <w:left w:val="single" w:sz="4" w:space="0" w:color="000000"/>
              <w:right w:val="single" w:sz="4" w:space="0" w:color="000000"/>
            </w:tcBorders>
            <w:shd w:val="clear" w:color="auto" w:fill="D2D2D2"/>
          </w:tcPr>
          <w:p>
            <w:pPr/>
          </w:p>
        </w:tc>
        <w:tc>
          <w:tcPr>
            <w:tcW w:w="1043" w:type="dxa"/>
            <w:vMerge/>
            <w:tcBorders>
              <w:left w:val="single" w:sz="4" w:space="0" w:color="000000"/>
              <w:right w:val="single" w:sz="4" w:space="0" w:color="000000"/>
            </w:tcBorders>
            <w:shd w:val="clear" w:color="auto" w:fill="D2D2D2"/>
          </w:tcPr>
          <w:p>
            <w:pPr/>
          </w:p>
        </w:tc>
      </w:tr>
      <w:tr>
        <w:trPr>
          <w:trHeight w:val="137" w:hRule="exact"/>
        </w:trPr>
        <w:tc>
          <w:tcPr>
            <w:tcW w:w="1425" w:type="dxa"/>
            <w:vMerge w:val="restart"/>
            <w:tcBorders>
              <w:top w:val="nil" w:sz="6" w:space="0" w:color="auto"/>
              <w:left w:val="single" w:sz="4" w:space="0" w:color="000000"/>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
        </w:tc>
        <w:tc>
          <w:tcPr>
            <w:tcW w:w="1981" w:type="dxa"/>
            <w:vMerge/>
            <w:tcBorders>
              <w:left w:val="single" w:sz="4" w:space="0" w:color="000000"/>
              <w:bottom w:val="nil" w:sz="6" w:space="0" w:color="auto"/>
              <w:right w:val="single" w:sz="4" w:space="0" w:color="000000"/>
            </w:tcBorders>
            <w:shd w:val="clear" w:color="auto" w:fill="D2D2D2"/>
          </w:tcPr>
          <w:p>
            <w:pPr/>
          </w:p>
        </w:tc>
        <w:tc>
          <w:tcPr>
            <w:tcW w:w="848" w:type="dxa"/>
            <w:vMerge/>
            <w:tcBorders>
              <w:left w:val="single" w:sz="4" w:space="0" w:color="000000"/>
              <w:bottom w:val="nil" w:sz="6" w:space="0" w:color="auto"/>
              <w:right w:val="single" w:sz="4" w:space="0" w:color="000000"/>
            </w:tcBorders>
            <w:shd w:val="clear" w:color="auto" w:fill="D2D2D2"/>
          </w:tcPr>
          <w:p>
            <w:pPr/>
          </w:p>
        </w:tc>
        <w:tc>
          <w:tcPr>
            <w:tcW w:w="1131" w:type="dxa"/>
            <w:vMerge w:val="restart"/>
            <w:tcBorders>
              <w:top w:val="nil" w:sz="6" w:space="0" w:color="auto"/>
              <w:left w:val="single" w:sz="4" w:space="0" w:color="000000"/>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1043" w:type="dxa"/>
            <w:vMerge/>
            <w:tcBorders>
              <w:left w:val="single" w:sz="4" w:space="0" w:color="000000"/>
              <w:right w:val="single" w:sz="4" w:space="0" w:color="000000"/>
            </w:tcBorders>
            <w:shd w:val="clear" w:color="auto" w:fill="D2D2D2"/>
          </w:tcPr>
          <w:p>
            <w:pPr/>
          </w:p>
        </w:tc>
      </w:tr>
      <w:tr>
        <w:trPr>
          <w:trHeight w:val="142" w:hRule="exact"/>
        </w:trPr>
        <w:tc>
          <w:tcPr>
            <w:tcW w:w="1425"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149" w:type="dxa"/>
            <w:vMerge/>
            <w:tcBorders>
              <w:left w:val="single" w:sz="4" w:space="0" w:color="000000"/>
              <w:bottom w:val="single" w:sz="4" w:space="0" w:color="000000"/>
              <w:right w:val="single" w:sz="4" w:space="0" w:color="000000"/>
            </w:tcBorders>
            <w:shd w:val="clear" w:color="auto" w:fill="D2D2D2"/>
          </w:tcPr>
          <w:p>
            <w:pPr/>
          </w:p>
        </w:tc>
        <w:tc>
          <w:tcPr>
            <w:tcW w:w="19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1"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3" w:type="dxa"/>
            <w:vMerge/>
            <w:tcBorders>
              <w:left w:val="single" w:sz="4" w:space="0" w:color="000000"/>
              <w:bottom w:val="single" w:sz="4" w:space="0" w:color="000000"/>
              <w:right w:val="single" w:sz="4" w:space="0" w:color="000000"/>
            </w:tcBorders>
            <w:shd w:val="clear" w:color="auto" w:fill="D2D2D2"/>
          </w:tcPr>
          <w:p>
            <w:pPr/>
          </w:p>
        </w:tc>
      </w:tr>
      <w:tr>
        <w:trPr>
          <w:trHeight w:val="555"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辽宁荣科金融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
              <w:jc w:val="right"/>
              <w:rPr>
                <w:rFonts w:ascii="宋体" w:hAnsi="宋体" w:cs="宋体" w:eastAsia="宋体" w:hint="default"/>
                <w:sz w:val="21"/>
                <w:szCs w:val="21"/>
              </w:rPr>
            </w:pPr>
            <w:r>
              <w:rPr>
                <w:rFonts w:ascii="宋体"/>
                <w:sz w:val="21"/>
              </w:rPr>
              <w:t>800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sz w:val="21"/>
              </w:rPr>
              <w:t>800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一般保证</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42" w:hRule="exact"/>
        </w:trPr>
        <w:tc>
          <w:tcPr>
            <w:tcW w:w="268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30" w:type="dxa"/>
            <w:gridSpan w:val="2"/>
            <w:vMerge w:val="restart"/>
            <w:tcBorders>
              <w:top w:val="single" w:sz="4" w:space="0" w:color="000000"/>
              <w:left w:val="single" w:sz="10" w:space="0" w:color="D2D2D2"/>
              <w:right w:val="single" w:sz="14" w:space="0" w:color="D2D2D2"/>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21"/>
                <w:szCs w:val="21"/>
              </w:rPr>
            </w:pPr>
            <w:r>
              <w:rPr>
                <w:rFonts w:ascii="宋体"/>
                <w:w w:val="100"/>
                <w:sz w:val="21"/>
              </w:rPr>
              <w:t>0</w:t>
            </w:r>
          </w:p>
        </w:tc>
        <w:tc>
          <w:tcPr>
            <w:tcW w:w="19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报告期内对子公司担</w:t>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保实际发生额合计</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B2</w:t>
            </w:r>
            <w:r>
              <w:rPr>
                <w:rFonts w:ascii="宋体" w:hAnsi="宋体" w:cs="宋体" w:eastAsia="宋体" w:hint="default"/>
                <w:sz w:val="21"/>
                <w:szCs w:val="21"/>
              </w:rPr>
              <w:t>）</w:t>
            </w:r>
          </w:p>
        </w:tc>
        <w:tc>
          <w:tcPr>
            <w:tcW w:w="2748" w:type="dxa"/>
            <w:gridSpan w:val="3"/>
            <w:vMerge w:val="restart"/>
            <w:tcBorders>
              <w:top w:val="single" w:sz="4" w:space="0" w:color="000000"/>
              <w:left w:val="single" w:sz="13" w:space="0" w:color="D2D2D2"/>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r>
      <w:tr>
        <w:trPr>
          <w:trHeight w:val="545" w:hRule="exact"/>
        </w:trPr>
        <w:tc>
          <w:tcPr>
            <w:tcW w:w="268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报告期内审批对子公司担保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额度合计（</w:t>
            </w:r>
            <w:r>
              <w:rPr>
                <w:rFonts w:ascii="宋体" w:hAnsi="宋体" w:cs="宋体" w:eastAsia="宋体" w:hint="default"/>
                <w:sz w:val="21"/>
                <w:szCs w:val="21"/>
              </w:rPr>
              <w:t>B1</w:t>
            </w:r>
            <w:r>
              <w:rPr>
                <w:rFonts w:ascii="宋体" w:hAnsi="宋体" w:cs="宋体" w:eastAsia="宋体" w:hint="default"/>
                <w:sz w:val="21"/>
                <w:szCs w:val="21"/>
              </w:rPr>
              <w:t>）</w:t>
            </w:r>
          </w:p>
        </w:tc>
        <w:tc>
          <w:tcPr>
            <w:tcW w:w="3130" w:type="dxa"/>
            <w:gridSpan w:val="2"/>
            <w:vMerge/>
            <w:tcBorders>
              <w:left w:val="single" w:sz="10" w:space="0" w:color="D2D2D2"/>
              <w:right w:val="single" w:sz="14" w:space="0" w:color="D2D2D2"/>
            </w:tcBorders>
          </w:tcPr>
          <w:p>
            <w:pPr/>
          </w:p>
        </w:tc>
        <w:tc>
          <w:tcPr>
            <w:tcW w:w="1979" w:type="dxa"/>
            <w:gridSpan w:val="2"/>
            <w:vMerge/>
            <w:tcBorders>
              <w:left w:val="single" w:sz="4" w:space="0" w:color="000000"/>
              <w:right w:val="single" w:sz="4" w:space="0" w:color="000000"/>
            </w:tcBorders>
            <w:shd w:val="clear" w:color="auto" w:fill="D2D2D2"/>
          </w:tcPr>
          <w:p>
            <w:pPr/>
          </w:p>
        </w:tc>
        <w:tc>
          <w:tcPr>
            <w:tcW w:w="2748" w:type="dxa"/>
            <w:gridSpan w:val="3"/>
            <w:vMerge/>
            <w:tcBorders>
              <w:left w:val="single" w:sz="13" w:space="0" w:color="D2D2D2"/>
              <w:right w:val="single" w:sz="4" w:space="0" w:color="000000"/>
            </w:tcBorders>
          </w:tcPr>
          <w:p>
            <w:pPr/>
          </w:p>
        </w:tc>
      </w:tr>
      <w:tr>
        <w:trPr>
          <w:trHeight w:val="142" w:hRule="exact"/>
        </w:trPr>
        <w:tc>
          <w:tcPr>
            <w:tcW w:w="268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30" w:type="dxa"/>
            <w:gridSpan w:val="2"/>
            <w:vMerge/>
            <w:tcBorders>
              <w:left w:val="single" w:sz="10" w:space="0" w:color="D2D2D2"/>
              <w:bottom w:val="single" w:sz="4" w:space="0" w:color="000000"/>
              <w:right w:val="single" w:sz="14" w:space="0" w:color="D2D2D2"/>
            </w:tcBorders>
          </w:tcPr>
          <w:p>
            <w:pPr/>
          </w:p>
        </w:tc>
        <w:tc>
          <w:tcPr>
            <w:tcW w:w="1979" w:type="dxa"/>
            <w:gridSpan w:val="2"/>
            <w:vMerge/>
            <w:tcBorders>
              <w:left w:val="single" w:sz="4" w:space="0" w:color="000000"/>
              <w:bottom w:val="single" w:sz="4" w:space="0" w:color="000000"/>
              <w:right w:val="single" w:sz="4" w:space="0" w:color="000000"/>
            </w:tcBorders>
            <w:shd w:val="clear" w:color="auto" w:fill="D2D2D2"/>
          </w:tcPr>
          <w:p>
            <w:pPr/>
          </w:p>
        </w:tc>
        <w:tc>
          <w:tcPr>
            <w:tcW w:w="2748" w:type="dxa"/>
            <w:gridSpan w:val="3"/>
            <w:vMerge/>
            <w:tcBorders>
              <w:left w:val="single" w:sz="13" w:space="0" w:color="D2D2D2"/>
              <w:bottom w:val="single" w:sz="4" w:space="0" w:color="000000"/>
              <w:right w:val="single" w:sz="4" w:space="0" w:color="000000"/>
            </w:tcBorders>
          </w:tcPr>
          <w:p>
            <w:pPr/>
          </w:p>
        </w:tc>
      </w:tr>
      <w:tr>
        <w:trPr>
          <w:trHeight w:val="559" w:hRule="exact"/>
        </w:trPr>
        <w:tc>
          <w:tcPr>
            <w:tcW w:w="2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报告期末已审批的对子公司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担保额度合计（</w:t>
            </w:r>
            <w:r>
              <w:rPr>
                <w:rFonts w:ascii="宋体" w:hAnsi="宋体" w:cs="宋体" w:eastAsia="宋体" w:hint="default"/>
                <w:sz w:val="21"/>
                <w:szCs w:val="21"/>
              </w:rPr>
              <w:t>B3</w:t>
            </w:r>
            <w:r>
              <w:rPr>
                <w:rFonts w:ascii="宋体" w:hAnsi="宋体" w:cs="宋体" w:eastAsia="宋体" w:hint="default"/>
                <w:sz w:val="21"/>
                <w:szCs w:val="21"/>
              </w:rPr>
              <w:t>）</w:t>
            </w:r>
          </w:p>
        </w:tc>
        <w:tc>
          <w:tcPr>
            <w:tcW w:w="3130"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00"/>
              <w:ind w:right="8"/>
              <w:jc w:val="right"/>
              <w:rPr>
                <w:rFonts w:ascii="宋体" w:hAnsi="宋体" w:cs="宋体" w:eastAsia="宋体" w:hint="default"/>
                <w:sz w:val="21"/>
                <w:szCs w:val="21"/>
              </w:rPr>
            </w:pPr>
            <w:r>
              <w:rPr>
                <w:rFonts w:ascii="宋体"/>
                <w:sz w:val="21"/>
              </w:rPr>
              <w:t>800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报告期末对子公司实</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际担保余额合计（</w:t>
            </w:r>
            <w:r>
              <w:rPr>
                <w:rFonts w:ascii="宋体" w:hAnsi="宋体" w:cs="宋体" w:eastAsia="宋体" w:hint="default"/>
                <w:spacing w:val="-8"/>
                <w:sz w:val="21"/>
                <w:szCs w:val="21"/>
              </w:rPr>
              <w:t>B4</w:t>
            </w:r>
          </w:p>
        </w:tc>
        <w:tc>
          <w:tcPr>
            <w:tcW w:w="100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703" w:type="dxa"/>
            <w:tcBorders>
              <w:top w:val="single" w:sz="4" w:space="0" w:color="000000"/>
              <w:left w:val="nil" w:sz="6" w:space="0" w:color="auto"/>
              <w:bottom w:val="single" w:sz="4" w:space="0" w:color="000000"/>
              <w:right w:val="nil" w:sz="6" w:space="0" w:color="auto"/>
            </w:tcBorders>
          </w:tcPr>
          <w:p>
            <w:pPr/>
          </w:p>
        </w:tc>
        <w:tc>
          <w:tcPr>
            <w:tcW w:w="1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w w:val="100"/>
                <w:sz w:val="21"/>
              </w:rPr>
              <w:t>0</w:t>
            </w:r>
          </w:p>
        </w:tc>
      </w:tr>
      <w:tr>
        <w:trPr>
          <w:trHeight w:val="271" w:hRule="exact"/>
        </w:trPr>
        <w:tc>
          <w:tcPr>
            <w:tcW w:w="1054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59" w:hRule="exact"/>
        </w:trPr>
        <w:tc>
          <w:tcPr>
            <w:tcW w:w="2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报告期内审批担保额度合计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A1+B1</w:t>
            </w:r>
            <w:r>
              <w:rPr>
                <w:rFonts w:ascii="宋体" w:hAnsi="宋体" w:cs="宋体" w:eastAsia="宋体" w:hint="default"/>
                <w:sz w:val="21"/>
                <w:szCs w:val="21"/>
              </w:rPr>
              <w:t>）</w:t>
            </w:r>
          </w:p>
        </w:tc>
        <w:tc>
          <w:tcPr>
            <w:tcW w:w="3130"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07"/>
              <w:ind w:right="11"/>
              <w:jc w:val="right"/>
              <w:rPr>
                <w:rFonts w:ascii="宋体" w:hAnsi="宋体" w:cs="宋体" w:eastAsia="宋体" w:hint="default"/>
                <w:sz w:val="21"/>
                <w:szCs w:val="21"/>
              </w:rPr>
            </w:pPr>
            <w:r>
              <w:rPr>
                <w:rFonts w:ascii="宋体"/>
                <w:w w:val="100"/>
                <w:sz w:val="21"/>
              </w:rPr>
              <w:t>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报告期内担保实际发</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生额合计（</w:t>
            </w:r>
            <w:r>
              <w:rPr>
                <w:rFonts w:ascii="宋体" w:hAnsi="宋体" w:cs="宋体" w:eastAsia="宋体" w:hint="default"/>
                <w:sz w:val="21"/>
                <w:szCs w:val="21"/>
              </w:rPr>
              <w:t>A2+B2</w:t>
            </w:r>
            <w:r>
              <w:rPr>
                <w:rFonts w:ascii="宋体" w:hAnsi="宋体" w:cs="宋体" w:eastAsia="宋体" w:hint="default"/>
                <w:sz w:val="21"/>
                <w:szCs w:val="21"/>
              </w:rPr>
              <w:t>）</w:t>
            </w:r>
          </w:p>
        </w:tc>
        <w:tc>
          <w:tcPr>
            <w:tcW w:w="274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w w:val="100"/>
                <w:sz w:val="21"/>
              </w:rPr>
              <w:t>0</w:t>
            </w:r>
          </w:p>
        </w:tc>
      </w:tr>
      <w:tr>
        <w:trPr>
          <w:trHeight w:val="562" w:hRule="exact"/>
        </w:trPr>
        <w:tc>
          <w:tcPr>
            <w:tcW w:w="2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报告期末已审批的担保额度</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A3+B3</w:t>
            </w:r>
            <w:r>
              <w:rPr>
                <w:rFonts w:ascii="宋体" w:hAnsi="宋体" w:cs="宋体" w:eastAsia="宋体" w:hint="default"/>
                <w:sz w:val="21"/>
                <w:szCs w:val="21"/>
              </w:rPr>
              <w:t>）</w:t>
            </w:r>
          </w:p>
        </w:tc>
        <w:tc>
          <w:tcPr>
            <w:tcW w:w="3130"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02"/>
              <w:ind w:right="8"/>
              <w:jc w:val="right"/>
              <w:rPr>
                <w:rFonts w:ascii="宋体" w:hAnsi="宋体" w:cs="宋体" w:eastAsia="宋体" w:hint="default"/>
                <w:sz w:val="21"/>
                <w:szCs w:val="21"/>
              </w:rPr>
            </w:pPr>
            <w:r>
              <w:rPr>
                <w:rFonts w:ascii="宋体"/>
                <w:sz w:val="21"/>
              </w:rPr>
              <w:t>800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报告期末实际担保余</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额合计（</w:t>
            </w:r>
            <w:r>
              <w:rPr>
                <w:rFonts w:ascii="宋体" w:hAnsi="宋体" w:cs="宋体" w:eastAsia="宋体" w:hint="default"/>
                <w:sz w:val="21"/>
                <w:szCs w:val="21"/>
              </w:rPr>
              <w:t>A4+B4</w:t>
            </w:r>
            <w:r>
              <w:rPr>
                <w:rFonts w:ascii="宋体" w:hAnsi="宋体" w:cs="宋体" w:eastAsia="宋体" w:hint="default"/>
                <w:sz w:val="21"/>
                <w:szCs w:val="21"/>
              </w:rPr>
              <w:t>）</w:t>
            </w:r>
          </w:p>
        </w:tc>
        <w:tc>
          <w:tcPr>
            <w:tcW w:w="274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0</w:t>
            </w:r>
          </w:p>
        </w:tc>
      </w:tr>
      <w:tr>
        <w:trPr>
          <w:trHeight w:val="276" w:hRule="exact"/>
        </w:trPr>
        <w:tc>
          <w:tcPr>
            <w:tcW w:w="1054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p>
        </w:tc>
      </w:tr>
    </w:tbl>
    <w:p>
      <w:pPr>
        <w:pStyle w:val="Heading5"/>
        <w:spacing w:line="240" w:lineRule="auto" w:before="62"/>
        <w:ind w:left="692" w:right="0"/>
        <w:jc w:val="left"/>
        <w:rPr>
          <w:b w:val="0"/>
          <w:bCs w:val="0"/>
        </w:rPr>
      </w:pPr>
      <w:r>
        <w:rPr/>
        <w:pict>
          <v:group style="position:absolute;margin-left:418.51001pt;margin-top:-105.266335pt;width:136.85pt;height:21.15pt;mso-position-horizontal-relative:page;mso-position-vertical-relative:paragraph;z-index:-649072" coordorigin="8370,-2105" coordsize="2737,423">
            <v:group style="position:absolute;left:8382;top:-2093;width:2;height:274" coordorigin="8382,-2093" coordsize="2,274">
              <v:shape style="position:absolute;left:8382;top:-2093;width:2;height:274" coordorigin="8382,-2093" coordsize="0,274" path="m8382,-2093l8382,-1820e" filled="false" stroked="true" strokeweight="1.2pt" strokecolor="#ffffff">
                <v:path arrowok="t"/>
              </v:shape>
            </v:group>
            <v:group style="position:absolute;left:8370;top:-1820;width:2737;height:137" coordorigin="8370,-1820" coordsize="2737,137">
              <v:shape style="position:absolute;left:8370;top:-1820;width:2737;height:137" coordorigin="8370,-1820" coordsize="2737,137" path="m8370,-1683l11107,-1683,11107,-1820,8370,-1820,8370,-1683xe" filled="true" fillcolor="#ffffff" stroked="false">
                <v:path arrowok="t"/>
                <v:fill type="solid"/>
              </v:shape>
            </v:group>
            <v:group style="position:absolute;left:8394;top:-2093;width:2689;height:274" coordorigin="8394,-2093" coordsize="2689,274">
              <v:shape style="position:absolute;left:8394;top:-2093;width:2689;height:274" coordorigin="8394,-2093" coordsize="2689,274" path="m8394,-1820l11083,-1820,11083,-2093,8394,-2093,8394,-1820xe" filled="true" fillcolor="#ffffff" stroked="false">
                <v:path arrowok="t"/>
                <v:fill type="solid"/>
              </v:shape>
            </v:group>
            <w10:wrap type="none"/>
          </v:group>
        </w:pict>
      </w:r>
      <w:r>
        <w:rPr>
          <w:rFonts w:ascii="宋体" w:hAnsi="宋体" w:cs="宋体" w:eastAsia="宋体" w:hint="default"/>
        </w:rPr>
        <w:t>3</w:t>
      </w:r>
      <w:r>
        <w:rPr/>
        <w:t>、报告期内或报告期继续发生的委托理财情况</w:t>
      </w:r>
      <w:r>
        <w:rPr>
          <w:b w:val="0"/>
          <w:bCs w:val="0"/>
        </w:rPr>
      </w:r>
    </w:p>
    <w:p>
      <w:pPr>
        <w:spacing w:line="240" w:lineRule="auto" w:before="10"/>
        <w:rPr>
          <w:rFonts w:ascii="宋体" w:hAnsi="宋体" w:cs="宋体" w:eastAsia="宋体" w:hint="default"/>
          <w:b/>
          <w:bCs/>
          <w:sz w:val="25"/>
          <w:szCs w:val="25"/>
        </w:rPr>
      </w:pPr>
    </w:p>
    <w:p>
      <w:pPr>
        <w:spacing w:line="410" w:lineRule="auto" w:before="0"/>
        <w:ind w:left="1113" w:right="521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报告期内，公司不存在委托理财的情况。</w:t>
      </w:r>
    </w:p>
    <w:p>
      <w:pPr>
        <w:spacing w:line="410" w:lineRule="auto" w:before="49"/>
        <w:ind w:left="1113" w:right="521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报告期内，公司未发生衍生品投资的情况。</w:t>
      </w:r>
    </w:p>
    <w:p>
      <w:pPr>
        <w:spacing w:line="410" w:lineRule="auto" w:before="51"/>
        <w:ind w:left="1113" w:right="521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报告期内，公司不存在委托贷款的情况。</w:t>
      </w:r>
    </w:p>
    <w:p>
      <w:pPr>
        <w:pStyle w:val="Heading5"/>
        <w:spacing w:line="218" w:lineRule="exact"/>
        <w:ind w:left="692" w:right="0"/>
        <w:jc w:val="left"/>
        <w:rPr>
          <w:b w:val="0"/>
          <w:bCs w:val="0"/>
        </w:rPr>
      </w:pPr>
      <w:r>
        <w:rPr>
          <w:rFonts w:ascii="宋体" w:hAnsi="宋体" w:cs="宋体" w:eastAsia="宋体" w:hint="default"/>
        </w:rPr>
        <w:t>4</w:t>
      </w:r>
      <w:r>
        <w:rPr/>
        <w:t>、其他重大合同</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1115" w:right="0"/>
        <w:jc w:val="left"/>
        <w:rPr>
          <w:rFonts w:ascii="宋体" w:hAnsi="宋体" w:cs="宋体" w:eastAsia="宋体" w:hint="default"/>
        </w:rPr>
      </w:pP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30</w:t>
      </w:r>
      <w:r>
        <w:rPr/>
        <w:t>日，公司与沈阳市和平区机关事务管理局签订了《房屋使用合同》，约定将乳业大厦第</w:t>
      </w:r>
      <w:r>
        <w:rPr>
          <w:rFonts w:ascii="宋体" w:hAnsi="宋体" w:cs="宋体" w:eastAsia="宋体" w:hint="default"/>
        </w:rPr>
        <w:t>1</w:t>
      </w:r>
    </w:p>
    <w:p>
      <w:pPr>
        <w:spacing w:after="0" w:line="240" w:lineRule="auto"/>
        <w:jc w:val="left"/>
        <w:rPr>
          <w:rFonts w:ascii="宋体" w:hAnsi="宋体" w:cs="宋体" w:eastAsia="宋体" w:hint="default"/>
        </w:rPr>
        <w:sectPr>
          <w:pgSz w:w="11910" w:h="16840"/>
          <w:pgMar w:header="0" w:footer="979" w:top="1100" w:bottom="1160" w:left="440" w:right="6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176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2" w:lineRule="exact" w:before="64"/>
        <w:ind w:right="0"/>
        <w:jc w:val="left"/>
      </w:pPr>
      <w:r>
        <w:rPr>
          <w:spacing w:val="-2"/>
        </w:rPr>
        <w:t>层及</w:t>
      </w:r>
      <w:r>
        <w:rPr>
          <w:rFonts w:ascii="宋体" w:hAnsi="宋体" w:cs="宋体" w:eastAsia="宋体" w:hint="default"/>
          <w:spacing w:val="-2"/>
        </w:rPr>
        <w:t>3-10</w:t>
      </w:r>
      <w:r>
        <w:rPr>
          <w:spacing w:val="-2"/>
        </w:rPr>
        <w:t>层的房屋提供给公司使用，房屋使用期限为五年，自</w:t>
      </w: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日止。在上述</w:t>
      </w:r>
      <w:r>
        <w:rPr>
          <w:spacing w:val="-6"/>
        </w:rPr>
        <w:t> </w:t>
      </w:r>
      <w:r>
        <w:rPr>
          <w:spacing w:val="-6"/>
        </w:rPr>
      </w:r>
      <w:r>
        <w:rPr/>
        <w:t>使用期内，免除公司对房屋使用应支付的租金。</w:t>
      </w:r>
    </w:p>
    <w:p>
      <w:pPr>
        <w:spacing w:line="240" w:lineRule="auto" w:before="0"/>
        <w:rPr>
          <w:rFonts w:ascii="宋体" w:hAnsi="宋体" w:cs="宋体" w:eastAsia="宋体" w:hint="default"/>
          <w:sz w:val="20"/>
          <w:szCs w:val="20"/>
        </w:rPr>
      </w:pPr>
    </w:p>
    <w:p>
      <w:pPr>
        <w:pStyle w:val="Heading4"/>
        <w:spacing w:line="240" w:lineRule="auto" w:before="178"/>
        <w:ind w:right="0"/>
        <w:jc w:val="left"/>
        <w:rPr>
          <w:b w:val="0"/>
          <w:bCs w:val="0"/>
        </w:rPr>
      </w:pPr>
      <w:r>
        <w:rPr/>
        <w:t>八、承诺事项履行情况</w:t>
      </w:r>
      <w:r>
        <w:rPr>
          <w:b w:val="0"/>
          <w:bCs w:val="0"/>
        </w:rPr>
      </w:r>
    </w:p>
    <w:p>
      <w:pPr>
        <w:pStyle w:val="Heading5"/>
        <w:spacing w:line="240" w:lineRule="auto" w:before="203"/>
        <w:ind w:right="0"/>
        <w:jc w:val="left"/>
        <w:rPr>
          <w:b w:val="0"/>
          <w:bCs w:val="0"/>
        </w:rPr>
      </w:pPr>
      <w:r>
        <w:rPr>
          <w:rFonts w:ascii="宋体" w:hAnsi="宋体" w:cs="宋体" w:eastAsia="宋体" w:hint="default"/>
        </w:rPr>
        <w:t>1</w:t>
      </w:r>
      <w:r>
        <w:rPr/>
        <w:t>、公司或持股</w:t>
      </w:r>
      <w:r>
        <w:rPr>
          <w:spacing w:val="-53"/>
        </w:rPr>
        <w:t> </w:t>
      </w:r>
      <w:r>
        <w:rPr>
          <w:rFonts w:ascii="宋体" w:hAnsi="宋体" w:cs="宋体" w:eastAsia="宋体" w:hint="default"/>
        </w:rPr>
        <w:t>5%</w:t>
      </w:r>
      <w:r>
        <w:rPr/>
        <w:t>以上股东在报告期内或持续到报告期内的承诺事项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BodyText"/>
        <w:spacing w:line="240" w:lineRule="auto" w:before="36"/>
        <w:ind w:left="0" w:right="115"/>
        <w:jc w:val="right"/>
      </w:pPr>
      <w:r>
        <w:rPr/>
        <w:pict>
          <v:shape style="position:absolute;margin-left:54.959999pt;margin-top:-291.866302pt;width:504.7pt;height:588.6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9"/>
                    <w:gridCol w:w="1052"/>
                    <w:gridCol w:w="4200"/>
                    <w:gridCol w:w="1016"/>
                    <w:gridCol w:w="1085"/>
                    <w:gridCol w:w="1018"/>
                  </w:tblGrid>
                  <w:tr>
                    <w:trPr>
                      <w:trHeight w:val="28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承诺人</w:t>
                        </w:r>
                      </w:p>
                    </w:tc>
                    <w:tc>
                      <w:tcPr>
                        <w:tcW w:w="4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3"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052" w:type="dxa"/>
                        <w:tcBorders>
                          <w:top w:val="single" w:sz="4" w:space="0" w:color="000000"/>
                          <w:left w:val="single" w:sz="4" w:space="0" w:color="000000"/>
                          <w:bottom w:val="single" w:sz="4" w:space="0" w:color="000000"/>
                          <w:right w:val="single" w:sz="4" w:space="0" w:color="000000"/>
                        </w:tcBorders>
                      </w:tcPr>
                      <w:p>
                        <w:pPr/>
                      </w:p>
                    </w:tc>
                    <w:tc>
                      <w:tcPr>
                        <w:tcW w:w="4200"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收购报告书或权</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益变动报告书中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所作承诺</w:t>
                        </w:r>
                      </w:p>
                    </w:tc>
                    <w:tc>
                      <w:tcPr>
                        <w:tcW w:w="1052" w:type="dxa"/>
                        <w:tcBorders>
                          <w:top w:val="single" w:sz="4" w:space="0" w:color="000000"/>
                          <w:left w:val="single" w:sz="4" w:space="0" w:color="000000"/>
                          <w:bottom w:val="single" w:sz="4" w:space="0" w:color="000000"/>
                          <w:right w:val="single" w:sz="4" w:space="0" w:color="000000"/>
                        </w:tcBorders>
                      </w:tcPr>
                      <w:p>
                        <w:pPr/>
                      </w:p>
                    </w:tc>
                    <w:tc>
                      <w:tcPr>
                        <w:tcW w:w="4200"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资产置换时所作</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052" w:type="dxa"/>
                        <w:tcBorders>
                          <w:top w:val="single" w:sz="4" w:space="0" w:color="000000"/>
                          <w:left w:val="single" w:sz="4" w:space="0" w:color="000000"/>
                          <w:bottom w:val="single" w:sz="4" w:space="0" w:color="000000"/>
                          <w:right w:val="single" w:sz="4" w:space="0" w:color="000000"/>
                        </w:tcBorders>
                      </w:tcPr>
                      <w:p>
                        <w:pPr/>
                      </w:p>
                    </w:tc>
                    <w:tc>
                      <w:tcPr>
                        <w:tcW w:w="4200"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98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105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37" w:lineRule="auto"/>
                          <w:ind w:left="23" w:right="-48"/>
                          <w:jc w:val="left"/>
                          <w:rPr>
                            <w:rFonts w:ascii="宋体" w:hAnsi="宋体" w:cs="宋体" w:eastAsia="宋体" w:hint="default"/>
                            <w:sz w:val="21"/>
                            <w:szCs w:val="21"/>
                          </w:rPr>
                        </w:pPr>
                        <w:r>
                          <w:rPr>
                            <w:rFonts w:ascii="宋体" w:hAnsi="宋体" w:cs="宋体" w:eastAsia="宋体" w:hint="default"/>
                            <w:sz w:val="21"/>
                            <w:szCs w:val="21"/>
                          </w:rPr>
                          <w:t>付艳杰、</w:t>
                        </w:r>
                        <w:r>
                          <w:rPr>
                            <w:rFonts w:ascii="宋体" w:hAnsi="宋体" w:cs="宋体" w:eastAsia="宋体" w:hint="default"/>
                            <w:w w:val="100"/>
                            <w:sz w:val="21"/>
                            <w:szCs w:val="21"/>
                          </w:rPr>
                          <w:t> </w:t>
                        </w:r>
                        <w:r>
                          <w:rPr>
                            <w:rFonts w:ascii="宋体" w:hAnsi="宋体" w:cs="宋体" w:eastAsia="宋体" w:hint="default"/>
                            <w:sz w:val="21"/>
                            <w:szCs w:val="21"/>
                          </w:rPr>
                          <w:t>崔万涛、</w:t>
                        </w:r>
                        <w:r>
                          <w:rPr>
                            <w:rFonts w:ascii="宋体" w:hAnsi="宋体" w:cs="宋体" w:eastAsia="宋体" w:hint="default"/>
                            <w:w w:val="100"/>
                            <w:sz w:val="21"/>
                            <w:szCs w:val="21"/>
                          </w:rPr>
                          <w:t> </w:t>
                        </w:r>
                        <w:r>
                          <w:rPr>
                            <w:rFonts w:ascii="宋体" w:hAnsi="宋体" w:cs="宋体" w:eastAsia="宋体" w:hint="default"/>
                            <w:sz w:val="21"/>
                            <w:szCs w:val="21"/>
                          </w:rPr>
                          <w:t>平安财智</w:t>
                        </w:r>
                        <w:r>
                          <w:rPr>
                            <w:rFonts w:ascii="宋体" w:hAnsi="宋体" w:cs="宋体" w:eastAsia="宋体" w:hint="default"/>
                            <w:w w:val="100"/>
                            <w:sz w:val="21"/>
                            <w:szCs w:val="21"/>
                          </w:rPr>
                          <w:t> </w:t>
                        </w:r>
                        <w:r>
                          <w:rPr>
                            <w:rFonts w:ascii="宋体" w:hAnsi="宋体" w:cs="宋体" w:eastAsia="宋体" w:hint="default"/>
                            <w:sz w:val="21"/>
                            <w:szCs w:val="21"/>
                          </w:rPr>
                          <w:t>投资管理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北京正达</w:t>
                        </w:r>
                        <w:r>
                          <w:rPr>
                            <w:rFonts w:ascii="宋体" w:hAnsi="宋体" w:cs="宋体" w:eastAsia="宋体" w:hint="default"/>
                            <w:w w:val="100"/>
                            <w:sz w:val="21"/>
                            <w:szCs w:val="21"/>
                          </w:rPr>
                          <w:t> </w:t>
                        </w:r>
                        <w:r>
                          <w:rPr>
                            <w:rFonts w:ascii="宋体" w:hAnsi="宋体" w:cs="宋体" w:eastAsia="宋体" w:hint="default"/>
                            <w:sz w:val="21"/>
                            <w:szCs w:val="21"/>
                          </w:rPr>
                          <w:t>联合投资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4200" w:type="dxa"/>
                        <w:tcBorders>
                          <w:top w:val="single" w:sz="4" w:space="0" w:color="000000"/>
                          <w:left w:val="single" w:sz="13" w:space="0" w:color="FFFFFF"/>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流</w:t>
                        </w:r>
                        <w:r>
                          <w:rPr>
                            <w:rFonts w:ascii="宋体" w:hAnsi="宋体" w:cs="宋体" w:eastAsia="宋体" w:hint="default"/>
                            <w:w w:val="100"/>
                            <w:sz w:val="21"/>
                            <w:szCs w:val="21"/>
                          </w:rPr>
                          <w:t>通</w:t>
                        </w:r>
                        <w:r>
                          <w:rPr>
                            <w:rFonts w:ascii="宋体" w:hAnsi="宋体" w:cs="宋体" w:eastAsia="宋体" w:hint="default"/>
                            <w:spacing w:val="-3"/>
                            <w:w w:val="100"/>
                            <w:sz w:val="21"/>
                            <w:szCs w:val="21"/>
                          </w:rPr>
                          <w:t>及</w:t>
                        </w:r>
                        <w:r>
                          <w:rPr>
                            <w:rFonts w:ascii="宋体" w:hAnsi="宋体" w:cs="宋体" w:eastAsia="宋体" w:hint="default"/>
                            <w:w w:val="100"/>
                            <w:sz w:val="21"/>
                            <w:szCs w:val="21"/>
                          </w:rPr>
                          <w:t>自</w:t>
                        </w:r>
                        <w:r>
                          <w:rPr>
                            <w:rFonts w:ascii="宋体" w:hAnsi="宋体" w:cs="宋体" w:eastAsia="宋体" w:hint="default"/>
                            <w:spacing w:val="-3"/>
                            <w:w w:val="100"/>
                            <w:sz w:val="21"/>
                            <w:szCs w:val="21"/>
                          </w:rPr>
                          <w:t>愿锁</w:t>
                        </w:r>
                        <w:r>
                          <w:rPr>
                            <w:rFonts w:ascii="宋体" w:hAnsi="宋体" w:cs="宋体" w:eastAsia="宋体" w:hint="default"/>
                            <w:w w:val="100"/>
                            <w:sz w:val="21"/>
                            <w:szCs w:val="21"/>
                          </w:rPr>
                          <w:t>定承</w:t>
                        </w:r>
                        <w:r>
                          <w:rPr>
                            <w:rFonts w:ascii="宋体" w:hAnsi="宋体" w:cs="宋体" w:eastAsia="宋体" w:hint="default"/>
                            <w:spacing w:val="-3"/>
                            <w:w w:val="100"/>
                            <w:sz w:val="21"/>
                            <w:szCs w:val="21"/>
                          </w:rPr>
                          <w:t>诺</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p>
                      <w:p>
                        <w:pPr>
                          <w:pStyle w:val="TableParagraph"/>
                          <w:spacing w:line="237" w:lineRule="auto" w:before="2"/>
                          <w:ind w:left="-1" w:right="-27"/>
                          <w:jc w:val="left"/>
                          <w:rPr>
                            <w:rFonts w:ascii="宋体" w:hAnsi="宋体" w:cs="宋体" w:eastAsia="宋体" w:hint="default"/>
                            <w:sz w:val="21"/>
                            <w:szCs w:val="21"/>
                          </w:rPr>
                        </w:pPr>
                        <w:r>
                          <w:rPr>
                            <w:rFonts w:ascii="宋体" w:hAnsi="宋体" w:cs="宋体" w:eastAsia="宋体" w:hint="default"/>
                            <w:sz w:val="21"/>
                            <w:szCs w:val="21"/>
                          </w:rPr>
                          <w:t>司控股股东、实际控制人付艳杰和崔万涛承</w:t>
                        </w:r>
                        <w:r>
                          <w:rPr>
                            <w:rFonts w:ascii="宋体" w:hAnsi="宋体" w:cs="宋体" w:eastAsia="宋体" w:hint="default"/>
                            <w:w w:val="100"/>
                            <w:sz w:val="21"/>
                            <w:szCs w:val="21"/>
                          </w:rPr>
                          <w:t> </w:t>
                        </w:r>
                        <w:r>
                          <w:rPr>
                            <w:rFonts w:ascii="宋体" w:hAnsi="宋体" w:cs="宋体" w:eastAsia="宋体" w:hint="default"/>
                            <w:spacing w:val="-4"/>
                            <w:sz w:val="21"/>
                            <w:szCs w:val="21"/>
                          </w:rPr>
                          <w:t>诺：自发行人股票上市之日起</w:t>
                        </w:r>
                        <w:r>
                          <w:rPr>
                            <w:rFonts w:ascii="宋体" w:hAnsi="宋体" w:cs="宋体" w:eastAsia="宋体" w:hint="default"/>
                            <w:spacing w:val="13"/>
                            <w:sz w:val="21"/>
                            <w:szCs w:val="21"/>
                          </w:rPr>
                          <w:t> </w:t>
                        </w:r>
                        <w:r>
                          <w:rPr>
                            <w:rFonts w:ascii="宋体" w:hAnsi="宋体" w:cs="宋体" w:eastAsia="宋体" w:hint="default"/>
                            <w:sz w:val="21"/>
                            <w:szCs w:val="21"/>
                          </w:rPr>
                          <w:t>36</w:t>
                        </w:r>
                        <w:r>
                          <w:rPr>
                            <w:rFonts w:ascii="宋体" w:hAnsi="宋体" w:cs="宋体" w:eastAsia="宋体" w:hint="default"/>
                            <w:spacing w:val="13"/>
                            <w:sz w:val="21"/>
                            <w:szCs w:val="21"/>
                          </w:rPr>
                          <w:t> </w:t>
                        </w:r>
                        <w:r>
                          <w:rPr>
                            <w:rFonts w:ascii="宋体" w:hAnsi="宋体" w:cs="宋体" w:eastAsia="宋体" w:hint="default"/>
                            <w:spacing w:val="-7"/>
                            <w:sz w:val="21"/>
                            <w:szCs w:val="21"/>
                          </w:rPr>
                          <w:t>个月内，不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转让或者委托他人管理其持有的本次公开发</w:t>
                        </w:r>
                        <w:r>
                          <w:rPr>
                            <w:rFonts w:ascii="宋体" w:hAnsi="宋体" w:cs="宋体" w:eastAsia="宋体" w:hint="default"/>
                            <w:w w:val="100"/>
                            <w:sz w:val="21"/>
                            <w:szCs w:val="21"/>
                          </w:rPr>
                          <w:t> </w:t>
                        </w:r>
                        <w:r>
                          <w:rPr>
                            <w:rFonts w:ascii="宋体" w:hAnsi="宋体" w:cs="宋体" w:eastAsia="宋体" w:hint="default"/>
                            <w:spacing w:val="-4"/>
                            <w:sz w:val="21"/>
                            <w:szCs w:val="21"/>
                          </w:rPr>
                          <w:t>行股票前已发行的股份，也不由发行人回购该</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部分股份。除前述锁定期外，在各自任职期内</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每年转让的股份不超过各自所持有公司股份</w:t>
                        </w:r>
                        <w:r>
                          <w:rPr>
                            <w:rFonts w:ascii="宋体" w:hAnsi="宋体" w:cs="宋体" w:eastAsia="宋体" w:hint="default"/>
                            <w:w w:val="100"/>
                            <w:sz w:val="21"/>
                            <w:szCs w:val="21"/>
                          </w:rPr>
                          <w:t> </w:t>
                        </w:r>
                        <w:r>
                          <w:rPr>
                            <w:rFonts w:ascii="宋体" w:hAnsi="宋体" w:cs="宋体" w:eastAsia="宋体" w:hint="default"/>
                            <w:sz w:val="21"/>
                            <w:szCs w:val="21"/>
                          </w:rPr>
                          <w:t>总数的 </w:t>
                        </w:r>
                        <w:r>
                          <w:rPr>
                            <w:rFonts w:ascii="宋体" w:hAnsi="宋体" w:cs="宋体" w:eastAsia="宋体" w:hint="default"/>
                            <w:spacing w:val="-4"/>
                            <w:sz w:val="21"/>
                            <w:szCs w:val="21"/>
                          </w:rPr>
                          <w:t>25%</w:t>
                        </w:r>
                        <w:r>
                          <w:rPr>
                            <w:rFonts w:ascii="宋体" w:hAnsi="宋体" w:cs="宋体" w:eastAsia="宋体" w:hint="default"/>
                            <w:spacing w:val="-4"/>
                            <w:sz w:val="21"/>
                            <w:szCs w:val="21"/>
                          </w:rPr>
                          <w:t>；离职后半年内，不转让各自所持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有的公司股份；在首次公开发行股票上市之日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起六个月内申报离职的，自申报离职之日起十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八个月内不转让其直接持有的本公司股份；在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首次公开发行股票上市之日起第七个月至第</w:t>
                        </w:r>
                        <w:r>
                          <w:rPr>
                            <w:rFonts w:ascii="宋体" w:hAnsi="宋体" w:cs="宋体" w:eastAsia="宋体" w:hint="default"/>
                            <w:w w:val="100"/>
                            <w:sz w:val="21"/>
                            <w:szCs w:val="21"/>
                          </w:rPr>
                          <w:t> </w:t>
                        </w:r>
                        <w:r>
                          <w:rPr>
                            <w:rFonts w:ascii="宋体" w:hAnsi="宋体" w:cs="宋体" w:eastAsia="宋体" w:hint="default"/>
                            <w:spacing w:val="-4"/>
                            <w:sz w:val="21"/>
                            <w:szCs w:val="21"/>
                          </w:rPr>
                          <w:t>十二个月之间申报离职的，自申报离职之日起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十二个月内不转让其直接持有的本公司股份。</w:t>
                        </w:r>
                      </w:p>
                      <w:p>
                        <w:pPr>
                          <w:pStyle w:val="TableParagraph"/>
                          <w:spacing w:line="237" w:lineRule="auto" w:before="1"/>
                          <w:ind w:left="-1" w:right="-2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）本公司法人股东平安财智投资管理有限</w:t>
                        </w:r>
                        <w:r>
                          <w:rPr>
                            <w:rFonts w:ascii="宋体" w:hAnsi="宋体" w:cs="宋体" w:eastAsia="宋体" w:hint="default"/>
                            <w:w w:val="100"/>
                            <w:sz w:val="21"/>
                            <w:szCs w:val="21"/>
                          </w:rPr>
                          <w:t> </w:t>
                        </w:r>
                        <w:r>
                          <w:rPr>
                            <w:rFonts w:ascii="宋体" w:hAnsi="宋体" w:cs="宋体" w:eastAsia="宋体" w:hint="default"/>
                            <w:spacing w:val="-5"/>
                            <w:sz w:val="21"/>
                            <w:szCs w:val="21"/>
                          </w:rPr>
                          <w:t>公司承诺：自发行人股票上市之日起</w:t>
                        </w:r>
                        <w:r>
                          <w:rPr>
                            <w:rFonts w:ascii="宋体" w:hAnsi="宋体" w:cs="宋体" w:eastAsia="宋体" w:hint="default"/>
                            <w:spacing w:val="11"/>
                            <w:sz w:val="21"/>
                            <w:szCs w:val="21"/>
                          </w:rPr>
                          <w:t> </w:t>
                        </w:r>
                        <w:r>
                          <w:rPr>
                            <w:rFonts w:ascii="宋体" w:hAnsi="宋体" w:cs="宋体" w:eastAsia="宋体" w:hint="default"/>
                            <w:sz w:val="21"/>
                            <w:szCs w:val="21"/>
                          </w:rPr>
                          <w:t>18</w:t>
                        </w:r>
                        <w:r>
                          <w:rPr>
                            <w:rFonts w:ascii="宋体" w:hAnsi="宋体" w:cs="宋体" w:eastAsia="宋体" w:hint="default"/>
                            <w:spacing w:val="11"/>
                            <w:sz w:val="21"/>
                            <w:szCs w:val="21"/>
                          </w:rPr>
                          <w:t> </w:t>
                        </w:r>
                        <w:r>
                          <w:rPr>
                            <w:rFonts w:ascii="宋体" w:hAnsi="宋体" w:cs="宋体" w:eastAsia="宋体" w:hint="default"/>
                            <w:sz w:val="21"/>
                            <w:szCs w:val="21"/>
                          </w:rPr>
                          <w:t>个月</w:t>
                        </w:r>
                        <w:r>
                          <w:rPr>
                            <w:rFonts w:ascii="宋体" w:hAnsi="宋体" w:cs="宋体" w:eastAsia="宋体" w:hint="default"/>
                            <w:spacing w:val="-96"/>
                            <w:sz w:val="21"/>
                            <w:szCs w:val="21"/>
                          </w:rPr>
                          <w:t> </w:t>
                        </w:r>
                        <w:r>
                          <w:rPr>
                            <w:rFonts w:ascii="宋体" w:hAnsi="宋体" w:cs="宋体" w:eastAsia="宋体" w:hint="default"/>
                            <w:spacing w:val="-4"/>
                            <w:sz w:val="21"/>
                            <w:szCs w:val="21"/>
                          </w:rPr>
                          <w:t>内，不转让或者委托他人管理其持有的本次公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开发行股票前已发行的股份，也不由发行人回</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9"/>
                            <w:w w:val="100"/>
                            <w:sz w:val="21"/>
                            <w:szCs w:val="21"/>
                          </w:rPr>
                          <w:t>购该部分股份。（</w:t>
                        </w:r>
                        <w:r>
                          <w:rPr>
                            <w:rFonts w:ascii="宋体" w:hAnsi="宋体" w:cs="宋体" w:eastAsia="宋体" w:hint="default"/>
                            <w:spacing w:val="-9"/>
                            <w:w w:val="100"/>
                            <w:sz w:val="21"/>
                            <w:szCs w:val="21"/>
                          </w:rPr>
                          <w:t>3</w:t>
                        </w:r>
                        <w:r>
                          <w:rPr>
                            <w:rFonts w:ascii="宋体" w:hAnsi="宋体" w:cs="宋体" w:eastAsia="宋体" w:hint="default"/>
                            <w:spacing w:val="-9"/>
                            <w:w w:val="100"/>
                            <w:sz w:val="21"/>
                            <w:szCs w:val="21"/>
                          </w:rPr>
                          <w:t>）本公司法人股东北京正达</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4"/>
                            <w:sz w:val="21"/>
                            <w:szCs w:val="21"/>
                          </w:rPr>
                          <w:t>联合投资有限公司承诺：自发行人股票上市之</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日起</w:t>
                        </w:r>
                        <w:r>
                          <w:rPr>
                            <w:rFonts w:ascii="宋体" w:hAnsi="宋体" w:cs="宋体" w:eastAsia="宋体" w:hint="default"/>
                            <w:spacing w:val="11"/>
                            <w:sz w:val="21"/>
                            <w:szCs w:val="21"/>
                          </w:rPr>
                          <w:t> </w:t>
                        </w:r>
                        <w:r>
                          <w:rPr>
                            <w:rFonts w:ascii="宋体" w:hAnsi="宋体" w:cs="宋体" w:eastAsia="宋体" w:hint="default"/>
                            <w:sz w:val="21"/>
                            <w:szCs w:val="21"/>
                          </w:rPr>
                          <w:t>12</w:t>
                        </w:r>
                        <w:r>
                          <w:rPr>
                            <w:rFonts w:ascii="宋体" w:hAnsi="宋体" w:cs="宋体" w:eastAsia="宋体" w:hint="default"/>
                            <w:spacing w:val="11"/>
                            <w:sz w:val="21"/>
                            <w:szCs w:val="21"/>
                          </w:rPr>
                          <w:t> </w:t>
                        </w:r>
                        <w:r>
                          <w:rPr>
                            <w:rFonts w:ascii="宋体" w:hAnsi="宋体" w:cs="宋体" w:eastAsia="宋体" w:hint="default"/>
                            <w:spacing w:val="-5"/>
                            <w:sz w:val="21"/>
                            <w:szCs w:val="21"/>
                          </w:rPr>
                          <w:t>个月内，不转让或者委托他人管理其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持有的本次公开发行股票前已发行的股份，也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不由发行人回购该部分股份。承诺期限届满</w:t>
                        </w:r>
                        <w:r>
                          <w:rPr>
                            <w:rFonts w:ascii="宋体" w:hAnsi="宋体" w:cs="宋体" w:eastAsia="宋体" w:hint="default"/>
                            <w:w w:val="100"/>
                            <w:sz w:val="21"/>
                            <w:szCs w:val="21"/>
                          </w:rPr>
                          <w:t> </w:t>
                        </w:r>
                        <w:r>
                          <w:rPr>
                            <w:rFonts w:ascii="宋体" w:hAnsi="宋体" w:cs="宋体" w:eastAsia="宋体" w:hint="default"/>
                            <w:sz w:val="21"/>
                            <w:szCs w:val="21"/>
                          </w:rPr>
                          <w:t>后，上述股份可以上市流通和转让。</w:t>
                        </w:r>
                        <w:r>
                          <w:rPr>
                            <w:rFonts w:ascii="宋体" w:hAnsi="宋体" w:cs="宋体" w:eastAsia="宋体" w:hint="default"/>
                            <w:sz w:val="21"/>
                            <w:szCs w:val="21"/>
                          </w:rPr>
                          <w:t>2</w:t>
                        </w:r>
                        <w:r>
                          <w:rPr>
                            <w:rFonts w:ascii="宋体" w:hAnsi="宋体" w:cs="宋体" w:eastAsia="宋体" w:hint="default"/>
                            <w:sz w:val="21"/>
                            <w:szCs w:val="21"/>
                          </w:rPr>
                          <w:t>、避免</w:t>
                        </w:r>
                        <w:r>
                          <w:rPr>
                            <w:rFonts w:ascii="宋体" w:hAnsi="宋体" w:cs="宋体" w:eastAsia="宋体" w:hint="default"/>
                            <w:w w:val="100"/>
                            <w:sz w:val="21"/>
                            <w:szCs w:val="21"/>
                          </w:rPr>
                          <w:t> </w:t>
                        </w:r>
                        <w:r>
                          <w:rPr>
                            <w:rFonts w:ascii="宋体" w:hAnsi="宋体" w:cs="宋体" w:eastAsia="宋体" w:hint="default"/>
                            <w:spacing w:val="-4"/>
                            <w:sz w:val="21"/>
                            <w:szCs w:val="21"/>
                          </w:rPr>
                          <w:t>同业竞争的承诺：为避免损害股份公司及其他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股东利益，控股股东、实际控制人付艳杰女士</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和崔万涛先生向本公司及全体股东出具了《避</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7"/>
                            <w:w w:val="100"/>
                            <w:sz w:val="21"/>
                            <w:szCs w:val="21"/>
                          </w:rPr>
                          <w:t>免同业竞争承诺函》。付艳杰女士承诺内容如</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9"/>
                            <w:w w:val="100"/>
                            <w:sz w:val="21"/>
                            <w:szCs w:val="21"/>
                          </w:rPr>
                          <w:t>下：“</w:t>
                        </w:r>
                        <w:r>
                          <w:rPr>
                            <w:rFonts w:ascii="宋体" w:hAnsi="宋体" w:cs="宋体" w:eastAsia="宋体" w:hint="default"/>
                            <w:spacing w:val="-9"/>
                            <w:w w:val="100"/>
                            <w:sz w:val="21"/>
                            <w:szCs w:val="21"/>
                          </w:rPr>
                          <w:t>1</w:t>
                        </w:r>
                        <w:r>
                          <w:rPr>
                            <w:rFonts w:ascii="宋体" w:hAnsi="宋体" w:cs="宋体" w:eastAsia="宋体" w:hint="default"/>
                            <w:spacing w:val="-9"/>
                            <w:w w:val="100"/>
                            <w:sz w:val="21"/>
                            <w:szCs w:val="21"/>
                          </w:rPr>
                          <w:t>、本人为荣科科技股份有限公司（以下</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7"/>
                            <w:w w:val="100"/>
                            <w:sz w:val="21"/>
                            <w:szCs w:val="21"/>
                          </w:rPr>
                          <w:t>简称“公司”）共同实际控制人之一，除公司</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2"/>
                            <w:sz w:val="21"/>
                            <w:szCs w:val="21"/>
                          </w:rPr>
                          <w:t>外，本人没有其他控制的企业及参股的企业。</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本人承诺本人</w:t>
                        </w:r>
                        <w:r>
                          <w:rPr>
                            <w:rFonts w:ascii="宋体" w:hAnsi="宋体" w:cs="宋体" w:eastAsia="宋体" w:hint="default"/>
                            <w:spacing w:val="-1"/>
                            <w:sz w:val="21"/>
                            <w:szCs w:val="21"/>
                          </w:rPr>
                          <w:t> </w:t>
                        </w:r>
                        <w:r>
                          <w:rPr>
                            <w:rFonts w:ascii="宋体" w:hAnsi="宋体" w:cs="宋体" w:eastAsia="宋体" w:hint="default"/>
                            <w:sz w:val="21"/>
                            <w:szCs w:val="21"/>
                          </w:rPr>
                          <w:t>(</w:t>
                        </w:r>
                        <w:r>
                          <w:rPr>
                            <w:rFonts w:ascii="宋体" w:hAnsi="宋体" w:cs="宋体" w:eastAsia="宋体" w:hint="default"/>
                            <w:sz w:val="21"/>
                            <w:szCs w:val="21"/>
                          </w:rPr>
                          <w:t>包括其他关联企业，下同</w:t>
                        </w:r>
                        <w:r>
                          <w:rPr>
                            <w:rFonts w:ascii="宋体" w:hAnsi="宋体" w:cs="宋体" w:eastAsia="宋体" w:hint="default"/>
                            <w:sz w:val="21"/>
                            <w:szCs w:val="21"/>
                          </w:rPr>
                          <w:t>)</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pacing w:val="-2"/>
                            <w:sz w:val="21"/>
                            <w:szCs w:val="21"/>
                          </w:rPr>
                          <w:t>前未从事与公司主营业务相同或相似的业务，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与公司不构成同业竞争。</w:t>
                        </w:r>
                        <w:r>
                          <w:rPr>
                            <w:rFonts w:ascii="宋体" w:hAnsi="宋体" w:cs="宋体" w:eastAsia="宋体" w:hint="default"/>
                            <w:sz w:val="21"/>
                            <w:szCs w:val="21"/>
                          </w:rPr>
                          <w:t>2</w:t>
                        </w:r>
                        <w:r>
                          <w:rPr>
                            <w:rFonts w:ascii="宋体" w:hAnsi="宋体" w:cs="宋体" w:eastAsia="宋体" w:hint="default"/>
                            <w:sz w:val="21"/>
                            <w:szCs w:val="21"/>
                          </w:rPr>
                          <w:t>、在本人仍为公司</w:t>
                        </w:r>
                        <w:r>
                          <w:rPr>
                            <w:rFonts w:ascii="宋体" w:hAnsi="宋体" w:cs="宋体" w:eastAsia="宋体" w:hint="default"/>
                            <w:w w:val="100"/>
                            <w:sz w:val="21"/>
                            <w:szCs w:val="21"/>
                          </w:rPr>
                          <w:t> </w:t>
                        </w:r>
                        <w:r>
                          <w:rPr>
                            <w:rFonts w:ascii="宋体" w:hAnsi="宋体" w:cs="宋体" w:eastAsia="宋体" w:hint="default"/>
                            <w:sz w:val="21"/>
                            <w:szCs w:val="21"/>
                          </w:rPr>
                          <w:t>共同实际控制人之一期间，本人承诺：</w:t>
                        </w:r>
                        <w:r>
                          <w:rPr>
                            <w:rFonts w:ascii="宋体" w:hAnsi="宋体" w:cs="宋体" w:eastAsia="宋体" w:hint="default"/>
                            <w:sz w:val="21"/>
                            <w:szCs w:val="21"/>
                          </w:rPr>
                          <w:t>a)_</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pacing w:val="-4"/>
                            <w:sz w:val="21"/>
                            <w:szCs w:val="21"/>
                          </w:rPr>
                          <w:t>以任何方式从事，包括与他人合作、直接或间</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6"/>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19</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37" w:lineRule="auto"/>
                          <w:ind w:left="24" w:right="-1"/>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65"/>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项为各</w:t>
                        </w:r>
                        <w:r>
                          <w:rPr>
                            <w:rFonts w:ascii="宋体" w:hAnsi="宋体" w:cs="宋体" w:eastAsia="宋体" w:hint="default"/>
                            <w:w w:val="100"/>
                            <w:sz w:val="21"/>
                            <w:szCs w:val="21"/>
                          </w:rPr>
                          <w:t> </w:t>
                        </w:r>
                        <w:r>
                          <w:rPr>
                            <w:rFonts w:ascii="宋体" w:hAnsi="宋体" w:cs="宋体" w:eastAsia="宋体" w:hint="default"/>
                            <w:sz w:val="21"/>
                            <w:szCs w:val="21"/>
                          </w:rPr>
                          <w:t>股东相应</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w w:val="100"/>
                            <w:sz w:val="21"/>
                            <w:szCs w:val="21"/>
                          </w:rPr>
                          <w:t> </w:t>
                        </w:r>
                        <w:r>
                          <w:rPr>
                            <w:rFonts w:ascii="宋体" w:hAnsi="宋体" w:cs="宋体" w:eastAsia="宋体" w:hint="default"/>
                            <w:sz w:val="21"/>
                            <w:szCs w:val="21"/>
                          </w:rPr>
                          <w:t>第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w w:val="100"/>
                            <w:sz w:val="21"/>
                            <w:szCs w:val="21"/>
                          </w:rPr>
                          <w:t> </w:t>
                        </w:r>
                        <w:r>
                          <w:rPr>
                            <w:rFonts w:ascii="宋体" w:hAnsi="宋体" w:cs="宋体" w:eastAsia="宋体" w:hint="default"/>
                            <w:sz w:val="21"/>
                            <w:szCs w:val="21"/>
                          </w:rPr>
                          <w:t>项均为长</w:t>
                        </w:r>
                        <w:r>
                          <w:rPr>
                            <w:rFonts w:ascii="宋体" w:hAnsi="宋体" w:cs="宋体" w:eastAsia="宋体" w:hint="default"/>
                            <w:w w:val="100"/>
                            <w:sz w:val="21"/>
                            <w:szCs w:val="21"/>
                          </w:rPr>
                          <w:t> </w:t>
                        </w:r>
                        <w:r>
                          <w:rPr>
                            <w:rFonts w:ascii="宋体" w:hAnsi="宋体" w:cs="宋体" w:eastAsia="宋体" w:hint="default"/>
                            <w:sz w:val="21"/>
                            <w:szCs w:val="21"/>
                          </w:rPr>
                          <w:t>期承诺。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37" w:lineRule="auto"/>
                          <w:ind w:left="23" w:right="17"/>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公司上述</w:t>
                        </w:r>
                        <w:r>
                          <w:rPr>
                            <w:rFonts w:ascii="宋体" w:hAnsi="宋体" w:cs="宋体" w:eastAsia="宋体" w:hint="default"/>
                            <w:w w:val="100"/>
                            <w:sz w:val="21"/>
                            <w:szCs w:val="21"/>
                          </w:rPr>
                          <w:t> </w:t>
                        </w:r>
                        <w:r>
                          <w:rPr>
                            <w:rFonts w:ascii="宋体" w:hAnsi="宋体" w:cs="宋体" w:eastAsia="宋体" w:hint="default"/>
                            <w:sz w:val="21"/>
                            <w:szCs w:val="21"/>
                          </w:rPr>
                          <w:t>股东均遵</w:t>
                        </w:r>
                        <w:r>
                          <w:rPr>
                            <w:rFonts w:ascii="宋体" w:hAnsi="宋体" w:cs="宋体" w:eastAsia="宋体" w:hint="default"/>
                            <w:w w:val="100"/>
                            <w:sz w:val="21"/>
                            <w:szCs w:val="21"/>
                          </w:rPr>
                          <w:t> </w:t>
                        </w:r>
                        <w:r>
                          <w:rPr>
                            <w:rFonts w:ascii="宋体" w:hAnsi="宋体" w:cs="宋体" w:eastAsia="宋体" w:hint="default"/>
                            <w:sz w:val="21"/>
                            <w:szCs w:val="21"/>
                          </w:rPr>
                          <w:t>守以上承</w:t>
                        </w:r>
                        <w:r>
                          <w:rPr>
                            <w:rFonts w:ascii="宋体" w:hAnsi="宋体" w:cs="宋体" w:eastAsia="宋体" w:hint="default"/>
                            <w:w w:val="100"/>
                            <w:sz w:val="21"/>
                            <w:szCs w:val="21"/>
                          </w:rPr>
                          <w:t> </w:t>
                        </w:r>
                        <w:r>
                          <w:rPr>
                            <w:rFonts w:ascii="宋体" w:hAnsi="宋体" w:cs="宋体" w:eastAsia="宋体" w:hint="default"/>
                            <w:spacing w:val="-19"/>
                            <w:w w:val="100"/>
                            <w:sz w:val="21"/>
                            <w:szCs w:val="21"/>
                          </w:rPr>
                          <w:t>诺，未有违</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反上述承</w:t>
                        </w:r>
                        <w:r>
                          <w:rPr>
                            <w:rFonts w:ascii="宋体" w:hAnsi="宋体" w:cs="宋体" w:eastAsia="宋体" w:hint="default"/>
                            <w:w w:val="100"/>
                            <w:sz w:val="21"/>
                            <w:szCs w:val="21"/>
                          </w:rPr>
                          <w:t> </w:t>
                        </w:r>
                        <w:r>
                          <w:rPr>
                            <w:rFonts w:ascii="宋体" w:hAnsi="宋体" w:cs="宋体" w:eastAsia="宋体" w:hint="default"/>
                            <w:sz w:val="21"/>
                            <w:szCs w:val="21"/>
                          </w:rPr>
                          <w:t>诺的情况</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left="0" w:right="115"/>
        <w:jc w:val="right"/>
      </w:pPr>
      <w:r>
        <w:rPr>
          <w:w w:val="100"/>
        </w:rPr>
        <w:t>。</w:t>
      </w:r>
    </w:p>
    <w:p>
      <w:pPr>
        <w:spacing w:after="0" w:line="240" w:lineRule="auto"/>
        <w:jc w:val="right"/>
        <w:sectPr>
          <w:pgSz w:w="11910" w:h="16840"/>
          <w:pgMar w:header="0" w:footer="979" w:top="1100" w:bottom="1160" w:left="980" w:right="540"/>
        </w:sectPr>
      </w:pPr>
    </w:p>
    <w:p>
      <w:pPr>
        <w:spacing w:line="240" w:lineRule="auto" w:before="11"/>
        <w:rPr>
          <w:rFonts w:ascii="Times New Roman" w:hAnsi="Times New Roman" w:cs="Times New Roman" w:eastAsia="Times New Roman" w:hint="default"/>
          <w:sz w:val="28"/>
          <w:szCs w:val="28"/>
        </w:rPr>
      </w:pPr>
      <w:r>
        <w:rPr/>
        <w:pict>
          <v:shape style="position:absolute;margin-left:396.673065pt;margin-top:72.47998pt;width:57.15pt;height:612.950pt;mso-position-horizontal-relative:page;mso-position-vertical-relative:page;z-index:-64897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0"/>
                    <w:ind w:left="0" w:right="0"/>
                    <w:jc w:val="left"/>
                  </w:pPr>
                  <w:r>
                    <w:rPr>
                      <w:w w:val="100"/>
                    </w:rPr>
                    <w:t>、</w:t>
                  </w:r>
                </w:p>
              </w:txbxContent>
            </v:textbox>
            <w10:wrap type="none"/>
          </v:shape>
        </w:pict>
      </w:r>
      <w:r>
        <w:rPr/>
        <w:pict>
          <v:group style="position:absolute;margin-left:54.84pt;margin-top:28.299982pt;width:485.65pt;height:40.15pt;mso-position-horizontal-relative:page;mso-position-vertical-relative:page;z-index:186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1709"/>
        <w:gridCol w:w="1040"/>
        <w:gridCol w:w="4212"/>
        <w:gridCol w:w="1016"/>
        <w:gridCol w:w="1085"/>
        <w:gridCol w:w="1018"/>
      </w:tblGrid>
      <w:tr>
        <w:trPr>
          <w:trHeight w:val="12268"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接从事与公司相同、相似或在任何方面构成竞</w:t>
            </w:r>
          </w:p>
          <w:p>
            <w:pPr>
              <w:pStyle w:val="TableParagraph"/>
              <w:spacing w:line="237" w:lineRule="auto" w:before="2"/>
              <w:ind w:left="24" w:right="-25"/>
              <w:jc w:val="left"/>
              <w:rPr>
                <w:rFonts w:ascii="宋体" w:hAnsi="宋体" w:cs="宋体" w:eastAsia="宋体" w:hint="default"/>
                <w:sz w:val="21"/>
                <w:szCs w:val="21"/>
              </w:rPr>
            </w:pPr>
            <w:r>
              <w:rPr>
                <w:rFonts w:ascii="宋体" w:hAnsi="宋体" w:cs="宋体" w:eastAsia="宋体" w:hint="default"/>
                <w:sz w:val="21"/>
                <w:szCs w:val="21"/>
              </w:rPr>
              <w:t>争的业务；</w:t>
            </w:r>
            <w:r>
              <w:rPr>
                <w:rFonts w:ascii="宋体" w:hAnsi="宋体" w:cs="宋体" w:eastAsia="宋体" w:hint="default"/>
                <w:sz w:val="21"/>
                <w:szCs w:val="21"/>
              </w:rPr>
              <w:t>b)_</w:t>
            </w:r>
            <w:r>
              <w:rPr>
                <w:rFonts w:ascii="宋体" w:hAnsi="宋体" w:cs="宋体" w:eastAsia="宋体" w:hint="default"/>
                <w:sz w:val="21"/>
                <w:szCs w:val="21"/>
              </w:rPr>
              <w:t>尽一切可能之努力使本人其他</w:t>
            </w:r>
            <w:r>
              <w:rPr>
                <w:rFonts w:ascii="宋体" w:hAnsi="宋体" w:cs="宋体" w:eastAsia="宋体" w:hint="default"/>
                <w:w w:val="100"/>
                <w:sz w:val="21"/>
                <w:szCs w:val="21"/>
              </w:rPr>
              <w:t> </w:t>
            </w:r>
            <w:r>
              <w:rPr>
                <w:rFonts w:ascii="宋体" w:hAnsi="宋体" w:cs="宋体" w:eastAsia="宋体" w:hint="default"/>
                <w:spacing w:val="-4"/>
                <w:sz w:val="21"/>
                <w:szCs w:val="21"/>
              </w:rPr>
              <w:t>关联企业不从事与公司相同、相似或在任何方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面构成竞争的业务；</w:t>
            </w:r>
            <w:r>
              <w:rPr>
                <w:rFonts w:ascii="宋体" w:hAnsi="宋体" w:cs="宋体" w:eastAsia="宋体" w:hint="default"/>
                <w:sz w:val="21"/>
                <w:szCs w:val="21"/>
              </w:rPr>
              <w:t>c)_</w:t>
            </w:r>
            <w:r>
              <w:rPr>
                <w:rFonts w:ascii="宋体" w:hAnsi="宋体" w:cs="宋体" w:eastAsia="宋体" w:hint="default"/>
                <w:sz w:val="21"/>
                <w:szCs w:val="21"/>
              </w:rPr>
              <w:t>不投资控股于业务与</w:t>
            </w:r>
            <w:r>
              <w:rPr>
                <w:rFonts w:ascii="宋体" w:hAnsi="宋体" w:cs="宋体" w:eastAsia="宋体" w:hint="default"/>
                <w:w w:val="100"/>
                <w:sz w:val="21"/>
                <w:szCs w:val="21"/>
              </w:rPr>
              <w:t> </w:t>
            </w:r>
            <w:r>
              <w:rPr>
                <w:rFonts w:ascii="宋体" w:hAnsi="宋体" w:cs="宋体" w:eastAsia="宋体" w:hint="default"/>
                <w:sz w:val="21"/>
                <w:szCs w:val="21"/>
              </w:rPr>
              <w:t>公司相同、相似或在任何方面构成竞争的公</w:t>
            </w:r>
            <w:r>
              <w:rPr>
                <w:rFonts w:ascii="宋体" w:hAnsi="宋体" w:cs="宋体" w:eastAsia="宋体" w:hint="default"/>
                <w:w w:val="100"/>
                <w:sz w:val="21"/>
                <w:szCs w:val="21"/>
              </w:rPr>
              <w:t> </w:t>
            </w:r>
            <w:r>
              <w:rPr>
                <w:rFonts w:ascii="宋体" w:hAnsi="宋体" w:cs="宋体" w:eastAsia="宋体" w:hint="default"/>
                <w:sz w:val="21"/>
                <w:szCs w:val="21"/>
              </w:rPr>
              <w:t>司、企业或其他机构、组织。</w:t>
            </w:r>
            <w:r>
              <w:rPr>
                <w:rFonts w:ascii="宋体" w:hAnsi="宋体" w:cs="宋体" w:eastAsia="宋体" w:hint="default"/>
                <w:sz w:val="21"/>
                <w:szCs w:val="21"/>
              </w:rPr>
              <w:t>3</w:t>
            </w:r>
            <w:r>
              <w:rPr>
                <w:rFonts w:ascii="宋体" w:hAnsi="宋体" w:cs="宋体" w:eastAsia="宋体" w:hint="default"/>
                <w:sz w:val="21"/>
                <w:szCs w:val="21"/>
              </w:rPr>
              <w:t>、如因本人违</w:t>
            </w:r>
            <w:r>
              <w:rPr>
                <w:rFonts w:ascii="宋体" w:hAnsi="宋体" w:cs="宋体" w:eastAsia="宋体" w:hint="default"/>
                <w:w w:val="100"/>
                <w:sz w:val="21"/>
                <w:szCs w:val="21"/>
              </w:rPr>
              <w:t> </w:t>
            </w:r>
            <w:r>
              <w:rPr>
                <w:rFonts w:ascii="宋体" w:hAnsi="宋体" w:cs="宋体" w:eastAsia="宋体" w:hint="default"/>
                <w:spacing w:val="-4"/>
                <w:sz w:val="21"/>
                <w:szCs w:val="21"/>
              </w:rPr>
              <w:t>反本承诺函而给公司造成损失的，本人同意对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7"/>
                <w:w w:val="100"/>
                <w:sz w:val="21"/>
                <w:szCs w:val="21"/>
              </w:rPr>
              <w:t>由此而给公司造成的损失予以赔偿。”崔万涛</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9"/>
                <w:w w:val="100"/>
                <w:sz w:val="21"/>
                <w:szCs w:val="21"/>
              </w:rPr>
              <w:t>先生承诺内容如下：“</w:t>
            </w:r>
            <w:r>
              <w:rPr>
                <w:rFonts w:ascii="宋体" w:hAnsi="宋体" w:cs="宋体" w:eastAsia="宋体" w:hint="default"/>
                <w:spacing w:val="-9"/>
                <w:w w:val="100"/>
                <w:sz w:val="21"/>
                <w:szCs w:val="21"/>
              </w:rPr>
              <w:t>1</w:t>
            </w:r>
            <w:r>
              <w:rPr>
                <w:rFonts w:ascii="宋体" w:hAnsi="宋体" w:cs="宋体" w:eastAsia="宋体" w:hint="default"/>
                <w:spacing w:val="-9"/>
                <w:w w:val="100"/>
                <w:sz w:val="21"/>
                <w:szCs w:val="21"/>
              </w:rPr>
              <w:t>、本人为荣科科技股份</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7"/>
                <w:w w:val="100"/>
                <w:sz w:val="21"/>
                <w:szCs w:val="21"/>
              </w:rPr>
              <w:t>有限公司（以下简称“公司”）共同实际控制</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9"/>
                <w:sz w:val="21"/>
                <w:szCs w:val="21"/>
              </w:rPr>
              <w:t>人之一，除公司外，本人没有其他控制的企业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参股的企业及关联企业。本人承诺本人目前未</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从事与公司主营业务相同或相似的业务，与公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司不构成同业竞争。</w:t>
            </w:r>
            <w:r>
              <w:rPr>
                <w:rFonts w:ascii="宋体" w:hAnsi="宋体" w:cs="宋体" w:eastAsia="宋体" w:hint="default"/>
                <w:sz w:val="21"/>
                <w:szCs w:val="21"/>
              </w:rPr>
              <w:t>2</w:t>
            </w:r>
            <w:r>
              <w:rPr>
                <w:rFonts w:ascii="宋体" w:hAnsi="宋体" w:cs="宋体" w:eastAsia="宋体" w:hint="default"/>
                <w:sz w:val="21"/>
                <w:szCs w:val="21"/>
              </w:rPr>
              <w:t>、在本人仍为公司共同</w:t>
            </w:r>
            <w:r>
              <w:rPr>
                <w:rFonts w:ascii="宋体" w:hAnsi="宋体" w:cs="宋体" w:eastAsia="宋体" w:hint="default"/>
                <w:w w:val="100"/>
                <w:sz w:val="21"/>
                <w:szCs w:val="21"/>
              </w:rPr>
              <w:t> </w:t>
            </w:r>
            <w:r>
              <w:rPr>
                <w:rFonts w:ascii="宋体" w:hAnsi="宋体" w:cs="宋体" w:eastAsia="宋体" w:hint="default"/>
                <w:spacing w:val="-4"/>
                <w:sz w:val="21"/>
                <w:szCs w:val="21"/>
              </w:rPr>
              <w:t>实际控制人之一期间，本人承诺：</w:t>
            </w:r>
            <w:r>
              <w:rPr>
                <w:rFonts w:ascii="宋体" w:hAnsi="宋体" w:cs="宋体" w:eastAsia="宋体" w:hint="default"/>
                <w:spacing w:val="-4"/>
                <w:sz w:val="21"/>
                <w:szCs w:val="21"/>
              </w:rPr>
              <w:t>a)</w:t>
            </w:r>
            <w:r>
              <w:rPr>
                <w:rFonts w:ascii="宋体" w:hAnsi="宋体" w:cs="宋体" w:eastAsia="宋体" w:hint="default"/>
                <w:spacing w:val="-4"/>
                <w:sz w:val="21"/>
                <w:szCs w:val="21"/>
              </w:rPr>
              <w:t>不以任何</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方式从事，包括与他人合作、直接或间接从事</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与公司相同、相似或在任何方面构成竞争的业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务；</w:t>
            </w:r>
            <w:r>
              <w:rPr>
                <w:rFonts w:ascii="宋体" w:hAnsi="宋体" w:cs="宋体" w:eastAsia="宋体" w:hint="default"/>
                <w:spacing w:val="-4"/>
                <w:sz w:val="21"/>
                <w:szCs w:val="21"/>
              </w:rPr>
              <w:t>b)</w:t>
            </w:r>
            <w:r>
              <w:rPr>
                <w:rFonts w:ascii="宋体" w:hAnsi="宋体" w:cs="宋体" w:eastAsia="宋体" w:hint="default"/>
                <w:spacing w:val="-4"/>
                <w:sz w:val="21"/>
                <w:szCs w:val="21"/>
              </w:rPr>
              <w:t>不投资控股于业务与公司相同、相似或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在任何方面构成竞争的公司、企业或其他机</w:t>
            </w:r>
            <w:r>
              <w:rPr>
                <w:rFonts w:ascii="宋体" w:hAnsi="宋体" w:cs="宋体" w:eastAsia="宋体" w:hint="default"/>
                <w:w w:val="100"/>
                <w:sz w:val="21"/>
                <w:szCs w:val="21"/>
              </w:rPr>
              <w:t> </w:t>
            </w:r>
            <w:r>
              <w:rPr>
                <w:rFonts w:ascii="宋体" w:hAnsi="宋体" w:cs="宋体" w:eastAsia="宋体" w:hint="default"/>
                <w:sz w:val="21"/>
                <w:szCs w:val="21"/>
              </w:rPr>
              <w:t>构、组织。</w:t>
            </w:r>
            <w:r>
              <w:rPr>
                <w:rFonts w:ascii="宋体" w:hAnsi="宋体" w:cs="宋体" w:eastAsia="宋体" w:hint="default"/>
                <w:sz w:val="21"/>
                <w:szCs w:val="21"/>
              </w:rPr>
              <w:t>3</w:t>
            </w:r>
            <w:r>
              <w:rPr>
                <w:rFonts w:ascii="宋体" w:hAnsi="宋体" w:cs="宋体" w:eastAsia="宋体" w:hint="default"/>
                <w:sz w:val="21"/>
                <w:szCs w:val="21"/>
              </w:rPr>
              <w:t>、如因本人违反本承诺函而给公</w:t>
            </w:r>
            <w:r>
              <w:rPr>
                <w:rFonts w:ascii="宋体" w:hAnsi="宋体" w:cs="宋体" w:eastAsia="宋体" w:hint="default"/>
                <w:w w:val="100"/>
                <w:sz w:val="21"/>
                <w:szCs w:val="21"/>
              </w:rPr>
              <w:t> </w:t>
            </w:r>
            <w:r>
              <w:rPr>
                <w:rFonts w:ascii="宋体" w:hAnsi="宋体" w:cs="宋体" w:eastAsia="宋体" w:hint="default"/>
                <w:spacing w:val="-4"/>
                <w:sz w:val="21"/>
                <w:szCs w:val="21"/>
              </w:rPr>
              <w:t>司造成损失的，本人同意对由此而给公司造成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的损失予以赔偿。”</w:t>
            </w:r>
            <w:r>
              <w:rPr>
                <w:rFonts w:ascii="宋体" w:hAnsi="宋体" w:cs="宋体" w:eastAsia="宋体" w:hint="default"/>
                <w:spacing w:val="-9"/>
                <w:w w:val="100"/>
                <w:sz w:val="21"/>
                <w:szCs w:val="21"/>
              </w:rPr>
              <w:t>3</w:t>
            </w:r>
            <w:r>
              <w:rPr>
                <w:rFonts w:ascii="宋体" w:hAnsi="宋体" w:cs="宋体" w:eastAsia="宋体" w:hint="default"/>
                <w:spacing w:val="-9"/>
                <w:w w:val="100"/>
                <w:sz w:val="21"/>
                <w:szCs w:val="21"/>
              </w:rPr>
              <w:t>、自然人股东关于改制设</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立股份公司过程个人所得税事项的承诺本公</w:t>
            </w:r>
            <w:r>
              <w:rPr>
                <w:rFonts w:ascii="宋体" w:hAnsi="宋体" w:cs="宋体" w:eastAsia="宋体" w:hint="default"/>
                <w:w w:val="100"/>
                <w:sz w:val="21"/>
                <w:szCs w:val="21"/>
              </w:rPr>
              <w:t> </w:t>
            </w:r>
            <w:r>
              <w:rPr>
                <w:rFonts w:ascii="宋体" w:hAnsi="宋体" w:cs="宋体" w:eastAsia="宋体" w:hint="default"/>
                <w:sz w:val="21"/>
                <w:szCs w:val="21"/>
              </w:rPr>
              <w:t>司控股股东、实际控制人付艳杰和崔万涛承</w:t>
            </w:r>
            <w:r>
              <w:rPr>
                <w:rFonts w:ascii="宋体" w:hAnsi="宋体" w:cs="宋体" w:eastAsia="宋体" w:hint="default"/>
                <w:w w:val="100"/>
                <w:sz w:val="21"/>
                <w:szCs w:val="21"/>
              </w:rPr>
              <w:t> </w:t>
            </w:r>
            <w:r>
              <w:rPr>
                <w:rFonts w:ascii="宋体" w:hAnsi="宋体" w:cs="宋体" w:eastAsia="宋体" w:hint="default"/>
                <w:spacing w:val="-7"/>
                <w:w w:val="100"/>
                <w:sz w:val="21"/>
                <w:szCs w:val="21"/>
              </w:rPr>
              <w:t>诺：“若税务机关征缴荣科科技其他股东在沈</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阳荣科科技工程有限公司整体变更为荣科科</w:t>
            </w:r>
            <w:r>
              <w:rPr>
                <w:rFonts w:ascii="宋体" w:hAnsi="宋体" w:cs="宋体" w:eastAsia="宋体" w:hint="default"/>
                <w:w w:val="100"/>
                <w:sz w:val="21"/>
                <w:szCs w:val="21"/>
              </w:rPr>
              <w:t> </w:t>
            </w:r>
            <w:r>
              <w:rPr>
                <w:rFonts w:ascii="宋体" w:hAnsi="宋体" w:cs="宋体" w:eastAsia="宋体" w:hint="default"/>
                <w:sz w:val="21"/>
                <w:szCs w:val="21"/>
              </w:rPr>
              <w:t>技时以留存收益转增注册资本所应缴纳的个</w:t>
            </w:r>
            <w:r>
              <w:rPr>
                <w:rFonts w:ascii="宋体" w:hAnsi="宋体" w:cs="宋体" w:eastAsia="宋体" w:hint="default"/>
                <w:w w:val="100"/>
                <w:sz w:val="21"/>
                <w:szCs w:val="21"/>
              </w:rPr>
              <w:t> </w:t>
            </w:r>
            <w:r>
              <w:rPr>
                <w:rFonts w:ascii="宋体" w:hAnsi="宋体" w:cs="宋体" w:eastAsia="宋体" w:hint="default"/>
                <w:spacing w:val="-4"/>
                <w:sz w:val="21"/>
                <w:szCs w:val="21"/>
              </w:rPr>
              <w:t>人所得税，而其他股东未能缴纳该等税款，我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们二人将无条件全额垫付该等税款；若税务机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关因此对荣科科技其他股东罚款，而其他股东</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未能缴纳该等罚款，该等罚款亦由我们二人无</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条件全额垫付；如荣科科技因未履行代扣代缴</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上述税款义务而遭致税务机关罚款，而其他股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东未承担相应的罚款及责任，则均由我们二人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全部承担。”</w:t>
            </w:r>
            <w:r>
              <w:rPr>
                <w:rFonts w:ascii="宋体" w:hAnsi="宋体" w:cs="宋体" w:eastAsia="宋体" w:hint="default"/>
                <w:spacing w:val="-9"/>
                <w:w w:val="100"/>
                <w:sz w:val="21"/>
                <w:szCs w:val="21"/>
              </w:rPr>
              <w:t>4</w:t>
            </w:r>
            <w:r>
              <w:rPr>
                <w:rFonts w:ascii="宋体" w:hAnsi="宋体" w:cs="宋体" w:eastAsia="宋体" w:hint="default"/>
                <w:spacing w:val="-9"/>
                <w:w w:val="100"/>
                <w:sz w:val="21"/>
                <w:szCs w:val="21"/>
              </w:rPr>
              <w:t>、员工及社会保障方面的承诺公</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4"/>
                <w:sz w:val="21"/>
                <w:szCs w:val="21"/>
              </w:rPr>
              <w:t>司控股股东、实际控制人付艳杰女士和崔万涛</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先生已就公司及子公司报告期内员工社会保</w:t>
            </w:r>
            <w:r>
              <w:rPr>
                <w:rFonts w:ascii="宋体" w:hAnsi="宋体" w:cs="宋体" w:eastAsia="宋体" w:hint="default"/>
                <w:w w:val="100"/>
                <w:sz w:val="21"/>
                <w:szCs w:val="21"/>
              </w:rPr>
              <w:t> </w:t>
            </w:r>
            <w:r>
              <w:rPr>
                <w:rFonts w:ascii="宋体" w:hAnsi="宋体" w:cs="宋体" w:eastAsia="宋体" w:hint="default"/>
                <w:spacing w:val="-4"/>
                <w:sz w:val="21"/>
                <w:szCs w:val="21"/>
              </w:rPr>
              <w:t>障金缴纳情况出具承诺函，承诺“如果相关主</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管部门或员工个人因</w:t>
            </w:r>
            <w:r>
              <w:rPr>
                <w:rFonts w:ascii="宋体" w:hAnsi="宋体" w:cs="宋体" w:eastAsia="宋体" w:hint="default"/>
                <w:spacing w:val="1"/>
                <w:sz w:val="21"/>
                <w:szCs w:val="21"/>
              </w:rPr>
              <w:t> </w:t>
            </w:r>
            <w:r>
              <w:rPr>
                <w:rFonts w:ascii="宋体" w:hAnsi="宋体" w:cs="宋体" w:eastAsia="宋体" w:hint="default"/>
                <w:sz w:val="21"/>
                <w:szCs w:val="21"/>
              </w:rPr>
              <w:t>2008</w:t>
            </w:r>
            <w:r>
              <w:rPr>
                <w:rFonts w:ascii="宋体" w:hAnsi="宋体" w:cs="宋体" w:eastAsia="宋体" w:hint="default"/>
                <w:spacing w:val="2"/>
                <w:sz w:val="21"/>
                <w:szCs w:val="21"/>
              </w:rPr>
              <w:t> </w:t>
            </w:r>
            <w:r>
              <w:rPr>
                <w:rFonts w:ascii="宋体" w:hAnsi="宋体" w:cs="宋体" w:eastAsia="宋体" w:hint="default"/>
                <w:spacing w:val="-14"/>
                <w:sz w:val="21"/>
                <w:szCs w:val="21"/>
              </w:rPr>
              <w:t>年、</w:t>
            </w:r>
            <w:r>
              <w:rPr>
                <w:rFonts w:ascii="宋体" w:hAnsi="宋体" w:cs="宋体" w:eastAsia="宋体" w:hint="default"/>
                <w:spacing w:val="-14"/>
                <w:sz w:val="21"/>
                <w:szCs w:val="21"/>
              </w:rPr>
              <w:t>2009</w:t>
            </w:r>
            <w:r>
              <w:rPr>
                <w:rFonts w:ascii="宋体" w:hAnsi="宋体" w:cs="宋体" w:eastAsia="宋体" w:hint="default"/>
                <w:spacing w:val="5"/>
                <w:sz w:val="21"/>
                <w:szCs w:val="21"/>
              </w:rPr>
              <w:t> </w:t>
            </w:r>
            <w:r>
              <w:rPr>
                <w:rFonts w:ascii="宋体" w:hAnsi="宋体" w:cs="宋体" w:eastAsia="宋体" w:hint="default"/>
                <w:spacing w:val="-14"/>
                <w:sz w:val="21"/>
                <w:szCs w:val="21"/>
              </w:rPr>
              <w:t>年、</w:t>
            </w:r>
            <w:r>
              <w:rPr>
                <w:rFonts w:ascii="宋体" w:hAnsi="宋体" w:cs="宋体" w:eastAsia="宋体" w:hint="default"/>
                <w:spacing w:val="-14"/>
                <w:sz w:val="21"/>
                <w:szCs w:val="21"/>
              </w:rPr>
              <w:t>2010</w:t>
            </w:r>
            <w:r>
              <w:rPr>
                <w:rFonts w:ascii="宋体" w:hAnsi="宋体" w:cs="宋体" w:eastAsia="宋体" w:hint="default"/>
                <w:spacing w:val="-102"/>
                <w:sz w:val="21"/>
                <w:szCs w:val="21"/>
              </w:rPr>
              <w:t> </w:t>
            </w:r>
            <w:r>
              <w:rPr>
                <w:rFonts w:ascii="宋体" w:hAnsi="宋体" w:cs="宋体" w:eastAsia="宋体" w:hint="default"/>
                <w:sz w:val="21"/>
                <w:szCs w:val="21"/>
              </w:rPr>
              <w:t>年股份公司或沈阳荣科全濠科技有限公司员</w:t>
            </w:r>
            <w:r>
              <w:rPr>
                <w:rFonts w:ascii="宋体" w:hAnsi="宋体" w:cs="宋体" w:eastAsia="宋体" w:hint="default"/>
                <w:w w:val="100"/>
                <w:sz w:val="21"/>
                <w:szCs w:val="21"/>
              </w:rPr>
              <w:t> </w:t>
            </w:r>
            <w:r>
              <w:rPr>
                <w:rFonts w:ascii="宋体" w:hAnsi="宋体" w:cs="宋体" w:eastAsia="宋体" w:hint="default"/>
                <w:spacing w:val="-2"/>
                <w:sz w:val="21"/>
                <w:szCs w:val="21"/>
              </w:rPr>
              <w:t>工社会保障金（包括基本养老、失业、工伤、</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医疗和生育保险及住房公积金）缴纳不足要求</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股份公司或沈阳荣科全濠科技有限公司补缴</w:t>
            </w:r>
            <w:r>
              <w:rPr>
                <w:rFonts w:ascii="宋体" w:hAnsi="宋体" w:cs="宋体" w:eastAsia="宋体" w:hint="default"/>
                <w:w w:val="100"/>
                <w:sz w:val="21"/>
                <w:szCs w:val="21"/>
              </w:rPr>
              <w:t> </w:t>
            </w:r>
            <w:r>
              <w:rPr>
                <w:rFonts w:ascii="宋体" w:hAnsi="宋体" w:cs="宋体" w:eastAsia="宋体" w:hint="default"/>
                <w:sz w:val="21"/>
                <w:szCs w:val="21"/>
              </w:rPr>
              <w:t>员工社会保障金、支付滞纳金或者其他款项</w:t>
            </w:r>
            <w:r>
              <w:rPr>
                <w:rFonts w:ascii="宋体" w:hAnsi="宋体" w:cs="宋体" w:eastAsia="宋体" w:hint="default"/>
                <w:w w:val="100"/>
                <w:sz w:val="21"/>
                <w:szCs w:val="21"/>
              </w:rPr>
              <w:t> </w:t>
            </w:r>
            <w:r>
              <w:rPr>
                <w:rFonts w:ascii="宋体" w:hAnsi="宋体" w:cs="宋体" w:eastAsia="宋体" w:hint="default"/>
                <w:spacing w:val="-9"/>
                <w:w w:val="100"/>
                <w:sz w:val="21"/>
                <w:szCs w:val="21"/>
              </w:rPr>
              <w:t>的，将由本人承担相应的责任。”</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225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4"/>
                <w:sz w:val="20"/>
                <w:szCs w:val="20"/>
              </w:rPr>
              <w:pict>
                <v:group style="width:50.35pt;height:612.950pt;mso-position-horizontal-relative:char;mso-position-vertical-relative:line" coordorigin="0,0" coordsize="1007,12259">
                  <v:group style="position:absolute;left:0;top:0;width:1007;height:12259" coordorigin="0,0" coordsize="1007,12259">
                    <v:shape style="position:absolute;left:0;top:0;width:1007;height:12259" coordorigin="0,0" coordsize="1007,12259" path="m0,12259l1006,12259,1006,0,0,0,0,12259xe" filled="true" fillcolor="#ffffff" stroked="false">
                      <v:path arrowok="t"/>
                      <v:fill type="solid"/>
                    </v:shape>
                  </v:group>
                </v:group>
              </w:pict>
            </w:r>
            <w:r>
              <w:rPr>
                <w:rFonts w:ascii="Times New Roman" w:hAnsi="Times New Roman" w:cs="Times New Roman" w:eastAsia="Times New Roman" w:hint="default"/>
                <w:position w:val="-244"/>
                <w:sz w:val="20"/>
                <w:szCs w:val="20"/>
              </w:rPr>
            </w:r>
          </w:p>
        </w:tc>
        <w:tc>
          <w:tcPr>
            <w:tcW w:w="108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其他对公司中小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股东所作承诺</w:t>
            </w:r>
          </w:p>
        </w:tc>
        <w:tc>
          <w:tcPr>
            <w:tcW w:w="1040" w:type="dxa"/>
            <w:tcBorders>
              <w:top w:val="single" w:sz="4" w:space="0" w:color="000000"/>
              <w:left w:val="single" w:sz="4" w:space="0" w:color="000000"/>
              <w:bottom w:val="single" w:sz="4" w:space="0" w:color="000000"/>
              <w:right w:val="single" w:sz="4" w:space="0" w:color="000000"/>
            </w:tcBorders>
          </w:tcPr>
          <w:p>
            <w:pPr/>
          </w:p>
        </w:tc>
        <w:tc>
          <w:tcPr>
            <w:tcW w:w="421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承诺是否及时履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未完成履行的具</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体原因及下一步</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600"/>
        </w:sectPr>
      </w:pPr>
    </w:p>
    <w:p>
      <w:pPr>
        <w:spacing w:line="240" w:lineRule="auto" w:before="2"/>
        <w:rPr>
          <w:rFonts w:ascii="Times New Roman" w:hAnsi="Times New Roman" w:cs="Times New Roman" w:eastAsia="Times New Roman"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708"/>
        <w:gridCol w:w="8370"/>
      </w:tblGrid>
      <w:tr>
        <w:trPr>
          <w:trHeight w:val="284"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837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是否就导致的同</w:t>
            </w:r>
          </w:p>
          <w:p>
            <w:pPr>
              <w:pStyle w:val="TableParagraph"/>
              <w:spacing w:line="240" w:lineRule="auto"/>
              <w:ind w:left="22" w:right="199"/>
              <w:jc w:val="left"/>
              <w:rPr>
                <w:rFonts w:ascii="宋体" w:hAnsi="宋体" w:cs="宋体" w:eastAsia="宋体" w:hint="default"/>
                <w:sz w:val="21"/>
                <w:szCs w:val="21"/>
              </w:rPr>
            </w:pPr>
            <w:r>
              <w:rPr>
                <w:rFonts w:ascii="宋体" w:hAnsi="宋体" w:cs="宋体" w:eastAsia="宋体" w:hint="default"/>
                <w:sz w:val="21"/>
                <w:szCs w:val="21"/>
              </w:rPr>
              <w:t>业竞争和关联交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易问题作出承诺</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承诺的解决期限</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承诺的履行情况</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报告期内，公司上述股东均遵守以上承诺，未有违反上述承诺的情况。</w:t>
            </w:r>
          </w:p>
        </w:tc>
      </w:tr>
    </w:tbl>
    <w:p>
      <w:pPr>
        <w:pStyle w:val="Heading5"/>
        <w:spacing w:line="357" w:lineRule="auto" w:before="62"/>
        <w:ind w:right="516"/>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spacing w:line="400" w:lineRule="auto" w:before="78"/>
        <w:ind w:left="152" w:right="6540" w:firstLine="420"/>
        <w:jc w:val="left"/>
        <w:rPr>
          <w:rFonts w:ascii="宋体" w:hAnsi="宋体" w:cs="宋体" w:eastAsia="宋体" w:hint="default"/>
          <w:sz w:val="21"/>
          <w:szCs w:val="21"/>
        </w:rPr>
      </w:pPr>
      <w:r>
        <w:rPr/>
        <w:pict>
          <v:shape style="position:absolute;margin-left:56.459999pt;margin-top:68.393692pt;width:479.2pt;height:71.0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5"/>
                    <w:gridCol w:w="5695"/>
                  </w:tblGrid>
                  <w:tr>
                    <w:trPr>
                      <w:trHeight w:val="28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华普天健会计师事务所（北京）有限公司</w:t>
                        </w:r>
                      </w:p>
                    </w:tc>
                  </w:tr>
                  <w:tr>
                    <w:trPr>
                      <w:trHeight w:val="28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sz w:val="21"/>
                          </w:rPr>
                          <w:t>48</w:t>
                        </w:r>
                      </w:p>
                    </w:tc>
                  </w:tr>
                  <w:tr>
                    <w:trPr>
                      <w:trHeight w:val="28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2" w:lineRule="exact"/>
                          <w:ind w:left="27" w:right="0"/>
                          <w:jc w:val="left"/>
                          <w:rPr>
                            <w:rFonts w:ascii="宋体" w:hAnsi="宋体" w:cs="宋体" w:eastAsia="宋体" w:hint="default"/>
                            <w:sz w:val="21"/>
                            <w:szCs w:val="21"/>
                          </w:rPr>
                        </w:pPr>
                        <w:r>
                          <w:rPr>
                            <w:rFonts w:ascii="宋体"/>
                            <w:w w:val="100"/>
                            <w:sz w:val="21"/>
                          </w:rPr>
                          <w:t>3</w:t>
                        </w:r>
                      </w:p>
                    </w:tc>
                  </w:tr>
                  <w:tr>
                    <w:trPr>
                      <w:trHeight w:val="28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陆红、盛东辉</w:t>
                        </w:r>
                      </w:p>
                    </w:tc>
                  </w:tr>
                  <w:tr>
                    <w:trPr>
                      <w:trHeight w:val="28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九、聘任、解聘会计师事务所情况</w:t>
      </w:r>
      <w:r>
        <w:rPr>
          <w:rFonts w:ascii="宋体" w:hAnsi="宋体" w:cs="宋体" w:eastAsia="宋体" w:hint="default"/>
          <w:b/>
          <w:bCs/>
          <w:w w:val="99"/>
          <w:sz w:val="24"/>
          <w:szCs w:val="24"/>
        </w:rPr>
        <w:t> </w:t>
      </w:r>
      <w:r>
        <w:rPr>
          <w:rFonts w:ascii="宋体" w:hAnsi="宋体" w:cs="宋体" w:eastAsia="宋体" w:hint="default"/>
          <w:sz w:val="21"/>
          <w:szCs w:val="21"/>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74" w:lineRule="exact" w:before="36"/>
        <w:ind w:left="573" w:right="516"/>
        <w:jc w:val="left"/>
      </w:pPr>
      <w:r>
        <w:rPr/>
        <w:t>是否改聘会计师事务所</w:t>
      </w:r>
    </w:p>
    <w:p>
      <w:pPr>
        <w:pStyle w:val="BodyText"/>
        <w:spacing w:line="274" w:lineRule="exact"/>
        <w:ind w:left="573" w:right="516"/>
        <w:jc w:val="left"/>
      </w:pPr>
      <w:r>
        <w:rPr/>
        <w:t>□是√</w:t>
      </w:r>
      <w:r>
        <w:rPr>
          <w:spacing w:val="2"/>
        </w:rPr>
        <w:t> </w:t>
      </w:r>
      <w:r>
        <w:rPr/>
        <w:t>否</w:t>
      </w:r>
    </w:p>
    <w:p>
      <w:pPr>
        <w:spacing w:line="240" w:lineRule="auto" w:before="0"/>
        <w:rPr>
          <w:rFonts w:ascii="宋体" w:hAnsi="宋体" w:cs="宋体" w:eastAsia="宋体" w:hint="default"/>
          <w:sz w:val="17"/>
          <w:szCs w:val="17"/>
        </w:rPr>
      </w:pPr>
    </w:p>
    <w:p>
      <w:pPr>
        <w:pStyle w:val="Heading4"/>
        <w:spacing w:line="312" w:lineRule="exact"/>
        <w:ind w:right="516"/>
        <w:jc w:val="left"/>
        <w:rPr>
          <w:b w:val="0"/>
          <w:bCs w:val="0"/>
        </w:rPr>
      </w:pPr>
      <w:r>
        <w:rPr/>
        <w:t>十、上市公司及其董事、监事、高级管理人员、公司股东、实际控制人和收购人处罚及整改</w:t>
      </w:r>
      <w:r>
        <w:rPr>
          <w:w w:val="99"/>
        </w:rPr>
        <w:t> </w:t>
      </w:r>
      <w:r>
        <w:rPr/>
        <w:t>情况</w:t>
      </w:r>
      <w:r>
        <w:rPr>
          <w:b w:val="0"/>
          <w:bCs w:val="0"/>
        </w:rPr>
      </w:r>
    </w:p>
    <w:p>
      <w:pPr>
        <w:pStyle w:val="BodyText"/>
        <w:spacing w:line="237" w:lineRule="auto" w:before="174"/>
        <w:ind w:right="504" w:firstLine="420"/>
        <w:jc w:val="both"/>
      </w:pPr>
      <w:r>
        <w:rPr>
          <w:spacing w:val="-2"/>
        </w:rPr>
        <w:t>报告期内，公司及其董事、监事、高级管理人员、公司股东、实际控制人没有被处罚和整改的情况；</w:t>
      </w:r>
      <w:r>
        <w:rPr>
          <w:w w:val="100"/>
        </w:rPr>
        <w:t> </w:t>
      </w:r>
      <w:r>
        <w:rPr>
          <w:spacing w:val="-2"/>
        </w:rPr>
        <w:t>上市公司及其子公司没有被列入环保部门公布的污染严重企业名单；不存在其他重大社会安全问题；没有</w:t>
      </w:r>
      <w:r>
        <w:rPr>
          <w:spacing w:val="-42"/>
        </w:rPr>
        <w:t> </w:t>
      </w:r>
      <w:r>
        <w:rPr>
          <w:spacing w:val="-42"/>
        </w:rPr>
      </w:r>
      <w:r>
        <w:rPr/>
        <w:t>被行政处罚。</w:t>
      </w:r>
    </w:p>
    <w:p>
      <w:pPr>
        <w:spacing w:line="240" w:lineRule="auto" w:before="11"/>
        <w:rPr>
          <w:rFonts w:ascii="宋体" w:hAnsi="宋体" w:cs="宋体" w:eastAsia="宋体" w:hint="default"/>
          <w:sz w:val="14"/>
          <w:szCs w:val="14"/>
        </w:rPr>
      </w:pPr>
    </w:p>
    <w:p>
      <w:pPr>
        <w:pStyle w:val="Heading4"/>
        <w:spacing w:line="240" w:lineRule="auto"/>
        <w:ind w:right="516"/>
        <w:jc w:val="left"/>
        <w:rPr>
          <w:b w:val="0"/>
          <w:bCs w:val="0"/>
        </w:rPr>
      </w:pPr>
      <w:r>
        <w:rPr/>
        <w:t>十一、公司股东及其一致行动人在报告期提出或实施股份增持计划的情况</w:t>
      </w:r>
      <w:r>
        <w:rPr>
          <w:b w:val="0"/>
          <w:bCs w:val="0"/>
        </w:rPr>
      </w:r>
    </w:p>
    <w:p>
      <w:pPr>
        <w:pStyle w:val="BodyText"/>
        <w:spacing w:line="240" w:lineRule="auto" w:before="201"/>
        <w:ind w:left="573" w:right="516"/>
        <w:jc w:val="left"/>
      </w:pPr>
      <w:r>
        <w:rPr/>
        <w:t>报告期内，公司股东及其一致行动人未提出或实施股份增持计划。</w:t>
      </w:r>
    </w:p>
    <w:p>
      <w:pPr>
        <w:spacing w:line="240" w:lineRule="auto" w:before="11"/>
        <w:rPr>
          <w:rFonts w:ascii="宋体" w:hAnsi="宋体" w:cs="宋体" w:eastAsia="宋体" w:hint="default"/>
          <w:sz w:val="14"/>
          <w:szCs w:val="14"/>
        </w:rPr>
      </w:pPr>
    </w:p>
    <w:p>
      <w:pPr>
        <w:pStyle w:val="Heading4"/>
        <w:spacing w:line="240" w:lineRule="auto"/>
        <w:ind w:right="516"/>
        <w:jc w:val="left"/>
        <w:rPr>
          <w:b w:val="0"/>
          <w:bCs w:val="0"/>
        </w:rPr>
      </w:pPr>
      <w:r>
        <w:rPr/>
        <w:t>十二、</w:t>
      </w:r>
      <w:r>
        <w:rPr>
          <w:rFonts w:ascii="宋体" w:hAnsi="宋体" w:cs="宋体" w:eastAsia="宋体" w:hint="default"/>
        </w:rPr>
        <w:t>2012</w:t>
      </w:r>
      <w:r>
        <w:rPr>
          <w:rFonts w:ascii="宋体" w:hAnsi="宋体" w:cs="宋体" w:eastAsia="宋体" w:hint="default"/>
          <w:spacing w:val="-64"/>
        </w:rPr>
        <w:t> </w:t>
      </w:r>
      <w:r>
        <w:rPr/>
        <w:t>年董事、监事、高级管理人员、持股</w:t>
      </w:r>
      <w:r>
        <w:rPr>
          <w:spacing w:val="-62"/>
        </w:rPr>
        <w:t> </w:t>
      </w:r>
      <w:r>
        <w:rPr>
          <w:rFonts w:ascii="宋体" w:hAnsi="宋体" w:cs="宋体" w:eastAsia="宋体" w:hint="default"/>
        </w:rPr>
        <w:t>5%</w:t>
      </w:r>
      <w:r>
        <w:rPr/>
        <w:t>以上的股东违规买卖公司股票情况</w:t>
      </w:r>
      <w:r>
        <w:rPr>
          <w:b w:val="0"/>
          <w:bCs w:val="0"/>
        </w:rPr>
      </w:r>
    </w:p>
    <w:p>
      <w:pPr>
        <w:pStyle w:val="BodyText"/>
        <w:spacing w:line="240" w:lineRule="auto" w:before="201"/>
        <w:ind w:left="573" w:right="516"/>
        <w:jc w:val="left"/>
      </w:pPr>
      <w:r>
        <w:rPr>
          <w:spacing w:val="-2"/>
        </w:rPr>
        <w:t>报告期内，公司董事、监事、高级管理人员、持股</w:t>
      </w:r>
      <w:r>
        <w:rPr>
          <w:spacing w:val="24"/>
        </w:rPr>
        <w:t> </w:t>
      </w:r>
      <w:r>
        <w:rPr>
          <w:rFonts w:ascii="宋体" w:hAnsi="宋体" w:cs="宋体" w:eastAsia="宋体" w:hint="default"/>
          <w:spacing w:val="-2"/>
        </w:rPr>
        <w:t>5%</w:t>
      </w:r>
      <w:r>
        <w:rPr>
          <w:spacing w:val="-2"/>
        </w:rPr>
        <w:t>以上的股东无违规买卖公司股票的情况。</w:t>
      </w:r>
    </w:p>
    <w:p>
      <w:pPr>
        <w:spacing w:line="240" w:lineRule="auto" w:before="11"/>
        <w:rPr>
          <w:rFonts w:ascii="宋体" w:hAnsi="宋体" w:cs="宋体" w:eastAsia="宋体" w:hint="default"/>
          <w:sz w:val="14"/>
          <w:szCs w:val="14"/>
        </w:rPr>
      </w:pPr>
    </w:p>
    <w:p>
      <w:pPr>
        <w:pStyle w:val="Heading4"/>
        <w:spacing w:line="240" w:lineRule="auto"/>
        <w:ind w:right="516"/>
        <w:jc w:val="left"/>
        <w:rPr>
          <w:b w:val="0"/>
          <w:bCs w:val="0"/>
        </w:rPr>
      </w:pPr>
      <w:r>
        <w:rPr/>
        <w:t>十三、违规对外担保情况</w:t>
      </w:r>
      <w:r>
        <w:rPr>
          <w:b w:val="0"/>
          <w:bCs w:val="0"/>
        </w:rPr>
      </w:r>
    </w:p>
    <w:p>
      <w:pPr>
        <w:pStyle w:val="BodyText"/>
        <w:spacing w:line="240" w:lineRule="auto" w:before="201"/>
        <w:ind w:left="573" w:right="516"/>
        <w:jc w:val="left"/>
      </w:pPr>
      <w:r>
        <w:rPr/>
        <w:t>报告期内，公司不存在违规对外担保的情况。</w:t>
      </w:r>
    </w:p>
    <w:p>
      <w:pPr>
        <w:spacing w:line="240" w:lineRule="auto" w:before="9"/>
        <w:rPr>
          <w:rFonts w:ascii="宋体" w:hAnsi="宋体" w:cs="宋体" w:eastAsia="宋体" w:hint="default"/>
          <w:sz w:val="14"/>
          <w:szCs w:val="14"/>
        </w:rPr>
      </w:pPr>
    </w:p>
    <w:p>
      <w:pPr>
        <w:pStyle w:val="Heading4"/>
        <w:spacing w:line="240" w:lineRule="auto"/>
        <w:ind w:right="516"/>
        <w:jc w:val="left"/>
        <w:rPr>
          <w:b w:val="0"/>
          <w:bCs w:val="0"/>
        </w:rPr>
      </w:pPr>
      <w:r>
        <w:rPr/>
        <w:t>十四、年度报告披露后面临暂停上市和终止上市情况</w:t>
      </w:r>
      <w:r>
        <w:rPr>
          <w:b w:val="0"/>
          <w:bCs w:val="0"/>
        </w:rPr>
      </w:r>
    </w:p>
    <w:p>
      <w:pPr>
        <w:pStyle w:val="BodyText"/>
        <w:spacing w:line="240" w:lineRule="auto" w:before="203"/>
        <w:ind w:left="573" w:right="516"/>
        <w:jc w:val="left"/>
      </w:pPr>
      <w:r>
        <w:rPr/>
        <w:t>公司不存在年度报告披露后面临暂停上市和终止上市的情况。</w:t>
      </w:r>
    </w:p>
    <w:p>
      <w:pPr>
        <w:spacing w:line="240" w:lineRule="auto" w:before="9"/>
        <w:rPr>
          <w:rFonts w:ascii="宋体" w:hAnsi="宋体" w:cs="宋体" w:eastAsia="宋体" w:hint="default"/>
          <w:sz w:val="14"/>
          <w:szCs w:val="14"/>
        </w:rPr>
      </w:pPr>
    </w:p>
    <w:p>
      <w:pPr>
        <w:pStyle w:val="Heading4"/>
        <w:spacing w:line="240" w:lineRule="auto"/>
        <w:ind w:right="516"/>
        <w:jc w:val="left"/>
        <w:rPr>
          <w:b w:val="0"/>
          <w:bCs w:val="0"/>
        </w:rPr>
      </w:pPr>
      <w:r>
        <w:rPr/>
        <w:t>十五、其他重大事项的说明</w:t>
      </w:r>
      <w:r>
        <w:rPr>
          <w:b w:val="0"/>
          <w:bCs w:val="0"/>
        </w:rPr>
      </w:r>
    </w:p>
    <w:p>
      <w:pPr>
        <w:pStyle w:val="BodyText"/>
        <w:spacing w:line="240" w:lineRule="auto" w:before="203"/>
        <w:ind w:left="573" w:right="516"/>
        <w:jc w:val="left"/>
      </w:pPr>
      <w:r>
        <w:rPr>
          <w:w w:val="100"/>
        </w:rPr>
        <w:t>无</w:t>
      </w:r>
    </w:p>
    <w:p>
      <w:pPr>
        <w:spacing w:after="0" w:line="240" w:lineRule="auto"/>
        <w:jc w:val="left"/>
        <w:sectPr>
          <w:headerReference w:type="default" r:id="rId27"/>
          <w:pgSz w:w="11910" w:h="16840"/>
          <w:pgMar w:header="566" w:footer="979" w:top="1360" w:bottom="1160" w:left="980" w:right="600"/>
        </w:sectPr>
      </w:pPr>
    </w:p>
    <w:p>
      <w:pPr>
        <w:pStyle w:val="Heading1"/>
        <w:spacing w:line="240" w:lineRule="auto" w:before="67"/>
        <w:ind w:left="3404" w:right="3387"/>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11"/>
        <w:rPr>
          <w:rFonts w:ascii="宋体" w:hAnsi="宋体" w:cs="宋体" w:eastAsia="宋体" w:hint="default"/>
          <w:b/>
          <w:bCs/>
          <w:sz w:val="29"/>
          <w:szCs w:val="29"/>
        </w:rPr>
      </w:pPr>
    </w:p>
    <w:p>
      <w:pPr>
        <w:pStyle w:val="Heading4"/>
        <w:spacing w:line="240" w:lineRule="auto" w:before="26"/>
        <w:ind w:left="592" w:right="3387"/>
        <w:jc w:val="left"/>
        <w:rPr>
          <w:b w:val="0"/>
          <w:bCs w:val="0"/>
        </w:rPr>
      </w:pPr>
      <w:r>
        <w:rPr/>
        <w:t>一、股份变动情况</w:t>
      </w:r>
      <w:r>
        <w:rPr>
          <w:b w:val="0"/>
          <w:bCs w:val="0"/>
        </w:rPr>
      </w:r>
    </w:p>
    <w:p>
      <w:pPr>
        <w:pStyle w:val="Heading5"/>
        <w:spacing w:line="240" w:lineRule="auto" w:before="203"/>
        <w:ind w:left="592" w:right="3387"/>
        <w:jc w:val="left"/>
        <w:rPr>
          <w:b w:val="0"/>
          <w:bCs w:val="0"/>
        </w:rPr>
      </w:pPr>
      <w:r>
        <w:rPr>
          <w:rFonts w:ascii="宋体" w:hAnsi="宋体" w:cs="宋体" w:eastAsia="宋体" w:hint="default"/>
        </w:rPr>
        <w:t>1</w:t>
      </w:r>
      <w:r>
        <w:rPr/>
        <w:t>、股份变动情况</w:t>
      </w:r>
      <w:r>
        <w:rPr>
          <w:b w:val="0"/>
          <w:bCs w:val="0"/>
        </w:rPr>
      </w:r>
    </w:p>
    <w:p>
      <w:pPr>
        <w:spacing w:line="240" w:lineRule="auto" w:before="6"/>
        <w:rPr>
          <w:rFonts w:ascii="宋体" w:hAnsi="宋体" w:cs="宋体" w:eastAsia="宋体" w:hint="default"/>
          <w:b/>
          <w:bCs/>
          <w:sz w:val="16"/>
          <w:szCs w:val="16"/>
        </w:rPr>
      </w:pPr>
    </w:p>
    <w:tbl>
      <w:tblPr>
        <w:tblW w:w="0" w:type="auto"/>
        <w:jc w:val="left"/>
        <w:tblInd w:w="103" w:type="dxa"/>
        <w:tblLayout w:type="fixed"/>
        <w:tblCellMar>
          <w:top w:w="0" w:type="dxa"/>
          <w:left w:w="0" w:type="dxa"/>
          <w:bottom w:w="0" w:type="dxa"/>
          <w:right w:w="0" w:type="dxa"/>
        </w:tblCellMar>
        <w:tblLook w:val="01E0"/>
      </w:tblPr>
      <w:tblGrid>
        <w:gridCol w:w="1962"/>
        <w:gridCol w:w="1147"/>
        <w:gridCol w:w="850"/>
        <w:gridCol w:w="1135"/>
        <w:gridCol w:w="708"/>
        <w:gridCol w:w="1135"/>
        <w:gridCol w:w="566"/>
        <w:gridCol w:w="1133"/>
        <w:gridCol w:w="1135"/>
        <w:gridCol w:w="850"/>
      </w:tblGrid>
      <w:tr>
        <w:trPr>
          <w:trHeight w:val="146"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67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4679" w:type="dxa"/>
            <w:gridSpan w:val="5"/>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r>
      <w:tr>
        <w:trPr>
          <w:trHeight w:val="134"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14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4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51,000,000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75%</w:t>
            </w:r>
          </w:p>
        </w:tc>
      </w:tr>
      <w:tr>
        <w:trPr>
          <w:trHeight w:val="28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14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51,000,000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75%</w:t>
            </w:r>
          </w:p>
        </w:tc>
      </w:tr>
      <w:tr>
        <w:trPr>
          <w:trHeight w:val="28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4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10,947,954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21.47%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10,947,954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16.10%</w:t>
            </w:r>
          </w:p>
        </w:tc>
      </w:tr>
      <w:tr>
        <w:trPr>
          <w:trHeight w:val="28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4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40,052,046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78.53%</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40,052,046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58.90%</w:t>
            </w:r>
          </w:p>
        </w:tc>
      </w:tr>
      <w:tr>
        <w:trPr>
          <w:trHeight w:val="28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7"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sz w:val="21"/>
              </w:rPr>
              <w:t>17,000,000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25%</w:t>
            </w:r>
          </w:p>
        </w:tc>
      </w:tr>
      <w:tr>
        <w:trPr>
          <w:trHeight w:val="28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147"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sz w:val="21"/>
              </w:rPr>
              <w:t>17,000,000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25%</w:t>
            </w:r>
          </w:p>
        </w:tc>
      </w:tr>
      <w:tr>
        <w:trPr>
          <w:trHeight w:val="28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51,000,000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sz w:val="21"/>
              </w:rPr>
              <w:t>17,000,000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100%</w:t>
            </w:r>
          </w:p>
        </w:tc>
      </w:tr>
    </w:tbl>
    <w:p>
      <w:pPr>
        <w:pStyle w:val="BodyText"/>
        <w:spacing w:line="240" w:lineRule="auto" w:before="86"/>
        <w:ind w:left="1013" w:right="3387"/>
        <w:jc w:val="left"/>
      </w:pPr>
      <w:r>
        <w:rPr/>
        <w:t>股份变动的原因</w:t>
      </w:r>
    </w:p>
    <w:p>
      <w:pPr>
        <w:pStyle w:val="BodyText"/>
        <w:spacing w:line="240" w:lineRule="auto" w:before="116"/>
        <w:ind w:left="1013" w:right="3387"/>
        <w:jc w:val="left"/>
      </w:pPr>
      <w:r>
        <w:rPr>
          <w:spacing w:val="-2"/>
        </w:rPr>
        <w:t>首次公开发行人民币普通股股票并在创业板上市。</w:t>
      </w:r>
      <w:r>
        <w:rPr>
          <w:spacing w:val="-62"/>
        </w:rPr>
        <w:t> </w:t>
      </w:r>
      <w:r>
        <w:rPr>
          <w:spacing w:val="-62"/>
        </w:rPr>
      </w:r>
      <w:r>
        <w:rPr/>
        <w:t>股份变动的批准情况</w:t>
      </w:r>
    </w:p>
    <w:p>
      <w:pPr>
        <w:pStyle w:val="BodyText"/>
        <w:spacing w:line="271" w:lineRule="exact"/>
        <w:ind w:left="1013" w:right="3387"/>
        <w:jc w:val="left"/>
      </w:pPr>
      <w:r>
        <w:rPr/>
        <w:t>√ 适用 □ 不适用</w:t>
      </w:r>
    </w:p>
    <w:p>
      <w:pPr>
        <w:pStyle w:val="BodyText"/>
        <w:spacing w:line="237" w:lineRule="auto" w:before="121"/>
        <w:ind w:left="592" w:right="604" w:firstLine="526"/>
        <w:jc w:val="left"/>
      </w:pPr>
      <w:r>
        <w:rPr/>
        <w:t>经中国证券监督管理委员会“证监许可 </w:t>
      </w:r>
      <w:r>
        <w:rPr>
          <w:rFonts w:ascii="宋体" w:hAnsi="宋体" w:cs="宋体" w:eastAsia="宋体" w:hint="default"/>
        </w:rPr>
        <w:t>[2011]</w:t>
      </w:r>
      <w:r>
        <w:rPr>
          <w:rFonts w:ascii="宋体" w:hAnsi="宋体" w:cs="宋体" w:eastAsia="宋体" w:hint="default"/>
          <w:spacing w:val="-9"/>
        </w:rPr>
        <w:t> </w:t>
      </w:r>
      <w:r>
        <w:rPr>
          <w:rFonts w:ascii="宋体" w:hAnsi="宋体" w:cs="宋体" w:eastAsia="宋体" w:hint="default"/>
        </w:rPr>
        <w:t>2143</w:t>
      </w:r>
      <w:r>
        <w:rPr/>
        <w:t>号“文件核准，公司于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8</w:t>
      </w:r>
      <w:r>
        <w:rPr/>
        <w:t>日向社会公</w:t>
      </w:r>
      <w:r>
        <w:rPr>
          <w:w w:val="100"/>
        </w:rPr>
        <w:t> </w:t>
      </w:r>
      <w:r>
        <w:rPr>
          <w:spacing w:val="-2"/>
        </w:rPr>
        <w:t>众公开发行</w:t>
      </w:r>
      <w:r>
        <w:rPr>
          <w:rFonts w:ascii="宋体" w:hAnsi="宋体" w:cs="宋体" w:eastAsia="宋体" w:hint="default"/>
          <w:spacing w:val="-2"/>
        </w:rPr>
        <w:t>A</w:t>
      </w:r>
      <w:r>
        <w:rPr>
          <w:spacing w:val="-2"/>
        </w:rPr>
        <w:t>股股票</w:t>
      </w:r>
      <w:r>
        <w:rPr>
          <w:rFonts w:ascii="宋体" w:hAnsi="宋体" w:cs="宋体" w:eastAsia="宋体" w:hint="default"/>
          <w:spacing w:val="-2"/>
        </w:rPr>
        <w:t>1,700</w:t>
      </w:r>
      <w:r>
        <w:rPr>
          <w:spacing w:val="-2"/>
        </w:rPr>
        <w:t>万股，本次发行采用网下向配售对象询价配售和网上向社会公众投资者定价发行</w:t>
      </w:r>
      <w:r>
        <w:rPr>
          <w:spacing w:val="-38"/>
        </w:rPr>
        <w:t> </w:t>
      </w:r>
      <w:r>
        <w:rPr>
          <w:spacing w:val="-38"/>
        </w:rPr>
      </w:r>
      <w:r>
        <w:rPr>
          <w:spacing w:val="-2"/>
        </w:rPr>
        <w:t>相结合的方式，其中，网下配售数量为</w:t>
      </w:r>
      <w:r>
        <w:rPr>
          <w:rFonts w:ascii="宋体" w:hAnsi="宋体" w:cs="宋体" w:eastAsia="宋体" w:hint="default"/>
          <w:spacing w:val="-2"/>
        </w:rPr>
        <w:t>339</w:t>
      </w:r>
      <w:r>
        <w:rPr>
          <w:spacing w:val="-2"/>
        </w:rPr>
        <w:t>万股，网上定价发行数量为</w:t>
      </w:r>
      <w:r>
        <w:rPr>
          <w:rFonts w:ascii="宋体" w:hAnsi="宋体" w:cs="宋体" w:eastAsia="宋体" w:hint="default"/>
          <w:spacing w:val="-2"/>
        </w:rPr>
        <w:t>1,361</w:t>
      </w:r>
      <w:r>
        <w:rPr>
          <w:spacing w:val="-2"/>
        </w:rPr>
        <w:t>万股。经深圳证券交易所审核</w:t>
      </w:r>
    </w:p>
    <w:p>
      <w:pPr>
        <w:pStyle w:val="BodyText"/>
        <w:spacing w:line="274" w:lineRule="exact" w:before="23"/>
        <w:ind w:left="592" w:right="604"/>
        <w:jc w:val="left"/>
      </w:pPr>
      <w:r>
        <w:rPr/>
        <w:t>（深证上 </w:t>
      </w:r>
      <w:r>
        <w:rPr>
          <w:rFonts w:ascii="宋体" w:hAnsi="宋体" w:cs="宋体" w:eastAsia="宋体" w:hint="default"/>
        </w:rPr>
        <w:t>[2012]</w:t>
      </w:r>
      <w:r>
        <w:rPr>
          <w:rFonts w:ascii="宋体" w:hAnsi="宋体" w:cs="宋体" w:eastAsia="宋体" w:hint="default"/>
          <w:spacing w:val="-30"/>
        </w:rPr>
        <w:t> </w:t>
      </w:r>
      <w:r>
        <w:rPr>
          <w:rFonts w:ascii="宋体" w:hAnsi="宋体" w:cs="宋体" w:eastAsia="宋体" w:hint="default"/>
        </w:rPr>
        <w:t>30</w:t>
      </w:r>
      <w:r>
        <w:rPr/>
        <w:t>号文件），同意公司发行的人民币普通股股票在创业板上市，证券简称为”荣科科技</w:t>
      </w:r>
      <w:r>
        <w:rPr>
          <w:w w:val="100"/>
        </w:rPr>
        <w:t> </w:t>
      </w:r>
      <w:r>
        <w:rPr/>
        <w:t>“，证券代码为”300290“。</w:t>
      </w:r>
    </w:p>
    <w:p>
      <w:pPr>
        <w:pStyle w:val="BodyText"/>
        <w:spacing w:line="245" w:lineRule="exact"/>
        <w:ind w:left="1013" w:right="3387"/>
        <w:jc w:val="left"/>
      </w:pPr>
      <w:r>
        <w:rPr/>
        <w:t>股份变动的过户情况</w:t>
      </w:r>
    </w:p>
    <w:p>
      <w:pPr>
        <w:pStyle w:val="BodyText"/>
        <w:spacing w:line="272" w:lineRule="exact" w:before="27"/>
        <w:ind w:left="1013" w:right="604"/>
        <w:jc w:val="left"/>
      </w:pPr>
      <w:r>
        <w:rPr/>
        <w:t>无</w:t>
      </w:r>
      <w:r>
        <w:rPr>
          <w:w w:val="100"/>
        </w:rPr>
        <w:t> </w:t>
      </w:r>
      <w:r>
        <w:rPr>
          <w:spacing w:val="-2"/>
        </w:rPr>
        <w:t>股份变动对最近一年和最近一期基本每股收益和稀释每股收益、归属于公司普通股股东的每股净资产</w:t>
      </w:r>
    </w:p>
    <w:p>
      <w:pPr>
        <w:pStyle w:val="BodyText"/>
        <w:spacing w:line="247" w:lineRule="exact"/>
        <w:ind w:left="592" w:right="3387"/>
        <w:jc w:val="left"/>
      </w:pPr>
      <w:r>
        <w:rPr/>
        <w:t>等财务指标的影响</w:t>
      </w:r>
    </w:p>
    <w:p>
      <w:pPr>
        <w:pStyle w:val="BodyText"/>
        <w:spacing w:line="273" w:lineRule="exact"/>
        <w:ind w:left="1013" w:right="3387"/>
        <w:jc w:val="left"/>
      </w:pPr>
      <w:r>
        <w:rPr/>
        <w:t>√ 适用 □ 不适用</w:t>
      </w:r>
    </w:p>
    <w:p>
      <w:pPr>
        <w:pStyle w:val="BodyText"/>
        <w:spacing w:line="237" w:lineRule="auto" w:before="121"/>
        <w:ind w:left="592" w:right="604" w:firstLine="422"/>
        <w:jc w:val="left"/>
      </w:pPr>
      <w:r>
        <w:rPr/>
        <w:t>报告期内</w:t>
      </w:r>
      <w:r>
        <w:rPr>
          <w:rFonts w:ascii="宋体" w:hAnsi="宋体" w:cs="宋体" w:eastAsia="宋体" w:hint="default"/>
        </w:rPr>
        <w:t>,</w:t>
      </w:r>
      <w:r>
        <w:rPr/>
        <w:t>公司于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8</w:t>
      </w:r>
      <w:r>
        <w:rPr/>
        <w:t>日公开发行新股</w:t>
      </w:r>
      <w:r>
        <w:rPr>
          <w:rFonts w:ascii="宋体" w:hAnsi="宋体" w:cs="宋体" w:eastAsia="宋体" w:hint="default"/>
        </w:rPr>
        <w:t>,</w:t>
      </w:r>
      <w:r>
        <w:rPr/>
        <w:t>总股本由</w:t>
      </w:r>
      <w:r>
        <w:rPr>
          <w:rFonts w:ascii="宋体" w:hAnsi="宋体" w:cs="宋体" w:eastAsia="宋体" w:hint="default"/>
        </w:rPr>
        <w:t>5,100</w:t>
      </w:r>
      <w:r>
        <w:rPr/>
        <w:t>万股增加至</w:t>
      </w:r>
      <w:r>
        <w:rPr>
          <w:rFonts w:ascii="宋体" w:hAnsi="宋体" w:cs="宋体" w:eastAsia="宋体" w:hint="default"/>
        </w:rPr>
        <w:t>6,800</w:t>
      </w:r>
      <w:r>
        <w:rPr/>
        <w:t>万股</w:t>
      </w:r>
      <w:r>
        <w:rPr>
          <w:rFonts w:ascii="宋体" w:hAnsi="宋体" w:cs="宋体" w:eastAsia="宋体" w:hint="default"/>
        </w:rPr>
        <w:t>,</w:t>
      </w:r>
      <w:r>
        <w:rPr/>
        <w:t>本次股份变动</w:t>
      </w:r>
      <w:r>
        <w:rPr>
          <w:rFonts w:ascii="宋体" w:hAnsi="宋体" w:cs="宋体" w:eastAsia="宋体" w:hint="default"/>
        </w:rPr>
        <w:t>,</w:t>
      </w:r>
      <w:r>
        <w:rPr>
          <w:rFonts w:ascii="宋体" w:hAnsi="宋体" w:cs="宋体" w:eastAsia="宋体" w:hint="default"/>
          <w:w w:val="100"/>
        </w:rPr>
        <w:t> </w:t>
      </w:r>
      <w:r>
        <w:rPr>
          <w:spacing w:val="-2"/>
        </w:rPr>
        <w:t>对公司最近一年和最近一期基本收益和稀释每股收益、归属于公司普通股股东的每股净资产等财务指标的</w:t>
      </w:r>
      <w:r>
        <w:rPr>
          <w:spacing w:val="-43"/>
        </w:rPr>
        <w:t> </w:t>
      </w:r>
      <w:r>
        <w:rPr>
          <w:spacing w:val="-43"/>
        </w:rPr>
      </w:r>
      <w:r>
        <w:rPr/>
        <w:t>影响如下：报告期公司基本每股收益为</w:t>
      </w:r>
      <w:r>
        <w:rPr>
          <w:rFonts w:ascii="宋体" w:hAnsi="宋体" w:cs="宋体" w:eastAsia="宋体" w:hint="default"/>
        </w:rPr>
        <w:t>0.7652</w:t>
      </w:r>
      <w:r>
        <w:rPr/>
        <w:t>元</w:t>
      </w:r>
      <w:r>
        <w:rPr>
          <w:rFonts w:ascii="宋体" w:hAnsi="宋体" w:cs="宋体" w:eastAsia="宋体" w:hint="default"/>
        </w:rPr>
        <w:t>/</w:t>
      </w:r>
      <w:r>
        <w:rPr/>
        <w:t>股，同比下降</w:t>
      </w:r>
      <w:r>
        <w:rPr>
          <w:rFonts w:ascii="宋体" w:hAnsi="宋体" w:cs="宋体" w:eastAsia="宋体" w:hint="default"/>
        </w:rPr>
        <w:t>13.03%</w:t>
      </w:r>
      <w:r>
        <w:rPr/>
        <w:t>，报告期归属于上市公司股东的每</w:t>
      </w:r>
      <w:r>
        <w:rPr>
          <w:w w:val="100"/>
        </w:rPr>
        <w:t> </w:t>
      </w:r>
      <w:r>
        <w:rPr/>
        <w:t>股净资产为</w:t>
      </w:r>
      <w:r>
        <w:rPr>
          <w:rFonts w:ascii="宋体" w:hAnsi="宋体" w:cs="宋体" w:eastAsia="宋体" w:hint="default"/>
        </w:rPr>
        <w:t>5.05</w:t>
      </w:r>
      <w:r>
        <w:rPr/>
        <w:t>元</w:t>
      </w:r>
      <w:r>
        <w:rPr>
          <w:rFonts w:ascii="宋体" w:hAnsi="宋体" w:cs="宋体" w:eastAsia="宋体" w:hint="default"/>
        </w:rPr>
        <w:t>/</w:t>
      </w:r>
      <w:r>
        <w:rPr/>
        <w:t>股，同比增长</w:t>
      </w:r>
      <w:r>
        <w:rPr>
          <w:rFonts w:ascii="宋体" w:hAnsi="宋体" w:cs="宋体" w:eastAsia="宋体" w:hint="default"/>
        </w:rPr>
        <w:t>78.07%</w:t>
      </w:r>
      <w:r>
        <w:rPr/>
        <w:t>，主要系报告期内公司发行新股所致。</w:t>
      </w:r>
    </w:p>
    <w:p>
      <w:pPr>
        <w:pStyle w:val="BodyText"/>
        <w:spacing w:line="274" w:lineRule="exact" w:before="23"/>
        <w:ind w:left="1013" w:right="5067"/>
        <w:jc w:val="left"/>
      </w:pPr>
      <w:r>
        <w:rPr>
          <w:spacing w:val="-2"/>
        </w:rPr>
        <w:t>公司认为必要或证券监管机构要求披露的其他内容</w:t>
      </w:r>
      <w:r>
        <w:rPr>
          <w:spacing w:val="-62"/>
        </w:rPr>
        <w:t> </w:t>
      </w:r>
      <w:r>
        <w:rPr>
          <w:spacing w:val="-62"/>
        </w:rPr>
      </w:r>
      <w:r>
        <w:rPr/>
        <w:t>无</w:t>
      </w:r>
    </w:p>
    <w:p>
      <w:pPr>
        <w:pStyle w:val="Heading5"/>
        <w:spacing w:line="240" w:lineRule="auto" w:before="67"/>
        <w:ind w:left="592" w:right="3387"/>
        <w:jc w:val="left"/>
        <w:rPr>
          <w:b w:val="0"/>
          <w:bCs w:val="0"/>
        </w:rPr>
      </w:pPr>
      <w:r>
        <w:rPr>
          <w:rFonts w:ascii="宋体" w:hAnsi="宋体" w:cs="宋体" w:eastAsia="宋体" w:hint="default"/>
        </w:rPr>
        <w:t>2</w:t>
      </w:r>
      <w:r>
        <w:rPr/>
        <w:t>、限售股份变动情况</w:t>
      </w:r>
      <w:r>
        <w:rPr>
          <w:b w:val="0"/>
          <w:bCs w:val="0"/>
        </w:rPr>
      </w:r>
    </w:p>
    <w:p>
      <w:pPr>
        <w:spacing w:line="240" w:lineRule="auto" w:before="8"/>
        <w:rPr>
          <w:rFonts w:ascii="宋体" w:hAnsi="宋体" w:cs="宋体" w:eastAsia="宋体" w:hint="default"/>
          <w:b/>
          <w:bCs/>
          <w:sz w:val="16"/>
          <w:szCs w:val="16"/>
        </w:rPr>
      </w:pPr>
    </w:p>
    <w:tbl>
      <w:tblPr>
        <w:tblW w:w="0" w:type="auto"/>
        <w:jc w:val="left"/>
        <w:tblInd w:w="276" w:type="dxa"/>
        <w:tblLayout w:type="fixed"/>
        <w:tblCellMar>
          <w:top w:w="0" w:type="dxa"/>
          <w:left w:w="0" w:type="dxa"/>
          <w:bottom w:w="0" w:type="dxa"/>
          <w:right w:w="0" w:type="dxa"/>
        </w:tblCellMar>
        <w:tblLook w:val="01E0"/>
      </w:tblPr>
      <w:tblGrid>
        <w:gridCol w:w="1700"/>
        <w:gridCol w:w="1450"/>
        <w:gridCol w:w="1135"/>
        <w:gridCol w:w="1133"/>
        <w:gridCol w:w="1512"/>
        <w:gridCol w:w="1419"/>
        <w:gridCol w:w="1915"/>
      </w:tblGrid>
      <w:tr>
        <w:trPr>
          <w:trHeight w:val="554"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期初限售股数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本期解除限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本期增加限</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期末限售股数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317"/>
              <w:jc w:val="right"/>
              <w:rPr>
                <w:rFonts w:ascii="宋体" w:hAnsi="宋体" w:cs="宋体" w:eastAsia="宋体" w:hint="default"/>
                <w:sz w:val="21"/>
                <w:szCs w:val="21"/>
              </w:rPr>
            </w:pPr>
            <w:r>
              <w:rPr>
                <w:rFonts w:ascii="宋体" w:hAnsi="宋体" w:cs="宋体" w:eastAsia="宋体" w:hint="default"/>
                <w:spacing w:val="-1"/>
                <w:sz w:val="21"/>
                <w:szCs w:val="21"/>
              </w:rPr>
              <w:t>解除限售日期</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付艳杰</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19,633,357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pacing w:val="-1"/>
                <w:sz w:val="21"/>
              </w:rPr>
              <w:t>19,633,357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5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崔万涛</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19,633,357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pacing w:val="-1"/>
                <w:sz w:val="21"/>
              </w:rPr>
              <w:t>19,633,357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5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4" w:right="190"/>
              <w:jc w:val="left"/>
              <w:rPr>
                <w:rFonts w:ascii="宋体" w:hAnsi="宋体" w:cs="宋体" w:eastAsia="宋体" w:hint="default"/>
                <w:sz w:val="21"/>
                <w:szCs w:val="21"/>
              </w:rPr>
            </w:pPr>
            <w:r>
              <w:rPr>
                <w:rFonts w:ascii="宋体" w:hAnsi="宋体" w:cs="宋体" w:eastAsia="宋体" w:hint="default"/>
                <w:sz w:val="21"/>
                <w:szCs w:val="21"/>
              </w:rPr>
              <w:t>平安财智投资管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3,468,037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3,468,037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51"/>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0" w:lineRule="auto"/>
        <w:jc w:val="right"/>
        <w:rPr>
          <w:rFonts w:ascii="宋体" w:hAnsi="宋体" w:cs="宋体" w:eastAsia="宋体" w:hint="default"/>
          <w:sz w:val="21"/>
          <w:szCs w:val="21"/>
        </w:rPr>
        <w:sectPr>
          <w:pgSz w:w="11910" w:h="16840"/>
          <w:pgMar w:header="566" w:footer="979" w:top="1360" w:bottom="1160" w:left="540" w:right="520"/>
        </w:sectPr>
      </w:pPr>
    </w:p>
    <w:tbl>
      <w:tblPr>
        <w:tblW w:w="0" w:type="auto"/>
        <w:jc w:val="left"/>
        <w:tblInd w:w="176" w:type="dxa"/>
        <w:tblLayout w:type="fixed"/>
        <w:tblCellMar>
          <w:top w:w="0" w:type="dxa"/>
          <w:left w:w="0" w:type="dxa"/>
          <w:bottom w:w="0" w:type="dxa"/>
          <w:right w:w="0" w:type="dxa"/>
        </w:tblCellMar>
        <w:tblLook w:val="01E0"/>
      </w:tblPr>
      <w:tblGrid>
        <w:gridCol w:w="1700"/>
        <w:gridCol w:w="1450"/>
        <w:gridCol w:w="1135"/>
        <w:gridCol w:w="1133"/>
        <w:gridCol w:w="1512"/>
        <w:gridCol w:w="1419"/>
        <w:gridCol w:w="1915"/>
      </w:tblGrid>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4" w:right="189"/>
              <w:jc w:val="left"/>
              <w:rPr>
                <w:rFonts w:ascii="宋体" w:hAnsi="宋体" w:cs="宋体" w:eastAsia="宋体" w:hint="default"/>
                <w:sz w:val="21"/>
                <w:szCs w:val="21"/>
              </w:rPr>
            </w:pPr>
            <w:r>
              <w:rPr>
                <w:rFonts w:ascii="宋体" w:hAnsi="宋体" w:cs="宋体" w:eastAsia="宋体" w:hint="default"/>
                <w:sz w:val="21"/>
                <w:szCs w:val="21"/>
              </w:rPr>
              <w:t>北京正达联合投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5,099,961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pacing w:val="-1"/>
                <w:sz w:val="21"/>
              </w:rPr>
              <w:t>5,099,961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4" w:right="190"/>
              <w:jc w:val="left"/>
              <w:rPr>
                <w:rFonts w:ascii="宋体" w:hAnsi="宋体" w:cs="宋体" w:eastAsia="宋体" w:hint="default"/>
                <w:sz w:val="21"/>
                <w:szCs w:val="21"/>
              </w:rPr>
            </w:pPr>
            <w:r>
              <w:rPr>
                <w:rFonts w:ascii="宋体" w:hAnsi="宋体" w:cs="宋体" w:eastAsia="宋体" w:hint="default"/>
                <w:sz w:val="21"/>
                <w:szCs w:val="21"/>
              </w:rPr>
              <w:t>北京恒远恒信科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技发展有限公司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2,379,956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2,379,956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尹春福</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88,350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88,350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杨皓</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88,350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88,350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冯丽</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78,533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z w:val="21"/>
              </w:rPr>
              <w:t>78,533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罗福金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78,533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z w:val="21"/>
              </w:rPr>
              <w:t>78,533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杨兴礼</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78,533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z w:val="21"/>
              </w:rPr>
              <w:t>78,533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马林</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78,533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78,533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余力兴</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78,533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78,533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田英佳</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78,533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78,533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张俭</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68,717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z w:val="21"/>
              </w:rPr>
              <w:t>68,717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张喆</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68,717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宋体" w:hAnsi="宋体" w:cs="宋体" w:eastAsia="宋体" w:hint="default"/>
                <w:sz w:val="21"/>
                <w:szCs w:val="21"/>
              </w:rPr>
            </w:pPr>
            <w:r>
              <w:rPr>
                <w:rFonts w:ascii="宋体"/>
                <w:sz w:val="21"/>
              </w:rPr>
              <w:t>68,717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4" w:right="190"/>
              <w:jc w:val="left"/>
              <w:rPr>
                <w:rFonts w:ascii="宋体" w:hAnsi="宋体" w:cs="宋体" w:eastAsia="宋体" w:hint="default"/>
                <w:sz w:val="21"/>
                <w:szCs w:val="21"/>
              </w:rPr>
            </w:pPr>
            <w:r>
              <w:rPr>
                <w:rFonts w:ascii="宋体" w:hAnsi="宋体" w:cs="宋体" w:eastAsia="宋体" w:hint="default"/>
                <w:sz w:val="21"/>
                <w:szCs w:val="21"/>
              </w:rPr>
              <w:t>渤海证券股份有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1,130,000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1,130,000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4" w:right="190"/>
              <w:jc w:val="left"/>
              <w:rPr>
                <w:rFonts w:ascii="宋体" w:hAnsi="宋体" w:cs="宋体" w:eastAsia="宋体" w:hint="default"/>
                <w:sz w:val="21"/>
                <w:szCs w:val="21"/>
              </w:rPr>
            </w:pPr>
            <w:r>
              <w:rPr>
                <w:rFonts w:ascii="宋体" w:hAnsi="宋体" w:cs="宋体" w:eastAsia="宋体" w:hint="default"/>
                <w:sz w:val="21"/>
                <w:szCs w:val="21"/>
              </w:rPr>
              <w:t>宏源证券股份有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1,130,000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1,130,000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4" w:right="190"/>
              <w:jc w:val="left"/>
              <w:rPr>
                <w:rFonts w:ascii="宋体" w:hAnsi="宋体" w:cs="宋体" w:eastAsia="宋体" w:hint="default"/>
                <w:sz w:val="21"/>
                <w:szCs w:val="21"/>
              </w:rPr>
            </w:pPr>
            <w:r>
              <w:rPr>
                <w:rFonts w:ascii="宋体" w:hAnsi="宋体" w:cs="宋体" w:eastAsia="宋体" w:hint="default"/>
                <w:sz w:val="21"/>
                <w:szCs w:val="21"/>
              </w:rPr>
              <w:t>银泰证券有限责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1,130,000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1,130,000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637"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宋体" w:hAnsi="宋体" w:cs="宋体" w:eastAsia="宋体" w:hint="default"/>
                <w:sz w:val="21"/>
                <w:szCs w:val="21"/>
              </w:rPr>
            </w:pPr>
            <w:r>
              <w:rPr>
                <w:rFonts w:ascii="宋体"/>
                <w:spacing w:val="-1"/>
                <w:sz w:val="21"/>
              </w:rPr>
              <w:t>54,390,000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3,390,000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w w:val="100"/>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宋体" w:hAnsi="宋体" w:cs="宋体" w:eastAsia="宋体" w:hint="default"/>
                <w:sz w:val="21"/>
                <w:szCs w:val="21"/>
              </w:rPr>
            </w:pPr>
            <w:r>
              <w:rPr>
                <w:rFonts w:ascii="宋体"/>
                <w:spacing w:val="-1"/>
                <w:sz w:val="21"/>
              </w:rPr>
              <w:t>51,000,000</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 w:right="0"/>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宋体" w:hAnsi="宋体" w:cs="宋体" w:eastAsia="宋体" w:hint="default"/>
                <w:sz w:val="21"/>
                <w:szCs w:val="21"/>
              </w:rPr>
            </w:pPr>
            <w:r>
              <w:rPr>
                <w:rFonts w:ascii="宋体"/>
                <w:sz w:val="21"/>
              </w:rPr>
              <w:t>--</w:t>
            </w:r>
          </w:p>
        </w:tc>
      </w:tr>
    </w:tbl>
    <w:p>
      <w:pPr>
        <w:spacing w:line="240" w:lineRule="auto" w:before="4"/>
        <w:rPr>
          <w:rFonts w:ascii="宋体" w:hAnsi="宋体" w:cs="宋体" w:eastAsia="宋体" w:hint="default"/>
          <w:b/>
          <w:bCs/>
          <w:sz w:val="10"/>
          <w:szCs w:val="10"/>
        </w:rPr>
      </w:pPr>
    </w:p>
    <w:p>
      <w:pPr>
        <w:pStyle w:val="Heading4"/>
        <w:spacing w:line="240" w:lineRule="auto" w:before="26"/>
        <w:ind w:left="492" w:right="0"/>
        <w:jc w:val="left"/>
        <w:rPr>
          <w:b w:val="0"/>
          <w:bCs w:val="0"/>
        </w:rPr>
      </w:pPr>
      <w:r>
        <w:rPr/>
        <w:t>二、证券发行与上市情况</w:t>
      </w:r>
      <w:r>
        <w:rPr>
          <w:b w:val="0"/>
          <w:bCs w:val="0"/>
        </w:rPr>
      </w:r>
    </w:p>
    <w:p>
      <w:pPr>
        <w:pStyle w:val="Heading5"/>
        <w:spacing w:line="240" w:lineRule="auto" w:before="201"/>
        <w:ind w:left="492" w:right="0"/>
        <w:jc w:val="left"/>
        <w:rPr>
          <w:b w:val="0"/>
          <w:bCs w:val="0"/>
        </w:rPr>
      </w:pPr>
      <w:r>
        <w:rPr>
          <w:rFonts w:ascii="宋体" w:hAnsi="宋体" w:cs="宋体" w:eastAsia="宋体" w:hint="default"/>
        </w:rPr>
        <w:t>1</w:t>
      </w:r>
      <w:r>
        <w:rPr/>
        <w:t>、报告期内证券发行情况</w:t>
      </w:r>
      <w:r>
        <w:rPr>
          <w:b w:val="0"/>
          <w:bCs w:val="0"/>
        </w:rPr>
      </w:r>
    </w:p>
    <w:p>
      <w:pPr>
        <w:spacing w:line="240" w:lineRule="auto" w:before="7"/>
        <w:rPr>
          <w:rFonts w:ascii="宋体" w:hAnsi="宋体" w:cs="宋体" w:eastAsia="宋体" w:hint="default"/>
          <w:b/>
          <w:bCs/>
          <w:sz w:val="16"/>
          <w:szCs w:val="16"/>
        </w:rPr>
      </w:pPr>
    </w:p>
    <w:tbl>
      <w:tblPr>
        <w:tblW w:w="0" w:type="auto"/>
        <w:jc w:val="left"/>
        <w:tblInd w:w="108" w:type="dxa"/>
        <w:tblLayout w:type="fixed"/>
        <w:tblCellMar>
          <w:top w:w="0" w:type="dxa"/>
          <w:left w:w="0" w:type="dxa"/>
          <w:bottom w:w="0" w:type="dxa"/>
          <w:right w:w="0" w:type="dxa"/>
        </w:tblCellMar>
        <w:tblLook w:val="01E0"/>
      </w:tblPr>
      <w:tblGrid>
        <w:gridCol w:w="1371"/>
        <w:gridCol w:w="1366"/>
        <w:gridCol w:w="1781"/>
        <w:gridCol w:w="173"/>
        <w:gridCol w:w="1193"/>
        <w:gridCol w:w="1368"/>
        <w:gridCol w:w="1777"/>
        <w:gridCol w:w="1368"/>
      </w:tblGrid>
      <w:tr>
        <w:trPr>
          <w:trHeight w:val="556"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证券名称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59"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21"/>
                <w:szCs w:val="21"/>
              </w:rPr>
            </w:pPr>
            <w:r>
              <w:rPr>
                <w:rFonts w:ascii="宋体" w:hAnsi="宋体" w:cs="宋体" w:eastAsia="宋体" w:hint="default"/>
                <w:spacing w:val="-9"/>
                <w:sz w:val="21"/>
                <w:szCs w:val="21"/>
              </w:rPr>
              <w:t>发行价格（或利率</w:t>
            </w:r>
          </w:p>
        </w:tc>
        <w:tc>
          <w:tcPr>
            <w:tcW w:w="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01"/>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01"/>
              <w:ind w:left="91"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59"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9"/>
              <w:jc w:val="right"/>
              <w:rPr>
                <w:rFonts w:ascii="宋体" w:hAnsi="宋体" w:cs="宋体" w:eastAsia="宋体" w:hint="default"/>
                <w:sz w:val="21"/>
                <w:szCs w:val="21"/>
              </w:rPr>
            </w:pPr>
            <w:r>
              <w:rPr>
                <w:rFonts w:ascii="宋体" w:hAnsi="宋体" w:cs="宋体" w:eastAsia="宋体" w:hint="default"/>
                <w:spacing w:val="-2"/>
                <w:sz w:val="21"/>
                <w:szCs w:val="21"/>
              </w:rPr>
              <w:t>获准上市交易数量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0"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1" w:hRule="exact"/>
        </w:trPr>
        <w:tc>
          <w:tcPr>
            <w:tcW w:w="1039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pacing w:val="-49"/>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11.11</w:t>
            </w:r>
            <w:r>
              <w:rPr>
                <w:rFonts w:ascii="宋体" w:hAnsi="宋体" w:cs="宋体" w:eastAsia="宋体" w:hint="default"/>
                <w:spacing w:val="-50"/>
                <w:sz w:val="21"/>
                <w:szCs w:val="21"/>
              </w:rPr>
              <w:t> </w:t>
            </w:r>
            <w:r>
              <w:rPr>
                <w:rFonts w:ascii="宋体" w:hAnsi="宋体" w:cs="宋体" w:eastAsia="宋体" w:hint="default"/>
                <w:sz w:val="21"/>
                <w:szCs w:val="21"/>
              </w:rPr>
              <w:t>元</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sz w:val="21"/>
              </w:rPr>
              <w:t>17,000,000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17,000,000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9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284" w:hRule="exact"/>
        </w:trPr>
        <w:tc>
          <w:tcPr>
            <w:tcW w:w="1039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权证类</w:t>
            </w:r>
          </w:p>
        </w:tc>
      </w:tr>
    </w:tbl>
    <w:p>
      <w:pPr>
        <w:spacing w:after="0" w:line="241" w:lineRule="exact"/>
        <w:jc w:val="left"/>
        <w:rPr>
          <w:rFonts w:ascii="宋体" w:hAnsi="宋体" w:cs="宋体" w:eastAsia="宋体" w:hint="default"/>
          <w:sz w:val="21"/>
          <w:szCs w:val="21"/>
        </w:rPr>
        <w:sectPr>
          <w:pgSz w:w="11910" w:h="16840"/>
          <w:pgMar w:header="566" w:footer="979" w:top="1440" w:bottom="1160" w:left="640" w:right="640"/>
        </w:sectPr>
      </w:pPr>
    </w:p>
    <w:p>
      <w:pPr>
        <w:spacing w:line="240" w:lineRule="auto" w:before="2"/>
        <w:rPr>
          <w:rFonts w:ascii="宋体" w:hAnsi="宋体" w:cs="宋体" w:eastAsia="宋体" w:hint="default"/>
          <w:b/>
          <w:bCs/>
          <w:sz w:val="20"/>
          <w:szCs w:val="20"/>
        </w:rPr>
      </w:pPr>
      <w:r>
        <w:rPr/>
        <w:pict>
          <v:group style="position:absolute;margin-left:54.84pt;margin-top:28.299982pt;width:485.65pt;height:40.15pt;mso-position-horizontal-relative:page;mso-position-vertical-relative:page;z-index:-64890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40" w:lineRule="auto" w:before="36"/>
        <w:ind w:left="713" w:right="0"/>
        <w:jc w:val="left"/>
      </w:pPr>
      <w:r>
        <w:rPr/>
        <w:t>证券发行情况的说明</w:t>
      </w:r>
    </w:p>
    <w:p>
      <w:pPr>
        <w:pStyle w:val="BodyText"/>
        <w:spacing w:line="237" w:lineRule="auto" w:before="119"/>
        <w:ind w:left="292" w:right="0" w:firstLine="422"/>
        <w:jc w:val="left"/>
      </w:pPr>
      <w:r>
        <w:rPr>
          <w:spacing w:val="-2"/>
        </w:rPr>
        <w:t>报告期内，经中国证券监督管理委员会“证监许可</w:t>
      </w:r>
      <w:r>
        <w:rPr>
          <w:rFonts w:ascii="宋体" w:hAnsi="宋体" w:cs="宋体" w:eastAsia="宋体" w:hint="default"/>
          <w:spacing w:val="-2"/>
        </w:rPr>
        <w:t>[2011]2143</w:t>
      </w:r>
      <w:r>
        <w:rPr>
          <w:spacing w:val="-2"/>
        </w:rPr>
        <w:t>号”文核准，公司于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8</w:t>
      </w:r>
      <w:r>
        <w:rPr>
          <w:spacing w:val="-2"/>
        </w:rPr>
        <w:t>日首次</w:t>
      </w:r>
      <w:r>
        <w:rPr>
          <w:w w:val="100"/>
        </w:rPr>
        <w:t> </w:t>
      </w:r>
      <w:r>
        <w:rPr>
          <w:spacing w:val="-5"/>
        </w:rPr>
        <w:t>公开向社会公众发行人民币普通股（</w:t>
      </w:r>
      <w:r>
        <w:rPr>
          <w:rFonts w:ascii="宋体" w:hAnsi="宋体" w:cs="宋体" w:eastAsia="宋体" w:hint="default"/>
          <w:spacing w:val="-5"/>
        </w:rPr>
        <w:t>A</w:t>
      </w:r>
      <w:r>
        <w:rPr>
          <w:spacing w:val="-5"/>
        </w:rPr>
        <w:t>股）</w:t>
      </w:r>
      <w:r>
        <w:rPr>
          <w:rFonts w:ascii="宋体" w:hAnsi="宋体" w:cs="宋体" w:eastAsia="宋体" w:hint="default"/>
          <w:spacing w:val="-5"/>
        </w:rPr>
        <w:t>17,000,000</w:t>
      </w:r>
      <w:r>
        <w:rPr>
          <w:spacing w:val="-5"/>
        </w:rPr>
        <w:t>股，其中网下发行</w:t>
      </w:r>
      <w:r>
        <w:rPr>
          <w:rFonts w:ascii="宋体" w:hAnsi="宋体" w:cs="宋体" w:eastAsia="宋体" w:hint="default"/>
          <w:spacing w:val="-5"/>
        </w:rPr>
        <w:t>3,390,000</w:t>
      </w:r>
      <w:r>
        <w:rPr>
          <w:spacing w:val="-5"/>
        </w:rPr>
        <w:t>股，网上发行</w:t>
      </w:r>
      <w:r>
        <w:rPr>
          <w:rFonts w:ascii="宋体" w:hAnsi="宋体" w:cs="宋体" w:eastAsia="宋体" w:hint="default"/>
          <w:spacing w:val="-5"/>
        </w:rPr>
        <w:t>13,610,000</w:t>
      </w:r>
      <w:r>
        <w:rPr>
          <w:rFonts w:ascii="宋体" w:hAnsi="宋体" w:cs="宋体" w:eastAsia="宋体" w:hint="default"/>
          <w:spacing w:val="-40"/>
        </w:rPr>
        <w:t> </w:t>
      </w:r>
      <w:r>
        <w:rPr>
          <w:rFonts w:ascii="宋体" w:hAnsi="宋体" w:cs="宋体" w:eastAsia="宋体" w:hint="default"/>
          <w:spacing w:val="-40"/>
        </w:rPr>
      </w:r>
      <w:r>
        <w:rPr/>
        <w:t>股；发行价格</w:t>
      </w:r>
      <w:r>
        <w:rPr>
          <w:rFonts w:ascii="宋体" w:hAnsi="宋体" w:cs="宋体" w:eastAsia="宋体" w:hint="default"/>
        </w:rPr>
        <w:t>11.11</w:t>
      </w:r>
      <w:r>
        <w:rPr/>
        <w:t>元</w:t>
      </w:r>
      <w:r>
        <w:rPr>
          <w:rFonts w:ascii="宋体" w:hAnsi="宋体" w:cs="宋体" w:eastAsia="宋体" w:hint="default"/>
        </w:rPr>
        <w:t>/</w:t>
      </w:r>
      <w:r>
        <w:rPr/>
        <w:t>股，募集资金总额为人民币</w:t>
      </w:r>
      <w:r>
        <w:rPr>
          <w:rFonts w:ascii="宋体" w:hAnsi="宋体" w:cs="宋体" w:eastAsia="宋体" w:hint="default"/>
        </w:rPr>
        <w:t>188,870,000.00</w:t>
      </w:r>
      <w:r>
        <w:rPr/>
        <w:t>元，扣除承销保荐费用人民币</w:t>
      </w:r>
      <w:r>
        <w:rPr>
          <w:w w:val="100"/>
        </w:rPr>
        <w:t> </w:t>
      </w:r>
      <w:r>
        <w:rPr>
          <w:rFonts w:ascii="宋体" w:hAnsi="宋体" w:cs="宋体" w:eastAsia="宋体" w:hint="default"/>
        </w:rPr>
        <w:t>19,632,200.00</w:t>
      </w:r>
      <w:r>
        <w:rPr/>
        <w:t>元后的余额</w:t>
      </w:r>
      <w:r>
        <w:rPr>
          <w:rFonts w:ascii="宋体" w:hAnsi="宋体" w:cs="宋体" w:eastAsia="宋体" w:hint="default"/>
        </w:rPr>
        <w:t>169,237,800.00</w:t>
      </w:r>
      <w:r>
        <w:rPr/>
        <w:t>元汇入公司银行账号，另扣减其他相关发行费用人民币</w:t>
      </w:r>
    </w:p>
    <w:p>
      <w:pPr>
        <w:pStyle w:val="BodyText"/>
        <w:spacing w:line="237" w:lineRule="auto"/>
        <w:ind w:left="292" w:right="286"/>
        <w:jc w:val="both"/>
      </w:pPr>
      <w:r>
        <w:rPr>
          <w:rFonts w:ascii="宋体" w:hAnsi="宋体" w:cs="宋体" w:eastAsia="宋体" w:hint="default"/>
          <w:spacing w:val="-2"/>
        </w:rPr>
        <w:t>6,657,000.00</w:t>
      </w:r>
      <w:r>
        <w:rPr>
          <w:spacing w:val="-2"/>
        </w:rPr>
        <w:t>元后，募集资金净额为人民币</w:t>
      </w:r>
      <w:r>
        <w:rPr>
          <w:rFonts w:ascii="宋体" w:hAnsi="宋体" w:cs="宋体" w:eastAsia="宋体" w:hint="default"/>
          <w:spacing w:val="-2"/>
        </w:rPr>
        <w:t>162,580,800.00</w:t>
      </w:r>
      <w:r>
        <w:rPr>
          <w:spacing w:val="-2"/>
        </w:rPr>
        <w:t>元。上述募集资金到位情况业经华普天健会计</w:t>
      </w:r>
      <w:r>
        <w:rPr>
          <w:spacing w:val="-19"/>
        </w:rPr>
        <w:t> </w:t>
      </w:r>
      <w:r>
        <w:rPr>
          <w:spacing w:val="-19"/>
        </w:rPr>
      </w:r>
      <w:r>
        <w:rPr>
          <w:spacing w:val="-2"/>
        </w:rPr>
        <w:t>师事务所（北京）有限公司会验字</w:t>
      </w:r>
      <w:r>
        <w:rPr>
          <w:rFonts w:ascii="宋体" w:hAnsi="宋体" w:cs="宋体" w:eastAsia="宋体" w:hint="default"/>
          <w:spacing w:val="-2"/>
        </w:rPr>
        <w:t>[2012]0345</w:t>
      </w:r>
      <w:r>
        <w:rPr>
          <w:spacing w:val="-2"/>
        </w:rPr>
        <w:t>号《验资报告》验证，本公司对募集资金采取了专户存储制</w:t>
      </w:r>
      <w:r>
        <w:rPr>
          <w:spacing w:val="-33"/>
        </w:rPr>
        <w:t> </w:t>
      </w:r>
      <w:r>
        <w:rPr>
          <w:spacing w:val="-33"/>
        </w:rPr>
      </w:r>
      <w:r>
        <w:rPr/>
        <w:t>度。此次发行后，公司总股本由发行前的</w:t>
      </w:r>
      <w:r>
        <w:rPr>
          <w:rFonts w:ascii="宋体" w:hAnsi="宋体" w:cs="宋体" w:eastAsia="宋体" w:hint="default"/>
        </w:rPr>
        <w:t>51,000,000</w:t>
      </w:r>
      <w:r>
        <w:rPr/>
        <w:t>股，变更为报告期末的</w:t>
      </w:r>
      <w:r>
        <w:rPr>
          <w:rFonts w:ascii="宋体" w:hAnsi="宋体" w:cs="宋体" w:eastAsia="宋体" w:hint="default"/>
        </w:rPr>
        <w:t>68,000,000</w:t>
      </w:r>
      <w:r>
        <w:rPr/>
        <w:t>股。</w:t>
      </w:r>
    </w:p>
    <w:p>
      <w:pPr>
        <w:pStyle w:val="Heading5"/>
        <w:spacing w:line="240" w:lineRule="auto" w:before="95"/>
        <w:ind w:left="292" w:right="0"/>
        <w:jc w:val="both"/>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14"/>
          <w:szCs w:val="14"/>
        </w:rPr>
      </w:pPr>
    </w:p>
    <w:p>
      <w:pPr>
        <w:pStyle w:val="BodyText"/>
        <w:spacing w:line="237" w:lineRule="auto"/>
        <w:ind w:left="292" w:right="0" w:firstLine="420"/>
        <w:jc w:val="left"/>
      </w:pPr>
      <w:r>
        <w:rPr>
          <w:spacing w:val="-2"/>
        </w:rPr>
        <w:t>报告期内，公司不存在因送股、转增股本、配股、增发新股、非公开发行股票、权证行权、实施股权</w:t>
      </w:r>
      <w:r>
        <w:rPr>
          <w:w w:val="100"/>
        </w:rPr>
        <w:t> </w:t>
      </w:r>
      <w:r>
        <w:rPr>
          <w:spacing w:val="-5"/>
        </w:rPr>
        <w:t>激励计划、企业合并、可转换公司债券转股、减资、债券发行或其他原因引起公司股份总数及结构的变动、</w:t>
      </w:r>
      <w:r>
        <w:rPr>
          <w:spacing w:val="-10"/>
        </w:rPr>
        <w:t> </w:t>
      </w:r>
      <w:r>
        <w:rPr>
          <w:spacing w:val="-10"/>
        </w:rPr>
      </w:r>
      <w:r>
        <w:rPr/>
        <w:t>公司资产负债结构变动的情况。</w:t>
      </w:r>
    </w:p>
    <w:p>
      <w:pPr>
        <w:spacing w:line="240" w:lineRule="auto" w:before="9"/>
        <w:rPr>
          <w:rFonts w:ascii="宋体" w:hAnsi="宋体" w:cs="宋体" w:eastAsia="宋体" w:hint="default"/>
          <w:sz w:val="14"/>
          <w:szCs w:val="14"/>
        </w:rPr>
      </w:pPr>
    </w:p>
    <w:p>
      <w:pPr>
        <w:pStyle w:val="Heading4"/>
        <w:spacing w:line="240" w:lineRule="auto"/>
        <w:ind w:left="292" w:right="0"/>
        <w:jc w:val="both"/>
        <w:rPr>
          <w:b w:val="0"/>
          <w:bCs w:val="0"/>
        </w:rPr>
      </w:pPr>
      <w:r>
        <w:rPr/>
        <w:t>三、股东和实际控制人情况</w:t>
      </w:r>
      <w:r>
        <w:rPr>
          <w:b w:val="0"/>
          <w:bCs w:val="0"/>
        </w:rPr>
      </w:r>
    </w:p>
    <w:p>
      <w:pPr>
        <w:pStyle w:val="Heading5"/>
        <w:spacing w:line="240" w:lineRule="auto" w:before="203"/>
        <w:ind w:left="292" w:right="0"/>
        <w:jc w:val="both"/>
        <w:rPr>
          <w:b w:val="0"/>
          <w:bCs w:val="0"/>
        </w:rPr>
      </w:pPr>
      <w:r>
        <w:rPr>
          <w:rFonts w:ascii="宋体" w:hAnsi="宋体" w:cs="宋体" w:eastAsia="宋体" w:hint="default"/>
        </w:rPr>
        <w:t>1</w:t>
      </w:r>
      <w:r>
        <w:rPr/>
        <w:t>、公司股东数量及持股情况</w:t>
      </w:r>
      <w:r>
        <w:rPr>
          <w:b w:val="0"/>
          <w:bCs w:val="0"/>
        </w:rPr>
      </w:r>
    </w:p>
    <w:p>
      <w:pPr>
        <w:spacing w:line="240" w:lineRule="auto" w:before="6"/>
        <w:rPr>
          <w:rFonts w:ascii="宋体" w:hAnsi="宋体" w:cs="宋体" w:eastAsia="宋体" w:hint="default"/>
          <w:b/>
          <w:bCs/>
          <w:sz w:val="16"/>
          <w:szCs w:val="16"/>
        </w:rPr>
      </w:pPr>
    </w:p>
    <w:tbl>
      <w:tblPr>
        <w:tblW w:w="0" w:type="auto"/>
        <w:jc w:val="left"/>
        <w:tblInd w:w="110" w:type="dxa"/>
        <w:tblLayout w:type="fixed"/>
        <w:tblCellMar>
          <w:top w:w="0" w:type="dxa"/>
          <w:left w:w="0" w:type="dxa"/>
          <w:bottom w:w="0" w:type="dxa"/>
          <w:right w:w="0" w:type="dxa"/>
        </w:tblCellMar>
        <w:tblLook w:val="01E0"/>
      </w:tblPr>
      <w:tblGrid>
        <w:gridCol w:w="3084"/>
        <w:gridCol w:w="1571"/>
        <w:gridCol w:w="957"/>
        <w:gridCol w:w="1135"/>
        <w:gridCol w:w="566"/>
        <w:gridCol w:w="752"/>
        <w:gridCol w:w="905"/>
        <w:gridCol w:w="136"/>
        <w:gridCol w:w="886"/>
      </w:tblGrid>
      <w:tr>
        <w:trPr>
          <w:trHeight w:val="283" w:hRule="exact"/>
        </w:trPr>
        <w:tc>
          <w:tcPr>
            <w:tcW w:w="3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1571" w:type="dxa"/>
            <w:tcBorders>
              <w:top w:val="single" w:sz="4" w:space="0" w:color="000000"/>
              <w:left w:val="single" w:sz="10" w:space="0" w:color="D2D2D2"/>
              <w:bottom w:val="single" w:sz="4" w:space="0" w:color="000000"/>
              <w:right w:val="single" w:sz="13" w:space="0" w:color="D2D2D2"/>
            </w:tcBorders>
          </w:tcPr>
          <w:p>
            <w:pPr>
              <w:pStyle w:val="TableParagraph"/>
              <w:spacing w:line="241" w:lineRule="exact"/>
              <w:ind w:left="998" w:right="0"/>
              <w:jc w:val="left"/>
              <w:rPr>
                <w:rFonts w:ascii="宋体" w:hAnsi="宋体" w:cs="宋体" w:eastAsia="宋体" w:hint="default"/>
                <w:sz w:val="21"/>
                <w:szCs w:val="21"/>
              </w:rPr>
            </w:pPr>
            <w:r>
              <w:rPr>
                <w:rFonts w:ascii="宋体"/>
                <w:sz w:val="21"/>
              </w:rPr>
              <w:t>3,818</w:t>
            </w:r>
          </w:p>
        </w:tc>
        <w:tc>
          <w:tcPr>
            <w:tcW w:w="445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个交易日末的股东总数</w:t>
            </w:r>
          </w:p>
        </w:tc>
        <w:tc>
          <w:tcPr>
            <w:tcW w:w="88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sz w:val="21"/>
              </w:rPr>
              <w:t>3,952</w:t>
            </w:r>
          </w:p>
        </w:tc>
      </w:tr>
      <w:tr>
        <w:trPr>
          <w:trHeight w:val="276" w:hRule="exact"/>
        </w:trPr>
        <w:tc>
          <w:tcPr>
            <w:tcW w:w="999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r>
        <w:trPr>
          <w:trHeight w:val="151" w:hRule="exact"/>
        </w:trPr>
        <w:tc>
          <w:tcPr>
            <w:tcW w:w="3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251"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5"/>
              <w:ind w:left="24" w:right="20"/>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件的股份数量</w:t>
            </w:r>
          </w:p>
        </w:tc>
        <w:tc>
          <w:tcPr>
            <w:tcW w:w="19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23"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32" w:hRule="exact"/>
        </w:trPr>
        <w:tc>
          <w:tcPr>
            <w:tcW w:w="3084"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57"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1318" w:type="dxa"/>
            <w:gridSpan w:val="2"/>
            <w:vMerge/>
            <w:tcBorders>
              <w:left w:val="single" w:sz="4" w:space="0" w:color="000000"/>
              <w:right w:val="single" w:sz="4" w:space="0" w:color="000000"/>
            </w:tcBorders>
            <w:shd w:val="clear" w:color="auto" w:fill="D2D2D2"/>
          </w:tcPr>
          <w:p>
            <w:pPr/>
          </w:p>
        </w:tc>
        <w:tc>
          <w:tcPr>
            <w:tcW w:w="1927" w:type="dxa"/>
            <w:gridSpan w:val="3"/>
            <w:vMerge/>
            <w:tcBorders>
              <w:left w:val="single" w:sz="4" w:space="0" w:color="000000"/>
              <w:bottom w:val="single" w:sz="4" w:space="0" w:color="000000"/>
              <w:right w:val="single" w:sz="4" w:space="0" w:color="000000"/>
            </w:tcBorders>
            <w:shd w:val="clear" w:color="auto" w:fill="D2D2D2"/>
          </w:tcPr>
          <w:p>
            <w:pPr/>
          </w:p>
        </w:tc>
      </w:tr>
      <w:tr>
        <w:trPr>
          <w:trHeight w:val="142" w:hRule="exact"/>
        </w:trPr>
        <w:tc>
          <w:tcPr>
            <w:tcW w:w="3084" w:type="dxa"/>
            <w:vMerge/>
            <w:tcBorders>
              <w:left w:val="single" w:sz="4" w:space="0" w:color="000000"/>
              <w:bottom w:val="nil" w:sz="6" w:space="0" w:color="auto"/>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318" w:type="dxa"/>
            <w:gridSpan w:val="2"/>
            <w:vMerge/>
            <w:tcBorders>
              <w:left w:val="single" w:sz="4" w:space="0" w:color="000000"/>
              <w:right w:val="single" w:sz="4" w:space="0" w:color="000000"/>
            </w:tcBorders>
            <w:shd w:val="clear" w:color="auto" w:fill="D2D2D2"/>
          </w:tcPr>
          <w:p>
            <w:pPr/>
          </w:p>
        </w:tc>
        <w:tc>
          <w:tcPr>
            <w:tcW w:w="10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31"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46" w:hRule="exact"/>
        </w:trPr>
        <w:tc>
          <w:tcPr>
            <w:tcW w:w="3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gridSpan w:val="2"/>
            <w:vMerge/>
            <w:tcBorders>
              <w:left w:val="single" w:sz="4" w:space="0" w:color="000000"/>
              <w:bottom w:val="single" w:sz="4" w:space="0" w:color="000000"/>
              <w:right w:val="single" w:sz="4" w:space="0" w:color="000000"/>
            </w:tcBorders>
            <w:shd w:val="clear" w:color="auto" w:fill="D2D2D2"/>
          </w:tcPr>
          <w:p>
            <w:pPr/>
          </w:p>
        </w:tc>
        <w:tc>
          <w:tcPr>
            <w:tcW w:w="1041" w:type="dxa"/>
            <w:gridSpan w:val="2"/>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付艳杰</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57" w:type="dxa"/>
            <w:tcBorders>
              <w:top w:val="single" w:sz="6" w:space="0" w:color="000000"/>
              <w:left w:val="single" w:sz="4" w:space="0" w:color="000000"/>
              <w:bottom w:val="single" w:sz="4" w:space="0" w:color="000000"/>
              <w:right w:val="single" w:sz="4" w:space="0" w:color="000000"/>
            </w:tcBorders>
          </w:tcPr>
          <w:p>
            <w:pPr>
              <w:pStyle w:val="TableParagraph"/>
              <w:spacing w:line="238" w:lineRule="exact"/>
              <w:ind w:right="17"/>
              <w:jc w:val="right"/>
              <w:rPr>
                <w:rFonts w:ascii="宋体" w:hAnsi="宋体" w:cs="宋体" w:eastAsia="宋体" w:hint="default"/>
                <w:sz w:val="21"/>
                <w:szCs w:val="21"/>
              </w:rPr>
            </w:pPr>
            <w:r>
              <w:rPr>
                <w:rFonts w:ascii="宋体"/>
                <w:sz w:val="21"/>
              </w:rPr>
              <w:t>28.87%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19,633,357</w:t>
            </w:r>
          </w:p>
        </w:tc>
        <w:tc>
          <w:tcPr>
            <w:tcW w:w="1318" w:type="dxa"/>
            <w:gridSpan w:val="2"/>
            <w:tcBorders>
              <w:top w:val="single" w:sz="6" w:space="0" w:color="000000"/>
              <w:left w:val="single" w:sz="4" w:space="0" w:color="000000"/>
              <w:bottom w:val="single" w:sz="4" w:space="0" w:color="000000"/>
              <w:right w:val="single" w:sz="4" w:space="0" w:color="000000"/>
            </w:tcBorders>
          </w:tcPr>
          <w:p>
            <w:pPr>
              <w:pStyle w:val="TableParagraph"/>
              <w:spacing w:line="238" w:lineRule="exact"/>
              <w:ind w:left="235" w:right="0"/>
              <w:jc w:val="left"/>
              <w:rPr>
                <w:rFonts w:ascii="宋体" w:hAnsi="宋体" w:cs="宋体" w:eastAsia="宋体" w:hint="default"/>
                <w:sz w:val="21"/>
                <w:szCs w:val="21"/>
              </w:rPr>
            </w:pPr>
            <w:r>
              <w:rPr>
                <w:rFonts w:ascii="宋体"/>
                <w:sz w:val="21"/>
              </w:rPr>
              <w:t>19,633,357</w:t>
            </w: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崔万涛</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28.87%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19,633,357</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sz w:val="21"/>
              </w:rPr>
              <w:t>19,633,357</w:t>
            </w: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北京正达联合投资有限公司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5,099,961</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5,099,961</w:t>
            </w: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平安财智投资管理有限公司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3,468,037</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3,468,037</w:t>
            </w: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北京恒远恒信科技发展有限公司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2,379,956</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2,379,956</w:t>
            </w: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高阿凤</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1,102,749</w:t>
            </w: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王爱香</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444,237</w:t>
            </w: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何方</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269,561</w:t>
            </w: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孙晓天</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268,883</w:t>
            </w: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廖汝晓</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244,917</w:t>
            </w: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1041" w:type="dxa"/>
            <w:gridSpan w:val="2"/>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99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281" w:hRule="exact"/>
        </w:trPr>
        <w:tc>
          <w:tcPr>
            <w:tcW w:w="56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持有无限售条件</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2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5613" w:type="dxa"/>
            <w:gridSpan w:val="3"/>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0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284"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高阿凤</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1,102,749</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sz w:val="21"/>
              </w:rPr>
              <w:t>1,102,749</w:t>
            </w:r>
          </w:p>
        </w:tc>
      </w:tr>
      <w:tr>
        <w:trPr>
          <w:trHeight w:val="281"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王爱香</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sz w:val="21"/>
              </w:rPr>
              <w:t>444,237</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444,237</w:t>
            </w:r>
          </w:p>
        </w:tc>
      </w:tr>
      <w:tr>
        <w:trPr>
          <w:trHeight w:val="283"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何方</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sz w:val="21"/>
              </w:rPr>
              <w:t>269,561</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269,561</w:t>
            </w:r>
          </w:p>
        </w:tc>
      </w:tr>
      <w:tr>
        <w:trPr>
          <w:trHeight w:val="283"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孙晓天</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sz w:val="21"/>
              </w:rPr>
              <w:t>268,883</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268,883</w:t>
            </w:r>
          </w:p>
        </w:tc>
      </w:tr>
      <w:tr>
        <w:trPr>
          <w:trHeight w:val="281"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廖汝晓</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sz w:val="21"/>
              </w:rPr>
              <w:t>244,917</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244,917</w:t>
            </w:r>
          </w:p>
        </w:tc>
      </w:tr>
      <w:tr>
        <w:trPr>
          <w:trHeight w:val="283"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林源钦</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sz w:val="21"/>
              </w:rPr>
              <w:t>236,800</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236,800</w:t>
            </w:r>
          </w:p>
        </w:tc>
      </w:tr>
      <w:tr>
        <w:trPr>
          <w:trHeight w:val="281"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李继平</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sz w:val="21"/>
              </w:rPr>
              <w:t>221,700</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221,700</w:t>
            </w:r>
          </w:p>
        </w:tc>
      </w:tr>
      <w:tr>
        <w:trPr>
          <w:trHeight w:val="557"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兴业全球基金公司－兴业－兴全特定策略</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号特定多客户资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产管理</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36" w:right="0"/>
              <w:jc w:val="left"/>
              <w:rPr>
                <w:rFonts w:ascii="宋体" w:hAnsi="宋体" w:cs="宋体" w:eastAsia="宋体" w:hint="default"/>
                <w:sz w:val="21"/>
                <w:szCs w:val="21"/>
              </w:rPr>
            </w:pPr>
            <w:r>
              <w:rPr>
                <w:rFonts w:ascii="宋体"/>
                <w:sz w:val="21"/>
              </w:rPr>
              <w:t>165,314</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sz w:val="21"/>
              </w:rPr>
              <w:t>165,314</w:t>
            </w:r>
          </w:p>
        </w:tc>
      </w:tr>
      <w:tr>
        <w:trPr>
          <w:trHeight w:val="281"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颜蓬</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sz w:val="21"/>
              </w:rPr>
              <w:t>161,497</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161,497</w:t>
            </w:r>
          </w:p>
        </w:tc>
      </w:tr>
      <w:tr>
        <w:trPr>
          <w:trHeight w:val="283" w:hRule="exact"/>
        </w:trPr>
        <w:tc>
          <w:tcPr>
            <w:tcW w:w="5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宫晨</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sz w:val="21"/>
              </w:rPr>
              <w:t>153,600</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153,600</w:t>
            </w:r>
          </w:p>
        </w:tc>
      </w:tr>
      <w:tr>
        <w:trPr>
          <w:trHeight w:val="555" w:hRule="exact"/>
        </w:trPr>
        <w:tc>
          <w:tcPr>
            <w:tcW w:w="56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3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股东</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人</w:t>
            </w:r>
            <w:r>
              <w:rPr>
                <w:rFonts w:ascii="宋体" w:hAnsi="宋体" w:cs="宋体" w:eastAsia="宋体" w:hint="default"/>
                <w:w w:val="100"/>
                <w:sz w:val="21"/>
                <w:szCs w:val="21"/>
              </w:rPr>
              <w:t>为付</w:t>
            </w:r>
            <w:r>
              <w:rPr>
                <w:rFonts w:ascii="宋体" w:hAnsi="宋体" w:cs="宋体" w:eastAsia="宋体" w:hint="default"/>
                <w:spacing w:val="-3"/>
                <w:w w:val="100"/>
                <w:sz w:val="21"/>
                <w:szCs w:val="21"/>
              </w:rPr>
              <w:t>艳</w:t>
            </w:r>
            <w:r>
              <w:rPr>
                <w:rFonts w:ascii="宋体" w:hAnsi="宋体" w:cs="宋体" w:eastAsia="宋体" w:hint="default"/>
                <w:w w:val="100"/>
                <w:sz w:val="21"/>
                <w:szCs w:val="21"/>
              </w:rPr>
              <w:t>杰</w:t>
            </w:r>
            <w:r>
              <w:rPr>
                <w:rFonts w:ascii="宋体" w:hAnsi="宋体" w:cs="宋体" w:eastAsia="宋体" w:hint="default"/>
                <w:spacing w:val="-3"/>
                <w:w w:val="100"/>
                <w:sz w:val="21"/>
                <w:szCs w:val="21"/>
              </w:rPr>
              <w:t>女</w:t>
            </w:r>
            <w:r>
              <w:rPr>
                <w:rFonts w:ascii="宋体" w:hAnsi="宋体" w:cs="宋体" w:eastAsia="宋体" w:hint="default"/>
                <w:w w:val="100"/>
                <w:sz w:val="21"/>
                <w:szCs w:val="21"/>
              </w:rPr>
              <w:t>士</w:t>
            </w:r>
            <w:r>
              <w:rPr>
                <w:rFonts w:ascii="宋体" w:hAnsi="宋体" w:cs="宋体" w:eastAsia="宋体" w:hint="default"/>
                <w:spacing w:val="-3"/>
                <w:w w:val="100"/>
                <w:sz w:val="21"/>
                <w:szCs w:val="21"/>
              </w:rPr>
              <w:t>与</w:t>
            </w:r>
            <w:r>
              <w:rPr>
                <w:rFonts w:ascii="宋体" w:hAnsi="宋体" w:cs="宋体" w:eastAsia="宋体" w:hint="default"/>
                <w:w w:val="100"/>
                <w:sz w:val="21"/>
                <w:szCs w:val="21"/>
              </w:rPr>
              <w:t>崔万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涛先生，二人为一致行动人。</w:t>
            </w:r>
          </w:p>
        </w:tc>
      </w:tr>
    </w:tbl>
    <w:p>
      <w:pPr>
        <w:spacing w:after="0" w:line="274" w:lineRule="exact"/>
        <w:jc w:val="left"/>
        <w:rPr>
          <w:rFonts w:ascii="宋体" w:hAnsi="宋体" w:cs="宋体" w:eastAsia="宋体" w:hint="default"/>
          <w:sz w:val="21"/>
          <w:szCs w:val="21"/>
        </w:rPr>
        <w:sectPr>
          <w:headerReference w:type="default" r:id="rId28"/>
          <w:pgSz w:w="11910" w:h="16840"/>
          <w:pgMar w:header="884" w:footer="979" w:top="1100" w:bottom="1160" w:left="840" w:right="840"/>
        </w:sectPr>
      </w:pPr>
    </w:p>
    <w:p>
      <w:pPr>
        <w:spacing w:line="240" w:lineRule="auto" w:before="2"/>
        <w:rPr>
          <w:rFonts w:ascii="宋体" w:hAnsi="宋体" w:cs="宋体" w:eastAsia="宋体" w:hint="default"/>
          <w:b/>
          <w:bCs/>
          <w:sz w:val="20"/>
          <w:szCs w:val="20"/>
        </w:rPr>
      </w:pPr>
      <w:r>
        <w:rPr/>
        <w:pict>
          <v:group style="position:absolute;margin-left:54.84pt;margin-top:28.299982pt;width:485.65pt;height:40.15pt;mso-position-horizontal-relative:page;mso-position-vertical-relative:page;z-index:193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right="142"/>
        <w:jc w:val="left"/>
        <w:rPr>
          <w:b w:val="0"/>
          <w:bCs w:val="0"/>
        </w:rPr>
      </w:pPr>
      <w:r>
        <w:rPr>
          <w:rFonts w:ascii="宋体" w:hAnsi="宋体" w:cs="宋体" w:eastAsia="宋体" w:hint="default"/>
        </w:rPr>
        <w:t>2</w:t>
      </w:r>
      <w:r>
        <w:rPr/>
        <w:t>、公司控股股东情况</w:t>
      </w:r>
      <w:r>
        <w:rPr>
          <w:b w:val="0"/>
          <w:bCs w:val="0"/>
        </w:rPr>
      </w:r>
    </w:p>
    <w:p>
      <w:pPr>
        <w:spacing w:line="240" w:lineRule="auto" w:before="0"/>
        <w:rPr>
          <w:rFonts w:ascii="宋体" w:hAnsi="宋体" w:cs="宋体" w:eastAsia="宋体" w:hint="default"/>
          <w:b/>
          <w:bCs/>
          <w:sz w:val="14"/>
          <w:szCs w:val="14"/>
        </w:rPr>
      </w:pPr>
    </w:p>
    <w:p>
      <w:pPr>
        <w:pStyle w:val="BodyText"/>
        <w:spacing w:line="237" w:lineRule="auto"/>
        <w:ind w:right="142" w:firstLine="422"/>
        <w:jc w:val="left"/>
      </w:pPr>
      <w:r>
        <w:rPr/>
        <w:t>报告期内，公司的控股股东及实际控制人未发生变化。</w:t>
      </w:r>
      <w:r>
        <w:rPr>
          <w:spacing w:val="-7"/>
        </w:rPr>
        <w:t> </w:t>
      </w:r>
      <w:r>
        <w:rPr/>
        <w:t>公司的控股股东及实际控制人为付艳杰女士</w:t>
      </w:r>
      <w:r>
        <w:rPr>
          <w:w w:val="100"/>
        </w:rPr>
        <w:t> </w:t>
      </w:r>
      <w:r>
        <w:rPr>
          <w:spacing w:val="-2"/>
        </w:rPr>
        <w:t>和崔万涛先生。截至报告期末，付艳杰女士和崔万涛先生分别持有本公司</w:t>
      </w:r>
      <w:r>
        <w:rPr>
          <w:rFonts w:ascii="宋体" w:hAnsi="宋体" w:cs="宋体" w:eastAsia="宋体" w:hint="default"/>
          <w:spacing w:val="-2"/>
        </w:rPr>
        <w:t>1,963.3357</w:t>
      </w:r>
      <w:r>
        <w:rPr>
          <w:spacing w:val="-2"/>
        </w:rPr>
        <w:t>万股股份，占公司总</w:t>
      </w:r>
      <w:r>
        <w:rPr>
          <w:spacing w:val="-37"/>
        </w:rPr>
        <w:t> </w:t>
      </w:r>
      <w:r>
        <w:rPr>
          <w:spacing w:val="-37"/>
        </w:rPr>
      </w:r>
      <w:r>
        <w:rPr/>
        <w:t>股本的比例分别为</w:t>
      </w:r>
      <w:r>
        <w:rPr>
          <w:rFonts w:ascii="宋体" w:hAnsi="宋体" w:cs="宋体" w:eastAsia="宋体" w:hint="default"/>
        </w:rPr>
        <w:t>28.87%</w:t>
      </w:r>
      <w:r>
        <w:rPr/>
        <w:t>。</w:t>
      </w:r>
    </w:p>
    <w:p>
      <w:pPr>
        <w:pStyle w:val="BodyText"/>
        <w:spacing w:line="272" w:lineRule="exact" w:before="26"/>
        <w:ind w:right="142" w:firstLine="422"/>
        <w:jc w:val="left"/>
      </w:pPr>
      <w:r>
        <w:rPr>
          <w:spacing w:val="-2"/>
        </w:rPr>
        <w:t>付艳杰女士，本公司董事，</w:t>
      </w:r>
      <w:r>
        <w:rPr>
          <w:rFonts w:ascii="宋体" w:hAnsi="宋体" w:cs="宋体" w:eastAsia="宋体" w:hint="default"/>
          <w:spacing w:val="-2"/>
        </w:rPr>
        <w:t>1972</w:t>
      </w:r>
      <w:r>
        <w:rPr>
          <w:spacing w:val="-2"/>
        </w:rPr>
        <w:t>年出生，高中学历，中国国籍，无永久境外居留权。曾任荣科有限监</w:t>
      </w:r>
      <w:r>
        <w:rPr>
          <w:w w:val="100"/>
        </w:rPr>
        <w:t> </w:t>
      </w:r>
      <w:r>
        <w:rPr/>
        <w:t>事、执行董事职务，现担任本公司董事职务，目前还担任铁岭市雅森木业有限公司总经理职务。</w:t>
      </w:r>
    </w:p>
    <w:p>
      <w:pPr>
        <w:pStyle w:val="BodyText"/>
        <w:spacing w:line="272" w:lineRule="exact" w:before="1"/>
        <w:ind w:right="142" w:firstLine="422"/>
        <w:jc w:val="left"/>
      </w:pPr>
      <w:r>
        <w:rPr>
          <w:spacing w:val="-2"/>
        </w:rPr>
        <w:t>崔万涛先生，本公司董事，</w:t>
      </w:r>
      <w:r>
        <w:rPr>
          <w:rFonts w:ascii="宋体" w:hAnsi="宋体" w:cs="宋体" w:eastAsia="宋体" w:hint="default"/>
          <w:spacing w:val="-2"/>
        </w:rPr>
        <w:t>1967</w:t>
      </w:r>
      <w:r>
        <w:rPr>
          <w:spacing w:val="-2"/>
        </w:rPr>
        <w:t>年出生，高中学历，中国国籍，无永久境外居留权。曾任荣科有限执</w:t>
      </w:r>
      <w:r>
        <w:rPr>
          <w:w w:val="100"/>
        </w:rPr>
        <w:t> </w:t>
      </w:r>
      <w:r>
        <w:rPr>
          <w:spacing w:val="-2"/>
        </w:rPr>
        <w:t>行董事、监事和沈阳基业长青绿化工程有限公司执行董事等职务。现担任本公司董事职务，目前还担任辽</w:t>
      </w:r>
    </w:p>
    <w:p>
      <w:pPr>
        <w:pStyle w:val="BodyText"/>
        <w:spacing w:line="249" w:lineRule="exact"/>
        <w:ind w:right="142"/>
        <w:jc w:val="left"/>
      </w:pPr>
      <w:r>
        <w:rPr/>
        <w:t>宁恒际建筑集团公司高级项目经理、辽宁荣科金融服务有限公司监事等职务。</w:t>
      </w:r>
    </w:p>
    <w:p>
      <w:pPr>
        <w:pStyle w:val="Heading5"/>
        <w:spacing w:line="398" w:lineRule="auto" w:before="92"/>
        <w:ind w:left="573" w:right="7560" w:hanging="421"/>
        <w:jc w:val="left"/>
        <w:rPr>
          <w:rFonts w:ascii="宋体" w:hAnsi="宋体" w:cs="宋体" w:eastAsia="宋体" w:hint="default"/>
          <w:b w:val="0"/>
          <w:bCs w:val="0"/>
        </w:rPr>
      </w:pPr>
      <w:r>
        <w:rPr>
          <w:rFonts w:ascii="宋体" w:hAnsi="宋体" w:cs="宋体" w:eastAsia="宋体" w:hint="default"/>
        </w:rPr>
        <w:t>3</w:t>
      </w:r>
      <w:r>
        <w:rPr/>
        <w:t>、公司实际控制人情况</w:t>
      </w:r>
      <w:r>
        <w:rPr>
          <w:spacing w:val="-103"/>
        </w:rPr>
        <w:t> </w:t>
      </w:r>
      <w:r>
        <w:rPr>
          <w:rFonts w:ascii="宋体" w:hAnsi="宋体" w:cs="宋体" w:eastAsia="宋体" w:hint="default"/>
          <w:b w:val="0"/>
          <w:bCs w:val="0"/>
        </w:rPr>
        <w:t>同上</w:t>
      </w:r>
    </w:p>
    <w:p>
      <w:pPr>
        <w:pStyle w:val="BodyText"/>
        <w:spacing w:line="255" w:lineRule="exact"/>
        <w:ind w:left="573" w:right="142"/>
        <w:jc w:val="left"/>
      </w:pPr>
      <w:r>
        <w:rPr/>
        <w:t>公司与实际控制人之间的产权及控制关系的方框图</w:t>
      </w:r>
    </w:p>
    <w:p>
      <w:pPr>
        <w:spacing w:line="240" w:lineRule="auto" w:before="6"/>
        <w:rPr>
          <w:rFonts w:ascii="宋体" w:hAnsi="宋体" w:cs="宋体" w:eastAsia="宋体" w:hint="default"/>
          <w:sz w:val="17"/>
          <w:szCs w:val="17"/>
        </w:rPr>
      </w:pPr>
    </w:p>
    <w:p>
      <w:pPr>
        <w:spacing w:line="3274" w:lineRule="exact"/>
        <w:ind w:left="2310"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400993" cy="2079307"/>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29" cstate="print"/>
                    <a:stretch>
                      <a:fillRect/>
                    </a:stretch>
                  </pic:blipFill>
                  <pic:spPr>
                    <a:xfrm>
                      <a:off x="0" y="0"/>
                      <a:ext cx="3400993" cy="2079307"/>
                    </a:xfrm>
                    <a:prstGeom prst="rect">
                      <a:avLst/>
                    </a:prstGeom>
                  </pic:spPr>
                </pic:pic>
              </a:graphicData>
            </a:graphic>
          </wp:inline>
        </w:drawing>
      </w:r>
      <w:r>
        <w:rPr>
          <w:rFonts w:ascii="宋体" w:hAnsi="宋体" w:cs="宋体" w:eastAsia="宋体" w:hint="default"/>
          <w:position w:val="-64"/>
          <w:sz w:val="20"/>
          <w:szCs w:val="20"/>
        </w:rPr>
      </w:r>
    </w:p>
    <w:p>
      <w:pPr>
        <w:pStyle w:val="BodyText"/>
        <w:spacing w:line="240" w:lineRule="auto" w:before="149"/>
        <w:ind w:left="573" w:right="142"/>
        <w:jc w:val="left"/>
      </w:pPr>
      <w:r>
        <w:rPr/>
        <w:t>实际控制人通过信托或其他资产管理方式控制公司</w:t>
      </w:r>
    </w:p>
    <w:p>
      <w:pPr>
        <w:spacing w:line="240" w:lineRule="auto" w:before="12"/>
        <w:rPr>
          <w:rFonts w:ascii="宋体" w:hAnsi="宋体" w:cs="宋体" w:eastAsia="宋体" w:hint="default"/>
          <w:sz w:val="14"/>
          <w:szCs w:val="14"/>
        </w:rPr>
      </w:pPr>
    </w:p>
    <w:p>
      <w:pPr>
        <w:spacing w:line="321" w:lineRule="auto" w:before="0"/>
        <w:ind w:left="152" w:right="6557" w:firstLine="42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3"/>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pStyle w:val="BodyText"/>
        <w:spacing w:line="240" w:lineRule="auto" w:before="109"/>
        <w:ind w:left="573" w:right="142"/>
        <w:jc w:val="left"/>
      </w:pPr>
      <w:r>
        <w:rPr>
          <w:w w:val="100"/>
        </w:rPr>
        <w:t>无</w:t>
      </w:r>
    </w:p>
    <w:p>
      <w:pPr>
        <w:pStyle w:val="Heading5"/>
        <w:spacing w:line="240" w:lineRule="auto" w:before="94"/>
        <w:ind w:right="142"/>
        <w:jc w:val="left"/>
        <w:rPr>
          <w:b w:val="0"/>
          <w:bCs w:val="0"/>
        </w:rPr>
      </w:pPr>
      <w:r>
        <w:rPr>
          <w:rFonts w:ascii="宋体" w:hAnsi="宋体" w:cs="宋体" w:eastAsia="宋体" w:hint="default"/>
        </w:rPr>
        <w:t>5</w:t>
      </w:r>
      <w:r>
        <w:rPr/>
        <w:t>、前</w:t>
      </w:r>
      <w:r>
        <w:rPr>
          <w:spacing w:val="-54"/>
        </w:rPr>
        <w:t> </w:t>
      </w:r>
      <w:r>
        <w:rPr>
          <w:rFonts w:ascii="宋体" w:hAnsi="宋体" w:cs="宋体" w:eastAsia="宋体" w:hint="default"/>
        </w:rPr>
        <w:t>10</w:t>
      </w:r>
      <w:r>
        <w:rPr>
          <w:rFonts w:ascii="宋体" w:hAnsi="宋体" w:cs="宋体" w:eastAsia="宋体" w:hint="default"/>
          <w:spacing w:val="-54"/>
        </w:rPr>
        <w:t> </w:t>
      </w:r>
      <w:r>
        <w:rPr/>
        <w:t>名有限售条件股东持股数量及限售条件</w:t>
      </w:r>
      <w:r>
        <w:rPr>
          <w:b w:val="0"/>
          <w:bCs w:val="0"/>
        </w:rPr>
      </w:r>
    </w:p>
    <w:p>
      <w:pPr>
        <w:spacing w:line="240" w:lineRule="auto" w:before="6"/>
        <w:rPr>
          <w:rFonts w:ascii="宋体" w:hAnsi="宋体" w:cs="宋体" w:eastAsia="宋体" w:hint="default"/>
          <w:b/>
          <w:bCs/>
          <w:sz w:val="16"/>
          <w:szCs w:val="16"/>
        </w:rPr>
      </w:pPr>
    </w:p>
    <w:tbl>
      <w:tblPr>
        <w:tblW w:w="0" w:type="auto"/>
        <w:jc w:val="left"/>
        <w:tblInd w:w="181" w:type="dxa"/>
        <w:tblLayout w:type="fixed"/>
        <w:tblCellMar>
          <w:top w:w="0" w:type="dxa"/>
          <w:left w:w="0" w:type="dxa"/>
          <w:bottom w:w="0" w:type="dxa"/>
          <w:right w:w="0" w:type="dxa"/>
        </w:tblCellMar>
        <w:tblLook w:val="01E0"/>
      </w:tblPr>
      <w:tblGrid>
        <w:gridCol w:w="3087"/>
        <w:gridCol w:w="1699"/>
        <w:gridCol w:w="1844"/>
        <w:gridCol w:w="1561"/>
        <w:gridCol w:w="1382"/>
      </w:tblGrid>
      <w:tr>
        <w:trPr>
          <w:trHeight w:val="555"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593"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3" w:right="-18" w:firstLine="86"/>
              <w:jc w:val="left"/>
              <w:rPr>
                <w:rFonts w:ascii="宋体" w:hAnsi="宋体" w:cs="宋体" w:eastAsia="宋体" w:hint="default"/>
                <w:sz w:val="21"/>
                <w:szCs w:val="21"/>
              </w:rPr>
            </w:pPr>
            <w:r>
              <w:rPr>
                <w:rFonts w:ascii="宋体" w:hAnsi="宋体" w:cs="宋体" w:eastAsia="宋体" w:hint="default"/>
                <w:sz w:val="21"/>
                <w:szCs w:val="21"/>
              </w:rPr>
              <w:t>持有的有限售条</w:t>
            </w:r>
          </w:p>
          <w:p>
            <w:pPr>
              <w:pStyle w:val="TableParagraph"/>
              <w:spacing w:line="273" w:lineRule="exact"/>
              <w:ind w:left="23" w:right="-18"/>
              <w:jc w:val="left"/>
              <w:rPr>
                <w:rFonts w:ascii="宋体" w:hAnsi="宋体" w:cs="宋体" w:eastAsia="宋体" w:hint="default"/>
                <w:sz w:val="21"/>
                <w:szCs w:val="21"/>
              </w:rPr>
            </w:pPr>
            <w:r>
              <w:rPr>
                <w:rFonts w:ascii="宋体" w:hAnsi="宋体" w:cs="宋体" w:eastAsia="宋体" w:hint="default"/>
                <w:sz w:val="21"/>
                <w:szCs w:val="21"/>
              </w:rPr>
              <w:t>件股份数量（股）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股份数量（股）</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付艳杰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19,633,357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崔万涛</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19,633,357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平安财智投资管理有限公司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3,468,037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北京正达联合投资有限公司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5,099,961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北京恒远恒信科技发展有限公司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2,379,956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杨皓</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88,350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尹春福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88,350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冯丽</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78,533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杨兴礼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78,533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余力兴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78,533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首发限售</w:t>
            </w:r>
          </w:p>
        </w:tc>
      </w:tr>
    </w:tbl>
    <w:p>
      <w:pPr>
        <w:spacing w:after="0" w:line="241" w:lineRule="exact"/>
        <w:jc w:val="center"/>
        <w:rPr>
          <w:rFonts w:ascii="宋体" w:hAnsi="宋体" w:cs="宋体" w:eastAsia="宋体" w:hint="default"/>
          <w:sz w:val="21"/>
          <w:szCs w:val="21"/>
        </w:rPr>
        <w:sectPr>
          <w:pgSz w:w="11910" w:h="16840"/>
          <w:pgMar w:header="884" w:footer="979" w:top="1100" w:bottom="1160" w:left="980" w:right="980"/>
        </w:sectPr>
      </w:pPr>
    </w:p>
    <w:p>
      <w:pPr>
        <w:spacing w:line="240" w:lineRule="auto" w:before="1"/>
        <w:rPr>
          <w:rFonts w:ascii="宋体" w:hAnsi="宋体" w:cs="宋体" w:eastAsia="宋体" w:hint="default"/>
          <w:b/>
          <w:bCs/>
          <w:sz w:val="6"/>
          <w:szCs w:val="6"/>
        </w:rPr>
      </w:pPr>
    </w:p>
    <w:p>
      <w:pPr>
        <w:spacing w:line="1008" w:lineRule="exact"/>
        <w:ind w:left="684"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701.65pt;height:50.45pt;mso-position-horizontal-relative:char;mso-position-vertical-relative:line" coordorigin="0,0" coordsize="14033,1009">
            <v:group style="position:absolute;left:7;top:586;width:14019;height:2" coordorigin="7,586" coordsize="14019,2">
              <v:shape style="position:absolute;left:7;top:586;width:14019;height:2" coordorigin="7,586" coordsize="14019,0" path="m7,586l14026,586e" filled="false" stroked="true" strokeweight=".72pt" strokecolor="#000000">
                <v:path arrowok="t"/>
              </v:shape>
              <v:shape style="position:absolute;left:42;top:0;width:2160;height:803" type="#_x0000_t75" stroked="false">
                <v:imagedata r:id="rId7" o:title=""/>
              </v:shape>
              <v:shape style="position:absolute;left:12055;top:318;width:1945;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年年度报告全文</w:t>
                      </w:r>
                    </w:p>
                  </w:txbxContent>
                </v:textbox>
                <w10:wrap type="none"/>
              </v:shape>
              <v:shape style="position:absolute;left:3723;top:689;width:6584;height:320" type="#_x0000_t202" filled="false" stroked="false">
                <v:textbox inset="0,0,0,0">
                  <w:txbxContent>
                    <w:p>
                      <w:pPr>
                        <w:spacing w:line="319" w:lineRule="exact" w:before="0"/>
                        <w:ind w:left="0" w:right="0" w:firstLine="0"/>
                        <w:jc w:val="left"/>
                        <w:rPr>
                          <w:rFonts w:ascii="宋体" w:hAnsi="宋体" w:cs="宋体" w:eastAsia="宋体" w:hint="default"/>
                          <w:sz w:val="32"/>
                          <w:szCs w:val="32"/>
                        </w:rPr>
                      </w:pPr>
                      <w:bookmarkStart w:name="_bookmark6" w:id="7"/>
                      <w:bookmarkEnd w:id="7"/>
                      <w:r>
                        <w:rPr/>
                      </w:r>
                      <w:r>
                        <w:rPr>
                          <w:rFonts w:ascii="宋体" w:hAnsi="宋体" w:cs="宋体" w:eastAsia="宋体" w:hint="default"/>
                          <w:b/>
                          <w:bCs/>
                          <w:sz w:val="32"/>
                          <w:szCs w:val="32"/>
                        </w:rPr>
                        <w:t>第七节</w:t>
                      </w:r>
                      <w:r>
                        <w:rPr>
                          <w:rFonts w:ascii="宋体" w:hAnsi="宋体" w:cs="宋体" w:eastAsia="宋体" w:hint="default"/>
                          <w:b/>
                          <w:bCs/>
                          <w:spacing w:val="-9"/>
                          <w:sz w:val="32"/>
                          <w:szCs w:val="32"/>
                        </w:rPr>
                        <w:t> </w:t>
                      </w:r>
                      <w:r>
                        <w:rPr>
                          <w:rFonts w:ascii="宋体" w:hAnsi="宋体" w:cs="宋体" w:eastAsia="宋体" w:hint="default"/>
                          <w:b/>
                          <w:bCs/>
                          <w:sz w:val="32"/>
                          <w:szCs w:val="32"/>
                        </w:rPr>
                        <w:t>董事、监事、高级管理人员和员工情况</w:t>
                      </w:r>
                      <w:r>
                        <w:rPr>
                          <w:rFonts w:ascii="宋体" w:hAnsi="宋体" w:cs="宋体" w:eastAsia="宋体" w:hint="default"/>
                          <w:sz w:val="32"/>
                          <w:szCs w:val="32"/>
                        </w:rPr>
                      </w:r>
                    </w:p>
                  </w:txbxContent>
                </v:textbox>
                <w10:wrap type="none"/>
              </v:shape>
            </v:group>
          </v:group>
        </w:pict>
      </w:r>
      <w:r>
        <w:rPr>
          <w:rFonts w:ascii="宋体" w:hAnsi="宋体" w:cs="宋体" w:eastAsia="宋体" w:hint="default"/>
          <w:position w:val="-19"/>
          <w:sz w:val="20"/>
          <w:szCs w:val="20"/>
        </w:rPr>
      </w:r>
    </w:p>
    <w:p>
      <w:pPr>
        <w:spacing w:line="240" w:lineRule="auto" w:before="11"/>
        <w:rPr>
          <w:rFonts w:ascii="宋体" w:hAnsi="宋体" w:cs="宋体" w:eastAsia="宋体" w:hint="default"/>
          <w:b/>
          <w:bCs/>
          <w:sz w:val="29"/>
          <w:szCs w:val="29"/>
        </w:rPr>
      </w:pPr>
    </w:p>
    <w:p>
      <w:pPr>
        <w:pStyle w:val="Heading4"/>
        <w:spacing w:line="240" w:lineRule="auto" w:before="26"/>
        <w:ind w:left="720" w:right="0"/>
        <w:jc w:val="left"/>
        <w:rPr>
          <w:b w:val="0"/>
          <w:bCs w:val="0"/>
        </w:rPr>
      </w:pPr>
      <w:r>
        <w:rPr/>
        <w:pict>
          <v:shape style="position:absolute;margin-left:748.301941pt;margin-top:63.315624pt;width:51.75pt;height:20.4pt;mso-position-horizontal-relative:page;mso-position-vertical-relative:paragraph;z-index:-648784" type="#_x0000_t202" filled="false" stroked="false">
            <v:textbox inset="0,0,0,0">
              <w:txbxContent>
                <w:p>
                  <w:pPr>
                    <w:pStyle w:val="BodyText"/>
                    <w:spacing w:line="241" w:lineRule="exact"/>
                    <w:ind w:left="0" w:right="0"/>
                    <w:jc w:val="left"/>
                  </w:pPr>
                  <w:r>
                    <w:rPr>
                      <w:w w:val="100"/>
                    </w:rPr>
                    <w:t>）</w:t>
                  </w:r>
                </w:p>
              </w:txbxContent>
            </v:textbox>
            <w10:wrap type="none"/>
          </v:shape>
        </w:pict>
      </w:r>
      <w:r>
        <w:rPr/>
        <w:t>一、董事、监事和高级管理人员持股变动</w:t>
      </w:r>
      <w:r>
        <w:rPr>
          <w:b w:val="0"/>
          <w:bCs w:val="0"/>
        </w:rPr>
      </w:r>
    </w:p>
    <w:p>
      <w:pPr>
        <w:spacing w:line="240" w:lineRule="auto" w:before="1"/>
        <w:rPr>
          <w:rFonts w:ascii="宋体" w:hAnsi="宋体" w:cs="宋体" w:eastAsia="宋体" w:hint="default"/>
          <w:b/>
          <w:bCs/>
          <w:sz w:val="18"/>
          <w:szCs w:val="18"/>
        </w:rPr>
      </w:pPr>
    </w:p>
    <w:tbl>
      <w:tblPr>
        <w:tblW w:w="0" w:type="auto"/>
        <w:jc w:val="left"/>
        <w:tblInd w:w="108" w:type="dxa"/>
        <w:tblLayout w:type="fixed"/>
        <w:tblCellMar>
          <w:top w:w="0" w:type="dxa"/>
          <w:left w:w="0" w:type="dxa"/>
          <w:bottom w:w="0" w:type="dxa"/>
          <w:right w:w="0" w:type="dxa"/>
        </w:tblCellMar>
        <w:tblLook w:val="01E0"/>
      </w:tblPr>
      <w:tblGrid>
        <w:gridCol w:w="939"/>
        <w:gridCol w:w="1334"/>
        <w:gridCol w:w="535"/>
        <w:gridCol w:w="533"/>
        <w:gridCol w:w="1839"/>
        <w:gridCol w:w="1896"/>
        <w:gridCol w:w="1112"/>
        <w:gridCol w:w="1075"/>
        <w:gridCol w:w="1078"/>
        <w:gridCol w:w="1112"/>
        <w:gridCol w:w="938"/>
        <w:gridCol w:w="938"/>
        <w:gridCol w:w="936"/>
        <w:gridCol w:w="907"/>
      </w:tblGrid>
      <w:tr>
        <w:trPr>
          <w:trHeight w:val="1098" w:hRule="exact"/>
        </w:trPr>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250"/>
              <w:jc w:val="right"/>
              <w:rPr>
                <w:rFonts w:ascii="宋体" w:hAnsi="宋体" w:cs="宋体" w:eastAsia="宋体" w:hint="default"/>
                <w:sz w:val="21"/>
                <w:szCs w:val="21"/>
              </w:rPr>
            </w:pPr>
            <w:r>
              <w:rPr>
                <w:rFonts w:ascii="宋体" w:hAnsi="宋体" w:cs="宋体" w:eastAsia="宋体" w:hint="default"/>
                <w:sz w:val="21"/>
                <w:szCs w:val="21"/>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期初持股数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0" w:right="110"/>
              <w:jc w:val="center"/>
              <w:rPr>
                <w:rFonts w:ascii="宋体" w:hAnsi="宋体" w:cs="宋体" w:eastAsia="宋体" w:hint="default"/>
                <w:sz w:val="21"/>
                <w:szCs w:val="21"/>
              </w:rPr>
            </w:pPr>
            <w:r>
              <w:rPr>
                <w:rFonts w:ascii="宋体" w:hAnsi="宋体" w:cs="宋体" w:eastAsia="宋体" w:hint="default"/>
                <w:sz w:val="21"/>
                <w:szCs w:val="21"/>
              </w:rPr>
              <w:t>本期增持</w:t>
            </w:r>
            <w:r>
              <w:rPr>
                <w:rFonts w:ascii="宋体" w:hAnsi="宋体" w:cs="宋体" w:eastAsia="宋体" w:hint="default"/>
                <w:w w:val="100"/>
                <w:sz w:val="21"/>
                <w:szCs w:val="21"/>
              </w:rPr>
              <w:t> </w:t>
            </w:r>
            <w:r>
              <w:rPr>
                <w:rFonts w:ascii="宋体" w:hAnsi="宋体" w:cs="宋体" w:eastAsia="宋体" w:hint="default"/>
                <w:sz w:val="21"/>
                <w:szCs w:val="21"/>
              </w:rPr>
              <w:t>股份数量</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2" w:right="110"/>
              <w:jc w:val="center"/>
              <w:rPr>
                <w:rFonts w:ascii="宋体" w:hAnsi="宋体" w:cs="宋体" w:eastAsia="宋体" w:hint="default"/>
                <w:sz w:val="21"/>
                <w:szCs w:val="21"/>
              </w:rPr>
            </w:pPr>
            <w:r>
              <w:rPr>
                <w:rFonts w:ascii="宋体" w:hAnsi="宋体" w:cs="宋体" w:eastAsia="宋体" w:hint="default"/>
                <w:sz w:val="21"/>
                <w:szCs w:val="21"/>
              </w:rPr>
              <w:t>本期减持</w:t>
            </w:r>
            <w:r>
              <w:rPr>
                <w:rFonts w:ascii="宋体" w:hAnsi="宋体" w:cs="宋体" w:eastAsia="宋体" w:hint="default"/>
                <w:w w:val="100"/>
                <w:sz w:val="21"/>
                <w:szCs w:val="21"/>
              </w:rPr>
              <w:t> </w:t>
            </w:r>
            <w:r>
              <w:rPr>
                <w:rFonts w:ascii="宋体" w:hAnsi="宋体" w:cs="宋体" w:eastAsia="宋体" w:hint="default"/>
                <w:sz w:val="21"/>
                <w:szCs w:val="21"/>
              </w:rPr>
              <w:t>股份数量</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期末持股数</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4"/>
              <w:ind w:left="21" w:right="41" w:firstLine="21"/>
              <w:jc w:val="both"/>
              <w:rPr>
                <w:rFonts w:ascii="宋体" w:hAnsi="宋体" w:cs="宋体" w:eastAsia="宋体" w:hint="default"/>
                <w:sz w:val="21"/>
                <w:szCs w:val="21"/>
              </w:rPr>
            </w:pPr>
            <w:r>
              <w:rPr>
                <w:rFonts w:ascii="宋体" w:hAnsi="宋体" w:cs="宋体" w:eastAsia="宋体" w:hint="default"/>
                <w:sz w:val="21"/>
                <w:szCs w:val="21"/>
              </w:rPr>
              <w:t>期初持有</w:t>
            </w:r>
            <w:r>
              <w:rPr>
                <w:rFonts w:ascii="宋体" w:hAnsi="宋体" w:cs="宋体" w:eastAsia="宋体" w:hint="default"/>
                <w:w w:val="100"/>
                <w:sz w:val="21"/>
                <w:szCs w:val="21"/>
              </w:rPr>
              <w:t> </w:t>
            </w:r>
            <w:r>
              <w:rPr>
                <w:rFonts w:ascii="宋体" w:hAnsi="宋体" w:cs="宋体" w:eastAsia="宋体" w:hint="default"/>
                <w:sz w:val="21"/>
                <w:szCs w:val="21"/>
              </w:rPr>
              <w:t>股票期权</w:t>
            </w:r>
            <w:r>
              <w:rPr>
                <w:rFonts w:ascii="宋体" w:hAnsi="宋体" w:cs="宋体" w:eastAsia="宋体" w:hint="default"/>
                <w:w w:val="100"/>
                <w:sz w:val="21"/>
                <w:szCs w:val="21"/>
              </w:rPr>
              <w:t> </w:t>
            </w:r>
            <w:r>
              <w:rPr>
                <w:rFonts w:ascii="宋体" w:hAnsi="宋体" w:cs="宋体" w:eastAsia="宋体" w:hint="default"/>
                <w:spacing w:val="-16"/>
                <w:sz w:val="21"/>
                <w:szCs w:val="21"/>
              </w:rPr>
              <w:t>数量（股</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其中：被</w:t>
            </w:r>
          </w:p>
          <w:p>
            <w:pPr>
              <w:pStyle w:val="TableParagraph"/>
              <w:spacing w:line="272" w:lineRule="exact" w:before="26"/>
              <w:ind w:left="43" w:right="45"/>
              <w:jc w:val="left"/>
              <w:rPr>
                <w:rFonts w:ascii="宋体" w:hAnsi="宋体" w:cs="宋体" w:eastAsia="宋体" w:hint="default"/>
                <w:sz w:val="21"/>
                <w:szCs w:val="21"/>
              </w:rPr>
            </w:pPr>
            <w:r>
              <w:rPr>
                <w:rFonts w:ascii="宋体" w:hAnsi="宋体" w:cs="宋体" w:eastAsia="宋体" w:hint="default"/>
                <w:sz w:val="21"/>
                <w:szCs w:val="21"/>
              </w:rPr>
              <w:t>授予的限</w:t>
            </w:r>
            <w:r>
              <w:rPr>
                <w:rFonts w:ascii="宋体" w:hAnsi="宋体" w:cs="宋体" w:eastAsia="宋体" w:hint="default"/>
                <w:w w:val="100"/>
                <w:sz w:val="21"/>
                <w:szCs w:val="21"/>
              </w:rPr>
              <w:t> </w:t>
            </w:r>
            <w:r>
              <w:rPr>
                <w:rFonts w:ascii="宋体" w:hAnsi="宋体" w:cs="宋体" w:eastAsia="宋体" w:hint="default"/>
                <w:sz w:val="21"/>
                <w:szCs w:val="21"/>
              </w:rPr>
              <w:t>制性股票</w:t>
            </w:r>
          </w:p>
          <w:p>
            <w:pPr>
              <w:pStyle w:val="TableParagraph"/>
              <w:spacing w:line="43"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06"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数量（股</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4"/>
              <w:ind w:left="21" w:right="46" w:firstLine="19"/>
              <w:jc w:val="both"/>
              <w:rPr>
                <w:rFonts w:ascii="宋体" w:hAnsi="宋体" w:cs="宋体" w:eastAsia="宋体" w:hint="default"/>
                <w:sz w:val="21"/>
                <w:szCs w:val="21"/>
              </w:rPr>
            </w:pPr>
            <w:r>
              <w:rPr>
                <w:rFonts w:ascii="宋体" w:hAnsi="宋体" w:cs="宋体" w:eastAsia="宋体" w:hint="default"/>
                <w:sz w:val="21"/>
                <w:szCs w:val="21"/>
              </w:rPr>
              <w:t>期末持有</w:t>
            </w:r>
            <w:r>
              <w:rPr>
                <w:rFonts w:ascii="宋体" w:hAnsi="宋体" w:cs="宋体" w:eastAsia="宋体" w:hint="default"/>
                <w:w w:val="100"/>
                <w:sz w:val="21"/>
                <w:szCs w:val="21"/>
              </w:rPr>
              <w:t> </w:t>
            </w:r>
            <w:r>
              <w:rPr>
                <w:rFonts w:ascii="宋体" w:hAnsi="宋体" w:cs="宋体" w:eastAsia="宋体" w:hint="default"/>
                <w:sz w:val="21"/>
                <w:szCs w:val="21"/>
              </w:rPr>
              <w:t>股票期权</w:t>
            </w:r>
            <w:r>
              <w:rPr>
                <w:rFonts w:ascii="宋体" w:hAnsi="宋体" w:cs="宋体" w:eastAsia="宋体" w:hint="default"/>
                <w:w w:val="100"/>
                <w:sz w:val="21"/>
                <w:szCs w:val="21"/>
              </w:rPr>
              <w:t> </w:t>
            </w:r>
            <w:r>
              <w:rPr>
                <w:rFonts w:ascii="宋体" w:hAnsi="宋体" w:cs="宋体" w:eastAsia="宋体" w:hint="default"/>
                <w:spacing w:val="-17"/>
                <w:sz w:val="21"/>
                <w:szCs w:val="21"/>
              </w:rPr>
              <w:t>数量（股</w:t>
            </w:r>
          </w:p>
          <w:p>
            <w:pPr>
              <w:pStyle w:val="TableParagraph"/>
              <w:spacing w:line="137"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7"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sz w:val="21"/>
              </w:rPr>
              <w:t>45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w w:val="100"/>
                <w:sz w:val="21"/>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付艳杰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41</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19,633,357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19,633,357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崔万涛</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46</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19,633,357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19,633,357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冯丽</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37" w:lineRule="auto"/>
              <w:ind w:left="23" w:right="36"/>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100"/>
                <w:sz w:val="21"/>
                <w:szCs w:val="21"/>
              </w:rPr>
              <w:t> </w:t>
            </w:r>
            <w:r>
              <w:rPr>
                <w:rFonts w:ascii="宋体" w:hAnsi="宋体" w:cs="宋体" w:eastAsia="宋体" w:hint="default"/>
                <w:sz w:val="21"/>
                <w:szCs w:val="21"/>
              </w:rPr>
              <w:t>财务总监、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高管</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2"/>
              <w:jc w:val="center"/>
              <w:rPr>
                <w:rFonts w:ascii="宋体" w:hAnsi="宋体" w:cs="宋体" w:eastAsia="宋体" w:hint="default"/>
                <w:sz w:val="21"/>
                <w:szCs w:val="21"/>
              </w:rPr>
            </w:pPr>
            <w:r>
              <w:rPr>
                <w:rFonts w:ascii="宋体"/>
                <w:sz w:val="21"/>
              </w:rPr>
              <w:t>47</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78,533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78,533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尹春福</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董事、销售总</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监</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40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z w:val="21"/>
              </w:rPr>
              <w:t>88,350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z w:val="21"/>
              </w:rPr>
              <w:t>88,350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林木西</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59</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宋廷锋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胡亮</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余力兴</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38</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78,533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78,533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王卫华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39</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吴可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51</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杨兴礼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34</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78,533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78,533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刘斌</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34</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50"/>
              <w:jc w:val="right"/>
              <w:rPr>
                <w:rFonts w:ascii="宋体" w:hAnsi="宋体" w:cs="宋体" w:eastAsia="宋体" w:hint="default"/>
                <w:sz w:val="21"/>
                <w:szCs w:val="21"/>
              </w:rPr>
            </w:pPr>
            <w:r>
              <w:rPr>
                <w:rFonts w:ascii="宋体" w:hAnsi="宋体" w:cs="宋体" w:eastAsia="宋体" w:hint="default"/>
                <w:sz w:val="21"/>
                <w:szCs w:val="21"/>
              </w:rPr>
              <w:t>合计</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39,590,663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39,590,663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0</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spacing w:before="76"/>
        <w:ind w:left="0" w:right="713" w:firstLine="0"/>
        <w:jc w:val="right"/>
        <w:rPr>
          <w:rFonts w:ascii="Times New Roman" w:hAnsi="Times New Roman" w:cs="Times New Roman" w:eastAsia="Times New Roman" w:hint="default"/>
          <w:sz w:val="18"/>
          <w:szCs w:val="18"/>
        </w:rPr>
      </w:pPr>
      <w:r>
        <w:rPr>
          <w:rFonts w:ascii="Times New Roman"/>
          <w:sz w:val="18"/>
        </w:rPr>
        <w:t>38</w:t>
      </w:r>
    </w:p>
    <w:p>
      <w:pPr>
        <w:spacing w:after="0"/>
        <w:jc w:val="right"/>
        <w:rPr>
          <w:rFonts w:ascii="Times New Roman" w:hAnsi="Times New Roman" w:cs="Times New Roman" w:eastAsia="Times New Roman" w:hint="default"/>
          <w:sz w:val="18"/>
          <w:szCs w:val="18"/>
        </w:rPr>
        <w:sectPr>
          <w:headerReference w:type="default" r:id="rId30"/>
          <w:footerReference w:type="default" r:id="rId31"/>
          <w:pgSz w:w="16840" w:h="11910" w:orient="landscape"/>
          <w:pgMar w:header="0" w:footer="0" w:top="480" w:bottom="280" w:left="720" w:right="720"/>
        </w:sectPr>
      </w:pPr>
    </w:p>
    <w:p>
      <w:pPr>
        <w:spacing w:line="240" w:lineRule="auto" w:before="0"/>
        <w:rPr>
          <w:rFonts w:ascii="Times New Roman" w:hAnsi="Times New Roman" w:cs="Times New Roman" w:eastAsia="Times New Roman" w:hint="default"/>
          <w:sz w:val="20"/>
          <w:szCs w:val="20"/>
        </w:rPr>
      </w:pPr>
      <w:r>
        <w:rPr/>
        <w:pict>
          <v:group style="position:absolute;margin-left:54.84pt;margin-top:28.299982pt;width:485.65pt;height:40.15pt;mso-position-horizontal-relative:page;mso-position-vertical-relative:page;z-index:205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9"/>
        <w:rPr>
          <w:rFonts w:ascii="Times New Roman" w:hAnsi="Times New Roman" w:cs="Times New Roman" w:eastAsia="Times New Roman" w:hint="default"/>
          <w:sz w:val="20"/>
          <w:szCs w:val="20"/>
        </w:rPr>
      </w:pPr>
    </w:p>
    <w:p>
      <w:pPr>
        <w:pStyle w:val="Heading4"/>
        <w:spacing w:line="240" w:lineRule="auto" w:before="26"/>
        <w:ind w:right="142"/>
        <w:jc w:val="left"/>
        <w:rPr>
          <w:b w:val="0"/>
          <w:bCs w:val="0"/>
        </w:rPr>
      </w:pPr>
      <w:r>
        <w:rPr/>
        <w:t>二、任职情况</w:t>
      </w:r>
      <w:r>
        <w:rPr>
          <w:b w:val="0"/>
          <w:bCs w:val="0"/>
        </w:rPr>
      </w:r>
    </w:p>
    <w:p>
      <w:pPr>
        <w:pStyle w:val="BodyText"/>
        <w:spacing w:line="240" w:lineRule="auto" w:before="201"/>
        <w:ind w:left="573" w:right="142"/>
        <w:jc w:val="left"/>
      </w:pPr>
      <w:r>
        <w:rPr/>
        <w:t>公司现任董事、监事、高级管理人员最近</w:t>
      </w:r>
      <w:r>
        <w:rPr>
          <w:spacing w:val="-54"/>
        </w:rPr>
        <w:t> </w:t>
      </w:r>
      <w:r>
        <w:rPr>
          <w:rFonts w:ascii="宋体" w:hAnsi="宋体" w:cs="宋体" w:eastAsia="宋体" w:hint="default"/>
        </w:rPr>
        <w:t>5</w:t>
      </w:r>
      <w:r>
        <w:rPr>
          <w:rFonts w:ascii="宋体" w:hAnsi="宋体" w:cs="宋体" w:eastAsia="宋体" w:hint="default"/>
          <w:spacing w:val="-54"/>
        </w:rPr>
        <w:t> </w:t>
      </w:r>
      <w:r>
        <w:rPr/>
        <w:t>年的主要工作经历</w:t>
      </w:r>
    </w:p>
    <w:p>
      <w:pPr>
        <w:pStyle w:val="BodyText"/>
        <w:spacing w:line="390" w:lineRule="atLeast" w:before="3"/>
        <w:ind w:left="575" w:right="2399" w:hanging="3"/>
        <w:jc w:val="left"/>
      </w:pPr>
      <w:r>
        <w:rPr>
          <w:rFonts w:ascii="宋体" w:hAnsi="宋体" w:cs="宋体" w:eastAsia="宋体" w:hint="default"/>
          <w:b/>
          <w:bCs/>
        </w:rPr>
        <w:t>1</w:t>
      </w:r>
      <w:r>
        <w:rPr>
          <w:rFonts w:ascii="宋体" w:hAnsi="宋体" w:cs="宋体" w:eastAsia="宋体" w:hint="default"/>
          <w:b/>
          <w:bCs/>
        </w:rPr>
        <w:t>、董事会成员</w:t>
      </w:r>
      <w:r>
        <w:rPr>
          <w:rFonts w:ascii="宋体" w:hAnsi="宋体" w:cs="宋体" w:eastAsia="宋体" w:hint="default"/>
          <w:b/>
          <w:bCs/>
          <w:spacing w:val="-104"/>
        </w:rPr>
        <w:t> </w:t>
      </w:r>
      <w:r>
        <w:rPr>
          <w:spacing w:val="-2"/>
        </w:rPr>
        <w:t>公司第一届董事会由</w:t>
      </w:r>
      <w:r>
        <w:rPr>
          <w:rFonts w:ascii="宋体" w:hAnsi="宋体" w:cs="宋体" w:eastAsia="宋体" w:hint="default"/>
          <w:spacing w:val="-2"/>
        </w:rPr>
        <w:t>9</w:t>
      </w:r>
      <w:r>
        <w:rPr>
          <w:spacing w:val="-2"/>
        </w:rPr>
        <w:t>名董事组成，各位董事最近</w:t>
      </w:r>
      <w:r>
        <w:rPr>
          <w:rFonts w:ascii="宋体" w:hAnsi="宋体" w:cs="宋体" w:eastAsia="宋体" w:hint="default"/>
          <w:spacing w:val="-2"/>
        </w:rPr>
        <w:t>5</w:t>
      </w:r>
      <w:r>
        <w:rPr>
          <w:spacing w:val="-2"/>
        </w:rPr>
        <w:t>年的主要工作经历如下：</w:t>
      </w:r>
    </w:p>
    <w:p>
      <w:pPr>
        <w:pStyle w:val="BodyText"/>
        <w:spacing w:line="237" w:lineRule="auto" w:before="1"/>
        <w:ind w:right="146" w:firstLine="422"/>
        <w:jc w:val="both"/>
      </w:pPr>
      <w:r>
        <w:rPr>
          <w:spacing w:val="-2"/>
        </w:rPr>
        <w:t>付永全先生，本公司董事长，</w:t>
      </w:r>
      <w:r>
        <w:rPr>
          <w:rFonts w:ascii="宋体" w:hAnsi="宋体" w:cs="宋体" w:eastAsia="宋体" w:hint="default"/>
          <w:spacing w:val="-2"/>
        </w:rPr>
        <w:t>1968</w:t>
      </w:r>
      <w:r>
        <w:rPr>
          <w:spacing w:val="-2"/>
        </w:rPr>
        <w:t>年出生，毕业于辽宁大学计算机应用技术专业，硕士学历，中国国</w:t>
      </w:r>
      <w:r>
        <w:rPr>
          <w:w w:val="100"/>
        </w:rPr>
        <w:t> </w:t>
      </w:r>
      <w:r>
        <w:rPr>
          <w:spacing w:val="-2"/>
        </w:rPr>
        <w:t>籍，无永久境外居留权。现任本公司董事长及总经理职务的同时，还担任沈阳荣科全濠科技有限公司董事</w:t>
      </w:r>
      <w:r>
        <w:rPr>
          <w:spacing w:val="-43"/>
        </w:rPr>
        <w:t> </w:t>
      </w:r>
      <w:r>
        <w:rPr>
          <w:spacing w:val="-43"/>
        </w:rPr>
      </w:r>
      <w:r>
        <w:rPr>
          <w:spacing w:val="-2"/>
        </w:rPr>
        <w:t>长、辽宁荣科金融服务有限公司执行董事兼总经理、北京荣科爱信科技有限公司执行董事兼总经理；民盟</w:t>
      </w:r>
      <w:r>
        <w:rPr>
          <w:spacing w:val="-43"/>
        </w:rPr>
        <w:t> </w:t>
      </w:r>
      <w:r>
        <w:rPr>
          <w:spacing w:val="-43"/>
        </w:rPr>
      </w:r>
      <w:r>
        <w:rPr>
          <w:spacing w:val="-2"/>
        </w:rPr>
        <w:t>第十一届中央委员、政协辽宁省第十届委员会常委、辽宁省政协教科卫体委员会副主任、沈阳航空航天大</w:t>
      </w:r>
      <w:r>
        <w:rPr>
          <w:spacing w:val="-43"/>
        </w:rPr>
        <w:t> </w:t>
      </w:r>
      <w:r>
        <w:rPr>
          <w:spacing w:val="-43"/>
        </w:rPr>
      </w:r>
      <w:r>
        <w:rPr/>
        <w:t>学名誉教授、辽宁省软件协会副理事长、沈阳市摄影家协会副会长等职务。</w:t>
      </w:r>
    </w:p>
    <w:p>
      <w:pPr>
        <w:pStyle w:val="BodyText"/>
        <w:spacing w:line="274" w:lineRule="exact" w:before="22"/>
        <w:ind w:right="146" w:firstLine="422"/>
        <w:jc w:val="both"/>
      </w:pPr>
      <w:r>
        <w:rPr>
          <w:spacing w:val="-2"/>
        </w:rPr>
        <w:t>付艳杰女士，本公司董事，</w:t>
      </w:r>
      <w:r>
        <w:rPr>
          <w:rFonts w:ascii="宋体" w:hAnsi="宋体" w:cs="宋体" w:eastAsia="宋体" w:hint="default"/>
          <w:spacing w:val="-2"/>
        </w:rPr>
        <w:t>1972</w:t>
      </w:r>
      <w:r>
        <w:rPr>
          <w:spacing w:val="-2"/>
        </w:rPr>
        <w:t>年出生，高中学历，中国国籍，无永久境外居留权。曾任荣科有限监</w:t>
      </w:r>
      <w:r>
        <w:rPr>
          <w:w w:val="100"/>
        </w:rPr>
        <w:t> </w:t>
      </w:r>
      <w:r>
        <w:rPr/>
        <w:t>事、执行董事职务，现任本公司董事、铁岭市雅森木业有限公司总经理职务。</w:t>
      </w:r>
    </w:p>
    <w:p>
      <w:pPr>
        <w:pStyle w:val="BodyText"/>
        <w:spacing w:line="245" w:lineRule="exact"/>
        <w:ind w:right="0" w:firstLine="422"/>
        <w:jc w:val="left"/>
      </w:pPr>
      <w:r>
        <w:rPr/>
        <w:t>崔万涛先生，本公司董事，</w:t>
      </w:r>
      <w:r>
        <w:rPr>
          <w:rFonts w:ascii="宋体" w:hAnsi="宋体" w:cs="宋体" w:eastAsia="宋体" w:hint="default"/>
        </w:rPr>
        <w:t>1967</w:t>
      </w:r>
      <w:r>
        <w:rPr/>
        <w:t>年出生，高中学历，中国国籍，无永久境外居留权。曾任荣科有限执</w:t>
      </w:r>
    </w:p>
    <w:p>
      <w:pPr>
        <w:pStyle w:val="BodyText"/>
        <w:spacing w:line="272" w:lineRule="exact" w:before="27"/>
        <w:ind w:right="142"/>
        <w:jc w:val="left"/>
      </w:pPr>
      <w:r>
        <w:rPr>
          <w:spacing w:val="-2"/>
        </w:rPr>
        <w:t>行董事、监事和沈阳基业长青绿化工程有限公司执行董事等职务。现任本公司董事、辽宁荣科金融服务有</w:t>
      </w:r>
      <w:r>
        <w:rPr>
          <w:spacing w:val="-43"/>
        </w:rPr>
        <w:t> </w:t>
      </w:r>
      <w:r>
        <w:rPr>
          <w:spacing w:val="-43"/>
        </w:rPr>
      </w:r>
      <w:r>
        <w:rPr/>
        <w:t>限公司监事、辽宁恒际建筑集团公司高级项目经理等职务。</w:t>
      </w:r>
    </w:p>
    <w:p>
      <w:pPr>
        <w:pStyle w:val="BodyText"/>
        <w:spacing w:line="272" w:lineRule="exact" w:before="1"/>
        <w:ind w:right="146" w:firstLine="422"/>
        <w:jc w:val="both"/>
      </w:pPr>
      <w:r>
        <w:rPr>
          <w:spacing w:val="-2"/>
        </w:rPr>
        <w:t>崔万田先生，本公司董事，</w:t>
      </w:r>
      <w:r>
        <w:rPr>
          <w:rFonts w:ascii="宋体" w:hAnsi="宋体" w:cs="宋体" w:eastAsia="宋体" w:hint="default"/>
          <w:spacing w:val="-2"/>
        </w:rPr>
        <w:t>1973</w:t>
      </w:r>
      <w:r>
        <w:rPr>
          <w:spacing w:val="-2"/>
        </w:rPr>
        <w:t>年出生，毕业于辽宁大学世界经济专业，博士研究生学历，教授，中</w:t>
      </w:r>
      <w:r>
        <w:rPr>
          <w:w w:val="100"/>
        </w:rPr>
        <w:t> </w:t>
      </w:r>
      <w:r>
        <w:rPr>
          <w:spacing w:val="-2"/>
        </w:rPr>
        <w:t>国国籍，无永久境外居留权。现任本公司董事、辽宁大学区域经济研究中心主任、盛京银行股份有限公司</w:t>
      </w:r>
    </w:p>
    <w:p>
      <w:pPr>
        <w:pStyle w:val="BodyText"/>
        <w:spacing w:line="272" w:lineRule="exact" w:before="1"/>
        <w:ind w:right="142"/>
        <w:jc w:val="left"/>
      </w:pPr>
      <w:r>
        <w:rPr>
          <w:spacing w:val="-2"/>
        </w:rPr>
        <w:t>独立董事、全国青年联合会委员、辽宁省青年联合会委员、中国人民大学民营企业研究中心特聘教授等职</w:t>
      </w:r>
      <w:r>
        <w:rPr>
          <w:spacing w:val="-43"/>
        </w:rPr>
        <w:t> </w:t>
      </w:r>
      <w:r>
        <w:rPr>
          <w:spacing w:val="-43"/>
        </w:rPr>
      </w:r>
      <w:r>
        <w:rPr/>
        <w:t>务。</w:t>
      </w:r>
    </w:p>
    <w:p>
      <w:pPr>
        <w:pStyle w:val="BodyText"/>
        <w:spacing w:line="246" w:lineRule="exact"/>
        <w:ind w:right="0" w:firstLine="422"/>
        <w:jc w:val="both"/>
      </w:pPr>
      <w:r>
        <w:rPr/>
        <w:t>冯丽女士，本公司董事，</w:t>
      </w:r>
      <w:r>
        <w:rPr>
          <w:rFonts w:ascii="宋体" w:hAnsi="宋体" w:cs="宋体" w:eastAsia="宋体" w:hint="default"/>
        </w:rPr>
        <w:t>1966</w:t>
      </w:r>
      <w:r>
        <w:rPr/>
        <w:t>年出生，研究生学历，中国国籍，无永久境外居留权。曾担任沈阳未来</w:t>
      </w:r>
    </w:p>
    <w:p>
      <w:pPr>
        <w:pStyle w:val="BodyText"/>
        <w:spacing w:line="237" w:lineRule="auto" w:before="2"/>
        <w:ind w:right="147"/>
        <w:jc w:val="both"/>
      </w:pPr>
      <w:r>
        <w:rPr>
          <w:spacing w:val="-2"/>
        </w:rPr>
        <w:t>置业房产开发有限公司财务经理，尼沃实业有限公司财务总监、</w:t>
      </w:r>
      <w:r>
        <w:rPr>
          <w:rFonts w:ascii="宋体" w:hAnsi="宋体" w:cs="宋体" w:eastAsia="宋体" w:hint="default"/>
          <w:spacing w:val="-2"/>
        </w:rPr>
        <w:t>SR</w:t>
      </w:r>
      <w:r>
        <w:rPr>
          <w:spacing w:val="-2"/>
        </w:rPr>
        <w:t>房产开发（沈阳）有限公司财务总监等</w:t>
      </w:r>
      <w:r>
        <w:rPr>
          <w:spacing w:val="-45"/>
        </w:rPr>
        <w:t> </w:t>
      </w:r>
      <w:r>
        <w:rPr>
          <w:spacing w:val="-45"/>
        </w:rPr>
      </w:r>
      <w:r>
        <w:rPr>
          <w:spacing w:val="-2"/>
        </w:rPr>
        <w:t>职务。现任本公司董事、董事会秘书、财务总监（高级管理人员），目前还担任沈阳荣科全濠科技有限公</w:t>
      </w:r>
      <w:r>
        <w:rPr>
          <w:spacing w:val="-42"/>
        </w:rPr>
        <w:t> </w:t>
      </w:r>
      <w:r>
        <w:rPr>
          <w:spacing w:val="-42"/>
        </w:rPr>
      </w:r>
      <w:r>
        <w:rPr/>
        <w:t>司董事。</w:t>
      </w:r>
    </w:p>
    <w:p>
      <w:pPr>
        <w:pStyle w:val="BodyText"/>
        <w:spacing w:line="274" w:lineRule="exact" w:before="23"/>
        <w:ind w:right="142" w:firstLine="422"/>
        <w:jc w:val="left"/>
      </w:pPr>
      <w:r>
        <w:rPr>
          <w:spacing w:val="-2"/>
        </w:rPr>
        <w:t>尹春福先生，本公司董事，</w:t>
      </w:r>
      <w:r>
        <w:rPr>
          <w:rFonts w:ascii="宋体" w:hAnsi="宋体" w:cs="宋体" w:eastAsia="宋体" w:hint="default"/>
          <w:spacing w:val="-2"/>
        </w:rPr>
        <w:t>1973</w:t>
      </w:r>
      <w:r>
        <w:rPr>
          <w:spacing w:val="-2"/>
        </w:rPr>
        <w:t>年出生，研究生学历，中国国籍，无永久境外居留权。</w:t>
      </w:r>
      <w:r>
        <w:rPr>
          <w:rFonts w:ascii="宋体" w:hAnsi="宋体" w:cs="宋体" w:eastAsia="宋体" w:hint="default"/>
          <w:spacing w:val="-2"/>
        </w:rPr>
        <w:t>2006</w:t>
      </w:r>
      <w:r>
        <w:rPr>
          <w:spacing w:val="-2"/>
        </w:rPr>
        <w:t>年</w:t>
      </w:r>
      <w:r>
        <w:rPr>
          <w:rFonts w:ascii="宋体" w:hAnsi="宋体" w:cs="宋体" w:eastAsia="宋体" w:hint="default"/>
          <w:spacing w:val="-2"/>
        </w:rPr>
        <w:t>5</w:t>
      </w:r>
      <w:r>
        <w:rPr>
          <w:spacing w:val="-2"/>
        </w:rPr>
        <w:t>月至</w:t>
      </w:r>
      <w:r>
        <w:rPr>
          <w:spacing w:val="-3"/>
          <w:w w:val="100"/>
        </w:rPr>
        <w:t> </w:t>
      </w:r>
      <w:r>
        <w:rPr/>
        <w:t>今担任本公司销售总监职务，</w:t>
      </w:r>
      <w:r>
        <w:rPr>
          <w:rFonts w:ascii="宋体" w:hAnsi="宋体" w:cs="宋体" w:eastAsia="宋体" w:hint="default"/>
        </w:rPr>
        <w:t>2010</w:t>
      </w:r>
      <w:r>
        <w:rPr/>
        <w:t>年</w:t>
      </w:r>
      <w:r>
        <w:rPr>
          <w:rFonts w:ascii="宋体" w:hAnsi="宋体" w:cs="宋体" w:eastAsia="宋体" w:hint="default"/>
        </w:rPr>
        <w:t>8</w:t>
      </w:r>
      <w:r>
        <w:rPr/>
        <w:t>月至今担任本公司董事、高级管理人员。</w:t>
      </w:r>
    </w:p>
    <w:p>
      <w:pPr>
        <w:pStyle w:val="BodyText"/>
        <w:spacing w:line="245" w:lineRule="exact"/>
        <w:ind w:right="0" w:firstLine="422"/>
        <w:jc w:val="both"/>
      </w:pPr>
      <w:r>
        <w:rPr/>
        <w:t>林木西先生，本公司独立董事，</w:t>
      </w:r>
      <w:r>
        <w:rPr>
          <w:rFonts w:ascii="宋体" w:hAnsi="宋体" w:cs="宋体" w:eastAsia="宋体" w:hint="default"/>
        </w:rPr>
        <w:t>1954</w:t>
      </w:r>
      <w:r>
        <w:rPr/>
        <w:t>年出生，毕业于辽宁大学西方经济学专业，研究生学历，经济学</w:t>
      </w:r>
    </w:p>
    <w:p>
      <w:pPr>
        <w:pStyle w:val="BodyText"/>
        <w:spacing w:line="237" w:lineRule="auto" w:before="2"/>
        <w:ind w:right="148"/>
        <w:jc w:val="both"/>
      </w:pPr>
      <w:r>
        <w:rPr>
          <w:spacing w:val="-2"/>
        </w:rPr>
        <w:t>博士，长江学者特聘教授，博士生导师，中国国籍，无永久境外居留权。先后任辽宁大学经济（管理）学</w:t>
      </w:r>
      <w:r>
        <w:rPr>
          <w:spacing w:val="-49"/>
        </w:rPr>
        <w:t> </w:t>
      </w:r>
      <w:r>
        <w:rPr>
          <w:spacing w:val="-49"/>
        </w:rPr>
      </w:r>
      <w:r>
        <w:rPr>
          <w:spacing w:val="-2"/>
        </w:rPr>
        <w:t>院党总支书记、院长、党委书记等职务。目前还担任沈阳机床股份有限公司独立董事、东北制药集团股份</w:t>
      </w:r>
      <w:r>
        <w:rPr>
          <w:spacing w:val="-47"/>
        </w:rPr>
        <w:t> </w:t>
      </w:r>
      <w:r>
        <w:rPr>
          <w:spacing w:val="-47"/>
        </w:rPr>
      </w:r>
      <w:r>
        <w:rPr/>
        <w:t>有限公司独立董事、方大锦化化工科技股份有限公司独立董事等职务。</w:t>
      </w:r>
    </w:p>
    <w:p>
      <w:pPr>
        <w:pStyle w:val="BodyText"/>
        <w:spacing w:line="237" w:lineRule="auto"/>
        <w:ind w:right="124" w:firstLine="422"/>
        <w:jc w:val="both"/>
      </w:pPr>
      <w:r>
        <w:rPr>
          <w:spacing w:val="-2"/>
        </w:rPr>
        <w:t>宋廷锋先生，本公司独立董事，</w:t>
      </w:r>
      <w:r>
        <w:rPr>
          <w:rFonts w:ascii="宋体" w:hAnsi="宋体" w:cs="宋体" w:eastAsia="宋体" w:hint="default"/>
          <w:spacing w:val="-2"/>
        </w:rPr>
        <w:t>1968</w:t>
      </w:r>
      <w:r>
        <w:rPr>
          <w:spacing w:val="-2"/>
        </w:rPr>
        <w:t>年出生，毕业于中国人民大学会计学专业，博士研究生学历，长</w:t>
      </w:r>
      <w:r>
        <w:rPr>
          <w:spacing w:val="-5"/>
          <w:w w:val="100"/>
        </w:rPr>
        <w:t> </w:t>
      </w:r>
      <w:r>
        <w:rPr>
          <w:spacing w:val="-2"/>
        </w:rPr>
        <w:t>江商学院</w:t>
      </w:r>
      <w:r>
        <w:rPr>
          <w:rFonts w:ascii="宋体" w:hAnsi="宋体" w:cs="宋体" w:eastAsia="宋体" w:hint="default"/>
          <w:spacing w:val="-2"/>
        </w:rPr>
        <w:t>EMBA</w:t>
      </w:r>
      <w:r>
        <w:rPr>
          <w:spacing w:val="-2"/>
        </w:rPr>
        <w:t>，高级会计师，中国国籍，无永久境外居留权。曾任国药集团药业股份有限公司财务总监、</w:t>
      </w:r>
      <w:r>
        <w:rPr>
          <w:spacing w:val="-18"/>
        </w:rPr>
        <w:t> </w:t>
      </w:r>
      <w:r>
        <w:rPr>
          <w:spacing w:val="-18"/>
        </w:rPr>
      </w:r>
      <w:r>
        <w:rPr>
          <w:spacing w:val="-2"/>
        </w:rPr>
        <w:t>国药控股股份有限公司财务总监，中国生物技术集团公司财务总监等职务，现担任赫基国际集团高级副总</w:t>
      </w:r>
      <w:r>
        <w:rPr>
          <w:spacing w:val="-43"/>
        </w:rPr>
        <w:t> </w:t>
      </w:r>
      <w:r>
        <w:rPr>
          <w:spacing w:val="-43"/>
        </w:rPr>
      </w:r>
      <w:r>
        <w:rPr/>
        <w:t>裁。</w:t>
      </w:r>
    </w:p>
    <w:p>
      <w:pPr>
        <w:pStyle w:val="BodyText"/>
        <w:spacing w:line="237" w:lineRule="auto"/>
        <w:ind w:right="124" w:firstLine="422"/>
        <w:jc w:val="both"/>
      </w:pPr>
      <w:r>
        <w:rPr>
          <w:spacing w:val="-2"/>
        </w:rPr>
        <w:t>胡亮先生，本公司独立董事，</w:t>
      </w:r>
      <w:r>
        <w:rPr>
          <w:rFonts w:ascii="宋体" w:hAnsi="宋体" w:cs="宋体" w:eastAsia="宋体" w:hint="default"/>
          <w:spacing w:val="-2"/>
        </w:rPr>
        <w:t>1968</w:t>
      </w:r>
      <w:r>
        <w:rPr>
          <w:spacing w:val="-2"/>
        </w:rPr>
        <w:t>年出生，毕业于吉林大学计算机系统结构专业，博士研究生学历，</w:t>
      </w:r>
      <w:r>
        <w:rPr>
          <w:w w:val="100"/>
        </w:rPr>
        <w:t> </w:t>
      </w:r>
      <w:r>
        <w:rPr>
          <w:spacing w:val="-2"/>
        </w:rPr>
        <w:t>教授，博士生导师，中国国籍，无永久境外居留权。现任本公司独立董事、吉林大学计算机科学与技术学</w:t>
      </w:r>
      <w:r>
        <w:rPr>
          <w:spacing w:val="-43"/>
        </w:rPr>
        <w:t> </w:t>
      </w:r>
      <w:r>
        <w:rPr>
          <w:spacing w:val="-43"/>
        </w:rPr>
      </w:r>
      <w:r>
        <w:rPr>
          <w:spacing w:val="-2"/>
        </w:rPr>
        <w:t>院及软件学院院长、国家公安部信息安全技术专家、中国计算机学会开放系统专业委员会副主任、中国计</w:t>
      </w:r>
      <w:r>
        <w:rPr>
          <w:spacing w:val="-44"/>
        </w:rPr>
        <w:t> </w:t>
      </w:r>
      <w:r>
        <w:rPr>
          <w:spacing w:val="-44"/>
        </w:rPr>
      </w:r>
      <w:r>
        <w:rPr/>
        <w:t>算机学会体系结构专业委员会委员等职务。</w:t>
      </w:r>
    </w:p>
    <w:p>
      <w:pPr>
        <w:pStyle w:val="BodyText"/>
        <w:spacing w:line="394" w:lineRule="exact" w:before="46"/>
        <w:ind w:left="575" w:right="142" w:hanging="3"/>
        <w:jc w:val="left"/>
      </w:pPr>
      <w:r>
        <w:rPr>
          <w:rFonts w:ascii="宋体" w:hAnsi="宋体" w:cs="宋体" w:eastAsia="宋体" w:hint="default"/>
          <w:b/>
          <w:bCs/>
        </w:rPr>
        <w:t>2</w:t>
      </w:r>
      <w:r>
        <w:rPr>
          <w:rFonts w:ascii="宋体" w:hAnsi="宋体" w:cs="宋体" w:eastAsia="宋体" w:hint="default"/>
          <w:b/>
          <w:bCs/>
        </w:rPr>
        <w:t>、监事会成员</w:t>
      </w:r>
      <w:r>
        <w:rPr>
          <w:rFonts w:ascii="宋体" w:hAnsi="宋体" w:cs="宋体" w:eastAsia="宋体" w:hint="default"/>
          <w:b/>
          <w:bCs/>
          <w:spacing w:val="-104"/>
        </w:rPr>
        <w:t> </w:t>
      </w:r>
      <w:r>
        <w:rPr>
          <w:spacing w:val="-2"/>
        </w:rPr>
        <w:t>余力兴先生，本公司监事会主席，</w:t>
      </w:r>
      <w:r>
        <w:rPr>
          <w:rFonts w:ascii="宋体" w:hAnsi="宋体" w:cs="宋体" w:eastAsia="宋体" w:hint="default"/>
          <w:spacing w:val="-2"/>
        </w:rPr>
        <w:t>1975</w:t>
      </w:r>
      <w:r>
        <w:rPr>
          <w:spacing w:val="-2"/>
        </w:rPr>
        <w:t>年出生，研究生学历，中国国籍，无永久境外居留权。近</w:t>
      </w:r>
      <w:r>
        <w:rPr>
          <w:rFonts w:ascii="宋体" w:hAnsi="宋体" w:cs="宋体" w:eastAsia="宋体" w:hint="default"/>
          <w:spacing w:val="-2"/>
        </w:rPr>
        <w:t>5</w:t>
      </w:r>
      <w:r>
        <w:rPr>
          <w:spacing w:val="-2"/>
        </w:rPr>
        <w:t>年</w:t>
      </w:r>
    </w:p>
    <w:p>
      <w:pPr>
        <w:pStyle w:val="BodyText"/>
        <w:spacing w:line="220" w:lineRule="exact"/>
        <w:ind w:right="142"/>
        <w:jc w:val="left"/>
      </w:pPr>
      <w:r>
        <w:rPr/>
        <w:t>一直在本公司担任销售经理，现任本公司监事会主席及金融行业资深销售经理职务。</w:t>
      </w:r>
    </w:p>
    <w:p>
      <w:pPr>
        <w:pStyle w:val="BodyText"/>
        <w:spacing w:line="237" w:lineRule="auto"/>
        <w:ind w:right="142" w:firstLine="422"/>
        <w:jc w:val="left"/>
      </w:pPr>
      <w:r>
        <w:rPr>
          <w:spacing w:val="-2"/>
        </w:rPr>
        <w:t>王卫华先生，本公司监事，</w:t>
      </w:r>
      <w:r>
        <w:rPr>
          <w:rFonts w:ascii="宋体" w:hAnsi="宋体" w:cs="宋体" w:eastAsia="宋体" w:hint="default"/>
          <w:spacing w:val="-2"/>
        </w:rPr>
        <w:t>1974</w:t>
      </w:r>
      <w:r>
        <w:rPr>
          <w:spacing w:val="-2"/>
        </w:rPr>
        <w:t>年出生，毕业于首都经济贸易大学城市经济专业，本科学历，中国国</w:t>
      </w:r>
      <w:r>
        <w:rPr>
          <w:w w:val="100"/>
        </w:rPr>
        <w:t> </w:t>
      </w:r>
      <w:r>
        <w:rPr/>
        <w:t>籍，无永久境外居留权。曾任华林证券北京</w:t>
      </w:r>
      <w:r>
        <w:rPr>
          <w:rFonts w:ascii="宋体" w:hAnsi="宋体" w:cs="宋体" w:eastAsia="宋体" w:hint="default"/>
        </w:rPr>
        <w:t>vip</w:t>
      </w:r>
      <w:r>
        <w:rPr/>
        <w:t>理财中心首席分析师，北京红马天安投资有限公司研究部</w:t>
      </w:r>
      <w:r>
        <w:rPr>
          <w:w w:val="100"/>
        </w:rPr>
        <w:t> </w:t>
      </w:r>
      <w:r>
        <w:rPr/>
        <w:t>经理等职务。现任本公司监事、北京正达联合投资有限公司研究总监职务。</w:t>
      </w:r>
    </w:p>
    <w:p>
      <w:pPr>
        <w:pStyle w:val="BodyText"/>
        <w:spacing w:line="237" w:lineRule="auto" w:before="1"/>
        <w:ind w:right="146" w:firstLine="422"/>
        <w:jc w:val="both"/>
      </w:pPr>
      <w:r>
        <w:rPr>
          <w:spacing w:val="-2"/>
        </w:rPr>
        <w:t>吴可先生，本公司监事，</w:t>
      </w:r>
      <w:r>
        <w:rPr>
          <w:rFonts w:ascii="宋体" w:hAnsi="宋体" w:cs="宋体" w:eastAsia="宋体" w:hint="default"/>
          <w:spacing w:val="-2"/>
        </w:rPr>
        <w:t>1962</w:t>
      </w:r>
      <w:r>
        <w:rPr>
          <w:spacing w:val="-2"/>
        </w:rPr>
        <w:t>年出生，研究生学历，中国国籍，无永久境外居留权。曾任乌鲁木齐市</w:t>
      </w:r>
      <w:r>
        <w:rPr>
          <w:w w:val="100"/>
        </w:rPr>
        <w:t> </w:t>
      </w:r>
      <w:r>
        <w:rPr>
          <w:spacing w:val="-2"/>
        </w:rPr>
        <w:t>先达信息化有限公司总经理，深圳士瑞克东南科技有限公司华南区总经理等职务，现担任本公司监事及行</w:t>
      </w:r>
      <w:r>
        <w:rPr>
          <w:spacing w:val="-43"/>
        </w:rPr>
        <w:t> </w:t>
      </w:r>
      <w:r>
        <w:rPr>
          <w:spacing w:val="-43"/>
        </w:rPr>
      </w:r>
      <w:r>
        <w:rPr/>
        <w:t>政部经理职务。</w:t>
      </w:r>
    </w:p>
    <w:p>
      <w:pPr>
        <w:pStyle w:val="Heading5"/>
        <w:spacing w:line="240" w:lineRule="auto" w:before="117"/>
        <w:ind w:left="573" w:right="142"/>
        <w:jc w:val="left"/>
        <w:rPr>
          <w:b w:val="0"/>
          <w:bCs w:val="0"/>
        </w:rPr>
      </w:pPr>
      <w:r>
        <w:rPr>
          <w:rFonts w:ascii="宋体" w:hAnsi="宋体" w:cs="宋体" w:eastAsia="宋体" w:hint="default"/>
        </w:rPr>
        <w:t>3</w:t>
      </w:r>
      <w:r>
        <w:rPr/>
        <w:t>、高级管理人员</w:t>
      </w:r>
      <w:r>
        <w:rPr>
          <w:b w:val="0"/>
          <w:bCs w:val="0"/>
        </w:rPr>
      </w:r>
    </w:p>
    <w:p>
      <w:pPr>
        <w:spacing w:after="0" w:line="240" w:lineRule="auto"/>
        <w:jc w:val="left"/>
        <w:sectPr>
          <w:footerReference w:type="default" r:id="rId32"/>
          <w:pgSz w:w="11910" w:h="16840"/>
          <w:pgMar w:footer="979" w:header="0" w:top="1100" w:bottom="1160" w:left="980" w:right="980"/>
          <w:pgNumType w:start="39"/>
        </w:sectPr>
      </w:pPr>
    </w:p>
    <w:p>
      <w:pPr>
        <w:spacing w:line="240" w:lineRule="auto" w:before="2"/>
        <w:rPr>
          <w:rFonts w:ascii="宋体" w:hAnsi="宋体" w:cs="宋体" w:eastAsia="宋体" w:hint="default"/>
          <w:b/>
          <w:bCs/>
          <w:sz w:val="20"/>
          <w:szCs w:val="20"/>
        </w:rPr>
      </w:pPr>
      <w:r>
        <w:rPr/>
        <w:pict>
          <v:group style="position:absolute;margin-left:54.84pt;margin-top:28.299982pt;width:485.65pt;height:40.15pt;mso-position-horizontal-relative:page;mso-position-vertical-relative:page;z-index:208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37" w:lineRule="auto" w:before="38"/>
        <w:ind w:left="895" w:right="0"/>
        <w:jc w:val="left"/>
        <w:rPr>
          <w:rFonts w:ascii="宋体" w:hAnsi="宋体" w:cs="宋体" w:eastAsia="宋体" w:hint="default"/>
        </w:rPr>
      </w:pPr>
      <w:r>
        <w:rPr/>
        <w:t>付永全先生，本公司总经理，其简历见董事会成员介绍。</w:t>
      </w:r>
      <w:r>
        <w:rPr>
          <w:w w:val="100"/>
        </w:rPr>
        <w:t> </w:t>
      </w:r>
      <w:r>
        <w:rPr/>
        <w:t>冯丽女士，本公司财务总监及董事会秘书，其简历见董事会成员介绍。</w:t>
      </w:r>
      <w:r>
        <w:rPr>
          <w:w w:val="100"/>
        </w:rPr>
        <w:t> </w:t>
      </w:r>
      <w:r>
        <w:rPr/>
        <w:t>尹春福先生，本公司销售总监，其简历见董事会成员介绍。</w:t>
      </w:r>
      <w:r>
        <w:rPr>
          <w:w w:val="100"/>
        </w:rPr>
        <w:t> </w:t>
      </w:r>
      <w:r>
        <w:rPr>
          <w:spacing w:val="-2"/>
        </w:rPr>
        <w:t>杨兴礼先生，本公司软件技术总监，</w:t>
      </w:r>
      <w:r>
        <w:rPr>
          <w:rFonts w:ascii="宋体" w:hAnsi="宋体" w:cs="宋体" w:eastAsia="宋体" w:hint="default"/>
          <w:spacing w:val="-2"/>
        </w:rPr>
        <w:t>1979</w:t>
      </w:r>
      <w:r>
        <w:rPr>
          <w:spacing w:val="-2"/>
        </w:rPr>
        <w:t>年出生，研究生学历，中国国籍，无永久境外居留权。近</w:t>
      </w:r>
      <w:r>
        <w:rPr>
          <w:rFonts w:ascii="宋体" w:hAnsi="宋体" w:cs="宋体" w:eastAsia="宋体" w:hint="default"/>
          <w:spacing w:val="-2"/>
        </w:rPr>
        <w:t>5</w:t>
      </w:r>
    </w:p>
    <w:p>
      <w:pPr>
        <w:pStyle w:val="BodyText"/>
        <w:spacing w:line="272" w:lineRule="exact" w:before="26"/>
        <w:ind w:left="895" w:right="0" w:hanging="423"/>
        <w:jc w:val="left"/>
      </w:pPr>
      <w:r>
        <w:rPr/>
        <w:t>年来一直在本公司担任软件技术总监职务，负责主持技术研发工作。</w:t>
      </w:r>
      <w:r>
        <w:rPr>
          <w:w w:val="100"/>
        </w:rPr>
        <w:t> </w:t>
      </w:r>
      <w:r>
        <w:rPr>
          <w:spacing w:val="-2"/>
        </w:rPr>
        <w:t>刘斌先生，本公司人力资源总监，</w:t>
      </w:r>
      <w:r>
        <w:rPr>
          <w:rFonts w:ascii="宋体" w:hAnsi="宋体" w:cs="宋体" w:eastAsia="宋体" w:hint="default"/>
          <w:spacing w:val="-2"/>
        </w:rPr>
        <w:t>1979</w:t>
      </w:r>
      <w:r>
        <w:rPr>
          <w:spacing w:val="-2"/>
        </w:rPr>
        <w:t>年出生，研究生学历，国家二级培训师，中国国籍，无永久境</w:t>
      </w:r>
    </w:p>
    <w:p>
      <w:pPr>
        <w:pStyle w:val="BodyText"/>
        <w:spacing w:line="272" w:lineRule="exact" w:before="1"/>
        <w:ind w:left="472" w:right="0"/>
        <w:jc w:val="left"/>
      </w:pPr>
      <w:r>
        <w:rPr>
          <w:spacing w:val="-2"/>
        </w:rPr>
        <w:t>外居留权。曾担任富士康企业集团（深圳）人力资源高级主管，深圳康普信息科技有限公司总经理助理及</w:t>
      </w:r>
      <w:r>
        <w:rPr>
          <w:spacing w:val="-47"/>
        </w:rPr>
        <w:t> </w:t>
      </w:r>
      <w:r>
        <w:rPr>
          <w:spacing w:val="-47"/>
        </w:rPr>
      </w:r>
      <w:r>
        <w:rPr>
          <w:spacing w:val="-5"/>
        </w:rPr>
        <w:t>人力资源经理，深圳益华时代管理咨询公司高级咨询师及项目经理等职务。现任本公司人力资源总监职务。</w:t>
      </w:r>
    </w:p>
    <w:p>
      <w:pPr>
        <w:pStyle w:val="BodyText"/>
        <w:spacing w:line="240" w:lineRule="auto" w:before="94"/>
        <w:ind w:left="895" w:right="0"/>
        <w:jc w:val="left"/>
      </w:pPr>
      <w:r>
        <w:rPr/>
        <w:t>截至本报告出具日，公司历任董事、监事、高级管理人员均未发生过受到证券监管机构处罚的情况。</w:t>
      </w:r>
    </w:p>
    <w:p>
      <w:pPr>
        <w:spacing w:line="240" w:lineRule="auto" w:before="8"/>
        <w:rPr>
          <w:rFonts w:ascii="宋体" w:hAnsi="宋体" w:cs="宋体" w:eastAsia="宋体" w:hint="default"/>
          <w:sz w:val="20"/>
          <w:szCs w:val="20"/>
        </w:rPr>
      </w:pPr>
    </w:p>
    <w:p>
      <w:pPr>
        <w:pStyle w:val="BodyText"/>
        <w:spacing w:line="273" w:lineRule="exact"/>
        <w:ind w:left="472" w:right="0"/>
        <w:jc w:val="left"/>
      </w:pPr>
      <w:r>
        <w:rPr/>
        <w:t>在股东单位任职情况</w:t>
      </w:r>
    </w:p>
    <w:p>
      <w:pPr>
        <w:pStyle w:val="BodyText"/>
        <w:spacing w:line="273" w:lineRule="exact"/>
        <w:ind w:left="472" w:right="0"/>
        <w:jc w:val="left"/>
      </w:pPr>
      <w:r>
        <w:rPr/>
        <w:t>√ 适用 □</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256" w:type="dxa"/>
        <w:tblLayout w:type="fixed"/>
        <w:tblCellMar>
          <w:top w:w="0" w:type="dxa"/>
          <w:left w:w="0" w:type="dxa"/>
          <w:bottom w:w="0" w:type="dxa"/>
          <w:right w:w="0" w:type="dxa"/>
        </w:tblCellMar>
        <w:tblLook w:val="01E0"/>
      </w:tblPr>
      <w:tblGrid>
        <w:gridCol w:w="1856"/>
        <w:gridCol w:w="2691"/>
        <w:gridCol w:w="1224"/>
        <w:gridCol w:w="1370"/>
        <w:gridCol w:w="1330"/>
        <w:gridCol w:w="1589"/>
      </w:tblGrid>
      <w:tr>
        <w:trPr>
          <w:trHeight w:val="554"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71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在股东单位</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在股东单位是否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领取报酬津贴</w:t>
            </w:r>
          </w:p>
        </w:tc>
      </w:tr>
      <w:tr>
        <w:trPr>
          <w:trHeight w:val="281"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王卫华</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北京正达联合投资有限公司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研究总监</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在股东单位任职情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况的说明</w:t>
            </w:r>
          </w:p>
        </w:tc>
        <w:tc>
          <w:tcPr>
            <w:tcW w:w="82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3"/>
        <w:rPr>
          <w:rFonts w:ascii="宋体" w:hAnsi="宋体" w:cs="宋体" w:eastAsia="宋体" w:hint="default"/>
          <w:sz w:val="12"/>
          <w:szCs w:val="12"/>
        </w:rPr>
      </w:pPr>
    </w:p>
    <w:p>
      <w:pPr>
        <w:pStyle w:val="BodyText"/>
        <w:spacing w:line="273" w:lineRule="exact" w:before="36"/>
        <w:ind w:left="472" w:right="0"/>
        <w:jc w:val="left"/>
      </w:pPr>
      <w:r>
        <w:rPr/>
        <w:t>在其他单位任职情况</w:t>
      </w:r>
    </w:p>
    <w:p>
      <w:pPr>
        <w:pStyle w:val="BodyText"/>
        <w:spacing w:line="273" w:lineRule="exact"/>
        <w:ind w:left="472" w:right="0"/>
        <w:jc w:val="left"/>
      </w:pPr>
      <w:r>
        <w:rPr/>
        <w:t>√ 适用 □</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206" w:type="dxa"/>
        <w:tblLayout w:type="fixed"/>
        <w:tblCellMar>
          <w:top w:w="0" w:type="dxa"/>
          <w:left w:w="0" w:type="dxa"/>
          <w:bottom w:w="0" w:type="dxa"/>
          <w:right w:w="0" w:type="dxa"/>
        </w:tblCellMar>
        <w:tblLook w:val="01E0"/>
      </w:tblPr>
      <w:tblGrid>
        <w:gridCol w:w="1368"/>
        <w:gridCol w:w="3070"/>
        <w:gridCol w:w="2312"/>
        <w:gridCol w:w="852"/>
        <w:gridCol w:w="850"/>
        <w:gridCol w:w="1709"/>
      </w:tblGrid>
      <w:tr>
        <w:trPr>
          <w:trHeight w:val="55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9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任期起</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始日期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止日期</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在其他单位是否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领取报酬津贴</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沈阳荣科全濠科技有限公司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辽宁荣科金融服务有限公司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北京荣科爱信科技有限公司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付艳杰</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铁岭市雅森木业有限公司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崔万涛</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辽宁恒际建筑集团公司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高级项目经理</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崔万涛</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辽宁荣科金融服务有限公司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崔万田</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辽宁大学</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区域经济研究中心主任</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崔万田</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冯丽</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沈阳荣科全濠科技有限公司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林木西</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辽宁大学经济（管理）学院</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党委书记</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林木西</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沈阳机床股份有限公司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林木西</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东北制药集团股份有限公司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林木西</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方大锦化化工科技股份有限公司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宋廷锋</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赫基国际集团</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胡亮</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吉林大学计算机科学与技术学院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及软件学院</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在其他单位任</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87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4"/>
        <w:rPr>
          <w:rFonts w:ascii="宋体" w:hAnsi="宋体" w:cs="宋体" w:eastAsia="宋体" w:hint="default"/>
          <w:sz w:val="10"/>
          <w:szCs w:val="10"/>
        </w:rPr>
      </w:pPr>
    </w:p>
    <w:p>
      <w:pPr>
        <w:pStyle w:val="Heading4"/>
        <w:spacing w:line="240" w:lineRule="auto" w:before="26"/>
        <w:ind w:left="472"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before="36"/>
        <w:ind w:left="0" w:right="102"/>
        <w:jc w:val="right"/>
      </w:pPr>
      <w:r>
        <w:rPr/>
        <w:pict>
          <v:shape style="position:absolute;margin-left:38.099998pt;margin-top:-51.956306pt;width:519.3pt;height:97.3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3"/>
                    <w:gridCol w:w="5948"/>
                  </w:tblGrid>
                  <w:tr>
                    <w:trPr>
                      <w:trHeight w:val="1099" w:hRule="exact"/>
                    </w:trPr>
                    <w:tc>
                      <w:tcPr>
                        <w:tcW w:w="4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59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pacing w:val="-2"/>
                            <w:sz w:val="21"/>
                            <w:szCs w:val="21"/>
                          </w:rPr>
                          <w:t>公司董事、监事的报酬由董事会薪酬委员会制定并提请股东大会</w:t>
                        </w:r>
                      </w:p>
                      <w:p>
                        <w:pPr>
                          <w:pStyle w:val="TableParagraph"/>
                          <w:spacing w:line="237" w:lineRule="auto"/>
                          <w:ind w:left="24" w:right="26"/>
                          <w:jc w:val="both"/>
                          <w:rPr>
                            <w:rFonts w:ascii="宋体" w:hAnsi="宋体" w:cs="宋体" w:eastAsia="宋体" w:hint="default"/>
                            <w:sz w:val="21"/>
                            <w:szCs w:val="21"/>
                          </w:rPr>
                        </w:pPr>
                        <w:r>
                          <w:rPr>
                            <w:rFonts w:ascii="宋体" w:hAnsi="宋体" w:cs="宋体" w:eastAsia="宋体" w:hint="default"/>
                            <w:spacing w:val="-2"/>
                            <w:sz w:val="21"/>
                            <w:szCs w:val="21"/>
                          </w:rPr>
                          <w:t>审议通过，公司高级管理人员的报酬由董事会薪酬委员会制定并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提请公司董事会审议通过。公司对董事、监事不发放津贴，独立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董事津贴由董事会薪酬委员会制定并提请股东大会审议通过。</w:t>
                        </w:r>
                      </w:p>
                    </w:tc>
                  </w:tr>
                  <w:tr>
                    <w:trPr>
                      <w:trHeight w:val="555" w:hRule="exact"/>
                    </w:trPr>
                    <w:tc>
                      <w:tcPr>
                        <w:tcW w:w="4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5"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59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根据各位董事、监事、高级管理人员所担任的职务和承担的责任</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对其进行绩效考核，按照绩效考核结果支付相应的报酬。</w:t>
                        </w:r>
                      </w:p>
                    </w:tc>
                  </w:tr>
                  <w:tr>
                    <w:trPr>
                      <w:trHeight w:val="283" w:hRule="exact"/>
                    </w:trPr>
                    <w:tc>
                      <w:tcPr>
                        <w:tcW w:w="4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董事、监事和高级管理人员报酬的实际支付情况</w:t>
                        </w:r>
                      </w:p>
                    </w:tc>
                    <w:tc>
                      <w:tcPr>
                        <w:tcW w:w="5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报告期内，按照绩效考核的标准，结合公司实际经营情况，各位</w:t>
                        </w:r>
                      </w:p>
                    </w:tc>
                  </w:tr>
                </w:tbl>
                <w:p>
                  <w:pPr/>
                </w:p>
              </w:txbxContent>
            </v:textbox>
            <w10:wrap type="none"/>
          </v:shape>
        </w:pict>
      </w:r>
      <w:r>
        <w:rPr>
          <w:w w:val="100"/>
        </w:rPr>
        <w:t>，</w:t>
      </w:r>
    </w:p>
    <w:p>
      <w:pPr>
        <w:spacing w:after="0" w:line="240" w:lineRule="auto"/>
        <w:jc w:val="right"/>
        <w:sectPr>
          <w:pgSz w:w="11910" w:h="16840"/>
          <w:pgMar w:header="0" w:footer="979" w:top="1100" w:bottom="1160" w:left="660" w:right="580"/>
        </w:sectPr>
      </w:pPr>
    </w:p>
    <w:p>
      <w:pPr>
        <w:spacing w:line="240" w:lineRule="auto" w:before="1"/>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217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spacing w:line="574" w:lineRule="exact"/>
        <w:ind w:left="100"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519.1pt;height:28.7pt;mso-position-horizontal-relative:char;mso-position-vertical-relative:line" coordorigin="0,0" coordsize="10382,574">
            <v:group style="position:absolute;left:12;top:14;width:4413;height:546" coordorigin="12,14" coordsize="4413,546">
              <v:shape style="position:absolute;left:12;top:14;width:4413;height:546" coordorigin="12,14" coordsize="4413,546" path="m12,560l4424,560,4424,14,12,14,12,560xe" filled="true" fillcolor="#d2d2d2" stroked="false">
                <v:path arrowok="t"/>
                <v:fill type="solid"/>
              </v:shape>
            </v:group>
            <v:group style="position:absolute;left:10;top:10;width:4415;height:2" coordorigin="10,10" coordsize="4415,2">
              <v:shape style="position:absolute;left:10;top:10;width:4415;height:2" coordorigin="10,10" coordsize="4415,0" path="m10,10l4424,10e" filled="false" stroked="true" strokeweight=".48pt" strokecolor="#000000">
                <v:path arrowok="t"/>
              </v:shape>
            </v:group>
            <v:group style="position:absolute;left:4434;top:10;width:5939;height:2" coordorigin="4434,10" coordsize="5939,2">
              <v:shape style="position:absolute;left:4434;top:10;width:5939;height:2" coordorigin="4434,10" coordsize="5939,0" path="m4434,10l10372,10e" filled="false" stroked="true" strokeweight=".48pt" strokecolor="#000000">
                <v:path arrowok="t"/>
              </v:shape>
            </v:group>
            <v:group style="position:absolute;left:5;top:5;width:2;height:565" coordorigin="5,5" coordsize="2,565">
              <v:shape style="position:absolute;left:5;top:5;width:2;height:565" coordorigin="5,5" coordsize="0,565" path="m5,5l5,569e" filled="false" stroked="true" strokeweight=".48pt" strokecolor="#000000">
                <v:path arrowok="t"/>
              </v:shape>
            </v:group>
            <v:group style="position:absolute;left:10;top:564;width:4415;height:2" coordorigin="10,564" coordsize="4415,2">
              <v:shape style="position:absolute;left:10;top:564;width:4415;height:2" coordorigin="10,564" coordsize="4415,0" path="m10,564l4424,564e" filled="false" stroked="true" strokeweight=".48pt" strokecolor="#000000">
                <v:path arrowok="t"/>
              </v:shape>
            </v:group>
            <v:group style="position:absolute;left:4429;top:5;width:2;height:565" coordorigin="4429,5" coordsize="2,565">
              <v:shape style="position:absolute;left:4429;top:5;width:2;height:565" coordorigin="4429,5" coordsize="0,565" path="m4429,5l4429,569e" filled="false" stroked="true" strokeweight=".47998pt" strokecolor="#000000">
                <v:path arrowok="t"/>
              </v:shape>
            </v:group>
            <v:group style="position:absolute;left:4434;top:564;width:5939;height:2" coordorigin="4434,564" coordsize="5939,2">
              <v:shape style="position:absolute;left:4434;top:564;width:5939;height:2" coordorigin="4434,564" coordsize="5939,0" path="m4434,564l10372,564e" filled="false" stroked="true" strokeweight=".48pt" strokecolor="#000000">
                <v:path arrowok="t"/>
              </v:shape>
            </v:group>
            <v:group style="position:absolute;left:10377;top:5;width:2;height:565" coordorigin="10377,5" coordsize="2,565">
              <v:shape style="position:absolute;left:10377;top:5;width:2;height:565" coordorigin="10377,5" coordsize="0,565" path="m10377,5l10377,569e" filled="false" stroked="true" strokeweight=".47998pt" strokecolor="#000000">
                <v:path arrowok="t"/>
              </v:shape>
              <v:shape style="position:absolute;left:4429;top:10;width:5949;height:555" type="#_x0000_t202" filled="false" stroked="false">
                <v:textbox inset="0,0,0,0">
                  <w:txbxContent>
                    <w:p>
                      <w:pPr>
                        <w:spacing w:line="245" w:lineRule="exact" w:before="0"/>
                        <w:ind w:left="28" w:right="0" w:firstLine="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董事、监事和高级管理人员从公司取得报酬的合计金额为</w:t>
                      </w:r>
                      <w:r>
                        <w:rPr>
                          <w:rFonts w:ascii="宋体" w:hAnsi="宋体" w:cs="宋体" w:eastAsia="宋体" w:hint="default"/>
                          <w:spacing w:val="-23"/>
                          <w:sz w:val="21"/>
                          <w:szCs w:val="21"/>
                        </w:rPr>
                        <w:t> </w:t>
                      </w:r>
                      <w:r>
                        <w:rPr>
                          <w:rFonts w:ascii="宋体" w:hAnsi="宋体" w:cs="宋体" w:eastAsia="宋体" w:hint="default"/>
                          <w:sz w:val="21"/>
                          <w:szCs w:val="21"/>
                        </w:rPr>
                        <w:t>265.41</w:t>
                      </w:r>
                    </w:p>
                    <w:p>
                      <w:pPr>
                        <w:spacing w:line="274"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万元。</w:t>
                      </w:r>
                    </w:p>
                  </w:txbxContent>
                </v:textbox>
                <w10:wrap type="none"/>
              </v:shape>
            </v:group>
          </v:group>
        </w:pict>
      </w:r>
      <w:r>
        <w:rPr>
          <w:rFonts w:ascii="宋体" w:hAnsi="宋体" w:cs="宋体" w:eastAsia="宋体" w:hint="default"/>
          <w:position w:val="-10"/>
          <w:sz w:val="20"/>
          <w:szCs w:val="20"/>
        </w:rPr>
      </w:r>
    </w:p>
    <w:p>
      <w:pPr>
        <w:spacing w:line="240" w:lineRule="auto" w:before="2"/>
        <w:rPr>
          <w:rFonts w:ascii="宋体" w:hAnsi="宋体" w:cs="宋体" w:eastAsia="宋体" w:hint="default"/>
          <w:sz w:val="15"/>
          <w:szCs w:val="15"/>
        </w:rPr>
      </w:pPr>
    </w:p>
    <w:p>
      <w:pPr>
        <w:pStyle w:val="BodyText"/>
        <w:spacing w:line="240" w:lineRule="auto" w:before="36"/>
        <w:ind w:left="472" w:right="0"/>
        <w:jc w:val="left"/>
      </w:pPr>
      <w:r>
        <w:rPr/>
        <w:t>公司报告期内董事、监事和高级管理人员报酬情况</w:t>
      </w:r>
    </w:p>
    <w:p>
      <w:pPr>
        <w:spacing w:line="240" w:lineRule="auto" w:before="4"/>
        <w:rPr>
          <w:rFonts w:ascii="宋体" w:hAnsi="宋体" w:cs="宋体" w:eastAsia="宋体" w:hint="default"/>
          <w:sz w:val="2"/>
          <w:szCs w:val="2"/>
        </w:rPr>
      </w:pPr>
    </w:p>
    <w:tbl>
      <w:tblPr>
        <w:tblW w:w="0" w:type="auto"/>
        <w:jc w:val="left"/>
        <w:tblInd w:w="331" w:type="dxa"/>
        <w:tblLayout w:type="fixed"/>
        <w:tblCellMar>
          <w:top w:w="0" w:type="dxa"/>
          <w:left w:w="0" w:type="dxa"/>
          <w:bottom w:w="0" w:type="dxa"/>
          <w:right w:w="0" w:type="dxa"/>
        </w:tblCellMar>
        <w:tblLook w:val="01E0"/>
      </w:tblPr>
      <w:tblGrid>
        <w:gridCol w:w="852"/>
        <w:gridCol w:w="2835"/>
        <w:gridCol w:w="566"/>
        <w:gridCol w:w="566"/>
        <w:gridCol w:w="1277"/>
        <w:gridCol w:w="1253"/>
        <w:gridCol w:w="1366"/>
        <w:gridCol w:w="1198"/>
      </w:tblGrid>
      <w:tr>
        <w:trPr>
          <w:trHeight w:val="55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206"/>
              <w:jc w:val="right"/>
              <w:rPr>
                <w:rFonts w:ascii="宋体" w:hAnsi="宋体" w:cs="宋体" w:eastAsia="宋体" w:hint="default"/>
                <w:sz w:val="21"/>
                <w:szCs w:val="21"/>
              </w:rPr>
            </w:pPr>
            <w:r>
              <w:rPr>
                <w:rFonts w:ascii="宋体" w:hAnsi="宋体" w:cs="宋体" w:eastAsia="宋体" w:hint="default"/>
                <w:sz w:val="21"/>
                <w:szCs w:val="21"/>
              </w:rPr>
              <w:t>姓名</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z w:val="21"/>
                <w:szCs w:val="21"/>
              </w:rPr>
              <w:t>从公司获得</w:t>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的报酬总额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从股东单位获</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报告期末实</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际所得报酬</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60.44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60.44</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付艳杰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28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崔万田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21.00</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冯丽</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董事、董事会秘书、财务总监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38.47</w:t>
            </w:r>
          </w:p>
        </w:tc>
      </w:tr>
      <w:tr>
        <w:trPr>
          <w:trHeight w:val="28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尹春福</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董事、销售总监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45.02</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林木西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5.04</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宋廷锋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5.04</w:t>
            </w:r>
          </w:p>
        </w:tc>
      </w:tr>
      <w:tr>
        <w:trPr>
          <w:trHeight w:val="28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5.04</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余力兴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23.59</w:t>
            </w:r>
          </w:p>
        </w:tc>
      </w:tr>
      <w:tr>
        <w:trPr>
          <w:trHeight w:val="28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王卫华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吴可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11.70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11.70</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杨兴礼</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软件技术总监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28.98</w:t>
            </w:r>
          </w:p>
        </w:tc>
      </w:tr>
      <w:tr>
        <w:trPr>
          <w:trHeight w:val="28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人力资源总监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21.09</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 w:right="0"/>
              <w:jc w:val="center"/>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sz w:val="21"/>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265.41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265.41</w:t>
            </w:r>
          </w:p>
        </w:tc>
      </w:tr>
    </w:tbl>
    <w:p>
      <w:pPr>
        <w:pStyle w:val="BodyText"/>
        <w:spacing w:line="274" w:lineRule="exact" w:before="86"/>
        <w:ind w:left="893" w:right="0"/>
        <w:jc w:val="left"/>
      </w:pPr>
      <w:r>
        <w:rPr/>
        <w:t>公司董事、监事、高级管理人员报告期内被授予的股权激励情况</w:t>
      </w:r>
    </w:p>
    <w:p>
      <w:pPr>
        <w:pStyle w:val="BodyText"/>
        <w:spacing w:line="274" w:lineRule="exact"/>
        <w:ind w:left="893" w:right="0"/>
        <w:jc w:val="left"/>
      </w:pPr>
      <w:r>
        <w:rPr/>
        <w:t>□ 适用 √ 不适用</w:t>
      </w:r>
    </w:p>
    <w:p>
      <w:pPr>
        <w:spacing w:line="240" w:lineRule="auto" w:before="9"/>
        <w:rPr>
          <w:rFonts w:ascii="宋体" w:hAnsi="宋体" w:cs="宋体" w:eastAsia="宋体" w:hint="default"/>
          <w:sz w:val="14"/>
          <w:szCs w:val="14"/>
        </w:rPr>
      </w:pPr>
    </w:p>
    <w:p>
      <w:pPr>
        <w:pStyle w:val="Heading4"/>
        <w:spacing w:line="240" w:lineRule="auto"/>
        <w:ind w:left="472" w:right="0"/>
        <w:jc w:val="left"/>
        <w:rPr>
          <w:b w:val="0"/>
          <w:bCs w:val="0"/>
        </w:rPr>
      </w:pPr>
      <w:r>
        <w:rPr/>
        <w:t>四、公司董事、监事、高级管理人员变动情况</w:t>
      </w:r>
      <w:r>
        <w:rPr>
          <w:b w:val="0"/>
          <w:bCs w:val="0"/>
        </w:rPr>
      </w:r>
    </w:p>
    <w:p>
      <w:pPr>
        <w:pStyle w:val="BodyText"/>
        <w:spacing w:line="240" w:lineRule="auto" w:before="201"/>
        <w:ind w:left="893" w:right="0"/>
        <w:jc w:val="left"/>
      </w:pPr>
      <w:r>
        <w:rPr/>
        <w:t>报告期内，公司董事、监事、高级管理人员无变动。</w:t>
      </w:r>
    </w:p>
    <w:p>
      <w:pPr>
        <w:spacing w:line="240" w:lineRule="auto" w:before="11"/>
        <w:rPr>
          <w:rFonts w:ascii="宋体" w:hAnsi="宋体" w:cs="宋体" w:eastAsia="宋体" w:hint="default"/>
          <w:sz w:val="14"/>
          <w:szCs w:val="14"/>
        </w:rPr>
      </w:pPr>
    </w:p>
    <w:p>
      <w:pPr>
        <w:pStyle w:val="Heading4"/>
        <w:spacing w:line="240" w:lineRule="auto"/>
        <w:ind w:left="472" w:right="0"/>
        <w:jc w:val="left"/>
        <w:rPr>
          <w:b w:val="0"/>
          <w:bCs w:val="0"/>
        </w:rPr>
      </w:pPr>
      <w:r>
        <w:rPr/>
        <w:t>五、报告期核心技术团队或关键技术人员变动情况（非董事、监事、高级管理人员）</w:t>
      </w:r>
      <w:r>
        <w:rPr>
          <w:b w:val="0"/>
          <w:bCs w:val="0"/>
        </w:rPr>
      </w:r>
    </w:p>
    <w:p>
      <w:pPr>
        <w:pStyle w:val="BodyText"/>
        <w:spacing w:line="240" w:lineRule="auto" w:before="201"/>
        <w:ind w:left="998" w:right="0"/>
        <w:jc w:val="left"/>
      </w:pPr>
      <w:r>
        <w:rPr/>
        <w:t>报告期内公司没有发生对公司核心竞争能力有重大影响的人员变动。</w:t>
      </w:r>
    </w:p>
    <w:p>
      <w:pPr>
        <w:spacing w:line="240" w:lineRule="auto" w:before="11"/>
        <w:rPr>
          <w:rFonts w:ascii="宋体" w:hAnsi="宋体" w:cs="宋体" w:eastAsia="宋体" w:hint="default"/>
          <w:sz w:val="14"/>
          <w:szCs w:val="14"/>
        </w:rPr>
      </w:pPr>
    </w:p>
    <w:p>
      <w:pPr>
        <w:pStyle w:val="Heading4"/>
        <w:spacing w:line="240" w:lineRule="auto"/>
        <w:ind w:left="472" w:right="0"/>
        <w:jc w:val="left"/>
        <w:rPr>
          <w:b w:val="0"/>
          <w:bCs w:val="0"/>
        </w:rPr>
      </w:pPr>
      <w:r>
        <w:rPr/>
        <w:t>六、公司员工情况</w:t>
      </w:r>
      <w:r>
        <w:rPr>
          <w:b w:val="0"/>
          <w:bCs w:val="0"/>
        </w:rPr>
      </w:r>
    </w:p>
    <w:p>
      <w:pPr>
        <w:pStyle w:val="BodyText"/>
        <w:spacing w:line="240" w:lineRule="auto" w:before="201"/>
        <w:ind w:left="893" w:right="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日，公司员工总数为</w:t>
      </w:r>
      <w:r>
        <w:rPr>
          <w:rFonts w:ascii="宋体" w:hAnsi="宋体" w:cs="宋体" w:eastAsia="宋体" w:hint="default"/>
        </w:rPr>
        <w:t>290</w:t>
      </w:r>
      <w:r>
        <w:rPr/>
        <w:t>人，其专业构成、教育程度以及年龄结构情况如下：</w:t>
      </w:r>
    </w:p>
    <w:p>
      <w:pPr>
        <w:spacing w:line="240" w:lineRule="auto" w:before="9"/>
        <w:rPr>
          <w:rFonts w:ascii="宋体" w:hAnsi="宋体" w:cs="宋体" w:eastAsia="宋体" w:hint="default"/>
          <w:sz w:val="20"/>
          <w:szCs w:val="20"/>
        </w:rPr>
      </w:pPr>
    </w:p>
    <w:p>
      <w:pPr>
        <w:pStyle w:val="Heading5"/>
        <w:spacing w:line="240" w:lineRule="auto"/>
        <w:ind w:left="998" w:right="0"/>
        <w:jc w:val="left"/>
        <w:rPr>
          <w:b w:val="0"/>
          <w:bCs w:val="0"/>
        </w:rPr>
      </w:pPr>
      <w:r>
        <w:rPr/>
        <w:t>（一）员工专业结构</w:t>
      </w:r>
      <w:r>
        <w:rPr>
          <w:b w:val="0"/>
          <w:bCs w:val="0"/>
        </w:rPr>
      </w:r>
    </w:p>
    <w:p>
      <w:pPr>
        <w:spacing w:line="240" w:lineRule="auto" w:before="6"/>
        <w:rPr>
          <w:rFonts w:ascii="宋体" w:hAnsi="宋体" w:cs="宋体" w:eastAsia="宋体" w:hint="default"/>
          <w:b/>
          <w:bCs/>
          <w:sz w:val="3"/>
          <w:szCs w:val="3"/>
        </w:rPr>
      </w:pPr>
    </w:p>
    <w:tbl>
      <w:tblPr>
        <w:tblW w:w="0" w:type="auto"/>
        <w:jc w:val="left"/>
        <w:tblInd w:w="1025" w:type="dxa"/>
        <w:tblLayout w:type="fixed"/>
        <w:tblCellMar>
          <w:top w:w="0" w:type="dxa"/>
          <w:left w:w="0" w:type="dxa"/>
          <w:bottom w:w="0" w:type="dxa"/>
          <w:right w:w="0" w:type="dxa"/>
        </w:tblCellMar>
        <w:tblLook w:val="01E0"/>
      </w:tblPr>
      <w:tblGrid>
        <w:gridCol w:w="2744"/>
        <w:gridCol w:w="2890"/>
        <w:gridCol w:w="2888"/>
      </w:tblGrid>
      <w:tr>
        <w:trPr>
          <w:trHeight w:val="295"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专业结构</w:t>
            </w:r>
          </w:p>
        </w:tc>
        <w:tc>
          <w:tcPr>
            <w:tcW w:w="2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8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8" w:lineRule="exact"/>
              <w:ind w:left="439" w:right="0"/>
              <w:jc w:val="left"/>
              <w:rPr>
                <w:rFonts w:ascii="宋体" w:hAnsi="宋体" w:cs="宋体" w:eastAsia="宋体" w:hint="default"/>
                <w:sz w:val="21"/>
                <w:szCs w:val="21"/>
              </w:rPr>
            </w:pPr>
            <w:r>
              <w:rPr>
                <w:rFonts w:ascii="宋体" w:hAnsi="宋体" w:cs="宋体" w:eastAsia="宋体" w:hint="default"/>
                <w:sz w:val="21"/>
                <w:szCs w:val="21"/>
              </w:rPr>
              <w:t>占员工总数比例（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07" w:hRule="exact"/>
        </w:trPr>
        <w:tc>
          <w:tcPr>
            <w:tcW w:w="2744" w:type="dxa"/>
            <w:tcBorders>
              <w:top w:val="single" w:sz="10"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6"/>
              <w:jc w:val="center"/>
              <w:rPr>
                <w:rFonts w:ascii="宋体" w:hAnsi="宋体" w:cs="宋体" w:eastAsia="宋体" w:hint="default"/>
                <w:sz w:val="21"/>
                <w:szCs w:val="21"/>
              </w:rPr>
            </w:pPr>
            <w:r>
              <w:rPr>
                <w:rFonts w:ascii="宋体"/>
                <w:sz w:val="21"/>
              </w:rPr>
              <w:t>47</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
              <w:jc w:val="center"/>
              <w:rPr>
                <w:rFonts w:ascii="宋体" w:hAnsi="宋体" w:cs="宋体" w:eastAsia="宋体" w:hint="default"/>
                <w:sz w:val="21"/>
                <w:szCs w:val="21"/>
              </w:rPr>
            </w:pPr>
            <w:r>
              <w:rPr>
                <w:rFonts w:ascii="宋体"/>
                <w:sz w:val="21"/>
              </w:rPr>
              <w:t>16.21%</w:t>
            </w:r>
          </w:p>
        </w:tc>
      </w:tr>
      <w:tr>
        <w:trPr>
          <w:trHeight w:val="307" w:hRule="exact"/>
        </w:trPr>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39"/>
              <w:jc w:val="center"/>
              <w:rPr>
                <w:rFonts w:ascii="宋体" w:hAnsi="宋体" w:cs="宋体" w:eastAsia="宋体" w:hint="default"/>
                <w:sz w:val="21"/>
                <w:szCs w:val="21"/>
              </w:rPr>
            </w:pPr>
            <w:r>
              <w:rPr>
                <w:rFonts w:ascii="宋体"/>
                <w:sz w:val="21"/>
              </w:rPr>
              <w:t>195</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
              <w:jc w:val="center"/>
              <w:rPr>
                <w:rFonts w:ascii="宋体" w:hAnsi="宋体" w:cs="宋体" w:eastAsia="宋体" w:hint="default"/>
                <w:sz w:val="21"/>
                <w:szCs w:val="21"/>
              </w:rPr>
            </w:pPr>
            <w:r>
              <w:rPr>
                <w:rFonts w:ascii="宋体"/>
                <w:sz w:val="21"/>
              </w:rPr>
              <w:t>67.24%</w:t>
            </w:r>
          </w:p>
        </w:tc>
      </w:tr>
      <w:tr>
        <w:trPr>
          <w:trHeight w:val="307" w:hRule="exact"/>
        </w:trPr>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6"/>
              <w:jc w:val="center"/>
              <w:rPr>
                <w:rFonts w:ascii="宋体" w:hAnsi="宋体" w:cs="宋体" w:eastAsia="宋体" w:hint="default"/>
                <w:sz w:val="21"/>
                <w:szCs w:val="21"/>
              </w:rPr>
            </w:pPr>
            <w:r>
              <w:rPr>
                <w:rFonts w:ascii="宋体"/>
                <w:sz w:val="21"/>
              </w:rPr>
              <w:t>34</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
              <w:jc w:val="center"/>
              <w:rPr>
                <w:rFonts w:ascii="宋体" w:hAnsi="宋体" w:cs="宋体" w:eastAsia="宋体" w:hint="default"/>
                <w:sz w:val="21"/>
                <w:szCs w:val="21"/>
              </w:rPr>
            </w:pPr>
            <w:r>
              <w:rPr>
                <w:rFonts w:ascii="宋体"/>
                <w:sz w:val="21"/>
              </w:rPr>
              <w:t>11.72%</w:t>
            </w:r>
          </w:p>
        </w:tc>
      </w:tr>
      <w:tr>
        <w:trPr>
          <w:trHeight w:val="307" w:hRule="exact"/>
        </w:trPr>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6"/>
              <w:jc w:val="center"/>
              <w:rPr>
                <w:rFonts w:ascii="宋体" w:hAnsi="宋体" w:cs="宋体" w:eastAsia="宋体" w:hint="default"/>
                <w:sz w:val="21"/>
                <w:szCs w:val="21"/>
              </w:rPr>
            </w:pPr>
            <w:r>
              <w:rPr>
                <w:rFonts w:ascii="宋体"/>
                <w:sz w:val="21"/>
              </w:rPr>
              <w:t>14</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center"/>
              <w:rPr>
                <w:rFonts w:ascii="宋体" w:hAnsi="宋体" w:cs="宋体" w:eastAsia="宋体" w:hint="default"/>
                <w:sz w:val="21"/>
                <w:szCs w:val="21"/>
              </w:rPr>
            </w:pPr>
            <w:r>
              <w:rPr>
                <w:rFonts w:ascii="宋体"/>
                <w:sz w:val="21"/>
              </w:rPr>
              <w:t>4.83%</w:t>
            </w:r>
          </w:p>
        </w:tc>
      </w:tr>
      <w:tr>
        <w:trPr>
          <w:trHeight w:val="307" w:hRule="exact"/>
        </w:trPr>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39"/>
              <w:jc w:val="center"/>
              <w:rPr>
                <w:rFonts w:ascii="宋体" w:hAnsi="宋体" w:cs="宋体" w:eastAsia="宋体" w:hint="default"/>
                <w:sz w:val="21"/>
                <w:szCs w:val="21"/>
              </w:rPr>
            </w:pPr>
            <w:r>
              <w:rPr>
                <w:rFonts w:ascii="宋体"/>
                <w:sz w:val="21"/>
              </w:rPr>
              <w:t>290</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08"/>
              <w:jc w:val="center"/>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b/>
          <w:bCs/>
          <w:sz w:val="16"/>
          <w:szCs w:val="16"/>
        </w:rPr>
      </w:pPr>
    </w:p>
    <w:p>
      <w:pPr>
        <w:pStyle w:val="Heading5"/>
        <w:spacing w:line="240" w:lineRule="auto" w:before="36"/>
        <w:ind w:left="790" w:right="0"/>
        <w:jc w:val="left"/>
        <w:rPr>
          <w:b w:val="0"/>
          <w:bCs w:val="0"/>
        </w:rPr>
      </w:pPr>
      <w:r>
        <w:rPr/>
        <w:t>（二）员工受教育程度</w:t>
      </w:r>
      <w:r>
        <w:rPr>
          <w:b w:val="0"/>
          <w:bCs w:val="0"/>
        </w:rPr>
      </w:r>
    </w:p>
    <w:p>
      <w:pPr>
        <w:spacing w:line="240" w:lineRule="auto" w:before="4"/>
        <w:rPr>
          <w:rFonts w:ascii="宋体" w:hAnsi="宋体" w:cs="宋体" w:eastAsia="宋体" w:hint="default"/>
          <w:b/>
          <w:bCs/>
          <w:sz w:val="2"/>
          <w:szCs w:val="2"/>
        </w:rPr>
      </w:pPr>
    </w:p>
    <w:tbl>
      <w:tblPr>
        <w:tblW w:w="0" w:type="auto"/>
        <w:jc w:val="left"/>
        <w:tblInd w:w="1025" w:type="dxa"/>
        <w:tblLayout w:type="fixed"/>
        <w:tblCellMar>
          <w:top w:w="0" w:type="dxa"/>
          <w:left w:w="0" w:type="dxa"/>
          <w:bottom w:w="0" w:type="dxa"/>
          <w:right w:w="0" w:type="dxa"/>
        </w:tblCellMar>
        <w:tblLook w:val="01E0"/>
      </w:tblPr>
      <w:tblGrid>
        <w:gridCol w:w="2744"/>
        <w:gridCol w:w="2890"/>
        <w:gridCol w:w="2888"/>
      </w:tblGrid>
      <w:tr>
        <w:trPr>
          <w:trHeight w:val="290"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学历程度</w:t>
            </w:r>
          </w:p>
        </w:tc>
        <w:tc>
          <w:tcPr>
            <w:tcW w:w="2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8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占员工总数比例（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4" w:hRule="exact"/>
        </w:trPr>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硕士以上（含硕士）</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6" w:right="0"/>
              <w:jc w:val="center"/>
              <w:rPr>
                <w:rFonts w:ascii="宋体" w:hAnsi="宋体" w:cs="宋体" w:eastAsia="宋体" w:hint="default"/>
                <w:sz w:val="21"/>
                <w:szCs w:val="21"/>
              </w:rPr>
            </w:pPr>
            <w:r>
              <w:rPr>
                <w:rFonts w:ascii="宋体"/>
                <w:sz w:val="21"/>
              </w:rPr>
              <w:t>11</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center"/>
              <w:rPr>
                <w:rFonts w:ascii="宋体" w:hAnsi="宋体" w:cs="宋体" w:eastAsia="宋体" w:hint="default"/>
                <w:sz w:val="21"/>
                <w:szCs w:val="21"/>
              </w:rPr>
            </w:pPr>
            <w:r>
              <w:rPr>
                <w:rFonts w:ascii="宋体"/>
                <w:sz w:val="21"/>
              </w:rPr>
              <w:t>3.79%</w:t>
            </w:r>
          </w:p>
        </w:tc>
      </w:tr>
      <w:tr>
        <w:trPr>
          <w:trHeight w:val="310" w:hRule="exact"/>
        </w:trPr>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36"/>
              <w:jc w:val="center"/>
              <w:rPr>
                <w:rFonts w:ascii="宋体" w:hAnsi="宋体" w:cs="宋体" w:eastAsia="宋体" w:hint="default"/>
                <w:sz w:val="21"/>
                <w:szCs w:val="21"/>
              </w:rPr>
            </w:pPr>
            <w:r>
              <w:rPr>
                <w:rFonts w:ascii="宋体"/>
                <w:sz w:val="21"/>
              </w:rPr>
              <w:t>169</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
              <w:jc w:val="center"/>
              <w:rPr>
                <w:rFonts w:ascii="宋体" w:hAnsi="宋体" w:cs="宋体" w:eastAsia="宋体" w:hint="default"/>
                <w:sz w:val="21"/>
                <w:szCs w:val="21"/>
              </w:rPr>
            </w:pPr>
            <w:r>
              <w:rPr>
                <w:rFonts w:ascii="宋体"/>
                <w:sz w:val="21"/>
              </w:rPr>
              <w:t>58.28%</w:t>
            </w:r>
          </w:p>
        </w:tc>
      </w:tr>
      <w:tr>
        <w:trPr>
          <w:trHeight w:val="307" w:hRule="exact"/>
        </w:trPr>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6"/>
              <w:jc w:val="center"/>
              <w:rPr>
                <w:rFonts w:ascii="宋体" w:hAnsi="宋体" w:cs="宋体" w:eastAsia="宋体" w:hint="default"/>
                <w:sz w:val="21"/>
                <w:szCs w:val="21"/>
              </w:rPr>
            </w:pPr>
            <w:r>
              <w:rPr>
                <w:rFonts w:ascii="宋体"/>
                <w:sz w:val="21"/>
              </w:rPr>
              <w:t>105</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
              <w:jc w:val="center"/>
              <w:rPr>
                <w:rFonts w:ascii="宋体" w:hAnsi="宋体" w:cs="宋体" w:eastAsia="宋体" w:hint="default"/>
                <w:sz w:val="21"/>
                <w:szCs w:val="21"/>
              </w:rPr>
            </w:pPr>
            <w:r>
              <w:rPr>
                <w:rFonts w:ascii="宋体"/>
                <w:sz w:val="21"/>
              </w:rPr>
              <w:t>36.21%</w:t>
            </w:r>
          </w:p>
        </w:tc>
      </w:tr>
    </w:tbl>
    <w:p>
      <w:pPr>
        <w:spacing w:after="0" w:line="250" w:lineRule="exact"/>
        <w:jc w:val="center"/>
        <w:rPr>
          <w:rFonts w:ascii="宋体" w:hAnsi="宋体" w:cs="宋体" w:eastAsia="宋体" w:hint="default"/>
          <w:sz w:val="21"/>
          <w:szCs w:val="21"/>
        </w:rPr>
        <w:sectPr>
          <w:pgSz w:w="11910" w:h="16840"/>
          <w:pgMar w:header="0" w:footer="979" w:top="1100" w:bottom="1160" w:left="660" w:right="660"/>
        </w:sectPr>
      </w:pPr>
    </w:p>
    <w:p>
      <w:pPr>
        <w:spacing w:line="240" w:lineRule="auto" w:before="6"/>
        <w:rPr>
          <w:rFonts w:ascii="宋体" w:hAnsi="宋体" w:cs="宋体" w:eastAsia="宋体" w:hint="default"/>
          <w:b/>
          <w:bCs/>
          <w:sz w:val="5"/>
          <w:szCs w:val="5"/>
        </w:rPr>
      </w:pPr>
    </w:p>
    <w:tbl>
      <w:tblPr>
        <w:tblW w:w="0" w:type="auto"/>
        <w:jc w:val="left"/>
        <w:tblInd w:w="705" w:type="dxa"/>
        <w:tblLayout w:type="fixed"/>
        <w:tblCellMar>
          <w:top w:w="0" w:type="dxa"/>
          <w:left w:w="0" w:type="dxa"/>
          <w:bottom w:w="0" w:type="dxa"/>
          <w:right w:w="0" w:type="dxa"/>
        </w:tblCellMar>
        <w:tblLook w:val="01E0"/>
      </w:tblPr>
      <w:tblGrid>
        <w:gridCol w:w="2744"/>
        <w:gridCol w:w="2890"/>
        <w:gridCol w:w="2888"/>
      </w:tblGrid>
      <w:tr>
        <w:trPr>
          <w:trHeight w:val="308" w:hRule="exact"/>
        </w:trPr>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1296"/>
              <w:jc w:val="right"/>
              <w:rPr>
                <w:rFonts w:ascii="宋体" w:hAnsi="宋体" w:cs="宋体" w:eastAsia="宋体" w:hint="default"/>
                <w:sz w:val="21"/>
                <w:szCs w:val="21"/>
              </w:rPr>
            </w:pPr>
            <w:r>
              <w:rPr>
                <w:rFonts w:ascii="宋体"/>
                <w:w w:val="100"/>
                <w:sz w:val="21"/>
              </w:rPr>
              <w:t>5</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1121"/>
              <w:jc w:val="right"/>
              <w:rPr>
                <w:rFonts w:ascii="宋体" w:hAnsi="宋体" w:cs="宋体" w:eastAsia="宋体" w:hint="default"/>
                <w:sz w:val="21"/>
                <w:szCs w:val="21"/>
              </w:rPr>
            </w:pPr>
            <w:r>
              <w:rPr>
                <w:rFonts w:ascii="宋体"/>
                <w:spacing w:val="-1"/>
                <w:sz w:val="21"/>
              </w:rPr>
              <w:t>1.72%</w:t>
            </w:r>
          </w:p>
        </w:tc>
      </w:tr>
      <w:tr>
        <w:trPr>
          <w:trHeight w:val="307" w:hRule="exact"/>
        </w:trPr>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296"/>
              <w:jc w:val="right"/>
              <w:rPr>
                <w:rFonts w:ascii="宋体" w:hAnsi="宋体" w:cs="宋体" w:eastAsia="宋体" w:hint="default"/>
                <w:sz w:val="21"/>
                <w:szCs w:val="21"/>
              </w:rPr>
            </w:pPr>
            <w:r>
              <w:rPr>
                <w:rFonts w:ascii="宋体"/>
                <w:sz w:val="21"/>
              </w:rPr>
              <w:t>290</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121"/>
              <w:jc w:val="right"/>
              <w:rPr>
                <w:rFonts w:ascii="宋体" w:hAnsi="宋体" w:cs="宋体" w:eastAsia="宋体" w:hint="default"/>
                <w:sz w:val="21"/>
                <w:szCs w:val="21"/>
              </w:rPr>
            </w:pPr>
            <w:r>
              <w:rPr>
                <w:rFonts w:ascii="宋体"/>
                <w:spacing w:val="-1"/>
                <w:sz w:val="21"/>
              </w:rPr>
              <w:t>100.00%</w:t>
            </w:r>
          </w:p>
        </w:tc>
      </w:tr>
    </w:tbl>
    <w:p>
      <w:pPr>
        <w:spacing w:line="240" w:lineRule="auto" w:before="1"/>
        <w:rPr>
          <w:rFonts w:ascii="宋体" w:hAnsi="宋体" w:cs="宋体" w:eastAsia="宋体" w:hint="default"/>
          <w:b/>
          <w:bCs/>
          <w:sz w:val="16"/>
          <w:szCs w:val="16"/>
        </w:rPr>
      </w:pPr>
    </w:p>
    <w:p>
      <w:pPr>
        <w:pStyle w:val="Heading5"/>
        <w:spacing w:line="240" w:lineRule="auto" w:before="36"/>
        <w:ind w:left="470" w:right="142"/>
        <w:jc w:val="left"/>
        <w:rPr>
          <w:b w:val="0"/>
          <w:bCs w:val="0"/>
        </w:rPr>
      </w:pPr>
      <w:r>
        <w:rPr/>
        <w:t>（三）员工年龄结构</w:t>
      </w:r>
      <w:r>
        <w:rPr>
          <w:b w:val="0"/>
          <w:bCs w:val="0"/>
        </w:rPr>
      </w:r>
    </w:p>
    <w:p>
      <w:pPr>
        <w:spacing w:line="240" w:lineRule="auto" w:before="7"/>
        <w:rPr>
          <w:rFonts w:ascii="宋体" w:hAnsi="宋体" w:cs="宋体" w:eastAsia="宋体" w:hint="default"/>
          <w:b/>
          <w:bCs/>
          <w:sz w:val="2"/>
          <w:szCs w:val="2"/>
        </w:rPr>
      </w:pPr>
    </w:p>
    <w:tbl>
      <w:tblPr>
        <w:tblW w:w="0" w:type="auto"/>
        <w:jc w:val="left"/>
        <w:tblInd w:w="705" w:type="dxa"/>
        <w:tblLayout w:type="fixed"/>
        <w:tblCellMar>
          <w:top w:w="0" w:type="dxa"/>
          <w:left w:w="0" w:type="dxa"/>
          <w:bottom w:w="0" w:type="dxa"/>
          <w:right w:w="0" w:type="dxa"/>
        </w:tblCellMar>
        <w:tblLook w:val="01E0"/>
      </w:tblPr>
      <w:tblGrid>
        <w:gridCol w:w="2809"/>
        <w:gridCol w:w="2856"/>
        <w:gridCol w:w="2857"/>
      </w:tblGrid>
      <w:tr>
        <w:trPr>
          <w:trHeight w:val="307" w:hRule="exact"/>
        </w:trPr>
        <w:tc>
          <w:tcPr>
            <w:tcW w:w="28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28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0" w:lineRule="exact"/>
              <w:ind w:left="1209"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8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0" w:lineRule="exact"/>
              <w:ind w:left="424" w:right="0"/>
              <w:jc w:val="left"/>
              <w:rPr>
                <w:rFonts w:ascii="宋体" w:hAnsi="宋体" w:cs="宋体" w:eastAsia="宋体" w:hint="default"/>
                <w:sz w:val="21"/>
                <w:szCs w:val="21"/>
              </w:rPr>
            </w:pPr>
            <w:r>
              <w:rPr>
                <w:rFonts w:ascii="宋体" w:hAnsi="宋体" w:cs="宋体" w:eastAsia="宋体" w:hint="default"/>
                <w:sz w:val="21"/>
                <w:szCs w:val="21"/>
              </w:rPr>
              <w:t>占员工总数比例（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07" w:hRule="exact"/>
        </w:trPr>
        <w:tc>
          <w:tcPr>
            <w:tcW w:w="2809" w:type="dxa"/>
            <w:tcBorders>
              <w:top w:val="single" w:sz="10" w:space="0" w:color="000000"/>
              <w:left w:val="single" w:sz="6" w:space="0" w:color="000000"/>
              <w:bottom w:val="single" w:sz="6" w:space="0" w:color="000000"/>
              <w:right w:val="single" w:sz="6" w:space="0" w:color="000000"/>
            </w:tcBorders>
          </w:tcPr>
          <w:p>
            <w:pPr>
              <w:pStyle w:val="TableParagraph"/>
              <w:spacing w:line="246" w:lineRule="exact"/>
              <w:ind w:right="972"/>
              <w:jc w:val="right"/>
              <w:rPr>
                <w:rFonts w:ascii="宋体" w:hAnsi="宋体" w:cs="宋体" w:eastAsia="宋体" w:hint="default"/>
                <w:sz w:val="21"/>
                <w:szCs w:val="21"/>
              </w:rPr>
            </w:pPr>
            <w:r>
              <w:rPr>
                <w:rFonts w:ascii="宋体" w:hAnsi="宋体" w:cs="宋体" w:eastAsia="宋体" w:hint="default"/>
                <w:spacing w:val="-1"/>
                <w:sz w:val="21"/>
                <w:szCs w:val="21"/>
              </w:rPr>
              <w:t>40</w:t>
            </w:r>
            <w:r>
              <w:rPr>
                <w:rFonts w:ascii="宋体" w:hAnsi="宋体" w:cs="宋体" w:eastAsia="宋体" w:hint="default"/>
                <w:spacing w:val="-1"/>
                <w:sz w:val="21"/>
                <w:szCs w:val="21"/>
              </w:rPr>
              <w:t>岁以上</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41"/>
              <w:jc w:val="center"/>
              <w:rPr>
                <w:rFonts w:ascii="宋体" w:hAnsi="宋体" w:cs="宋体" w:eastAsia="宋体" w:hint="default"/>
                <w:sz w:val="21"/>
                <w:szCs w:val="21"/>
              </w:rPr>
            </w:pPr>
            <w:r>
              <w:rPr>
                <w:rFonts w:ascii="宋体"/>
                <w:sz w:val="21"/>
              </w:rPr>
              <w:t>21</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sz w:val="21"/>
              </w:rPr>
              <w:t>7.24%</w:t>
            </w:r>
          </w:p>
        </w:tc>
      </w:tr>
      <w:tr>
        <w:trPr>
          <w:trHeight w:val="307"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025"/>
              <w:jc w:val="right"/>
              <w:rPr>
                <w:rFonts w:ascii="宋体" w:hAnsi="宋体" w:cs="宋体" w:eastAsia="宋体" w:hint="default"/>
                <w:sz w:val="21"/>
                <w:szCs w:val="21"/>
              </w:rPr>
            </w:pPr>
            <w:r>
              <w:rPr>
                <w:rFonts w:ascii="宋体" w:hAnsi="宋体" w:cs="宋体" w:eastAsia="宋体" w:hint="default"/>
                <w:spacing w:val="-1"/>
                <w:sz w:val="21"/>
                <w:szCs w:val="21"/>
              </w:rPr>
              <w:t>31-40</w:t>
            </w:r>
            <w:r>
              <w:rPr>
                <w:rFonts w:ascii="宋体" w:hAnsi="宋体" w:cs="宋体" w:eastAsia="宋体" w:hint="default"/>
                <w:spacing w:val="-1"/>
                <w:sz w:val="21"/>
                <w:szCs w:val="21"/>
              </w:rPr>
              <w:t>岁</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190" w:right="0"/>
              <w:jc w:val="left"/>
              <w:rPr>
                <w:rFonts w:ascii="宋体" w:hAnsi="宋体" w:cs="宋体" w:eastAsia="宋体" w:hint="default"/>
                <w:sz w:val="21"/>
                <w:szCs w:val="21"/>
              </w:rPr>
            </w:pPr>
            <w:r>
              <w:rPr>
                <w:rFonts w:ascii="宋体"/>
                <w:sz w:val="21"/>
              </w:rPr>
              <w:t>157</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54.14%</w:t>
            </w:r>
          </w:p>
        </w:tc>
      </w:tr>
      <w:tr>
        <w:trPr>
          <w:trHeight w:val="307"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72"/>
              <w:jc w:val="right"/>
              <w:rPr>
                <w:rFonts w:ascii="宋体" w:hAnsi="宋体" w:cs="宋体" w:eastAsia="宋体" w:hint="default"/>
                <w:sz w:val="21"/>
                <w:szCs w:val="21"/>
              </w:rPr>
            </w:pPr>
            <w:r>
              <w:rPr>
                <w:rFonts w:ascii="宋体" w:hAnsi="宋体" w:cs="宋体" w:eastAsia="宋体" w:hint="default"/>
                <w:spacing w:val="-1"/>
                <w:sz w:val="21"/>
                <w:szCs w:val="21"/>
              </w:rPr>
              <w:t>30</w:t>
            </w:r>
            <w:r>
              <w:rPr>
                <w:rFonts w:ascii="宋体" w:hAnsi="宋体" w:cs="宋体" w:eastAsia="宋体" w:hint="default"/>
                <w:spacing w:val="-1"/>
                <w:sz w:val="21"/>
                <w:szCs w:val="21"/>
              </w:rPr>
              <w:t>岁以下</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190" w:right="0"/>
              <w:jc w:val="left"/>
              <w:rPr>
                <w:rFonts w:ascii="宋体" w:hAnsi="宋体" w:cs="宋体" w:eastAsia="宋体" w:hint="default"/>
                <w:sz w:val="21"/>
                <w:szCs w:val="21"/>
              </w:rPr>
            </w:pPr>
            <w:r>
              <w:rPr>
                <w:rFonts w:ascii="宋体"/>
                <w:sz w:val="21"/>
              </w:rPr>
              <w:t>112</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38.62%</w:t>
            </w:r>
          </w:p>
        </w:tc>
      </w:tr>
      <w:tr>
        <w:trPr>
          <w:trHeight w:val="307"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190" w:right="0"/>
              <w:jc w:val="left"/>
              <w:rPr>
                <w:rFonts w:ascii="宋体" w:hAnsi="宋体" w:cs="宋体" w:eastAsia="宋体" w:hint="default"/>
                <w:sz w:val="21"/>
                <w:szCs w:val="21"/>
              </w:rPr>
            </w:pPr>
            <w:r>
              <w:rPr>
                <w:rFonts w:ascii="宋体"/>
                <w:sz w:val="21"/>
              </w:rPr>
              <w:t>290</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09"/>
              <w:jc w:val="center"/>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b/>
          <w:bCs/>
          <w:sz w:val="15"/>
          <w:szCs w:val="15"/>
        </w:rPr>
      </w:pPr>
    </w:p>
    <w:p>
      <w:pPr>
        <w:pStyle w:val="Heading5"/>
        <w:spacing w:line="240" w:lineRule="auto" w:before="36"/>
        <w:ind w:left="573" w:right="142"/>
        <w:jc w:val="left"/>
        <w:rPr>
          <w:b w:val="0"/>
          <w:bCs w:val="0"/>
        </w:rPr>
      </w:pPr>
      <w:r>
        <w:rPr/>
        <w:t>（四）截至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日，公司没有需要承担费用的离退休人员。</w:t>
      </w:r>
      <w:r>
        <w:rPr>
          <w:b w:val="0"/>
          <w:bCs w:val="0"/>
        </w:rPr>
      </w:r>
    </w:p>
    <w:p>
      <w:pPr>
        <w:spacing w:after="0" w:line="240" w:lineRule="auto"/>
        <w:jc w:val="left"/>
        <w:sectPr>
          <w:headerReference w:type="default" r:id="rId33"/>
          <w:pgSz w:w="11910" w:h="16840"/>
          <w:pgMar w:header="566" w:footer="979" w:top="1360" w:bottom="1160" w:left="980" w:right="980"/>
        </w:sectPr>
      </w:pPr>
    </w:p>
    <w:p>
      <w:pPr>
        <w:pStyle w:val="Heading1"/>
        <w:spacing w:line="240" w:lineRule="auto" w:before="67"/>
        <w:ind w:left="3789" w:right="3788"/>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11"/>
        <w:rPr>
          <w:rFonts w:ascii="宋体" w:hAnsi="宋体" w:cs="宋体" w:eastAsia="宋体" w:hint="default"/>
          <w:b/>
          <w:bCs/>
          <w:sz w:val="29"/>
          <w:szCs w:val="29"/>
        </w:rPr>
      </w:pPr>
    </w:p>
    <w:p>
      <w:pPr>
        <w:pStyle w:val="Heading4"/>
        <w:spacing w:line="240" w:lineRule="auto" w:before="26"/>
        <w:ind w:left="192" w:right="0"/>
        <w:jc w:val="left"/>
        <w:rPr>
          <w:b w:val="0"/>
          <w:bCs w:val="0"/>
        </w:rPr>
      </w:pPr>
      <w:r>
        <w:rPr/>
        <w:t>一、公司治理的基本状况</w:t>
      </w:r>
      <w:r>
        <w:rPr>
          <w:b w:val="0"/>
          <w:bCs w:val="0"/>
        </w:rPr>
      </w:r>
    </w:p>
    <w:p>
      <w:pPr>
        <w:pStyle w:val="BodyText"/>
        <w:spacing w:line="237" w:lineRule="auto" w:before="206"/>
        <w:ind w:left="192" w:right="186" w:firstLine="422"/>
        <w:jc w:val="both"/>
      </w:pPr>
      <w:r>
        <w:rPr>
          <w:rFonts w:ascii="宋体" w:hAnsi="宋体" w:cs="宋体" w:eastAsia="宋体" w:hint="default"/>
          <w:spacing w:val="-2"/>
        </w:rPr>
        <w:t>2012</w:t>
      </w:r>
      <w:r>
        <w:rPr>
          <w:spacing w:val="-2"/>
        </w:rPr>
        <w:t>年是公司成功上市的第一年。公司按照《公司法》、《证券法》、《上市公司治理准则》、《创</w:t>
      </w:r>
      <w:r>
        <w:rPr>
          <w:w w:val="100"/>
        </w:rPr>
        <w:t> </w:t>
      </w:r>
      <w:r>
        <w:rPr>
          <w:spacing w:val="-2"/>
        </w:rPr>
        <w:t>业板股票上市规则》和中国证监会有关法律法规的要求，不断完善公司治理结构，建立健全公司内部控制</w:t>
      </w:r>
      <w:r>
        <w:rPr>
          <w:spacing w:val="-44"/>
        </w:rPr>
        <w:t> </w:t>
      </w:r>
      <w:r>
        <w:rPr>
          <w:spacing w:val="-44"/>
        </w:rPr>
      </w:r>
      <w:r>
        <w:rPr>
          <w:spacing w:val="-2"/>
        </w:rPr>
        <w:t>制度，努力提高公司治理水平，股东大会、董事会、监事会的运作以《公司章程》为依据，以“三会”议</w:t>
      </w:r>
      <w:r>
        <w:rPr>
          <w:spacing w:val="-49"/>
        </w:rPr>
        <w:t> </w:t>
      </w:r>
      <w:r>
        <w:rPr>
          <w:spacing w:val="-49"/>
        </w:rPr>
      </w:r>
      <w:r>
        <w:rPr>
          <w:spacing w:val="-2"/>
        </w:rPr>
        <w:t>事规则为准绳，充分保证了公司经营决策的合法性、有效性。公司治理情况基本符合《公司法》和中国证</w:t>
      </w:r>
      <w:r>
        <w:rPr>
          <w:spacing w:val="-43"/>
        </w:rPr>
        <w:t> </w:t>
      </w:r>
      <w:r>
        <w:rPr>
          <w:spacing w:val="-43"/>
        </w:rPr>
      </w:r>
      <w:r>
        <w:rPr/>
        <w:t>监会相关规定的要求。</w:t>
      </w:r>
    </w:p>
    <w:p>
      <w:pPr>
        <w:pStyle w:val="BodyText"/>
        <w:spacing w:line="271" w:lineRule="exact"/>
        <w:ind w:left="615" w:right="0"/>
        <w:jc w:val="left"/>
      </w:pPr>
      <w:r>
        <w:rPr/>
        <w:t>报告期内，公司建立的内部控制制度如下：</w:t>
      </w:r>
    </w:p>
    <w:p>
      <w:pPr>
        <w:spacing w:line="240" w:lineRule="auto" w:before="1"/>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725"/>
        <w:gridCol w:w="7048"/>
        <w:gridCol w:w="1783"/>
      </w:tblGrid>
      <w:tr>
        <w:trPr>
          <w:trHeight w:val="315" w:hRule="exact"/>
        </w:trPr>
        <w:tc>
          <w:tcPr>
            <w:tcW w:w="7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70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right="0"/>
              <w:jc w:val="center"/>
              <w:rPr>
                <w:rFonts w:ascii="宋体" w:hAnsi="宋体" w:cs="宋体" w:eastAsia="宋体" w:hint="default"/>
                <w:sz w:val="22"/>
                <w:szCs w:val="22"/>
              </w:rPr>
            </w:pPr>
            <w:r>
              <w:rPr>
                <w:rFonts w:ascii="宋体" w:hAnsi="宋体" w:cs="宋体" w:eastAsia="宋体" w:hint="default"/>
                <w:b/>
                <w:bCs/>
                <w:sz w:val="22"/>
                <w:szCs w:val="22"/>
              </w:rPr>
              <w:t>制度名称</w:t>
            </w:r>
            <w:r>
              <w:rPr>
                <w:rFonts w:ascii="宋体" w:hAnsi="宋体" w:cs="宋体" w:eastAsia="宋体" w:hint="default"/>
                <w:sz w:val="22"/>
                <w:szCs w:val="22"/>
              </w:rPr>
            </w:r>
          </w:p>
        </w:tc>
        <w:tc>
          <w:tcPr>
            <w:tcW w:w="17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right="0"/>
              <w:jc w:val="center"/>
              <w:rPr>
                <w:rFonts w:ascii="宋体" w:hAnsi="宋体" w:cs="宋体" w:eastAsia="宋体" w:hint="default"/>
                <w:sz w:val="22"/>
                <w:szCs w:val="22"/>
              </w:rPr>
            </w:pPr>
            <w:r>
              <w:rPr>
                <w:rFonts w:ascii="宋体" w:hAnsi="宋体" w:cs="宋体" w:eastAsia="宋体" w:hint="default"/>
                <w:b/>
                <w:bCs/>
                <w:sz w:val="22"/>
                <w:szCs w:val="22"/>
              </w:rPr>
              <w:t>披露日期</w:t>
            </w:r>
            <w:r>
              <w:rPr>
                <w:rFonts w:ascii="宋体" w:hAnsi="宋体" w:cs="宋体" w:eastAsia="宋体" w:hint="default"/>
                <w:sz w:val="22"/>
                <w:szCs w:val="22"/>
              </w:rPr>
            </w:r>
          </w:p>
        </w:tc>
      </w:tr>
      <w:tr>
        <w:trPr>
          <w:trHeight w:val="346" w:hRule="exact"/>
        </w:trPr>
        <w:tc>
          <w:tcPr>
            <w:tcW w:w="725" w:type="dxa"/>
            <w:tcBorders>
              <w:top w:val="single" w:sz="10"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宋体" w:hAnsi="宋体" w:cs="宋体" w:eastAsia="宋体" w:hint="default"/>
                <w:sz w:val="24"/>
                <w:szCs w:val="24"/>
              </w:rPr>
            </w:pPr>
            <w:r>
              <w:rPr>
                <w:rFonts w:ascii="宋体"/>
                <w:sz w:val="24"/>
              </w:rPr>
              <w:t>1</w:t>
            </w:r>
          </w:p>
        </w:tc>
        <w:tc>
          <w:tcPr>
            <w:tcW w:w="704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2012-4-19</w:t>
            </w:r>
          </w:p>
        </w:tc>
      </w:tr>
      <w:tr>
        <w:trPr>
          <w:trHeight w:val="348"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w:t>
            </w:r>
          </w:p>
        </w:tc>
        <w:tc>
          <w:tcPr>
            <w:tcW w:w="70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董事、监事和高级管理人员所持本公司股份及其变动管理制度</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2012-4-19</w:t>
            </w:r>
          </w:p>
        </w:tc>
      </w:tr>
      <w:tr>
        <w:trPr>
          <w:trHeight w:val="346"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3</w:t>
            </w:r>
          </w:p>
        </w:tc>
        <w:tc>
          <w:tcPr>
            <w:tcW w:w="704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特定对象来访接待管理制度</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2012-4-19</w:t>
            </w:r>
          </w:p>
        </w:tc>
      </w:tr>
      <w:tr>
        <w:trPr>
          <w:trHeight w:val="346"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4</w:t>
            </w:r>
          </w:p>
        </w:tc>
        <w:tc>
          <w:tcPr>
            <w:tcW w:w="704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股东大会网络投票实施细则</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2012-4-19</w:t>
            </w:r>
          </w:p>
        </w:tc>
      </w:tr>
      <w:tr>
        <w:trPr>
          <w:trHeight w:val="346"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5</w:t>
            </w:r>
          </w:p>
        </w:tc>
        <w:tc>
          <w:tcPr>
            <w:tcW w:w="70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累计投票制度实施细则</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2012-4-19</w:t>
            </w:r>
          </w:p>
        </w:tc>
      </w:tr>
      <w:tr>
        <w:trPr>
          <w:trHeight w:val="348"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6</w:t>
            </w:r>
          </w:p>
        </w:tc>
        <w:tc>
          <w:tcPr>
            <w:tcW w:w="70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董事、监事和高级管理人员内部问责制度</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2012-8-13</w:t>
            </w:r>
          </w:p>
        </w:tc>
      </w:tr>
      <w:tr>
        <w:trPr>
          <w:trHeight w:val="346"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7</w:t>
            </w:r>
          </w:p>
        </w:tc>
        <w:tc>
          <w:tcPr>
            <w:tcW w:w="704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对外报送信息管理制度</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2012-8-13</w:t>
            </w:r>
          </w:p>
        </w:tc>
      </w:tr>
    </w:tbl>
    <w:p>
      <w:pPr>
        <w:spacing w:line="240" w:lineRule="auto" w:before="7"/>
        <w:rPr>
          <w:rFonts w:ascii="宋体" w:hAnsi="宋体" w:cs="宋体" w:eastAsia="宋体" w:hint="default"/>
          <w:sz w:val="15"/>
          <w:szCs w:val="15"/>
        </w:rPr>
      </w:pPr>
    </w:p>
    <w:p>
      <w:pPr>
        <w:pStyle w:val="BodyText"/>
        <w:spacing w:line="273" w:lineRule="exact" w:before="36"/>
        <w:ind w:left="613" w:right="0"/>
        <w:jc w:val="left"/>
      </w:pPr>
      <w:r>
        <w:rPr/>
        <w:t>公司治理与《公司法》和中国证监会相关规定的要求是否存在差异</w:t>
      </w:r>
    </w:p>
    <w:p>
      <w:pPr>
        <w:spacing w:line="400" w:lineRule="auto" w:before="0"/>
        <w:ind w:left="192" w:right="3309" w:firstLine="42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4"/>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b/>
          <w:bCs/>
          <w:sz w:val="24"/>
          <w:szCs w:val="24"/>
        </w:rPr>
        <w:t>二、报告期内召开的年度股东大会和临时股东大会的有关情况</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120" w:type="dxa"/>
        <w:tblLayout w:type="fixed"/>
        <w:tblCellMar>
          <w:top w:w="0" w:type="dxa"/>
          <w:left w:w="0" w:type="dxa"/>
          <w:bottom w:w="0" w:type="dxa"/>
          <w:right w:w="0" w:type="dxa"/>
        </w:tblCellMar>
        <w:tblLook w:val="01E0"/>
      </w:tblPr>
      <w:tblGrid>
        <w:gridCol w:w="2597"/>
        <w:gridCol w:w="2002"/>
        <w:gridCol w:w="3263"/>
        <w:gridCol w:w="1913"/>
      </w:tblGrid>
      <w:tr>
        <w:trPr>
          <w:trHeight w:val="554"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7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会议决议刊登的指定网站查询索引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会议决议刊登的信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宋体" w:hAnsi="宋体" w:cs="宋体" w:eastAsia="宋体" w:hint="default"/>
                  <w:sz w:val="21"/>
                  <w:szCs w:val="21"/>
                </w:rPr>
                <w:t>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Heading5"/>
        <w:spacing w:line="240" w:lineRule="auto" w:before="62"/>
        <w:ind w:left="192" w:right="0"/>
        <w:jc w:val="left"/>
        <w:rPr>
          <w:b w:val="0"/>
          <w:bCs w:val="0"/>
        </w:rPr>
      </w:pPr>
      <w:r>
        <w:rPr>
          <w:rFonts w:ascii="宋体" w:hAnsi="宋体" w:cs="宋体" w:eastAsia="宋体" w:hint="default"/>
        </w:rPr>
        <w:t>2</w:t>
      </w:r>
      <w:r>
        <w:rPr/>
        <w:t>、本报告期临时股东大会情况</w:t>
      </w:r>
      <w:r>
        <w:rPr>
          <w:b w:val="0"/>
          <w:bCs w:val="0"/>
        </w:rPr>
      </w:r>
    </w:p>
    <w:p>
      <w:pPr>
        <w:spacing w:line="240" w:lineRule="auto" w:before="7"/>
        <w:rPr>
          <w:rFonts w:ascii="宋体" w:hAnsi="宋体" w:cs="宋体" w:eastAsia="宋体" w:hint="default"/>
          <w:b/>
          <w:bCs/>
          <w:sz w:val="16"/>
          <w:szCs w:val="16"/>
        </w:rPr>
      </w:pPr>
    </w:p>
    <w:tbl>
      <w:tblPr>
        <w:tblW w:w="0" w:type="auto"/>
        <w:jc w:val="left"/>
        <w:tblInd w:w="128" w:type="dxa"/>
        <w:tblLayout w:type="fixed"/>
        <w:tblCellMar>
          <w:top w:w="0" w:type="dxa"/>
          <w:left w:w="0" w:type="dxa"/>
          <w:bottom w:w="0" w:type="dxa"/>
          <w:right w:w="0" w:type="dxa"/>
        </w:tblCellMar>
        <w:tblLook w:val="01E0"/>
      </w:tblPr>
      <w:tblGrid>
        <w:gridCol w:w="2583"/>
        <w:gridCol w:w="2002"/>
        <w:gridCol w:w="3263"/>
        <w:gridCol w:w="1913"/>
      </w:tblGrid>
      <w:tr>
        <w:trPr>
          <w:trHeight w:val="553" w:hRule="exact"/>
        </w:trPr>
        <w:tc>
          <w:tcPr>
            <w:tcW w:w="2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7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会议决议刊登的指定网站查询索引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会议决议刊登的信</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557"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年度第一次临时股东</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宋体" w:hAnsi="宋体" w:cs="宋体" w:eastAsia="宋体" w:hint="default"/>
                  <w:sz w:val="21"/>
                  <w:szCs w:val="21"/>
                </w:rPr>
                <w:t>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4"/>
        <w:rPr>
          <w:rFonts w:ascii="宋体" w:hAnsi="宋体" w:cs="宋体" w:eastAsia="宋体" w:hint="default"/>
          <w:b/>
          <w:bCs/>
          <w:sz w:val="10"/>
          <w:szCs w:val="10"/>
        </w:rPr>
      </w:pPr>
    </w:p>
    <w:p>
      <w:pPr>
        <w:pStyle w:val="Heading4"/>
        <w:spacing w:line="240" w:lineRule="auto" w:before="26"/>
        <w:ind w:left="192" w:right="0"/>
        <w:jc w:val="left"/>
        <w:rPr>
          <w:b w:val="0"/>
          <w:bCs w:val="0"/>
        </w:rPr>
      </w:pPr>
      <w:r>
        <w:rPr/>
        <w:t>三、报告期董事会召开情况</w:t>
      </w:r>
      <w:r>
        <w:rPr>
          <w:b w:val="0"/>
          <w:bCs w:val="0"/>
        </w:rPr>
      </w:r>
    </w:p>
    <w:p>
      <w:pPr>
        <w:spacing w:line="240" w:lineRule="auto" w:before="13"/>
        <w:rPr>
          <w:rFonts w:ascii="宋体" w:hAnsi="宋体" w:cs="宋体" w:eastAsia="宋体" w:hint="default"/>
          <w:b/>
          <w:bCs/>
          <w:sz w:val="17"/>
          <w:szCs w:val="17"/>
        </w:rPr>
      </w:pPr>
    </w:p>
    <w:tbl>
      <w:tblPr>
        <w:tblW w:w="0" w:type="auto"/>
        <w:jc w:val="left"/>
        <w:tblInd w:w="111" w:type="dxa"/>
        <w:tblLayout w:type="fixed"/>
        <w:tblCellMar>
          <w:top w:w="0" w:type="dxa"/>
          <w:left w:w="0" w:type="dxa"/>
          <w:bottom w:w="0" w:type="dxa"/>
          <w:right w:w="0" w:type="dxa"/>
        </w:tblCellMar>
        <w:tblLook w:val="01E0"/>
      </w:tblPr>
      <w:tblGrid>
        <w:gridCol w:w="2597"/>
        <w:gridCol w:w="2031"/>
        <w:gridCol w:w="3263"/>
        <w:gridCol w:w="1903"/>
      </w:tblGrid>
      <w:tr>
        <w:trPr>
          <w:trHeight w:val="554"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9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会议决议刊登的指定网站查询索引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会议决议刊登的信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第一届董事会第十三次会议</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宋体" w:hAnsi="宋体" w:cs="宋体" w:eastAsia="宋体" w:hint="default"/>
                  <w:sz w:val="21"/>
                  <w:szCs w:val="21"/>
                </w:rPr>
                <w:t>www.cninfo.com.cn</w:t>
              </w:r>
            </w:hyperlink>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第一届董事会第十四次会议</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宋体" w:hAnsi="宋体" w:cs="宋体" w:eastAsia="宋体" w:hint="default"/>
                  <w:sz w:val="21"/>
                  <w:szCs w:val="21"/>
                </w:rPr>
                <w:t>www.cninfo.com.cn</w:t>
              </w:r>
            </w:hyperlink>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宋体" w:hAnsi="宋体" w:cs="宋体" w:eastAsia="宋体" w:hint="default"/>
                  <w:sz w:val="21"/>
                  <w:szCs w:val="21"/>
                </w:rPr>
                <w:t>www.cninfo.com.cn</w:t>
              </w:r>
            </w:hyperlink>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第一届董事会第十六次会议</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宋体" w:hAnsi="宋体" w:cs="宋体" w:eastAsia="宋体" w:hint="default"/>
                  <w:sz w:val="21"/>
                  <w:szCs w:val="21"/>
                </w:rPr>
                <w:t>www.cninfo.com.cn</w:t>
              </w:r>
            </w:hyperlink>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豁免披露</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第一届董事会第十七次会议</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宋体" w:hAnsi="宋体" w:cs="宋体" w:eastAsia="宋体" w:hint="default"/>
                  <w:sz w:val="21"/>
                  <w:szCs w:val="21"/>
                </w:rPr>
                <w:t>www.cninfo.com.cn</w:t>
              </w:r>
            </w:hyperlink>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4"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
              <w:jc w:val="center"/>
              <w:rPr>
                <w:rFonts w:ascii="宋体" w:hAnsi="宋体" w:cs="宋体" w:eastAsia="宋体" w:hint="default"/>
                <w:sz w:val="21"/>
                <w:szCs w:val="21"/>
              </w:rPr>
            </w:pPr>
            <w:r>
              <w:rPr>
                <w:rFonts w:ascii="宋体" w:hAnsi="宋体" w:cs="宋体" w:eastAsia="宋体" w:hint="default"/>
                <w:sz w:val="21"/>
                <w:szCs w:val="21"/>
              </w:rPr>
              <w:t>第一届董事会第十八次会议</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宋体" w:hAnsi="宋体" w:cs="宋体" w:eastAsia="宋体" w:hint="default"/>
                  <w:sz w:val="21"/>
                  <w:szCs w:val="21"/>
                </w:rPr>
                <w:t>www.cninfo.com.cn</w:t>
              </w:r>
            </w:hyperlink>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4" w:lineRule="exact"/>
        <w:jc w:val="left"/>
        <w:rPr>
          <w:rFonts w:ascii="宋体" w:hAnsi="宋体" w:cs="宋体" w:eastAsia="宋体" w:hint="default"/>
          <w:sz w:val="21"/>
          <w:szCs w:val="21"/>
        </w:rPr>
        <w:sectPr>
          <w:pgSz w:w="11910" w:h="16840"/>
          <w:pgMar w:header="566" w:footer="979" w:top="1360" w:bottom="1160" w:left="940" w:right="940"/>
        </w:sectPr>
      </w:pPr>
    </w:p>
    <w:p>
      <w:pPr>
        <w:spacing w:line="240" w:lineRule="auto" w:before="8"/>
        <w:rPr>
          <w:rFonts w:ascii="宋体" w:hAnsi="宋体" w:cs="宋体" w:eastAsia="宋体" w:hint="default"/>
          <w:b/>
          <w:bCs/>
          <w:sz w:val="20"/>
          <w:szCs w:val="20"/>
        </w:rPr>
      </w:pPr>
      <w:r>
        <w:rPr/>
        <w:pict>
          <v:group style="position:absolute;margin-left:54.84pt;margin-top:28.299982pt;width:485.65pt;height:40.15pt;mso-position-horizontal-relative:page;mso-position-vertical-relative:page;z-index:-64861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4"/>
        <w:spacing w:line="240" w:lineRule="auto" w:before="26"/>
        <w:ind w:right="4"/>
        <w:jc w:val="left"/>
        <w:rPr>
          <w:b w:val="0"/>
          <w:bCs w:val="0"/>
        </w:rPr>
      </w:pPr>
      <w:r>
        <w:rPr/>
        <w:t>四、年度报告重大差错责任追究制度的建立与执行情况</w:t>
      </w:r>
      <w:r>
        <w:rPr>
          <w:b w:val="0"/>
          <w:bCs w:val="0"/>
        </w:rPr>
      </w:r>
    </w:p>
    <w:p>
      <w:pPr>
        <w:pStyle w:val="BodyText"/>
        <w:spacing w:line="237" w:lineRule="auto" w:before="203"/>
        <w:ind w:right="208" w:firstLine="422"/>
        <w:jc w:val="both"/>
      </w:pPr>
      <w:r>
        <w:rPr>
          <w:spacing w:val="-3"/>
        </w:rPr>
        <w:t>为了公司的规范运作水平，增强信息披露的真实性、准确性、完整性和及时性，提高年报信息披露的</w:t>
      </w:r>
      <w:r>
        <w:rPr>
          <w:w w:val="100"/>
        </w:rPr>
        <w:t> </w:t>
      </w:r>
      <w:r>
        <w:rPr/>
        <w:t>质量和透明度，根据中国证券监督管理委员会颁布的《公开发行证券的公司信息披露内容与格式准则第</w:t>
      </w:r>
      <w:r>
        <w:rPr>
          <w:spacing w:val="-55"/>
        </w:rPr>
        <w:t> </w:t>
      </w:r>
      <w:r>
        <w:rPr>
          <w:rFonts w:ascii="宋体" w:hAnsi="宋体" w:cs="宋体" w:eastAsia="宋体" w:hint="default"/>
        </w:rPr>
        <w:t>2</w:t>
      </w:r>
      <w:r>
        <w:rPr>
          <w:rFonts w:ascii="宋体" w:hAnsi="宋体" w:cs="宋体" w:eastAsia="宋体" w:hint="default"/>
          <w:w w:val="100"/>
        </w:rPr>
        <w:t> </w:t>
      </w:r>
      <w:r>
        <w:rPr>
          <w:spacing w:val="-2"/>
          <w:w w:val="100"/>
        </w:rPr>
        <w:t>号</w:t>
      </w:r>
      <w:r>
        <w:rPr>
          <w:rFonts w:ascii="宋体" w:hAnsi="宋体" w:cs="宋体" w:eastAsia="宋体" w:hint="default"/>
          <w:spacing w:val="-2"/>
          <w:w w:val="100"/>
        </w:rPr>
        <w:t>&lt;</w:t>
      </w:r>
      <w:r>
        <w:rPr>
          <w:spacing w:val="-2"/>
          <w:w w:val="100"/>
        </w:rPr>
        <w:t>年度报告的内容与格式</w:t>
      </w:r>
      <w:r>
        <w:rPr>
          <w:rFonts w:ascii="宋体" w:hAnsi="宋体" w:cs="宋体" w:eastAsia="宋体" w:hint="default"/>
          <w:spacing w:val="-2"/>
          <w:w w:val="100"/>
        </w:rPr>
        <w:t>&gt;</w:t>
      </w:r>
      <w:r>
        <w:rPr>
          <w:spacing w:val="-2"/>
          <w:w w:val="100"/>
        </w:rPr>
        <w:t>（</w:t>
      </w:r>
      <w:r>
        <w:rPr>
          <w:rFonts w:ascii="宋体" w:hAnsi="宋体" w:cs="宋体" w:eastAsia="宋体" w:hint="default"/>
          <w:spacing w:val="-2"/>
          <w:w w:val="100"/>
        </w:rPr>
        <w:t>2007</w:t>
      </w:r>
      <w:r>
        <w:rPr>
          <w:rFonts w:ascii="宋体" w:hAnsi="宋体" w:cs="宋体" w:eastAsia="宋体" w:hint="default"/>
          <w:spacing w:val="-36"/>
          <w:w w:val="100"/>
        </w:rPr>
        <w:t> </w:t>
      </w:r>
      <w:r>
        <w:rPr>
          <w:spacing w:val="-12"/>
          <w:w w:val="100"/>
        </w:rPr>
        <w:t>年修订）》以及《公司章程》、《公司信息披露管理制度》等规章制度的</w:t>
      </w:r>
      <w:r>
        <w:rPr>
          <w:spacing w:val="-87"/>
          <w:w w:val="100"/>
        </w:rPr>
        <w:t> </w:t>
      </w:r>
      <w:r>
        <w:rPr>
          <w:spacing w:val="-87"/>
          <w:w w:val="100"/>
        </w:rPr>
      </w:r>
      <w:r>
        <w:rPr>
          <w:spacing w:val="-5"/>
          <w:w w:val="100"/>
        </w:rPr>
        <w:t>规定，结合公司实际情况，制定了《公司年度报告重大差错责任追究制度》。</w:t>
      </w:r>
    </w:p>
    <w:p>
      <w:pPr>
        <w:pStyle w:val="BodyText"/>
        <w:spacing w:line="272" w:lineRule="exact" w:before="26"/>
        <w:ind w:right="244" w:firstLine="422"/>
        <w:jc w:val="both"/>
      </w:pPr>
      <w:r>
        <w:rPr/>
        <w:t>该制度已经</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3"/>
        </w:rPr>
        <w:t> </w:t>
      </w:r>
      <w:r>
        <w:rPr>
          <w:rFonts w:ascii="宋体" w:hAnsi="宋体" w:cs="宋体" w:eastAsia="宋体" w:hint="default"/>
        </w:rPr>
        <w:t>17</w:t>
      </w:r>
      <w:r>
        <w:rPr>
          <w:rFonts w:ascii="宋体" w:hAnsi="宋体" w:cs="宋体" w:eastAsia="宋体" w:hint="default"/>
          <w:spacing w:val="-56"/>
        </w:rPr>
        <w:t> </w:t>
      </w:r>
      <w:r>
        <w:rPr/>
        <w:t>日召开的公司第一届董事会第十四次会议审议通过，并于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spacing w:val="-3"/>
        </w:rPr>
        <w:t>19</w:t>
      </w:r>
      <w:r>
        <w:rPr>
          <w:rFonts w:ascii="宋体" w:hAnsi="宋体" w:cs="宋体" w:eastAsia="宋体" w:hint="default"/>
          <w:spacing w:val="-3"/>
          <w:w w:val="100"/>
        </w:rPr>
        <w:t> </w:t>
      </w:r>
      <w:r>
        <w:rPr>
          <w:spacing w:val="-3"/>
          <w:w w:val="100"/>
        </w:rPr>
        <w:t>日披露于中国证监会指定的创业板信息披露网站”巨潮资讯网“（</w:t>
      </w:r>
      <w:r>
        <w:rPr>
          <w:rFonts w:ascii="宋体" w:hAnsi="宋体" w:cs="宋体" w:eastAsia="宋体" w:hint="default"/>
          <w:spacing w:val="-3"/>
          <w:w w:val="100"/>
        </w:rPr>
        <w:t>http://www.cninfo.com.cn)</w:t>
      </w:r>
      <w:r>
        <w:rPr>
          <w:spacing w:val="-3"/>
          <w:w w:val="100"/>
        </w:rPr>
        <w:t>。</w:t>
      </w:r>
    </w:p>
    <w:p>
      <w:pPr>
        <w:pStyle w:val="BodyText"/>
        <w:spacing w:line="272" w:lineRule="exact" w:before="1"/>
        <w:ind w:right="4" w:firstLine="422"/>
        <w:jc w:val="left"/>
      </w:pPr>
      <w:r>
        <w:rPr>
          <w:spacing w:val="-5"/>
        </w:rPr>
        <w:t>报告期内，公司严格执行《年度报告重大差错责任追究制度》的相关规定，未发生重大会计差错更正、</w:t>
      </w:r>
      <w:r>
        <w:rPr>
          <w:w w:val="100"/>
        </w:rPr>
        <w:t> </w:t>
      </w:r>
      <w:r>
        <w:rPr/>
        <w:t>重大遗漏信息补充以及业绩预告修正等情况。</w:t>
      </w:r>
    </w:p>
    <w:p>
      <w:pPr>
        <w:pStyle w:val="Heading4"/>
        <w:spacing w:line="240" w:lineRule="auto" w:before="169"/>
        <w:ind w:right="4"/>
        <w:jc w:val="left"/>
        <w:rPr>
          <w:b w:val="0"/>
          <w:bCs w:val="0"/>
        </w:rPr>
      </w:pPr>
      <w:r>
        <w:rPr/>
        <w:t>五、监事会工作情况</w:t>
      </w:r>
      <w:r>
        <w:rPr>
          <w:b w:val="0"/>
          <w:bCs w:val="0"/>
        </w:rPr>
      </w:r>
    </w:p>
    <w:p>
      <w:pPr>
        <w:pStyle w:val="BodyText"/>
        <w:spacing w:line="274" w:lineRule="exact" w:before="201"/>
        <w:ind w:left="573" w:right="4"/>
        <w:jc w:val="left"/>
      </w:pPr>
      <w:r>
        <w:rPr/>
        <w:t>监事会在报告期内的监督活动是否发现公司存在风险</w:t>
      </w:r>
    </w:p>
    <w:p>
      <w:pPr>
        <w:pStyle w:val="BodyText"/>
        <w:spacing w:line="340" w:lineRule="auto"/>
        <w:ind w:left="573" w:right="4350"/>
        <w:jc w:val="left"/>
      </w:pPr>
      <w:r>
        <w:rPr/>
        <w:t>□ 是</w:t>
      </w:r>
      <w:r>
        <w:rPr>
          <w:spacing w:val="-2"/>
        </w:rPr>
        <w:t> </w:t>
      </w:r>
      <w:r>
        <w:rPr/>
        <w:t>√</w:t>
      </w:r>
      <w:r>
        <w:rPr>
          <w:spacing w:val="-2"/>
        </w:rPr>
        <w:t> </w:t>
      </w:r>
      <w:r>
        <w:rPr/>
        <w:t>否</w:t>
      </w:r>
      <w:r>
        <w:rPr>
          <w:spacing w:val="-101"/>
        </w:rPr>
        <w:t> </w:t>
      </w:r>
      <w:r>
        <w:rPr>
          <w:spacing w:val="-101"/>
        </w:rPr>
      </w:r>
      <w:r>
        <w:rPr>
          <w:spacing w:val="-2"/>
        </w:rPr>
        <w:t>公司监事会对报告期内的监督事项无异议。</w:t>
      </w:r>
    </w:p>
    <w:p>
      <w:pPr>
        <w:spacing w:after="0" w:line="340" w:lineRule="auto"/>
        <w:jc w:val="left"/>
        <w:sectPr>
          <w:headerReference w:type="default" r:id="rId34"/>
          <w:pgSz w:w="11910" w:h="16840"/>
          <w:pgMar w:header="884" w:footer="979" w:top="1100" w:bottom="1160" w:left="980" w:right="920"/>
        </w:sectPr>
      </w:pPr>
    </w:p>
    <w:p>
      <w:pPr>
        <w:spacing w:line="240" w:lineRule="auto" w:before="2"/>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222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1"/>
        <w:spacing w:line="240" w:lineRule="auto"/>
        <w:ind w:left="2360" w:right="2359"/>
        <w:jc w:val="center"/>
        <w:rPr>
          <w:b w:val="0"/>
          <w:bCs w:val="0"/>
        </w:rPr>
      </w:pPr>
      <w:bookmarkStart w:name="_bookmark8" w:id="9"/>
      <w:bookmarkEnd w:id="9"/>
      <w:r>
        <w:rPr>
          <w:b w:val="0"/>
          <w:bCs w:val="0"/>
        </w:rPr>
      </w:r>
      <w:r>
        <w:rPr/>
        <w:t>第九节</w:t>
      </w:r>
      <w:r>
        <w:rPr>
          <w:spacing w:val="-2"/>
        </w:rPr>
        <w:t> </w:t>
      </w:r>
      <w:r>
        <w:rPr/>
        <w:t>财务报告</w:t>
      </w:r>
      <w:r>
        <w:rPr>
          <w:b w:val="0"/>
          <w:bCs w:val="0"/>
        </w:rPr>
      </w:r>
    </w:p>
    <w:p>
      <w:pPr>
        <w:spacing w:line="240" w:lineRule="auto" w:before="11"/>
        <w:rPr>
          <w:rFonts w:ascii="宋体" w:hAnsi="宋体" w:cs="宋体" w:eastAsia="宋体" w:hint="default"/>
          <w:b/>
          <w:bCs/>
          <w:sz w:val="29"/>
          <w:szCs w:val="29"/>
        </w:rPr>
      </w:pPr>
    </w:p>
    <w:p>
      <w:pPr>
        <w:pStyle w:val="Heading4"/>
        <w:spacing w:line="240" w:lineRule="auto" w:before="26"/>
        <w:ind w:right="142"/>
        <w:jc w:val="left"/>
        <w:rPr>
          <w:b w:val="0"/>
          <w:bCs w:val="0"/>
        </w:rPr>
      </w:pPr>
      <w:r>
        <w:rPr/>
        <w:t>一、审计报告</w:t>
      </w:r>
      <w:r>
        <w:rPr>
          <w:b w:val="0"/>
          <w:bCs w:val="0"/>
        </w:rPr>
      </w:r>
    </w:p>
    <w:p>
      <w:pPr>
        <w:spacing w:line="240" w:lineRule="auto" w:before="2"/>
        <w:rPr>
          <w:rFonts w:ascii="宋体" w:hAnsi="宋体" w:cs="宋体" w:eastAsia="宋体"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28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28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华普天健会计师事务所（北京）有限公司</w:t>
            </w:r>
          </w:p>
        </w:tc>
      </w:tr>
      <w:tr>
        <w:trPr>
          <w:trHeight w:val="28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会审字</w:t>
            </w:r>
            <w:r>
              <w:rPr>
                <w:rFonts w:ascii="宋体" w:hAnsi="宋体" w:cs="宋体" w:eastAsia="宋体" w:hint="default"/>
                <w:sz w:val="21"/>
                <w:szCs w:val="21"/>
              </w:rPr>
              <w:t>[2013]0929</w:t>
            </w:r>
            <w:r>
              <w:rPr>
                <w:rFonts w:ascii="宋体" w:hAnsi="宋体" w:cs="宋体" w:eastAsia="宋体" w:hint="default"/>
                <w:spacing w:val="-53"/>
                <w:sz w:val="21"/>
                <w:szCs w:val="21"/>
              </w:rPr>
              <w:t> </w:t>
            </w:r>
            <w:r>
              <w:rPr>
                <w:rFonts w:ascii="宋体" w:hAnsi="宋体" w:cs="宋体" w:eastAsia="宋体" w:hint="default"/>
                <w:sz w:val="21"/>
                <w:szCs w:val="21"/>
              </w:rPr>
              <w:t>号</w:t>
            </w:r>
          </w:p>
        </w:tc>
      </w:tr>
    </w:tbl>
    <w:p>
      <w:pPr>
        <w:pStyle w:val="BodyText"/>
        <w:spacing w:line="240" w:lineRule="auto" w:before="86"/>
        <w:ind w:right="142"/>
        <w:jc w:val="left"/>
      </w:pPr>
      <w:r>
        <w:rPr/>
        <w:t>审计报告正文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36"/>
        <w:ind w:left="0" w:right="148"/>
        <w:jc w:val="right"/>
      </w:pPr>
      <w:r>
        <w:rPr/>
        <w:t>会审字</w:t>
      </w:r>
      <w:r>
        <w:rPr>
          <w:rFonts w:ascii="宋体" w:hAnsi="宋体" w:cs="宋体" w:eastAsia="宋体" w:hint="default"/>
        </w:rPr>
        <w:t>[2013]0929</w:t>
      </w:r>
      <w:r>
        <w:rPr>
          <w:rFonts w:ascii="宋体" w:hAnsi="宋体" w:cs="宋体" w:eastAsia="宋体" w:hint="default"/>
          <w:spacing w:val="-54"/>
        </w:rPr>
        <w:t> </w:t>
      </w:r>
      <w:r>
        <w:rPr/>
        <w:t>号</w:t>
      </w:r>
    </w:p>
    <w:p>
      <w:pPr>
        <w:spacing w:line="240" w:lineRule="auto" w:before="0"/>
        <w:rPr>
          <w:rFonts w:ascii="宋体" w:hAnsi="宋体" w:cs="宋体" w:eastAsia="宋体" w:hint="default"/>
          <w:sz w:val="20"/>
          <w:szCs w:val="20"/>
        </w:rPr>
      </w:pPr>
    </w:p>
    <w:p>
      <w:pPr>
        <w:pStyle w:val="Heading2"/>
        <w:spacing w:line="240" w:lineRule="auto" w:before="148"/>
        <w:ind w:left="2359" w:right="2359"/>
        <w:jc w:val="center"/>
        <w:rPr>
          <w:b w:val="0"/>
          <w:bCs w:val="0"/>
        </w:rPr>
      </w:pPr>
      <w:r>
        <w:rPr/>
        <w:t>审 计 报</w:t>
      </w:r>
      <w:r>
        <w:rPr>
          <w:spacing w:val="-3"/>
        </w:rPr>
        <w:t> </w:t>
      </w:r>
      <w:r>
        <w:rPr/>
        <w:t>告</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BodyText"/>
        <w:spacing w:line="240" w:lineRule="auto" w:before="36"/>
        <w:ind w:right="142"/>
        <w:jc w:val="left"/>
      </w:pPr>
      <w:r>
        <w:rPr/>
        <w:t>荣科科技股份有限公司全体股东：</w:t>
      </w:r>
    </w:p>
    <w:p>
      <w:pPr>
        <w:spacing w:line="240" w:lineRule="auto" w:before="6"/>
        <w:rPr>
          <w:rFonts w:ascii="宋体" w:hAnsi="宋体" w:cs="宋体" w:eastAsia="宋体" w:hint="default"/>
          <w:sz w:val="23"/>
          <w:szCs w:val="23"/>
        </w:rPr>
      </w:pPr>
    </w:p>
    <w:p>
      <w:pPr>
        <w:pStyle w:val="BodyText"/>
        <w:spacing w:line="272" w:lineRule="exact"/>
        <w:ind w:right="148" w:firstLine="420"/>
        <w:jc w:val="both"/>
      </w:pPr>
      <w:r>
        <w:rPr>
          <w:spacing w:val="-4"/>
        </w:rPr>
        <w:t>我们审计了后附的荣科科技股份有限公司（以下简称荣科科技公司）财务报表，包括</w:t>
      </w:r>
      <w:r>
        <w:rPr>
          <w:spacing w:val="-43"/>
        </w:rPr>
        <w:t> </w:t>
      </w:r>
      <w:r>
        <w:rPr>
          <w:rFonts w:ascii="宋体" w:hAnsi="宋体" w:cs="宋体" w:eastAsia="宋体" w:hint="default"/>
        </w:rPr>
        <w:t>2012</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3"/>
        </w:rPr>
        <w:t> </w:t>
      </w:r>
      <w:r>
        <w:rPr>
          <w:rFonts w:ascii="宋体" w:hAnsi="宋体" w:cs="宋体" w:eastAsia="宋体" w:hint="default"/>
        </w:rPr>
        <w:t>31</w:t>
      </w:r>
      <w:r>
        <w:rPr>
          <w:rFonts w:ascii="宋体" w:hAnsi="宋体" w:cs="宋体" w:eastAsia="宋体" w:hint="default"/>
          <w:w w:val="100"/>
        </w:rPr>
        <w:t> </w:t>
      </w:r>
      <w:r>
        <w:rPr>
          <w:spacing w:val="-3"/>
        </w:rPr>
        <w:t>日的合并及母公司资产负债表，</w:t>
      </w:r>
      <w:r>
        <w:rPr>
          <w:rFonts w:ascii="宋体" w:hAnsi="宋体" w:cs="宋体" w:eastAsia="宋体" w:hint="default"/>
          <w:spacing w:val="-3"/>
        </w:rPr>
        <w:t>2012 </w:t>
      </w:r>
      <w:r>
        <w:rPr>
          <w:spacing w:val="-4"/>
        </w:rPr>
        <w:t>年度的合并及母公司利润表、合并及母公司现金流量表、合并及母公</w:t>
      </w:r>
      <w:r>
        <w:rPr>
          <w:spacing w:val="-68"/>
        </w:rPr>
        <w:t> </w:t>
      </w:r>
      <w:r>
        <w:rPr>
          <w:spacing w:val="-68"/>
        </w:rPr>
      </w:r>
      <w:r>
        <w:rPr/>
        <w:t>司股东权益变动表，以及财务报表附注。</w:t>
      </w:r>
    </w:p>
    <w:p>
      <w:pPr>
        <w:pStyle w:val="BodyText"/>
        <w:spacing w:line="552" w:lineRule="exact" w:before="58"/>
        <w:ind w:left="573" w:right="142"/>
        <w:jc w:val="left"/>
      </w:pPr>
      <w:r>
        <w:rPr/>
        <w:t>一、管理层对财务报表的责任</w:t>
      </w:r>
      <w:r>
        <w:rPr>
          <w:w w:val="100"/>
        </w:rPr>
        <w:t> </w:t>
      </w:r>
      <w:r>
        <w:rPr>
          <w:spacing w:val="-5"/>
          <w:w w:val="100"/>
        </w:rPr>
        <w:t>编制和公允列报财务报表是荣科科技公司管理层的责任，这种责任包括：（</w:t>
      </w:r>
      <w:r>
        <w:rPr>
          <w:rFonts w:ascii="宋体" w:hAnsi="宋体" w:cs="宋体" w:eastAsia="宋体" w:hint="default"/>
          <w:spacing w:val="-5"/>
          <w:w w:val="100"/>
        </w:rPr>
        <w:t>1</w:t>
      </w:r>
      <w:r>
        <w:rPr>
          <w:spacing w:val="-5"/>
          <w:w w:val="100"/>
        </w:rPr>
        <w:t>）按照企业会计准则的规</w:t>
      </w:r>
    </w:p>
    <w:p>
      <w:pPr>
        <w:pStyle w:val="BodyText"/>
        <w:spacing w:line="189" w:lineRule="exact"/>
        <w:ind w:right="0"/>
        <w:jc w:val="left"/>
      </w:pPr>
      <w:r>
        <w:rPr>
          <w:w w:val="100"/>
        </w:rPr>
        <w:t>定编</w:t>
      </w:r>
      <w:r>
        <w:rPr>
          <w:spacing w:val="-3"/>
          <w:w w:val="100"/>
        </w:rPr>
        <w:t>制</w:t>
      </w:r>
      <w:r>
        <w:rPr>
          <w:w w:val="100"/>
        </w:rPr>
        <w:t>财</w:t>
      </w:r>
      <w:r>
        <w:rPr>
          <w:spacing w:val="-3"/>
          <w:w w:val="100"/>
        </w:rPr>
        <w:t>务</w:t>
      </w:r>
      <w:r>
        <w:rPr>
          <w:w w:val="100"/>
        </w:rPr>
        <w:t>报</w:t>
      </w:r>
      <w:r>
        <w:rPr>
          <w:spacing w:val="-3"/>
          <w:w w:val="100"/>
        </w:rPr>
        <w:t>表</w:t>
      </w:r>
      <w:r>
        <w:rPr>
          <w:spacing w:val="-5"/>
          <w:w w:val="100"/>
        </w:rPr>
        <w:t>，</w:t>
      </w:r>
      <w:r>
        <w:rPr>
          <w:spacing w:val="-3"/>
          <w:w w:val="100"/>
        </w:rPr>
        <w:t>并</w:t>
      </w:r>
      <w:r>
        <w:rPr>
          <w:w w:val="100"/>
        </w:rPr>
        <w:t>使</w:t>
      </w:r>
      <w:r>
        <w:rPr>
          <w:spacing w:val="-3"/>
          <w:w w:val="100"/>
        </w:rPr>
        <w:t>其</w:t>
      </w:r>
      <w:r>
        <w:rPr>
          <w:w w:val="100"/>
        </w:rPr>
        <w:t>实现</w:t>
      </w:r>
      <w:r>
        <w:rPr>
          <w:spacing w:val="-3"/>
          <w:w w:val="100"/>
        </w:rPr>
        <w:t>公</w:t>
      </w:r>
      <w:r>
        <w:rPr>
          <w:w w:val="100"/>
        </w:rPr>
        <w:t>允</w:t>
      </w:r>
      <w:r>
        <w:rPr>
          <w:spacing w:val="-3"/>
          <w:w w:val="100"/>
        </w:rPr>
        <w:t>反</w:t>
      </w:r>
      <w:r>
        <w:rPr>
          <w:w w:val="100"/>
        </w:rPr>
        <w:t>映</w:t>
      </w:r>
      <w:r>
        <w:rPr>
          <w:spacing w:val="-113"/>
          <w:w w:val="100"/>
        </w:rPr>
        <w:t>；</w:t>
      </w:r>
      <w:r>
        <w:rPr>
          <w:w w:val="100"/>
        </w:rPr>
        <w:t>（</w:t>
      </w:r>
      <w:r>
        <w:rPr>
          <w:rFonts w:ascii="宋体" w:hAnsi="宋体" w:cs="宋体" w:eastAsia="宋体" w:hint="default"/>
          <w:w w:val="100"/>
        </w:rPr>
        <w:t>2</w:t>
      </w:r>
      <w:r>
        <w:rPr>
          <w:spacing w:val="-8"/>
          <w:w w:val="100"/>
        </w:rPr>
        <w:t>）</w:t>
      </w:r>
      <w:r>
        <w:rPr>
          <w:w w:val="100"/>
        </w:rPr>
        <w:t>设</w:t>
      </w:r>
      <w:r>
        <w:rPr>
          <w:spacing w:val="-3"/>
          <w:w w:val="100"/>
        </w:rPr>
        <w:t>计</w:t>
      </w:r>
      <w:r>
        <w:rPr>
          <w:spacing w:val="-5"/>
          <w:w w:val="100"/>
        </w:rPr>
        <w:t>、</w:t>
      </w:r>
      <w:r>
        <w:rPr>
          <w:w w:val="100"/>
        </w:rPr>
        <w:t>执</w:t>
      </w:r>
      <w:r>
        <w:rPr>
          <w:spacing w:val="-3"/>
          <w:w w:val="100"/>
        </w:rPr>
        <w:t>行</w:t>
      </w:r>
      <w:r>
        <w:rPr>
          <w:w w:val="100"/>
        </w:rPr>
        <w:t>和</w:t>
      </w:r>
      <w:r>
        <w:rPr>
          <w:spacing w:val="-3"/>
          <w:w w:val="100"/>
        </w:rPr>
        <w:t>维</w:t>
      </w:r>
      <w:r>
        <w:rPr>
          <w:w w:val="100"/>
        </w:rPr>
        <w:t>护</w:t>
      </w:r>
      <w:r>
        <w:rPr>
          <w:spacing w:val="-3"/>
          <w:w w:val="100"/>
        </w:rPr>
        <w:t>必</w:t>
      </w:r>
      <w:r>
        <w:rPr>
          <w:w w:val="100"/>
        </w:rPr>
        <w:t>要</w:t>
      </w:r>
      <w:r>
        <w:rPr>
          <w:spacing w:val="-3"/>
          <w:w w:val="100"/>
        </w:rPr>
        <w:t>的</w:t>
      </w:r>
      <w:r>
        <w:rPr>
          <w:w w:val="100"/>
        </w:rPr>
        <w:t>内</w:t>
      </w:r>
      <w:r>
        <w:rPr>
          <w:spacing w:val="-3"/>
          <w:w w:val="100"/>
        </w:rPr>
        <w:t>部</w:t>
      </w:r>
      <w:r>
        <w:rPr>
          <w:w w:val="100"/>
        </w:rPr>
        <w:t>控制</w:t>
      </w:r>
      <w:r>
        <w:rPr>
          <w:spacing w:val="-8"/>
          <w:w w:val="100"/>
        </w:rPr>
        <w:t>，</w:t>
      </w:r>
      <w:r>
        <w:rPr>
          <w:w w:val="100"/>
        </w:rPr>
        <w:t>以</w:t>
      </w:r>
      <w:r>
        <w:rPr>
          <w:spacing w:val="-3"/>
          <w:w w:val="100"/>
        </w:rPr>
        <w:t>使</w:t>
      </w:r>
      <w:r>
        <w:rPr>
          <w:w w:val="100"/>
        </w:rPr>
        <w:t>财</w:t>
      </w:r>
      <w:r>
        <w:rPr>
          <w:spacing w:val="-3"/>
          <w:w w:val="100"/>
        </w:rPr>
        <w:t>务</w:t>
      </w:r>
      <w:r>
        <w:rPr>
          <w:w w:val="100"/>
        </w:rPr>
        <w:t>报</w:t>
      </w:r>
      <w:r>
        <w:rPr>
          <w:spacing w:val="-3"/>
          <w:w w:val="100"/>
        </w:rPr>
        <w:t>表</w:t>
      </w:r>
      <w:r>
        <w:rPr>
          <w:w w:val="100"/>
        </w:rPr>
        <w:t>不</w:t>
      </w:r>
      <w:r>
        <w:rPr>
          <w:spacing w:val="-3"/>
          <w:w w:val="100"/>
        </w:rPr>
        <w:t>存</w:t>
      </w:r>
      <w:r>
        <w:rPr>
          <w:w w:val="100"/>
        </w:rPr>
        <w:t>在由</w:t>
      </w:r>
    </w:p>
    <w:p>
      <w:pPr>
        <w:pStyle w:val="BodyText"/>
        <w:spacing w:line="484" w:lineRule="auto"/>
        <w:ind w:left="573" w:right="6084" w:hanging="421"/>
        <w:jc w:val="left"/>
      </w:pPr>
      <w:r>
        <w:rPr>
          <w:spacing w:val="-2"/>
        </w:rPr>
        <w:t>于舞弊或错误导致的重大错报。</w:t>
      </w:r>
      <w:r>
        <w:rPr>
          <w:spacing w:val="-76"/>
        </w:rPr>
        <w:t> </w:t>
      </w:r>
      <w:r>
        <w:rPr>
          <w:spacing w:val="-76"/>
        </w:rPr>
      </w:r>
      <w:r>
        <w:rPr/>
        <w:t>二、注册会计师的责任</w:t>
      </w:r>
    </w:p>
    <w:p>
      <w:pPr>
        <w:pStyle w:val="BodyText"/>
        <w:spacing w:line="237" w:lineRule="auto" w:before="65"/>
        <w:ind w:right="146" w:firstLine="420"/>
        <w:jc w:val="both"/>
      </w:pPr>
      <w:r>
        <w:rPr>
          <w:spacing w:val="-2"/>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spacing w:line="240" w:lineRule="auto" w:before="6"/>
        <w:rPr>
          <w:rFonts w:ascii="宋体" w:hAnsi="宋体" w:cs="宋体" w:eastAsia="宋体" w:hint="default"/>
          <w:sz w:val="21"/>
          <w:szCs w:val="21"/>
        </w:rPr>
      </w:pPr>
    </w:p>
    <w:p>
      <w:pPr>
        <w:pStyle w:val="BodyText"/>
        <w:spacing w:line="237" w:lineRule="auto"/>
        <w:ind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会计师考虑与财务报表编制和公允列报相关的内部控制，以设计恰当的审计程序。审计工作还包括评价管</w:t>
      </w:r>
      <w:r>
        <w:rPr>
          <w:spacing w:val="-42"/>
        </w:rPr>
        <w:t> </w:t>
      </w:r>
      <w:r>
        <w:rPr>
          <w:spacing w:val="-42"/>
        </w:rPr>
      </w:r>
      <w:r>
        <w:rPr/>
        <w:t>理层选用会计政策的恰当性和作出会计估计的合理性，以及评价财务报表的总体列报。</w:t>
      </w:r>
    </w:p>
    <w:p>
      <w:pPr>
        <w:spacing w:line="240" w:lineRule="auto" w:before="5"/>
        <w:rPr>
          <w:rFonts w:ascii="宋体" w:hAnsi="宋体" w:cs="宋体" w:eastAsia="宋体" w:hint="default"/>
          <w:sz w:val="21"/>
          <w:szCs w:val="21"/>
        </w:rPr>
      </w:pPr>
    </w:p>
    <w:p>
      <w:pPr>
        <w:pStyle w:val="BodyText"/>
        <w:spacing w:line="482" w:lineRule="auto"/>
        <w:ind w:right="1764" w:firstLine="420"/>
        <w:jc w:val="left"/>
      </w:pPr>
      <w:r>
        <w:rPr>
          <w:spacing w:val="-2"/>
        </w:rPr>
        <w:t>我们相信，我们获取的审计证据是充分、适当的，为发表审计意见提供了基础。</w:t>
      </w:r>
      <w:r>
        <w:rPr>
          <w:w w:val="100"/>
        </w:rPr>
        <w:t> </w:t>
      </w:r>
      <w:r>
        <w:rPr/>
        <w:t>三、审计意见</w:t>
      </w:r>
    </w:p>
    <w:p>
      <w:pPr>
        <w:pStyle w:val="BodyText"/>
        <w:spacing w:line="272" w:lineRule="exact" w:before="92"/>
        <w:ind w:right="127" w:firstLine="420"/>
        <w:jc w:val="both"/>
      </w:pPr>
      <w:r>
        <w:rPr>
          <w:spacing w:val="-2"/>
        </w:rPr>
        <w:t>我们认为，荣科科技公司财务报表在所有重大方面按照企业会计准则的规定编制，公允反映了荣科科</w:t>
      </w:r>
      <w:r>
        <w:rPr>
          <w:w w:val="100"/>
        </w:rPr>
        <w:t> </w:t>
      </w:r>
      <w:r>
        <w:rPr/>
        <w:t>技公司</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3"/>
        </w:rPr>
        <w:t> </w:t>
      </w:r>
      <w:r>
        <w:rPr>
          <w:rFonts w:ascii="宋体" w:hAnsi="宋体" w:cs="宋体" w:eastAsia="宋体" w:hint="default"/>
        </w:rPr>
        <w:t>2012</w:t>
      </w:r>
      <w:r>
        <w:rPr>
          <w:rFonts w:ascii="宋体" w:hAnsi="宋体" w:cs="宋体" w:eastAsia="宋体" w:hint="default"/>
          <w:spacing w:val="-56"/>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5302" w:val="left" w:leader="none"/>
        </w:tabs>
        <w:spacing w:line="240" w:lineRule="auto"/>
        <w:ind w:left="784" w:right="142"/>
        <w:jc w:val="left"/>
      </w:pPr>
      <w:r>
        <w:rPr>
          <w:spacing w:val="-2"/>
        </w:rPr>
        <w:t>华普天健会计师事务所</w:t>
        <w:tab/>
        <w:t>中国注册会计师：陆红</w:t>
      </w:r>
    </w:p>
    <w:p>
      <w:pPr>
        <w:spacing w:after="0" w:line="240" w:lineRule="auto"/>
        <w:jc w:val="left"/>
        <w:sectPr>
          <w:pgSz w:w="11910" w:h="16840"/>
          <w:pgMar w:header="884" w:footer="979" w:top="110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24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40" w:lineRule="auto" w:before="36"/>
        <w:ind w:left="887" w:right="142"/>
        <w:jc w:val="left"/>
      </w:pPr>
      <w:r>
        <w:rPr/>
        <w:t>（北京）有限公司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tabs>
          <w:tab w:pos="5246" w:val="left" w:leader="none"/>
        </w:tabs>
        <w:spacing w:line="240" w:lineRule="auto"/>
        <w:ind w:left="1360" w:right="142"/>
        <w:jc w:val="left"/>
      </w:pPr>
      <w:r>
        <w:rPr>
          <w:spacing w:val="-1"/>
        </w:rPr>
        <w:t>中国·北京</w:t>
        <w:tab/>
      </w:r>
      <w:r>
        <w:rPr>
          <w:spacing w:val="-2"/>
        </w:rPr>
        <w:t>中国注册会计师：盛东辉</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6281" w:right="142"/>
        <w:jc w:val="left"/>
      </w:pPr>
      <w:r>
        <w:rPr/>
        <w:t>二○一三年三月二十五日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right="142"/>
        <w:jc w:val="left"/>
        <w:rPr>
          <w:b w:val="0"/>
          <w:bCs w:val="0"/>
        </w:rPr>
      </w:pPr>
      <w:r>
        <w:rPr/>
        <w:t>二、财务报表</w:t>
      </w:r>
      <w:r>
        <w:rPr>
          <w:b w:val="0"/>
          <w:bCs w:val="0"/>
        </w:rPr>
      </w:r>
    </w:p>
    <w:p>
      <w:pPr>
        <w:spacing w:line="321" w:lineRule="auto" w:before="204"/>
        <w:ind w:left="152" w:right="5093" w:firstLine="420"/>
        <w:jc w:val="left"/>
        <w:rPr>
          <w:rFonts w:ascii="宋体" w:hAnsi="宋体" w:cs="宋体" w:eastAsia="宋体" w:hint="default"/>
          <w:sz w:val="21"/>
          <w:szCs w:val="21"/>
        </w:rPr>
      </w:pPr>
      <w:r>
        <w:rPr>
          <w:rFonts w:ascii="宋体" w:hAnsi="宋体" w:cs="宋体" w:eastAsia="宋体" w:hint="default"/>
          <w:spacing w:val="-2"/>
          <w:sz w:val="21"/>
          <w:szCs w:val="21"/>
        </w:rPr>
        <w:t>财务附注中报表的单位为：人民币元</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74" w:lineRule="exact" w:before="109"/>
        <w:ind w:right="142"/>
        <w:jc w:val="left"/>
      </w:pPr>
      <w:r>
        <w:rPr/>
        <w:t>编制单位：荣科科技股份有限公司</w:t>
      </w:r>
    </w:p>
    <w:p>
      <w:pPr>
        <w:pStyle w:val="BodyText"/>
        <w:spacing w:line="274" w:lineRule="exact"/>
        <w:ind w:left="0" w:right="359"/>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2940"/>
        <w:gridCol w:w="3316"/>
        <w:gridCol w:w="3301"/>
      </w:tblGrid>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264,637,427.18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121,681,553.01</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2,042,171.00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1,408,671.00</w:t>
            </w: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132,289,957.93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57,377,116.20</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16,906,189.09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2,987,347.22</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8,380,496.09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8,894,898.83</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24,272,527.74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12,953,003.13</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79,831.15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118,567.82</w:t>
            </w: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448,608,600.18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205,421,157.21</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36,337,992.88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36,262,171.77</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19,784,163.73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79" w:top="1100" w:bottom="1160" w:left="980" w:right="980"/>
        </w:sectPr>
      </w:pPr>
    </w:p>
    <w:p>
      <w:pPr>
        <w:spacing w:line="240" w:lineRule="auto" w:before="11"/>
        <w:rPr>
          <w:rFonts w:ascii="Times New Roman" w:hAnsi="Times New Roman" w:cs="Times New Roman" w:eastAsia="Times New Roman" w:hint="default"/>
          <w:sz w:val="28"/>
          <w:szCs w:val="28"/>
        </w:rPr>
      </w:pPr>
      <w:r>
        <w:rPr/>
        <w:pict>
          <v:group style="position:absolute;margin-left:54.84pt;margin-top:28.299982pt;width:485.65pt;height:40.15pt;mso-position-horizontal-relative:page;mso-position-vertical-relative:page;z-index:227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96" w:type="dxa"/>
        <w:tblLayout w:type="fixed"/>
        <w:tblCellMar>
          <w:top w:w="0" w:type="dxa"/>
          <w:left w:w="0" w:type="dxa"/>
          <w:bottom w:w="0" w:type="dxa"/>
          <w:right w:w="0" w:type="dxa"/>
        </w:tblCellMar>
        <w:tblLook w:val="01E0"/>
      </w:tblPr>
      <w:tblGrid>
        <w:gridCol w:w="2944"/>
        <w:gridCol w:w="3311"/>
        <w:gridCol w:w="3301"/>
      </w:tblGrid>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1,544,452.97</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337,069.84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780,419.63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641,466.80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293,980.63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58,645,146.22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37,336,572.03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507,253,746.40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242,757,729.24</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11,000,000.00</w:t>
            </w: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93,398,670.89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12,229,277.00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41,418,448.90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46,684,240.21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4,127,371.13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5,996,727.07</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1,576,299.32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2,886,261.96</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10,830,627.87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8,927,304.52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897,088.79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808,374.66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162,248,506.90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96,532,185.42</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162,248,506.90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96,532,185.42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spacing w:val="-1"/>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68,000,000.00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164,985,081.42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19,404,281.42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12,380,029.98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7,369,788.96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79" w:top="1100" w:bottom="1160" w:left="980" w:right="980"/>
        </w:sectPr>
      </w:pPr>
    </w:p>
    <w:p>
      <w:pPr>
        <w:spacing w:line="240" w:lineRule="auto" w:before="2"/>
        <w:rPr>
          <w:rFonts w:ascii="Times New Roman" w:hAnsi="Times New Roman" w:cs="Times New Roman" w:eastAsia="Times New Roman" w:hint="default"/>
          <w:sz w:val="6"/>
          <w:szCs w:val="6"/>
        </w:rPr>
      </w:pPr>
    </w:p>
    <w:tbl>
      <w:tblPr>
        <w:tblW w:w="0" w:type="auto"/>
        <w:jc w:val="left"/>
        <w:tblInd w:w="196" w:type="dxa"/>
        <w:tblLayout w:type="fixed"/>
        <w:tblCellMar>
          <w:top w:w="0" w:type="dxa"/>
          <w:left w:w="0" w:type="dxa"/>
          <w:bottom w:w="0" w:type="dxa"/>
          <w:right w:w="0" w:type="dxa"/>
        </w:tblCellMar>
        <w:tblLook w:val="01E0"/>
      </w:tblPr>
      <w:tblGrid>
        <w:gridCol w:w="2944"/>
        <w:gridCol w:w="3311"/>
        <w:gridCol w:w="3301"/>
      </w:tblGrid>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98,174,795.99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66,922,695.76</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343,539,907.39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144,696,766.14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1,465,332.11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1,528,777.68</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345,005,239.50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146,225,543.82</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507,253,746.40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242,757,729.24</w:t>
            </w:r>
          </w:p>
        </w:tc>
      </w:tr>
    </w:tbl>
    <w:p>
      <w:pPr>
        <w:spacing w:line="240" w:lineRule="auto" w:before="5"/>
        <w:rPr>
          <w:rFonts w:ascii="Times New Roman" w:hAnsi="Times New Roman" w:cs="Times New Roman" w:eastAsia="Times New Roman" w:hint="default"/>
          <w:sz w:val="16"/>
          <w:szCs w:val="16"/>
        </w:rPr>
      </w:pPr>
    </w:p>
    <w:p>
      <w:pPr>
        <w:tabs>
          <w:tab w:pos="3518" w:val="left" w:leader="none"/>
          <w:tab w:pos="7308" w:val="left" w:leader="none"/>
        </w:tabs>
        <w:spacing w:before="36"/>
        <w:ind w:left="152" w:right="142"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w:t>
      </w:r>
      <w:r>
        <w:rPr>
          <w:rFonts w:ascii="宋体" w:hAnsi="宋体" w:cs="宋体" w:eastAsia="宋体" w:hint="default"/>
          <w:spacing w:val="-1"/>
          <w:sz w:val="21"/>
          <w:szCs w:val="21"/>
        </w:rPr>
        <w:t>付永全</w:t>
        <w:tab/>
      </w:r>
      <w:r>
        <w:rPr>
          <w:rFonts w:ascii="宋体" w:hAnsi="宋体" w:cs="宋体" w:eastAsia="宋体" w:hint="default"/>
          <w:b/>
          <w:bCs/>
          <w:spacing w:val="-1"/>
          <w:sz w:val="21"/>
          <w:szCs w:val="21"/>
        </w:rPr>
        <w:t>主管会计工作负责人：</w:t>
      </w:r>
      <w:r>
        <w:rPr>
          <w:rFonts w:ascii="宋体" w:hAnsi="宋体" w:cs="宋体" w:eastAsia="宋体" w:hint="default"/>
          <w:spacing w:val="-1"/>
          <w:sz w:val="21"/>
          <w:szCs w:val="21"/>
        </w:rPr>
        <w:t>冯丽</w:t>
        <w:tab/>
      </w:r>
      <w:r>
        <w:rPr>
          <w:rFonts w:ascii="宋体" w:hAnsi="宋体" w:cs="宋体" w:eastAsia="宋体" w:hint="default"/>
          <w:b/>
          <w:bCs/>
          <w:spacing w:val="-1"/>
          <w:sz w:val="21"/>
          <w:szCs w:val="21"/>
        </w:rPr>
        <w:t>会计机构负责人：</w:t>
      </w:r>
      <w:r>
        <w:rPr>
          <w:rFonts w:ascii="宋体" w:hAnsi="宋体" w:cs="宋体" w:eastAsia="宋体" w:hint="default"/>
          <w:spacing w:val="-1"/>
          <w:sz w:val="21"/>
          <w:szCs w:val="21"/>
        </w:rPr>
        <w:t>汤淼云</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right="142"/>
        <w:jc w:val="left"/>
        <w:rPr>
          <w:b w:val="0"/>
          <w:bCs w:val="0"/>
        </w:rPr>
      </w:pPr>
      <w:r>
        <w:rPr>
          <w:rFonts w:ascii="宋体" w:hAnsi="宋体" w:cs="宋体" w:eastAsia="宋体" w:hint="default"/>
        </w:rPr>
        <w:t>2</w:t>
      </w:r>
      <w:r>
        <w:rPr/>
        <w:t>、母公司资产负债表</w:t>
      </w:r>
      <w:r>
        <w:rPr>
          <w:b w:val="0"/>
          <w:bCs w:val="0"/>
        </w:rPr>
      </w:r>
    </w:p>
    <w:p>
      <w:pPr>
        <w:spacing w:line="240" w:lineRule="auto" w:before="2"/>
        <w:rPr>
          <w:rFonts w:ascii="宋体" w:hAnsi="宋体" w:cs="宋体" w:eastAsia="宋体" w:hint="default"/>
          <w:b/>
          <w:bCs/>
          <w:sz w:val="11"/>
          <w:szCs w:val="11"/>
        </w:rPr>
      </w:pPr>
    </w:p>
    <w:p>
      <w:pPr>
        <w:pStyle w:val="BodyText"/>
        <w:spacing w:line="274" w:lineRule="exact" w:before="36"/>
        <w:ind w:right="142"/>
        <w:jc w:val="left"/>
      </w:pPr>
      <w:r>
        <w:rPr/>
        <w:t>编制单位：荣科科技股份有限公司</w:t>
      </w:r>
    </w:p>
    <w:p>
      <w:pPr>
        <w:pStyle w:val="BodyText"/>
        <w:spacing w:line="274" w:lineRule="exact"/>
        <w:ind w:left="0" w:right="359"/>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2942"/>
        <w:gridCol w:w="3314"/>
        <w:gridCol w:w="3301"/>
      </w:tblGrid>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250,895,225.13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102,105,142.19</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2,042,171.00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1,408,671.00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128,771,939.51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55,991,886.20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15,046,083.96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2,221,347.22</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11,585,733.30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28,698,272.73</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23,780,839.71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12,937,403.13</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6,263.33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432,128,255.94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203,362,722.47</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9,500,000.00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12,197,083.15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11,873,213.30</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13,808,533.45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1,544,452.97</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337,069.84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780,419.63</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629,605.90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347,419.46</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63,016,745.31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22,501,052.39</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495,145,001.25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225,863,774.86</w:t>
            </w:r>
          </w:p>
        </w:tc>
      </w:tr>
    </w:tbl>
    <w:p>
      <w:pPr>
        <w:spacing w:after="0" w:line="241" w:lineRule="exact"/>
        <w:jc w:val="right"/>
        <w:rPr>
          <w:rFonts w:ascii="宋体" w:hAnsi="宋体" w:cs="宋体" w:eastAsia="宋体" w:hint="default"/>
          <w:sz w:val="21"/>
          <w:szCs w:val="21"/>
        </w:rPr>
        <w:sectPr>
          <w:headerReference w:type="default" r:id="rId35"/>
          <w:pgSz w:w="11910" w:h="16840"/>
          <w:pgMar w:header="566" w:footer="979" w:top="1360" w:bottom="1160" w:left="980" w:right="980"/>
        </w:sectPr>
      </w:pPr>
    </w:p>
    <w:tbl>
      <w:tblPr>
        <w:tblW w:w="0" w:type="auto"/>
        <w:jc w:val="left"/>
        <w:tblInd w:w="196" w:type="dxa"/>
        <w:tblLayout w:type="fixed"/>
        <w:tblCellMar>
          <w:top w:w="0" w:type="dxa"/>
          <w:left w:w="0" w:type="dxa"/>
          <w:bottom w:w="0" w:type="dxa"/>
          <w:right w:w="0" w:type="dxa"/>
        </w:tblCellMar>
        <w:tblLook w:val="01E0"/>
      </w:tblPr>
      <w:tblGrid>
        <w:gridCol w:w="2942"/>
        <w:gridCol w:w="3314"/>
        <w:gridCol w:w="3301"/>
      </w:tblGrid>
      <w:tr>
        <w:trPr>
          <w:trHeight w:val="28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11,000,000.00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93,398,670.89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12,229,277.00</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31,412,939.36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40,872,073.21</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4,127,371.13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5,973,727.07</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1,409,923.81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2,693,368.08</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10,735,214.50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8,901,438.89</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876,155.39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92,374.66</w:t>
            </w:r>
          </w:p>
        </w:tc>
      </w:tr>
      <w:tr>
        <w:trPr>
          <w:trHeight w:val="28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151,960,275.08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81,762,258.91</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21"/>
                <w:szCs w:val="21"/>
              </w:rPr>
            </w:pPr>
            <w:r>
              <w:rPr>
                <w:rFonts w:ascii="宋体"/>
                <w:spacing w:val="-1"/>
                <w:sz w:val="21"/>
              </w:rPr>
              <w:t>151,960,275.08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21"/>
                <w:szCs w:val="21"/>
              </w:rPr>
            </w:pPr>
            <w:r>
              <w:rPr>
                <w:rFonts w:ascii="宋体"/>
                <w:spacing w:val="-1"/>
                <w:sz w:val="21"/>
              </w:rPr>
              <w:t>81,762,258.91</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68,000,000.00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51,000,000.00</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164,984,426.31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19,403,626.31</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12,380,029.98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7,369,788.96</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97,820,269.88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66,328,100.68</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343,184,726.17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144,101,515.95</w:t>
            </w:r>
          </w:p>
        </w:tc>
      </w:tr>
      <w:tr>
        <w:trPr>
          <w:trHeight w:val="55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5" w:lineRule="exact"/>
              <w:ind w:left="12"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7"/>
              <w:jc w:val="right"/>
              <w:rPr>
                <w:rFonts w:ascii="宋体" w:hAnsi="宋体" w:cs="宋体" w:eastAsia="宋体" w:hint="default"/>
                <w:sz w:val="21"/>
                <w:szCs w:val="21"/>
              </w:rPr>
            </w:pPr>
            <w:r>
              <w:rPr>
                <w:rFonts w:ascii="宋体"/>
                <w:spacing w:val="-1"/>
                <w:sz w:val="21"/>
              </w:rPr>
              <w:t>495,145,001.25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宋体" w:hAnsi="宋体" w:cs="宋体" w:eastAsia="宋体" w:hint="default"/>
                <w:sz w:val="21"/>
                <w:szCs w:val="21"/>
              </w:rPr>
            </w:pPr>
            <w:r>
              <w:rPr>
                <w:rFonts w:ascii="宋体"/>
                <w:spacing w:val="-1"/>
                <w:sz w:val="21"/>
              </w:rPr>
              <w:t>225,863,774.86</w:t>
            </w:r>
          </w:p>
        </w:tc>
      </w:tr>
    </w:tbl>
    <w:p>
      <w:pPr>
        <w:spacing w:line="240" w:lineRule="auto" w:before="11"/>
        <w:rPr>
          <w:rFonts w:ascii="宋体" w:hAnsi="宋体" w:cs="宋体" w:eastAsia="宋体" w:hint="default"/>
          <w:sz w:val="16"/>
          <w:szCs w:val="16"/>
        </w:rPr>
      </w:pPr>
    </w:p>
    <w:p>
      <w:pPr>
        <w:tabs>
          <w:tab w:pos="3412" w:val="left" w:leader="none"/>
          <w:tab w:pos="7202" w:val="left" w:leader="none"/>
        </w:tabs>
        <w:spacing w:before="36"/>
        <w:ind w:left="152" w:right="142"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w:t>
      </w:r>
      <w:r>
        <w:rPr>
          <w:rFonts w:ascii="宋体" w:hAnsi="宋体" w:cs="宋体" w:eastAsia="宋体" w:hint="default"/>
          <w:spacing w:val="-1"/>
          <w:sz w:val="21"/>
          <w:szCs w:val="21"/>
        </w:rPr>
        <w:t>付永全</w:t>
        <w:tab/>
      </w:r>
      <w:r>
        <w:rPr>
          <w:rFonts w:ascii="宋体" w:hAnsi="宋体" w:cs="宋体" w:eastAsia="宋体" w:hint="default"/>
          <w:b/>
          <w:bCs/>
          <w:spacing w:val="-1"/>
          <w:sz w:val="21"/>
          <w:szCs w:val="21"/>
        </w:rPr>
        <w:t>主管会计工作负责人：</w:t>
      </w:r>
      <w:r>
        <w:rPr>
          <w:rFonts w:ascii="宋体" w:hAnsi="宋体" w:cs="宋体" w:eastAsia="宋体" w:hint="default"/>
          <w:spacing w:val="-1"/>
          <w:sz w:val="21"/>
          <w:szCs w:val="21"/>
        </w:rPr>
        <w:t>冯丽</w:t>
        <w:tab/>
      </w:r>
      <w:r>
        <w:rPr>
          <w:rFonts w:ascii="宋体" w:hAnsi="宋体" w:cs="宋体" w:eastAsia="宋体" w:hint="default"/>
          <w:b/>
          <w:bCs/>
          <w:spacing w:val="-1"/>
          <w:sz w:val="21"/>
          <w:szCs w:val="21"/>
        </w:rPr>
        <w:t>会计机构负责人：</w:t>
      </w:r>
      <w:r>
        <w:rPr>
          <w:rFonts w:ascii="宋体" w:hAnsi="宋体" w:cs="宋体" w:eastAsia="宋体" w:hint="default"/>
          <w:spacing w:val="-1"/>
          <w:sz w:val="21"/>
          <w:szCs w:val="21"/>
        </w:rPr>
        <w:t>汤淼云</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2"/>
        <w:ind w:right="142"/>
        <w:jc w:val="left"/>
        <w:rPr>
          <w:b w:val="0"/>
          <w:bCs w:val="0"/>
        </w:rPr>
      </w:pPr>
      <w:r>
        <w:rPr>
          <w:rFonts w:ascii="宋体" w:hAnsi="宋体" w:cs="宋体" w:eastAsia="宋体" w:hint="default"/>
        </w:rPr>
        <w:t>3</w:t>
      </w:r>
      <w:r>
        <w:rPr/>
        <w:t>、合并利润表</w:t>
      </w:r>
      <w:r>
        <w:rPr>
          <w:b w:val="0"/>
          <w:bCs w:val="0"/>
        </w:rPr>
      </w:r>
    </w:p>
    <w:p>
      <w:pPr>
        <w:spacing w:line="240" w:lineRule="auto" w:before="1"/>
        <w:rPr>
          <w:rFonts w:ascii="宋体" w:hAnsi="宋体" w:cs="宋体" w:eastAsia="宋体" w:hint="default"/>
          <w:b/>
          <w:bCs/>
          <w:sz w:val="11"/>
          <w:szCs w:val="11"/>
        </w:rPr>
      </w:pPr>
    </w:p>
    <w:p>
      <w:pPr>
        <w:pStyle w:val="BodyText"/>
        <w:spacing w:line="274" w:lineRule="exact" w:before="36"/>
        <w:ind w:right="142"/>
        <w:jc w:val="left"/>
      </w:pPr>
      <w:r>
        <w:rPr/>
        <w:t>编制单位：荣科科技股份有限公司</w:t>
      </w:r>
    </w:p>
    <w:p>
      <w:pPr>
        <w:pStyle w:val="BodyText"/>
        <w:spacing w:line="274" w:lineRule="exact"/>
        <w:ind w:left="0" w:right="359"/>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2944"/>
        <w:gridCol w:w="3311"/>
        <w:gridCol w:w="3301"/>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334,734,262.56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243,898,174.93</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026"/>
              <w:jc w:val="right"/>
              <w:rPr>
                <w:rFonts w:ascii="宋体" w:hAnsi="宋体" w:cs="宋体" w:eastAsia="宋体" w:hint="default"/>
                <w:sz w:val="21"/>
                <w:szCs w:val="21"/>
              </w:rPr>
            </w:pPr>
            <w:r>
              <w:rPr>
                <w:rFonts w:ascii="宋体" w:hAnsi="宋体" w:cs="宋体" w:eastAsia="宋体" w:hint="default"/>
                <w:spacing w:val="-2"/>
                <w:sz w:val="21"/>
                <w:szCs w:val="21"/>
              </w:rPr>
              <w:t>其中：营业收入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334,734,262.56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243,898,174.93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026"/>
              <w:jc w:val="right"/>
              <w:rPr>
                <w:rFonts w:ascii="宋体" w:hAnsi="宋体" w:cs="宋体" w:eastAsia="宋体" w:hint="default"/>
                <w:sz w:val="21"/>
                <w:szCs w:val="21"/>
              </w:rPr>
            </w:pPr>
            <w:r>
              <w:rPr>
                <w:rFonts w:ascii="宋体" w:hAnsi="宋体" w:cs="宋体" w:eastAsia="宋体" w:hint="default"/>
                <w:spacing w:val="-1"/>
                <w:sz w:val="21"/>
                <w:szCs w:val="21"/>
              </w:rPr>
              <w:t>利息收入</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026"/>
              <w:jc w:val="right"/>
              <w:rPr>
                <w:rFonts w:ascii="宋体" w:hAnsi="宋体" w:cs="宋体" w:eastAsia="宋体" w:hint="default"/>
                <w:sz w:val="21"/>
                <w:szCs w:val="21"/>
              </w:rPr>
            </w:pPr>
            <w:r>
              <w:rPr>
                <w:rFonts w:ascii="宋体" w:hAnsi="宋体" w:cs="宋体" w:eastAsia="宋体" w:hint="default"/>
                <w:spacing w:val="-1"/>
                <w:sz w:val="21"/>
                <w:szCs w:val="21"/>
              </w:rPr>
              <w:t>已赚保费</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440" w:bottom="1160" w:left="980" w:right="980"/>
        </w:sectPr>
      </w:pPr>
    </w:p>
    <w:tbl>
      <w:tblPr>
        <w:tblW w:w="0" w:type="auto"/>
        <w:jc w:val="left"/>
        <w:tblInd w:w="196" w:type="dxa"/>
        <w:tblLayout w:type="fixed"/>
        <w:tblCellMar>
          <w:top w:w="0" w:type="dxa"/>
          <w:left w:w="0" w:type="dxa"/>
          <w:bottom w:w="0" w:type="dxa"/>
          <w:right w:w="0" w:type="dxa"/>
        </w:tblCellMar>
        <w:tblLook w:val="01E0"/>
      </w:tblPr>
      <w:tblGrid>
        <w:gridCol w:w="2944"/>
        <w:gridCol w:w="3311"/>
        <w:gridCol w:w="3301"/>
      </w:tblGrid>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right="186"/>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281,695,484.37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198,029,709.87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227,461,364.23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159,955,184.29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4"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186"/>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174"/>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4" w:right="0"/>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06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4,710,136.11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5,033,306.29</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12,951,108.63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8,738,383.98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34,355,445.00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22,269,347.99</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-60,571.26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1,192,454.27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06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2,278,001.66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841,033.05</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失以“－”号填列）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063"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063"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063" w:right="0"/>
              <w:jc w:val="left"/>
              <w:rPr>
                <w:rFonts w:ascii="宋体" w:hAnsi="宋体" w:cs="宋体" w:eastAsia="宋体" w:hint="default"/>
                <w:sz w:val="21"/>
                <w:szCs w:val="21"/>
              </w:rPr>
            </w:pPr>
            <w:r>
              <w:rPr>
                <w:rFonts w:ascii="宋体" w:hAnsi="宋体" w:cs="宋体" w:eastAsia="宋体" w:hint="default"/>
                <w:sz w:val="21"/>
                <w:szCs w:val="21"/>
              </w:rPr>
              <w:t>汇兑收益（损失以</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三、营业利润（亏损以“－”号</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53,038,778.19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45,868,465.06</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6,366,777.05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7,663,487.36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165,764.68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17,300.00</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063"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47,000.00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59,239,790.56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53,514,652.42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9,440,894.88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8,664,751.50</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五、净利润（净亏损以“－”号</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49,798,895.68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44,849,900.92</w:t>
            </w:r>
          </w:p>
        </w:tc>
      </w:tr>
      <w:tr>
        <w:trPr>
          <w:trHeight w:val="55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其中：被合并方在合并前实</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现的净利润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49,862,341.25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44,869,022.63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-63,445.57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-19,121.71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center"/>
              <w:rPr>
                <w:rFonts w:ascii="宋体" w:hAnsi="宋体" w:cs="宋体" w:eastAsia="宋体" w:hint="default"/>
                <w:sz w:val="21"/>
                <w:szCs w:val="21"/>
              </w:rPr>
            </w:pPr>
            <w:r>
              <w:rPr>
                <w:rFonts w:ascii="宋体"/>
                <w:sz w:val="21"/>
              </w:rPr>
              <w:t>--</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 w:right="0"/>
              <w:jc w:val="center"/>
              <w:rPr>
                <w:rFonts w:ascii="宋体" w:hAnsi="宋体" w:cs="宋体" w:eastAsia="宋体" w:hint="default"/>
                <w:sz w:val="21"/>
                <w:szCs w:val="21"/>
              </w:rPr>
            </w:pPr>
            <w:r>
              <w:rPr>
                <w:rFonts w:ascii="宋体"/>
                <w:sz w:val="21"/>
              </w:rPr>
              <w:t>--</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z w:val="21"/>
              </w:rPr>
              <w:t>0.7652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z w:val="21"/>
              </w:rPr>
              <w:t>0.8798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z w:val="21"/>
              </w:rPr>
              <w:t>0.7652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z w:val="21"/>
              </w:rPr>
              <w:t>0.8798</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49,798,895.68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44,849,900.92</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49,862,341.25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44,869,022.63</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-63,445.57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-19,121.71</w:t>
            </w:r>
          </w:p>
        </w:tc>
      </w:tr>
    </w:tbl>
    <w:p>
      <w:pPr>
        <w:spacing w:after="0" w:line="240" w:lineRule="auto"/>
        <w:jc w:val="right"/>
        <w:rPr>
          <w:rFonts w:ascii="宋体" w:hAnsi="宋体" w:cs="宋体" w:eastAsia="宋体" w:hint="default"/>
          <w:sz w:val="21"/>
          <w:szCs w:val="21"/>
        </w:rPr>
        <w:sectPr>
          <w:pgSz w:w="11910" w:h="16840"/>
          <w:pgMar w:header="566" w:footer="979" w:top="144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64852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tabs>
          <w:tab w:pos="3314" w:val="left" w:leader="none"/>
          <w:tab w:pos="7106" w:val="left" w:leader="none"/>
        </w:tabs>
        <w:spacing w:before="36"/>
        <w:ind w:left="152" w:right="142"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w:t>
      </w:r>
      <w:r>
        <w:rPr>
          <w:rFonts w:ascii="宋体" w:hAnsi="宋体" w:cs="宋体" w:eastAsia="宋体" w:hint="default"/>
          <w:spacing w:val="-1"/>
          <w:sz w:val="21"/>
          <w:szCs w:val="21"/>
        </w:rPr>
        <w:t>付永全</w:t>
        <w:tab/>
      </w:r>
      <w:r>
        <w:rPr>
          <w:rFonts w:ascii="宋体" w:hAnsi="宋体" w:cs="宋体" w:eastAsia="宋体" w:hint="default"/>
          <w:b/>
          <w:bCs/>
          <w:spacing w:val="-1"/>
          <w:sz w:val="21"/>
          <w:szCs w:val="21"/>
        </w:rPr>
        <w:t>主管会计工作负责人：</w:t>
      </w:r>
      <w:r>
        <w:rPr>
          <w:rFonts w:ascii="宋体" w:hAnsi="宋体" w:cs="宋体" w:eastAsia="宋体" w:hint="default"/>
          <w:spacing w:val="-1"/>
          <w:sz w:val="21"/>
          <w:szCs w:val="21"/>
        </w:rPr>
        <w:t>冯丽</w:t>
        <w:tab/>
      </w:r>
      <w:r>
        <w:rPr>
          <w:rFonts w:ascii="宋体" w:hAnsi="宋体" w:cs="宋体" w:eastAsia="宋体" w:hint="default"/>
          <w:b/>
          <w:bCs/>
          <w:spacing w:val="-2"/>
          <w:sz w:val="21"/>
          <w:szCs w:val="21"/>
        </w:rPr>
        <w:t>会计机构负责人：</w:t>
      </w:r>
      <w:r>
        <w:rPr>
          <w:rFonts w:ascii="宋体" w:hAnsi="宋体" w:cs="宋体" w:eastAsia="宋体" w:hint="default"/>
          <w:spacing w:val="-2"/>
          <w:sz w:val="21"/>
          <w:szCs w:val="21"/>
        </w:rPr>
        <w:t>汤淼云</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2"/>
        <w:ind w:right="142"/>
        <w:jc w:val="left"/>
        <w:rPr>
          <w:b w:val="0"/>
          <w:bCs w:val="0"/>
        </w:rPr>
      </w:pPr>
      <w:r>
        <w:rPr>
          <w:rFonts w:ascii="宋体" w:hAnsi="宋体" w:cs="宋体" w:eastAsia="宋体" w:hint="default"/>
        </w:rPr>
        <w:t>4</w:t>
      </w:r>
      <w:r>
        <w:rPr/>
        <w:t>、母公司利润表</w:t>
      </w:r>
      <w:r>
        <w:rPr>
          <w:b w:val="0"/>
          <w:bCs w:val="0"/>
        </w:rPr>
      </w:r>
    </w:p>
    <w:p>
      <w:pPr>
        <w:spacing w:line="240" w:lineRule="auto" w:before="1"/>
        <w:rPr>
          <w:rFonts w:ascii="宋体" w:hAnsi="宋体" w:cs="宋体" w:eastAsia="宋体" w:hint="default"/>
          <w:b/>
          <w:bCs/>
          <w:sz w:val="11"/>
          <w:szCs w:val="11"/>
        </w:rPr>
      </w:pPr>
    </w:p>
    <w:p>
      <w:pPr>
        <w:pStyle w:val="BodyText"/>
        <w:spacing w:line="274" w:lineRule="exact" w:before="36"/>
        <w:ind w:right="142"/>
        <w:jc w:val="left"/>
      </w:pPr>
      <w:r>
        <w:rPr/>
        <w:t>编制单位：荣科科技股份有限公司</w:t>
      </w:r>
    </w:p>
    <w:p>
      <w:pPr>
        <w:pStyle w:val="BodyText"/>
        <w:spacing w:line="274" w:lineRule="exact"/>
        <w:ind w:left="0" w:right="359"/>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2942"/>
        <w:gridCol w:w="3314"/>
        <w:gridCol w:w="3301"/>
      </w:tblGrid>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323,547,751.52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233,059,108.72</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219,511,498.55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153,511,480.02</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604"/>
              <w:jc w:val="right"/>
              <w:rPr>
                <w:rFonts w:ascii="宋体" w:hAnsi="宋体" w:cs="宋体" w:eastAsia="宋体" w:hint="default"/>
                <w:sz w:val="21"/>
                <w:szCs w:val="21"/>
              </w:rPr>
            </w:pPr>
            <w:r>
              <w:rPr>
                <w:rFonts w:ascii="宋体" w:hAnsi="宋体" w:cs="宋体" w:eastAsia="宋体" w:hint="default"/>
                <w:spacing w:val="-2"/>
                <w:sz w:val="21"/>
                <w:szCs w:val="21"/>
              </w:rPr>
              <w:t>营业税金及附加</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4,650,792.91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4,872,452.96</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11,818,050.07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8,599,764.90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32,045,908.59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19,278,316.46</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-653,633.73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418,472.76</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1,881,242.97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1,217,085.65</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失以“－”号填列）</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854"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营企业的投资收益</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二、营业利润（亏损以“－”号</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54,293,892.16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45,161,535.97</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5,302,877.05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7,663,487.36</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165,764.68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17,300.00</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47,000.00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59,431,004.53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52,807,723.33</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9,328,594.31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8,475,620.22</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四、净利润（净亏损以“－”号</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50,102,410.22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44,332,103.11</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center"/>
              <w:rPr>
                <w:rFonts w:ascii="宋体" w:hAnsi="宋体" w:cs="宋体" w:eastAsia="宋体" w:hint="default"/>
                <w:sz w:val="21"/>
                <w:szCs w:val="21"/>
              </w:rPr>
            </w:pPr>
            <w:r>
              <w:rPr>
                <w:rFonts w:ascii="宋体"/>
                <w:sz w:val="21"/>
              </w:rPr>
              <w:t>--</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604"/>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0.7688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0.8693</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604"/>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0.7688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0.8693</w:t>
            </w:r>
          </w:p>
        </w:tc>
      </w:tr>
      <w:tr>
        <w:trPr>
          <w:trHeight w:val="28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50,102,410.22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44,332,103.11</w:t>
            </w:r>
          </w:p>
        </w:tc>
      </w:tr>
    </w:tbl>
    <w:p>
      <w:pPr>
        <w:spacing w:line="240" w:lineRule="auto" w:before="7"/>
        <w:rPr>
          <w:rFonts w:ascii="宋体" w:hAnsi="宋体" w:cs="宋体" w:eastAsia="宋体" w:hint="default"/>
          <w:sz w:val="17"/>
          <w:szCs w:val="17"/>
        </w:rPr>
      </w:pPr>
    </w:p>
    <w:p>
      <w:pPr>
        <w:tabs>
          <w:tab w:pos="3204" w:val="left" w:leader="none"/>
          <w:tab w:pos="7200" w:val="left" w:leader="none"/>
        </w:tabs>
        <w:spacing w:before="36"/>
        <w:ind w:left="152" w:right="142"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w:t>
      </w:r>
      <w:r>
        <w:rPr>
          <w:rFonts w:ascii="宋体" w:hAnsi="宋体" w:cs="宋体" w:eastAsia="宋体" w:hint="default"/>
          <w:spacing w:val="-1"/>
          <w:sz w:val="21"/>
          <w:szCs w:val="21"/>
        </w:rPr>
        <w:t>付永全</w:t>
        <w:tab/>
      </w:r>
      <w:r>
        <w:rPr>
          <w:rFonts w:ascii="宋体" w:hAnsi="宋体" w:cs="宋体" w:eastAsia="宋体" w:hint="default"/>
          <w:b/>
          <w:bCs/>
          <w:spacing w:val="-1"/>
          <w:sz w:val="21"/>
          <w:szCs w:val="21"/>
        </w:rPr>
        <w:t>主管会计工作负责人：</w:t>
      </w:r>
      <w:r>
        <w:rPr>
          <w:rFonts w:ascii="宋体" w:hAnsi="宋体" w:cs="宋体" w:eastAsia="宋体" w:hint="default"/>
          <w:spacing w:val="-1"/>
          <w:sz w:val="21"/>
          <w:szCs w:val="21"/>
        </w:rPr>
        <w:t>冯丽</w:t>
        <w:tab/>
      </w:r>
      <w:r>
        <w:rPr>
          <w:rFonts w:ascii="宋体" w:hAnsi="宋体" w:cs="宋体" w:eastAsia="宋体" w:hint="default"/>
          <w:b/>
          <w:bCs/>
          <w:spacing w:val="-1"/>
          <w:sz w:val="21"/>
          <w:szCs w:val="21"/>
        </w:rPr>
        <w:t>会计机构负责人：</w:t>
      </w:r>
      <w:r>
        <w:rPr>
          <w:rFonts w:ascii="宋体" w:hAnsi="宋体" w:cs="宋体" w:eastAsia="宋体" w:hint="default"/>
          <w:spacing w:val="-1"/>
          <w:sz w:val="21"/>
          <w:szCs w:val="21"/>
        </w:rPr>
        <w:t>汤淼云</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2"/>
        <w:ind w:right="142"/>
        <w:jc w:val="left"/>
        <w:rPr>
          <w:b w:val="0"/>
          <w:bCs w:val="0"/>
        </w:rPr>
      </w:pPr>
      <w:r>
        <w:rPr>
          <w:rFonts w:ascii="宋体" w:hAnsi="宋体" w:cs="宋体" w:eastAsia="宋体" w:hint="default"/>
        </w:rPr>
        <w:t>5</w:t>
      </w:r>
      <w:r>
        <w:rPr/>
        <w:t>、合并现金流量表</w:t>
      </w:r>
      <w:r>
        <w:rPr>
          <w:b w:val="0"/>
          <w:bCs w:val="0"/>
        </w:rPr>
      </w:r>
    </w:p>
    <w:p>
      <w:pPr>
        <w:spacing w:line="240" w:lineRule="auto" w:before="3"/>
        <w:rPr>
          <w:rFonts w:ascii="宋体" w:hAnsi="宋体" w:cs="宋体" w:eastAsia="宋体" w:hint="default"/>
          <w:b/>
          <w:bCs/>
          <w:sz w:val="11"/>
          <w:szCs w:val="11"/>
        </w:rPr>
      </w:pPr>
    </w:p>
    <w:p>
      <w:pPr>
        <w:pStyle w:val="BodyText"/>
        <w:spacing w:line="273" w:lineRule="exact" w:before="36"/>
        <w:ind w:right="142"/>
        <w:jc w:val="left"/>
      </w:pPr>
      <w:r>
        <w:rPr/>
        <w:t>编制单位：荣科科技股份有限公司</w:t>
      </w:r>
    </w:p>
    <w:p>
      <w:pPr>
        <w:pStyle w:val="BodyText"/>
        <w:spacing w:line="273" w:lineRule="exact"/>
        <w:ind w:left="0" w:right="359"/>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93"/>
        <w:gridCol w:w="3314"/>
        <w:gridCol w:w="3301"/>
      </w:tblGrid>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5"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94"/>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劳</w:t>
            </w:r>
            <w:r>
              <w:rPr>
                <w:rFonts w:ascii="宋体" w:hAnsi="宋体" w:cs="宋体" w:eastAsia="宋体" w:hint="default"/>
                <w:spacing w:val="-3"/>
                <w:w w:val="100"/>
                <w:sz w:val="21"/>
                <w:szCs w:val="21"/>
              </w:rPr>
              <w:t>务收</w:t>
            </w:r>
            <w:r>
              <w:rPr>
                <w:rFonts w:ascii="宋体" w:hAnsi="宋体" w:cs="宋体" w:eastAsia="宋体" w:hint="default"/>
                <w:w w:val="100"/>
                <w:sz w:val="21"/>
                <w:szCs w:val="21"/>
              </w:rPr>
              <w:t>到的现</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left="1801" w:right="0"/>
              <w:jc w:val="left"/>
              <w:rPr>
                <w:rFonts w:ascii="宋体" w:hAnsi="宋体" w:cs="宋体" w:eastAsia="宋体" w:hint="default"/>
                <w:sz w:val="21"/>
                <w:szCs w:val="21"/>
              </w:rPr>
            </w:pPr>
            <w:r>
              <w:rPr>
                <w:rFonts w:ascii="宋体"/>
                <w:sz w:val="21"/>
              </w:rPr>
              <w:t>299,394,339.39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8" w:right="0"/>
              <w:jc w:val="left"/>
              <w:rPr>
                <w:rFonts w:ascii="宋体" w:hAnsi="宋体" w:cs="宋体" w:eastAsia="宋体" w:hint="default"/>
                <w:sz w:val="21"/>
                <w:szCs w:val="21"/>
              </w:rPr>
            </w:pPr>
            <w:r>
              <w:rPr>
                <w:rFonts w:ascii="宋体"/>
                <w:sz w:val="21"/>
              </w:rPr>
              <w:t>245,904,239.60</w:t>
            </w:r>
          </w:p>
        </w:tc>
      </w:tr>
    </w:tbl>
    <w:p>
      <w:pPr>
        <w:spacing w:after="0" w:line="240" w:lineRule="auto"/>
        <w:jc w:val="left"/>
        <w:rPr>
          <w:rFonts w:ascii="宋体" w:hAnsi="宋体" w:cs="宋体" w:eastAsia="宋体" w:hint="default"/>
          <w:sz w:val="21"/>
          <w:szCs w:val="21"/>
        </w:rPr>
        <w:sectPr>
          <w:headerReference w:type="default" r:id="rId36"/>
          <w:pgSz w:w="11910" w:h="16840"/>
          <w:pgMar w:header="884" w:footer="979" w:top="1100" w:bottom="1160" w:left="980" w:right="980"/>
        </w:sectPr>
      </w:pPr>
    </w:p>
    <w:p>
      <w:pPr>
        <w:spacing w:line="240" w:lineRule="auto" w:before="11"/>
        <w:rPr>
          <w:rFonts w:ascii="Times New Roman" w:hAnsi="Times New Roman" w:cs="Times New Roman" w:eastAsia="Times New Roman" w:hint="default"/>
          <w:sz w:val="28"/>
          <w:szCs w:val="28"/>
        </w:rPr>
      </w:pPr>
      <w:r>
        <w:rPr/>
        <w:pict>
          <v:group style="position:absolute;margin-left:54.84pt;margin-top:28.299982pt;width:485.65pt;height:40.15pt;mso-position-horizontal-relative:page;mso-position-vertical-relative:page;z-index:232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3093"/>
        <w:gridCol w:w="3314"/>
        <w:gridCol w:w="3301"/>
      </w:tblGrid>
      <w:tr>
        <w:trPr>
          <w:trHeight w:val="555"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24"/>
              <w:jc w:val="right"/>
              <w:rPr>
                <w:rFonts w:ascii="宋体" w:hAnsi="宋体" w:cs="宋体" w:eastAsia="宋体" w:hint="default"/>
                <w:sz w:val="21"/>
                <w:szCs w:val="21"/>
              </w:rPr>
            </w:pPr>
            <w:r>
              <w:rPr>
                <w:rFonts w:ascii="宋体" w:hAnsi="宋体" w:cs="宋体" w:eastAsia="宋体" w:hint="default"/>
                <w:spacing w:val="-2"/>
                <w:sz w:val="21"/>
                <w:szCs w:val="21"/>
              </w:rPr>
              <w:t>保户储金及投资款净增加额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收</w:t>
            </w:r>
            <w:r>
              <w:rPr>
                <w:rFonts w:ascii="宋体" w:hAnsi="宋体" w:cs="宋体" w:eastAsia="宋体" w:hint="default"/>
                <w:w w:val="100"/>
                <w:sz w:val="21"/>
                <w:szCs w:val="21"/>
              </w:rPr>
              <w:t>取</w:t>
            </w:r>
            <w:r>
              <w:rPr>
                <w:rFonts w:ascii="宋体" w:hAnsi="宋体" w:cs="宋体" w:eastAsia="宋体" w:hint="default"/>
                <w:spacing w:val="-3"/>
                <w:w w:val="100"/>
                <w:sz w:val="21"/>
                <w:szCs w:val="21"/>
              </w:rPr>
              <w:t>利</w:t>
            </w:r>
            <w:r>
              <w:rPr>
                <w:rFonts w:ascii="宋体" w:hAnsi="宋体" w:cs="宋体" w:eastAsia="宋体" w:hint="default"/>
                <w:w w:val="100"/>
                <w:sz w:val="21"/>
                <w:szCs w:val="21"/>
              </w:rPr>
              <w:t>息</w:t>
            </w:r>
            <w:r>
              <w:rPr>
                <w:rFonts w:ascii="宋体" w:hAnsi="宋体" w:cs="宋体" w:eastAsia="宋体" w:hint="default"/>
                <w:spacing w:val="-94"/>
                <w:w w:val="100"/>
                <w:sz w:val="21"/>
                <w:szCs w:val="21"/>
              </w:rPr>
              <w:t>、</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w w:val="100"/>
                <w:sz w:val="21"/>
                <w:szCs w:val="21"/>
              </w:rPr>
              <w:t>费</w:t>
            </w:r>
            <w:r>
              <w:rPr>
                <w:rFonts w:ascii="宋体" w:hAnsi="宋体" w:cs="宋体" w:eastAsia="宋体" w:hint="default"/>
                <w:spacing w:val="-3"/>
                <w:w w:val="100"/>
                <w:sz w:val="21"/>
                <w:szCs w:val="21"/>
              </w:rPr>
              <w:t>及佣</w:t>
            </w:r>
            <w:r>
              <w:rPr>
                <w:rFonts w:ascii="宋体" w:hAnsi="宋体" w:cs="宋体" w:eastAsia="宋体" w:hint="default"/>
                <w:w w:val="100"/>
                <w:sz w:val="21"/>
                <w:szCs w:val="21"/>
              </w:rPr>
              <w:t>金的现</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2,182,827.21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1,394,603.36</w:t>
            </w:r>
          </w:p>
        </w:tc>
      </w:tr>
      <w:tr>
        <w:trPr>
          <w:trHeight w:val="557"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5,835,867.34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6,411,069.48</w:t>
            </w: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307,413,033.94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253,709,912.44</w:t>
            </w: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购</w:t>
            </w:r>
            <w:r>
              <w:rPr>
                <w:rFonts w:ascii="宋体" w:hAnsi="宋体" w:cs="宋体" w:eastAsia="宋体" w:hint="default"/>
                <w:w w:val="100"/>
                <w:sz w:val="21"/>
                <w:szCs w:val="21"/>
              </w:rPr>
              <w:t>买</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94"/>
                <w:w w:val="100"/>
                <w:sz w:val="21"/>
                <w:szCs w:val="21"/>
              </w:rPr>
              <w:t>、</w:t>
            </w:r>
            <w:r>
              <w:rPr>
                <w:rFonts w:ascii="宋体" w:hAnsi="宋体" w:cs="宋体" w:eastAsia="宋体" w:hint="default"/>
                <w:w w:val="100"/>
                <w:sz w:val="21"/>
                <w:szCs w:val="21"/>
              </w:rPr>
              <w:t>接</w:t>
            </w:r>
            <w:r>
              <w:rPr>
                <w:rFonts w:ascii="宋体" w:hAnsi="宋体" w:cs="宋体" w:eastAsia="宋体" w:hint="default"/>
                <w:spacing w:val="-3"/>
                <w:w w:val="100"/>
                <w:sz w:val="21"/>
                <w:szCs w:val="21"/>
              </w:rPr>
              <w:t>受</w:t>
            </w:r>
            <w:r>
              <w:rPr>
                <w:rFonts w:ascii="宋体" w:hAnsi="宋体" w:cs="宋体" w:eastAsia="宋体" w:hint="default"/>
                <w:w w:val="100"/>
                <w:sz w:val="21"/>
                <w:szCs w:val="21"/>
              </w:rPr>
              <w:t>劳</w:t>
            </w:r>
            <w:r>
              <w:rPr>
                <w:rFonts w:ascii="宋体" w:hAnsi="宋体" w:cs="宋体" w:eastAsia="宋体" w:hint="default"/>
                <w:spacing w:val="-3"/>
                <w:w w:val="100"/>
                <w:sz w:val="21"/>
                <w:szCs w:val="21"/>
              </w:rPr>
              <w:t>务支</w:t>
            </w:r>
            <w:r>
              <w:rPr>
                <w:rFonts w:ascii="宋体" w:hAnsi="宋体" w:cs="宋体" w:eastAsia="宋体" w:hint="default"/>
                <w:w w:val="100"/>
                <w:sz w:val="21"/>
                <w:szCs w:val="21"/>
              </w:rPr>
              <w:t>付的现</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206,961,995.45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141,183,096.39</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利</w:t>
            </w:r>
            <w:r>
              <w:rPr>
                <w:rFonts w:ascii="宋体" w:hAnsi="宋体" w:cs="宋体" w:eastAsia="宋体" w:hint="default"/>
                <w:w w:val="100"/>
                <w:sz w:val="21"/>
                <w:szCs w:val="21"/>
              </w:rPr>
              <w:t>息</w:t>
            </w:r>
            <w:r>
              <w:rPr>
                <w:rFonts w:ascii="宋体" w:hAnsi="宋体" w:cs="宋体" w:eastAsia="宋体" w:hint="default"/>
                <w:spacing w:val="-94"/>
                <w:w w:val="100"/>
                <w:sz w:val="21"/>
                <w:szCs w:val="21"/>
              </w:rPr>
              <w:t>、</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w w:val="100"/>
                <w:sz w:val="21"/>
                <w:szCs w:val="21"/>
              </w:rPr>
              <w:t>费</w:t>
            </w:r>
            <w:r>
              <w:rPr>
                <w:rFonts w:ascii="宋体" w:hAnsi="宋体" w:cs="宋体" w:eastAsia="宋体" w:hint="default"/>
                <w:spacing w:val="-3"/>
                <w:w w:val="100"/>
                <w:sz w:val="21"/>
                <w:szCs w:val="21"/>
              </w:rPr>
              <w:t>及佣</w:t>
            </w:r>
            <w:r>
              <w:rPr>
                <w:rFonts w:ascii="宋体" w:hAnsi="宋体" w:cs="宋体" w:eastAsia="宋体" w:hint="default"/>
                <w:w w:val="100"/>
                <w:sz w:val="21"/>
                <w:szCs w:val="21"/>
              </w:rPr>
              <w:t>金的现</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31,004,615.52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21,928,728.84</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21,280,861.74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19,293,175.01</w:t>
            </w: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17,464,982.24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21,897,305.92</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276,712,454.95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204,302,306.16</w:t>
            </w: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30,700,578.99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49,407,606.28</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124"/>
              <w:jc w:val="right"/>
              <w:rPr>
                <w:rFonts w:ascii="宋体" w:hAnsi="宋体" w:cs="宋体" w:eastAsia="宋体" w:hint="default"/>
                <w:sz w:val="21"/>
                <w:szCs w:val="21"/>
              </w:rPr>
            </w:pPr>
            <w:r>
              <w:rPr>
                <w:rFonts w:ascii="宋体" w:hAnsi="宋体" w:cs="宋体" w:eastAsia="宋体" w:hint="default"/>
                <w:spacing w:val="-2"/>
                <w:sz w:val="21"/>
                <w:szCs w:val="21"/>
              </w:rPr>
              <w:t>取得投资收益所收到的现金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4"/>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形资</w:t>
            </w:r>
            <w:r>
              <w:rPr>
                <w:rFonts w:ascii="宋体" w:hAnsi="宋体" w:cs="宋体" w:eastAsia="宋体" w:hint="default"/>
                <w:w w:val="100"/>
                <w:sz w:val="21"/>
                <w:szCs w:val="21"/>
              </w:rPr>
              <w:t>产和其</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470,000.00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购</w:t>
            </w:r>
            <w:r>
              <w:rPr>
                <w:rFonts w:ascii="宋体" w:hAnsi="宋体" w:cs="宋体" w:eastAsia="宋体" w:hint="default"/>
                <w:w w:val="100"/>
                <w:sz w:val="21"/>
                <w:szCs w:val="21"/>
              </w:rPr>
              <w:t>建</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4"/>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形资</w:t>
            </w:r>
            <w:r>
              <w:rPr>
                <w:rFonts w:ascii="宋体" w:hAnsi="宋体" w:cs="宋体" w:eastAsia="宋体" w:hint="default"/>
                <w:w w:val="100"/>
                <w:sz w:val="21"/>
                <w:szCs w:val="21"/>
              </w:rPr>
              <w:t>产和其</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28,843,971.00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5,961,693.10</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79" w:top="1100" w:bottom="1160" w:left="980" w:right="980"/>
        </w:sectPr>
      </w:pPr>
    </w:p>
    <w:tbl>
      <w:tblPr>
        <w:tblW w:w="0" w:type="auto"/>
        <w:jc w:val="left"/>
        <w:tblInd w:w="119" w:type="dxa"/>
        <w:tblLayout w:type="fixed"/>
        <w:tblCellMar>
          <w:top w:w="0" w:type="dxa"/>
          <w:left w:w="0" w:type="dxa"/>
          <w:bottom w:w="0" w:type="dxa"/>
          <w:right w:w="0" w:type="dxa"/>
        </w:tblCellMar>
        <w:tblLook w:val="01E0"/>
      </w:tblPr>
      <w:tblGrid>
        <w:gridCol w:w="3093"/>
        <w:gridCol w:w="3314"/>
        <w:gridCol w:w="3301"/>
      </w:tblGrid>
      <w:tr>
        <w:trPr>
          <w:trHeight w:val="28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9"/>
              <w:jc w:val="right"/>
              <w:rPr>
                <w:rFonts w:ascii="宋体" w:hAnsi="宋体" w:cs="宋体" w:eastAsia="宋体" w:hint="default"/>
                <w:sz w:val="21"/>
                <w:szCs w:val="21"/>
              </w:rPr>
            </w:pPr>
            <w:r>
              <w:rPr>
                <w:rFonts w:ascii="宋体"/>
                <w:spacing w:val="-1"/>
                <w:sz w:val="21"/>
              </w:rPr>
              <w:t>28,843,971.00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5,961,693.10</w:t>
            </w: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9"/>
              <w:jc w:val="right"/>
              <w:rPr>
                <w:rFonts w:ascii="宋体" w:hAnsi="宋体" w:cs="宋体" w:eastAsia="宋体" w:hint="default"/>
                <w:sz w:val="21"/>
                <w:szCs w:val="21"/>
              </w:rPr>
            </w:pPr>
            <w:r>
              <w:rPr>
                <w:rFonts w:ascii="宋体"/>
                <w:spacing w:val="-1"/>
                <w:sz w:val="21"/>
              </w:rPr>
              <w:t>-28,373,971.00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-5,961,693.10</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9"/>
              <w:jc w:val="right"/>
              <w:rPr>
                <w:rFonts w:ascii="宋体" w:hAnsi="宋体" w:cs="宋体" w:eastAsia="宋体" w:hint="default"/>
                <w:sz w:val="21"/>
                <w:szCs w:val="21"/>
              </w:rPr>
            </w:pPr>
            <w:r>
              <w:rPr>
                <w:rFonts w:ascii="宋体"/>
                <w:spacing w:val="-1"/>
                <w:sz w:val="21"/>
              </w:rPr>
              <w:t>169,237,800.00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其</w:t>
            </w:r>
            <w:r>
              <w:rPr>
                <w:rFonts w:ascii="宋体" w:hAnsi="宋体" w:cs="宋体" w:eastAsia="宋体" w:hint="default"/>
                <w:w w:val="100"/>
                <w:sz w:val="21"/>
                <w:szCs w:val="21"/>
              </w:rPr>
              <w:t>中</w:t>
            </w:r>
            <w:r>
              <w:rPr>
                <w:rFonts w:ascii="宋体" w:hAnsi="宋体" w:cs="宋体" w:eastAsia="宋体" w:hint="default"/>
                <w:spacing w:val="-94"/>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吸</w:t>
            </w:r>
            <w:r>
              <w:rPr>
                <w:rFonts w:ascii="宋体" w:hAnsi="宋体" w:cs="宋体" w:eastAsia="宋体" w:hint="default"/>
                <w:w w:val="100"/>
                <w:sz w:val="21"/>
                <w:szCs w:val="21"/>
              </w:rPr>
              <w:t>收</w:t>
            </w:r>
            <w:r>
              <w:rPr>
                <w:rFonts w:ascii="宋体" w:hAnsi="宋体" w:cs="宋体" w:eastAsia="宋体" w:hint="default"/>
                <w:spacing w:val="-3"/>
                <w:w w:val="100"/>
                <w:sz w:val="21"/>
                <w:szCs w:val="21"/>
              </w:rPr>
              <w:t>少数</w:t>
            </w:r>
            <w:r>
              <w:rPr>
                <w:rFonts w:ascii="宋体" w:hAnsi="宋体" w:cs="宋体" w:eastAsia="宋体" w:hint="default"/>
                <w:w w:val="100"/>
                <w:sz w:val="21"/>
                <w:szCs w:val="21"/>
              </w:rPr>
              <w:t>股东投</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9"/>
              <w:jc w:val="right"/>
              <w:rPr>
                <w:rFonts w:ascii="宋体" w:hAnsi="宋体" w:cs="宋体" w:eastAsia="宋体" w:hint="default"/>
                <w:sz w:val="21"/>
                <w:szCs w:val="21"/>
              </w:rPr>
            </w:pPr>
            <w:r>
              <w:rPr>
                <w:rFonts w:ascii="宋体"/>
                <w:spacing w:val="-1"/>
                <w:sz w:val="21"/>
              </w:rPr>
              <w:t>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24,000,000.00</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9"/>
              <w:jc w:val="right"/>
              <w:rPr>
                <w:rFonts w:ascii="宋体" w:hAnsi="宋体" w:cs="宋体" w:eastAsia="宋体" w:hint="default"/>
                <w:sz w:val="21"/>
                <w:szCs w:val="21"/>
              </w:rPr>
            </w:pPr>
            <w:r>
              <w:rPr>
                <w:rFonts w:ascii="宋体"/>
                <w:spacing w:val="-1"/>
                <w:sz w:val="21"/>
              </w:rPr>
              <w:t>189,237,800.00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24,000,000.00</w:t>
            </w: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9"/>
              <w:jc w:val="right"/>
              <w:rPr>
                <w:rFonts w:ascii="宋体" w:hAnsi="宋体" w:cs="宋体" w:eastAsia="宋体" w:hint="default"/>
                <w:sz w:val="21"/>
                <w:szCs w:val="21"/>
              </w:rPr>
            </w:pPr>
            <w:r>
              <w:rPr>
                <w:rFonts w:ascii="宋体"/>
                <w:spacing w:val="-1"/>
                <w:sz w:val="21"/>
              </w:rPr>
              <w:t>29,000,000.00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19,700,000.00</w:t>
            </w: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r>
              <w:rPr>
                <w:rFonts w:ascii="宋体" w:hAnsi="宋体" w:cs="宋体" w:eastAsia="宋体" w:hint="default"/>
                <w:spacing w:val="-94"/>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或</w:t>
            </w:r>
            <w:r>
              <w:rPr>
                <w:rFonts w:ascii="宋体" w:hAnsi="宋体" w:cs="宋体" w:eastAsia="宋体" w:hint="default"/>
                <w:spacing w:val="-3"/>
                <w:w w:val="100"/>
                <w:sz w:val="21"/>
                <w:szCs w:val="21"/>
              </w:rPr>
              <w:t>偿付</w:t>
            </w:r>
            <w:r>
              <w:rPr>
                <w:rFonts w:ascii="宋体" w:hAnsi="宋体" w:cs="宋体" w:eastAsia="宋体" w:hint="default"/>
                <w:w w:val="100"/>
                <w:sz w:val="21"/>
                <w:szCs w:val="21"/>
              </w:rPr>
              <w:t>利息支</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15,185,480.20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1,200,850.00</w:t>
            </w:r>
          </w:p>
        </w:tc>
      </w:tr>
      <w:tr>
        <w:trPr>
          <w:trHeight w:val="557"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其</w:t>
            </w:r>
            <w:r>
              <w:rPr>
                <w:rFonts w:ascii="宋体" w:hAnsi="宋体" w:cs="宋体" w:eastAsia="宋体" w:hint="default"/>
                <w:w w:val="100"/>
                <w:sz w:val="21"/>
                <w:szCs w:val="21"/>
              </w:rPr>
              <w:t>中</w:t>
            </w:r>
            <w:r>
              <w:rPr>
                <w:rFonts w:ascii="宋体" w:hAnsi="宋体" w:cs="宋体" w:eastAsia="宋体" w:hint="default"/>
                <w:spacing w:val="-94"/>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给少</w:t>
            </w:r>
            <w:r>
              <w:rPr>
                <w:rFonts w:ascii="宋体" w:hAnsi="宋体" w:cs="宋体" w:eastAsia="宋体" w:hint="default"/>
                <w:w w:val="100"/>
                <w:sz w:val="21"/>
                <w:szCs w:val="21"/>
              </w:rPr>
              <w:t>数股东</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宋体" w:hAnsi="宋体" w:cs="宋体" w:eastAsia="宋体" w:hint="default"/>
                <w:sz w:val="21"/>
                <w:szCs w:val="21"/>
              </w:rPr>
            </w:pPr>
            <w:r>
              <w:rPr>
                <w:rFonts w:ascii="宋体"/>
                <w:spacing w:val="-1"/>
                <w:sz w:val="21"/>
              </w:rPr>
              <w:t>53,934,990.94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21"/>
                <w:szCs w:val="21"/>
              </w:rPr>
            </w:pPr>
            <w:r>
              <w:rPr>
                <w:rFonts w:ascii="宋体"/>
                <w:spacing w:val="-1"/>
                <w:sz w:val="21"/>
              </w:rPr>
              <w:t>98,120,471.14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21"/>
                <w:szCs w:val="21"/>
              </w:rPr>
            </w:pPr>
            <w:r>
              <w:rPr>
                <w:rFonts w:ascii="宋体"/>
                <w:spacing w:val="-1"/>
                <w:sz w:val="21"/>
              </w:rPr>
              <w:t>20,900,850.00</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9"/>
              <w:jc w:val="right"/>
              <w:rPr>
                <w:rFonts w:ascii="宋体" w:hAnsi="宋体" w:cs="宋体" w:eastAsia="宋体" w:hint="default"/>
                <w:sz w:val="21"/>
                <w:szCs w:val="21"/>
              </w:rPr>
            </w:pPr>
            <w:r>
              <w:rPr>
                <w:rFonts w:ascii="宋体"/>
                <w:spacing w:val="-1"/>
                <w:sz w:val="21"/>
              </w:rPr>
              <w:t>91,117,328.86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3,099,150.00</w:t>
            </w: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汇</w:t>
            </w:r>
            <w:r>
              <w:rPr>
                <w:rFonts w:ascii="宋体" w:hAnsi="宋体" w:cs="宋体" w:eastAsia="宋体" w:hint="default"/>
                <w:w w:val="100"/>
                <w:sz w:val="21"/>
                <w:szCs w:val="21"/>
              </w:rPr>
              <w:t>率</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对</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及</w:t>
            </w:r>
            <w:r>
              <w:rPr>
                <w:rFonts w:ascii="宋体" w:hAnsi="宋体" w:cs="宋体" w:eastAsia="宋体" w:hint="default"/>
                <w:spacing w:val="-3"/>
                <w:w w:val="100"/>
                <w:sz w:val="21"/>
                <w:szCs w:val="21"/>
              </w:rPr>
              <w:t>现金</w:t>
            </w:r>
            <w:r>
              <w:rPr>
                <w:rFonts w:ascii="宋体" w:hAnsi="宋体" w:cs="宋体" w:eastAsia="宋体" w:hint="default"/>
                <w:w w:val="100"/>
                <w:sz w:val="21"/>
                <w:szCs w:val="21"/>
              </w:rPr>
              <w:t>等价物</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-2,547.27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-56,645.77</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9"/>
              <w:jc w:val="right"/>
              <w:rPr>
                <w:rFonts w:ascii="宋体" w:hAnsi="宋体" w:cs="宋体" w:eastAsia="宋体" w:hint="default"/>
                <w:sz w:val="21"/>
                <w:szCs w:val="21"/>
              </w:rPr>
            </w:pPr>
            <w:r>
              <w:rPr>
                <w:rFonts w:ascii="宋体"/>
                <w:spacing w:val="-1"/>
                <w:sz w:val="21"/>
              </w:rPr>
              <w:t>93,441,389.58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46,488,417.41</w:t>
            </w:r>
          </w:p>
        </w:tc>
      </w:tr>
      <w:tr>
        <w:trPr>
          <w:trHeight w:val="554"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加</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及</w:t>
            </w:r>
            <w:r>
              <w:rPr>
                <w:rFonts w:ascii="宋体" w:hAnsi="宋体" w:cs="宋体" w:eastAsia="宋体" w:hint="default"/>
                <w:w w:val="100"/>
                <w:sz w:val="21"/>
                <w:szCs w:val="21"/>
              </w:rPr>
              <w:t>现</w:t>
            </w:r>
            <w:r>
              <w:rPr>
                <w:rFonts w:ascii="宋体" w:hAnsi="宋体" w:cs="宋体" w:eastAsia="宋体" w:hint="default"/>
                <w:spacing w:val="-3"/>
                <w:w w:val="100"/>
                <w:sz w:val="21"/>
                <w:szCs w:val="21"/>
              </w:rPr>
              <w:t>金等</w:t>
            </w:r>
            <w:r>
              <w:rPr>
                <w:rFonts w:ascii="宋体" w:hAnsi="宋体" w:cs="宋体" w:eastAsia="宋体" w:hint="default"/>
                <w:w w:val="100"/>
                <w:sz w:val="21"/>
                <w:szCs w:val="21"/>
              </w:rPr>
              <w:t>价物余</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宋体" w:hAnsi="宋体" w:cs="宋体" w:eastAsia="宋体" w:hint="default"/>
                <w:sz w:val="21"/>
                <w:szCs w:val="21"/>
              </w:rPr>
            </w:pPr>
            <w:r>
              <w:rPr>
                <w:rFonts w:ascii="宋体"/>
                <w:spacing w:val="-1"/>
                <w:sz w:val="21"/>
              </w:rPr>
              <w:t>121,681,553.01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75,193,135.60</w:t>
            </w:r>
          </w:p>
        </w:tc>
      </w:tr>
      <w:tr>
        <w:trPr>
          <w:trHeight w:val="283" w:hRule="exact"/>
        </w:trPr>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9"/>
              <w:jc w:val="right"/>
              <w:rPr>
                <w:rFonts w:ascii="宋体" w:hAnsi="宋体" w:cs="宋体" w:eastAsia="宋体" w:hint="default"/>
                <w:sz w:val="21"/>
                <w:szCs w:val="21"/>
              </w:rPr>
            </w:pPr>
            <w:r>
              <w:rPr>
                <w:rFonts w:ascii="宋体"/>
                <w:spacing w:val="-1"/>
                <w:sz w:val="21"/>
              </w:rPr>
              <w:t>215,122,942.59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121,681,553.01</w:t>
            </w:r>
          </w:p>
        </w:tc>
      </w:tr>
    </w:tbl>
    <w:p>
      <w:pPr>
        <w:spacing w:line="240" w:lineRule="auto" w:before="2"/>
        <w:rPr>
          <w:rFonts w:ascii="Times New Roman" w:hAnsi="Times New Roman" w:cs="Times New Roman" w:eastAsia="Times New Roman" w:hint="default"/>
          <w:sz w:val="19"/>
          <w:szCs w:val="19"/>
        </w:rPr>
      </w:pPr>
    </w:p>
    <w:p>
      <w:pPr>
        <w:tabs>
          <w:tab w:pos="3204" w:val="left" w:leader="none"/>
          <w:tab w:pos="7200" w:val="left" w:leader="none"/>
        </w:tabs>
        <w:spacing w:before="36"/>
        <w:ind w:left="152" w:right="142"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w:t>
      </w:r>
      <w:r>
        <w:rPr>
          <w:rFonts w:ascii="宋体" w:hAnsi="宋体" w:cs="宋体" w:eastAsia="宋体" w:hint="default"/>
          <w:spacing w:val="-1"/>
          <w:sz w:val="21"/>
          <w:szCs w:val="21"/>
        </w:rPr>
        <w:t>付永全</w:t>
        <w:tab/>
      </w:r>
      <w:r>
        <w:rPr>
          <w:rFonts w:ascii="宋体" w:hAnsi="宋体" w:cs="宋体" w:eastAsia="宋体" w:hint="default"/>
          <w:b/>
          <w:bCs/>
          <w:spacing w:val="-1"/>
          <w:sz w:val="21"/>
          <w:szCs w:val="21"/>
        </w:rPr>
        <w:t>主管会计工作负责人：</w:t>
      </w:r>
      <w:r>
        <w:rPr>
          <w:rFonts w:ascii="宋体" w:hAnsi="宋体" w:cs="宋体" w:eastAsia="宋体" w:hint="default"/>
          <w:spacing w:val="-1"/>
          <w:sz w:val="21"/>
          <w:szCs w:val="21"/>
        </w:rPr>
        <w:t>冯丽</w:t>
        <w:tab/>
      </w:r>
      <w:r>
        <w:rPr>
          <w:rFonts w:ascii="宋体" w:hAnsi="宋体" w:cs="宋体" w:eastAsia="宋体" w:hint="default"/>
          <w:b/>
          <w:bCs/>
          <w:spacing w:val="-1"/>
          <w:sz w:val="21"/>
          <w:szCs w:val="21"/>
        </w:rPr>
        <w:t>会计机构负责人：</w:t>
      </w:r>
      <w:r>
        <w:rPr>
          <w:rFonts w:ascii="宋体" w:hAnsi="宋体" w:cs="宋体" w:eastAsia="宋体" w:hint="default"/>
          <w:spacing w:val="-1"/>
          <w:sz w:val="21"/>
          <w:szCs w:val="21"/>
        </w:rPr>
        <w:t>汤淼云</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right="142"/>
        <w:jc w:val="left"/>
        <w:rPr>
          <w:b w:val="0"/>
          <w:bCs w:val="0"/>
        </w:rPr>
      </w:pPr>
      <w:r>
        <w:rPr>
          <w:rFonts w:ascii="宋体" w:hAnsi="宋体" w:cs="宋体" w:eastAsia="宋体" w:hint="default"/>
        </w:rPr>
        <w:t>6</w:t>
      </w:r>
      <w:r>
        <w:rPr/>
        <w:t>、母公司现金流量表</w:t>
      </w:r>
      <w:r>
        <w:rPr>
          <w:b w:val="0"/>
          <w:bCs w:val="0"/>
        </w:rPr>
      </w:r>
    </w:p>
    <w:p>
      <w:pPr>
        <w:spacing w:line="240" w:lineRule="auto" w:before="1"/>
        <w:rPr>
          <w:rFonts w:ascii="宋体" w:hAnsi="宋体" w:cs="宋体" w:eastAsia="宋体" w:hint="default"/>
          <w:b/>
          <w:bCs/>
          <w:sz w:val="11"/>
          <w:szCs w:val="11"/>
        </w:rPr>
      </w:pPr>
    </w:p>
    <w:p>
      <w:pPr>
        <w:pStyle w:val="BodyText"/>
        <w:spacing w:line="273" w:lineRule="exact" w:before="36"/>
        <w:ind w:right="142"/>
        <w:jc w:val="left"/>
      </w:pPr>
      <w:r>
        <w:rPr/>
        <w:t>编制单位：荣科科技股份有限公司</w:t>
      </w:r>
    </w:p>
    <w:p>
      <w:pPr>
        <w:pStyle w:val="BodyText"/>
        <w:spacing w:line="273" w:lineRule="exact"/>
        <w:ind w:left="0" w:right="359"/>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2942"/>
        <w:gridCol w:w="3314"/>
        <w:gridCol w:w="3301"/>
      </w:tblGrid>
      <w:tr>
        <w:trPr>
          <w:trHeight w:val="28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26"/>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286,662,177.09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233,158,032.20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2,182,827.21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1,394,603.36</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40,263,412.70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6,375,244.32</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329,108,417.00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240,927,879.88</w:t>
            </w:r>
          </w:p>
        </w:tc>
      </w:tr>
      <w:tr>
        <w:trPr>
          <w:trHeight w:val="55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197,572,746.05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138,022,619.18</w:t>
            </w:r>
          </w:p>
        </w:tc>
      </w:tr>
    </w:tbl>
    <w:p>
      <w:pPr>
        <w:spacing w:after="0" w:line="240" w:lineRule="auto"/>
        <w:jc w:val="right"/>
        <w:rPr>
          <w:rFonts w:ascii="宋体" w:hAnsi="宋体" w:cs="宋体" w:eastAsia="宋体" w:hint="default"/>
          <w:sz w:val="21"/>
          <w:szCs w:val="21"/>
        </w:rPr>
        <w:sectPr>
          <w:headerReference w:type="default" r:id="rId37"/>
          <w:pgSz w:w="11910" w:h="16840"/>
          <w:pgMar w:header="566" w:footer="979" w:top="1440" w:bottom="1160" w:left="980" w:right="980"/>
        </w:sectPr>
      </w:pPr>
    </w:p>
    <w:tbl>
      <w:tblPr>
        <w:tblW w:w="0" w:type="auto"/>
        <w:jc w:val="left"/>
        <w:tblInd w:w="196" w:type="dxa"/>
        <w:tblLayout w:type="fixed"/>
        <w:tblCellMar>
          <w:top w:w="0" w:type="dxa"/>
          <w:left w:w="0" w:type="dxa"/>
          <w:bottom w:w="0" w:type="dxa"/>
          <w:right w:w="0" w:type="dxa"/>
        </w:tblCellMar>
        <w:tblLook w:val="01E0"/>
      </w:tblPr>
      <w:tblGrid>
        <w:gridCol w:w="2942"/>
        <w:gridCol w:w="3314"/>
        <w:gridCol w:w="3301"/>
      </w:tblGrid>
      <w:tr>
        <w:trPr>
          <w:trHeight w:val="55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28,599,390.02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20,864,483.68</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20,365,596.57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19,093,036.87</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38,108,340.61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30,035,377.34</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284,646,073.25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208,015,517.07</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44,462,343.75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32,912,362.81</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26"/>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宋体" w:hAnsi="宋体" w:cs="宋体" w:eastAsia="宋体" w:hint="default"/>
                <w:sz w:val="21"/>
                <w:szCs w:val="21"/>
              </w:rPr>
            </w:pPr>
            <w:r>
              <w:rPr>
                <w:rFonts w:ascii="宋体"/>
                <w:spacing w:val="-1"/>
                <w:sz w:val="21"/>
              </w:rPr>
              <w:t>470,000.00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470,000.00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宋体" w:hAnsi="宋体" w:cs="宋体" w:eastAsia="宋体" w:hint="default"/>
                <w:sz w:val="21"/>
                <w:szCs w:val="21"/>
              </w:rPr>
            </w:pPr>
            <w:r>
              <w:rPr>
                <w:rFonts w:ascii="宋体"/>
                <w:spacing w:val="-1"/>
                <w:sz w:val="21"/>
              </w:rPr>
              <w:t>20,445,160.00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宋体" w:hAnsi="宋体" w:cs="宋体" w:eastAsia="宋体" w:hint="default"/>
                <w:sz w:val="21"/>
                <w:szCs w:val="21"/>
              </w:rPr>
            </w:pPr>
            <w:r>
              <w:rPr>
                <w:rFonts w:ascii="宋体"/>
                <w:spacing w:val="-1"/>
                <w:sz w:val="21"/>
              </w:rPr>
              <w:t>352,534.24</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1,000,000.00</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45,445,160.00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1,352,534.24</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-44,975,160.00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-1,352,534.24</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26"/>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169,237,800.00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24,000,000.00</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189,237,800.00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24,000,000.00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21,000,000.00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19,700,000.00</w:t>
            </w:r>
          </w:p>
        </w:tc>
      </w:tr>
      <w:tr>
        <w:trPr>
          <w:trHeight w:val="55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宋体" w:hAnsi="宋体" w:cs="宋体" w:eastAsia="宋体" w:hint="default"/>
                <w:sz w:val="21"/>
                <w:szCs w:val="21"/>
              </w:rPr>
            </w:pPr>
            <w:r>
              <w:rPr>
                <w:rFonts w:ascii="宋体"/>
                <w:spacing w:val="-1"/>
                <w:sz w:val="21"/>
              </w:rPr>
              <w:t>14,514,472.76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宋体" w:hAnsi="宋体" w:cs="宋体" w:eastAsia="宋体" w:hint="default"/>
                <w:sz w:val="21"/>
                <w:szCs w:val="21"/>
              </w:rPr>
            </w:pPr>
            <w:r>
              <w:rPr>
                <w:rFonts w:ascii="宋体"/>
                <w:spacing w:val="-1"/>
                <w:sz w:val="21"/>
              </w:rPr>
              <w:t>474,091.20</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53,934,990.94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89,449,463.70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20,174,091.20</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99,788,336.30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3,825,908.80</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物的影响</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z w:val="21"/>
              </w:rPr>
              <w:t>78.30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-1,903.96</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99,275,598.35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
              <w:jc w:val="right"/>
              <w:rPr>
                <w:rFonts w:ascii="宋体" w:hAnsi="宋体" w:cs="宋体" w:eastAsia="宋体" w:hint="default"/>
                <w:sz w:val="21"/>
                <w:szCs w:val="21"/>
              </w:rPr>
            </w:pPr>
            <w:r>
              <w:rPr>
                <w:rFonts w:ascii="宋体"/>
                <w:spacing w:val="-1"/>
                <w:sz w:val="21"/>
              </w:rPr>
              <w:t>35,383,833.41</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102,105,142.19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21"/>
                <w:szCs w:val="21"/>
              </w:rPr>
            </w:pPr>
            <w:r>
              <w:rPr>
                <w:rFonts w:ascii="宋体"/>
                <w:spacing w:val="-1"/>
                <w:sz w:val="21"/>
              </w:rPr>
              <w:t>66,721,308.78</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201,380,740.54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
              <w:jc w:val="right"/>
              <w:rPr>
                <w:rFonts w:ascii="宋体" w:hAnsi="宋体" w:cs="宋体" w:eastAsia="宋体" w:hint="default"/>
                <w:sz w:val="21"/>
                <w:szCs w:val="21"/>
              </w:rPr>
            </w:pPr>
            <w:r>
              <w:rPr>
                <w:rFonts w:ascii="宋体"/>
                <w:spacing w:val="-1"/>
                <w:sz w:val="21"/>
              </w:rPr>
              <w:t>102,105,142.19</w:t>
            </w:r>
          </w:p>
        </w:tc>
      </w:tr>
    </w:tbl>
    <w:p>
      <w:pPr>
        <w:spacing w:line="240" w:lineRule="auto" w:before="11"/>
        <w:rPr>
          <w:rFonts w:ascii="宋体" w:hAnsi="宋体" w:cs="宋体" w:eastAsia="宋体" w:hint="default"/>
          <w:sz w:val="16"/>
          <w:szCs w:val="16"/>
        </w:rPr>
      </w:pPr>
    </w:p>
    <w:p>
      <w:pPr>
        <w:tabs>
          <w:tab w:pos="3204" w:val="left" w:leader="none"/>
          <w:tab w:pos="7200" w:val="left" w:leader="none"/>
        </w:tabs>
        <w:spacing w:before="36"/>
        <w:ind w:left="152" w:right="142"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w:t>
      </w:r>
      <w:r>
        <w:rPr>
          <w:rFonts w:ascii="宋体" w:hAnsi="宋体" w:cs="宋体" w:eastAsia="宋体" w:hint="default"/>
          <w:spacing w:val="-1"/>
          <w:sz w:val="21"/>
          <w:szCs w:val="21"/>
        </w:rPr>
        <w:t>付永全</w:t>
        <w:tab/>
      </w:r>
      <w:r>
        <w:rPr>
          <w:rFonts w:ascii="宋体" w:hAnsi="宋体" w:cs="宋体" w:eastAsia="宋体" w:hint="default"/>
          <w:b/>
          <w:bCs/>
          <w:spacing w:val="-1"/>
          <w:sz w:val="21"/>
          <w:szCs w:val="21"/>
        </w:rPr>
        <w:t>主管会计工作负责人：</w:t>
      </w:r>
      <w:r>
        <w:rPr>
          <w:rFonts w:ascii="宋体" w:hAnsi="宋体" w:cs="宋体" w:eastAsia="宋体" w:hint="default"/>
          <w:spacing w:val="-1"/>
          <w:sz w:val="21"/>
          <w:szCs w:val="21"/>
        </w:rPr>
        <w:t>冯丽</w:t>
        <w:tab/>
      </w:r>
      <w:r>
        <w:rPr>
          <w:rFonts w:ascii="宋体" w:hAnsi="宋体" w:cs="宋体" w:eastAsia="宋体" w:hint="default"/>
          <w:b/>
          <w:bCs/>
          <w:spacing w:val="-1"/>
          <w:sz w:val="21"/>
          <w:szCs w:val="21"/>
        </w:rPr>
        <w:t>会计机构负责人：</w:t>
      </w:r>
      <w:r>
        <w:rPr>
          <w:rFonts w:ascii="宋体" w:hAnsi="宋体" w:cs="宋体" w:eastAsia="宋体" w:hint="default"/>
          <w:spacing w:val="-1"/>
          <w:sz w:val="21"/>
          <w:szCs w:val="21"/>
        </w:rPr>
        <w:t>汤淼云</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566" w:footer="979" w:top="1440" w:bottom="1160" w:left="980" w:right="980"/>
        </w:sectPr>
      </w:pPr>
    </w:p>
    <w:p>
      <w:pPr>
        <w:spacing w:line="240" w:lineRule="auto" w:before="0"/>
        <w:rPr>
          <w:rFonts w:ascii="宋体" w:hAnsi="宋体" w:cs="宋体" w:eastAsia="宋体" w:hint="default"/>
          <w:sz w:val="20"/>
          <w:szCs w:val="20"/>
        </w:rPr>
      </w:pPr>
      <w:r>
        <w:rPr/>
        <w:pict>
          <v:group style="position:absolute;margin-left:70.199997pt;margin-top:28.300007pt;width:701.65pt;height:40.15pt;mso-position-horizontal-relative:page;mso-position-vertical-relative:page;z-index:-648472" coordorigin="1404,566" coordsize="14033,803">
            <v:group style="position:absolute;left:1411;top:1152;width:14019;height:2" coordorigin="1411,1152" coordsize="14019,2">
              <v:shape style="position:absolute;left:1411;top:1152;width:14019;height:2" coordorigin="1411,1152" coordsize="14019,0" path="m1411,1152l15430,1152e" filled="false" stroked="true" strokeweight=".72pt" strokecolor="#000000">
                <v:path arrowok="t"/>
              </v:shape>
              <v:shape style="position:absolute;left:1446;top:566;width:2160;height:803" type="#_x0000_t75" stroked="false">
                <v:imagedata r:id="rId7" o:title=""/>
              </v:shape>
            </v:group>
            <w10:wrap type="none"/>
          </v:group>
        </w:pict>
      </w:r>
    </w:p>
    <w:p>
      <w:pPr>
        <w:spacing w:line="240" w:lineRule="auto" w:before="7"/>
        <w:rPr>
          <w:rFonts w:ascii="宋体" w:hAnsi="宋体" w:cs="宋体" w:eastAsia="宋体" w:hint="default"/>
          <w:sz w:val="24"/>
          <w:szCs w:val="24"/>
        </w:rPr>
      </w:pPr>
    </w:p>
    <w:p>
      <w:pPr>
        <w:spacing w:line="398" w:lineRule="auto" w:before="36"/>
        <w:ind w:left="680" w:right="9153"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b/>
          <w:bCs/>
          <w:w w:val="100"/>
          <w:sz w:val="21"/>
          <w:szCs w:val="21"/>
        </w:rPr>
        <w:t> </w:t>
      </w:r>
      <w:r>
        <w:rPr>
          <w:rFonts w:ascii="宋体" w:hAnsi="宋体" w:cs="宋体" w:eastAsia="宋体" w:hint="default"/>
          <w:spacing w:val="-2"/>
          <w:sz w:val="21"/>
          <w:szCs w:val="21"/>
        </w:rPr>
        <w:t>编制单位：荣科科技股份有限公司</w:t>
      </w:r>
    </w:p>
    <w:p>
      <w:pPr>
        <w:pStyle w:val="BodyText"/>
        <w:spacing w:line="274" w:lineRule="exact" w:before="131"/>
        <w:ind w:left="680" w:right="9153"/>
        <w:jc w:val="left"/>
      </w:pPr>
      <w:r>
        <w:rPr/>
        <w:t>本期金额</w:t>
      </w:r>
    </w:p>
    <w:p>
      <w:pPr>
        <w:pStyle w:val="BodyText"/>
        <w:spacing w:line="274" w:lineRule="exact"/>
        <w:ind w:left="0" w:right="713"/>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501"/>
        <w:gridCol w:w="1599"/>
        <w:gridCol w:w="1574"/>
        <w:gridCol w:w="1087"/>
        <w:gridCol w:w="946"/>
        <w:gridCol w:w="1500"/>
        <w:gridCol w:w="686"/>
        <w:gridCol w:w="1561"/>
        <w:gridCol w:w="588"/>
        <w:gridCol w:w="1414"/>
        <w:gridCol w:w="1632"/>
      </w:tblGrid>
      <w:tr>
        <w:trPr>
          <w:trHeight w:val="283" w:hRule="exact"/>
        </w:trPr>
        <w:tc>
          <w:tcPr>
            <w:tcW w:w="2501" w:type="dxa"/>
            <w:vMerge w:val="restart"/>
            <w:tcBorders>
              <w:top w:val="single" w:sz="4" w:space="0" w:color="000000"/>
              <w:left w:val="single" w:sz="4" w:space="0" w:color="000000"/>
              <w:right w:val="single" w:sz="4" w:space="0" w:color="000000"/>
            </w:tcBorders>
            <w:shd w:val="clear" w:color="auto" w:fill="D2D2D2"/>
          </w:tcPr>
          <w:p>
            <w:pPr/>
          </w:p>
        </w:tc>
        <w:tc>
          <w:tcPr>
            <w:tcW w:w="1258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42" w:hRule="exact"/>
        </w:trPr>
        <w:tc>
          <w:tcPr>
            <w:tcW w:w="2501" w:type="dxa"/>
            <w:vMerge/>
            <w:tcBorders>
              <w:left w:val="single" w:sz="4" w:space="0" w:color="000000"/>
              <w:bottom w:val="nil" w:sz="6" w:space="0" w:color="auto"/>
              <w:right w:val="single" w:sz="4" w:space="0" w:color="000000"/>
            </w:tcBorders>
            <w:shd w:val="clear" w:color="auto" w:fill="D2D2D2"/>
          </w:tcPr>
          <w:p>
            <w:pPr/>
          </w:p>
        </w:tc>
        <w:tc>
          <w:tcPr>
            <w:tcW w:w="9542"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14" w:type="dxa"/>
            <w:vMerge w:val="restart"/>
            <w:tcBorders>
              <w:top w:val="single" w:sz="4" w:space="0" w:color="000000"/>
              <w:left w:val="single" w:sz="4" w:space="0" w:color="000000"/>
              <w:right w:val="single" w:sz="4" w:space="0" w:color="000000"/>
            </w:tcBorders>
            <w:shd w:val="clear" w:color="auto" w:fill="D2D2D2"/>
          </w:tcPr>
          <w:p>
            <w:pPr/>
          </w:p>
        </w:tc>
        <w:tc>
          <w:tcPr>
            <w:tcW w:w="1632" w:type="dxa"/>
            <w:vMerge w:val="restart"/>
            <w:tcBorders>
              <w:top w:val="single" w:sz="4" w:space="0" w:color="000000"/>
              <w:left w:val="single" w:sz="4" w:space="0" w:color="000000"/>
              <w:right w:val="single" w:sz="4" w:space="0" w:color="000000"/>
            </w:tcBorders>
            <w:shd w:val="clear" w:color="auto" w:fill="D2D2D2"/>
          </w:tcPr>
          <w:p>
            <w:pPr/>
          </w:p>
        </w:tc>
      </w:tr>
      <w:tr>
        <w:trPr>
          <w:trHeight w:val="134" w:hRule="exact"/>
        </w:trPr>
        <w:tc>
          <w:tcPr>
            <w:tcW w:w="2501"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542" w:type="dxa"/>
            <w:gridSpan w:val="8"/>
            <w:vMerge/>
            <w:tcBorders>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nil" w:sz="6" w:space="0" w:color="auto"/>
              <w:right w:val="single" w:sz="4" w:space="0" w:color="000000"/>
            </w:tcBorders>
            <w:shd w:val="clear" w:color="auto" w:fill="D2D2D2"/>
          </w:tcPr>
          <w:p>
            <w:pPr/>
          </w:p>
        </w:tc>
        <w:tc>
          <w:tcPr>
            <w:tcW w:w="1632" w:type="dxa"/>
            <w:vMerge/>
            <w:tcBorders>
              <w:left w:val="single" w:sz="4" w:space="0" w:color="000000"/>
              <w:bottom w:val="nil" w:sz="6" w:space="0" w:color="auto"/>
              <w:right w:val="single" w:sz="4" w:space="0" w:color="000000"/>
            </w:tcBorders>
            <w:shd w:val="clear" w:color="auto" w:fill="D2D2D2"/>
          </w:tcPr>
          <w:p>
            <w:pPr/>
          </w:p>
        </w:tc>
      </w:tr>
      <w:tr>
        <w:trPr>
          <w:trHeight w:val="142" w:hRule="exact"/>
        </w:trPr>
        <w:tc>
          <w:tcPr>
            <w:tcW w:w="2501" w:type="dxa"/>
            <w:vMerge/>
            <w:tcBorders>
              <w:left w:val="single" w:sz="4" w:space="0" w:color="000000"/>
              <w:bottom w:val="nil" w:sz="6" w:space="0" w:color="auto"/>
              <w:right w:val="single" w:sz="4" w:space="0" w:color="000000"/>
            </w:tcBorders>
            <w:shd w:val="clear" w:color="auto" w:fill="D2D2D2"/>
          </w:tcPr>
          <w:p>
            <w:pP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13" w:right="0"/>
              <w:jc w:val="center"/>
              <w:rPr>
                <w:rFonts w:ascii="宋体" w:hAnsi="宋体" w:cs="宋体" w:eastAsia="宋体" w:hint="default"/>
                <w:sz w:val="21"/>
                <w:szCs w:val="21"/>
              </w:rPr>
            </w:pPr>
            <w:r>
              <w:rPr>
                <w:rFonts w:ascii="宋体" w:hAnsi="宋体" w:cs="宋体" w:eastAsia="宋体" w:hint="default"/>
                <w:sz w:val="21"/>
                <w:szCs w:val="21"/>
              </w:rPr>
              <w:t>实收资本（或股</w:t>
            </w:r>
          </w:p>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5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24"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4" w:type="dxa"/>
            <w:vMerge w:val="restart"/>
            <w:tcBorders>
              <w:top w:val="nil" w:sz="6" w:space="0" w:color="auto"/>
              <w:left w:val="single" w:sz="10" w:space="0" w:color="D2D2D2"/>
              <w:right w:val="single" w:sz="10" w:space="0" w:color="D2D2D2"/>
            </w:tcBorders>
          </w:tcPr>
          <w:p>
            <w:pPr>
              <w:pStyle w:val="TableParagraph"/>
              <w:spacing w:line="246" w:lineRule="exact"/>
              <w:ind w:left="6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少数股东权益</w:t>
            </w:r>
            <w:r>
              <w:rPr>
                <w:rFonts w:ascii="宋体" w:hAnsi="宋体" w:cs="宋体" w:eastAsia="宋体" w:hint="default"/>
                <w:sz w:val="21"/>
                <w:szCs w:val="21"/>
              </w:rPr>
            </w:r>
          </w:p>
        </w:tc>
        <w:tc>
          <w:tcPr>
            <w:tcW w:w="1632" w:type="dxa"/>
            <w:vMerge w:val="restart"/>
            <w:tcBorders>
              <w:top w:val="nil" w:sz="6" w:space="0" w:color="auto"/>
              <w:left w:val="single" w:sz="10" w:space="0" w:color="D2D2D2"/>
              <w:right w:val="single" w:sz="13" w:space="0" w:color="D2D2D2"/>
            </w:tcBorders>
          </w:tcPr>
          <w:p>
            <w:pPr>
              <w:pStyle w:val="TableParagraph"/>
              <w:spacing w:line="246" w:lineRule="exact"/>
              <w:ind w:left="6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所有者权益合计</w:t>
            </w:r>
            <w:r>
              <w:rPr>
                <w:rFonts w:ascii="宋体" w:hAnsi="宋体" w:cs="宋体" w:eastAsia="宋体" w:hint="default"/>
                <w:sz w:val="21"/>
                <w:szCs w:val="21"/>
              </w:rPr>
            </w:r>
          </w:p>
        </w:tc>
      </w:tr>
      <w:tr>
        <w:trPr>
          <w:trHeight w:val="134" w:hRule="exact"/>
        </w:trPr>
        <w:tc>
          <w:tcPr>
            <w:tcW w:w="2501" w:type="dxa"/>
            <w:vMerge w:val="restart"/>
            <w:tcBorders>
              <w:top w:val="nil" w:sz="6" w:space="0" w:color="auto"/>
              <w:left w:val="single" w:sz="4" w:space="0" w:color="000000"/>
              <w:right w:val="single" w:sz="4" w:space="0" w:color="000000"/>
            </w:tcBorders>
            <w:shd w:val="clear" w:color="auto" w:fill="D2D2D2"/>
          </w:tcPr>
          <w:p>
            <w:pPr/>
          </w:p>
        </w:tc>
        <w:tc>
          <w:tcPr>
            <w:tcW w:w="1599" w:type="dxa"/>
            <w:vMerge/>
            <w:tcBorders>
              <w:left w:val="single" w:sz="4" w:space="0" w:color="000000"/>
              <w:right w:val="single" w:sz="4" w:space="0" w:color="000000"/>
            </w:tcBorders>
            <w:shd w:val="clear" w:color="auto" w:fill="D2D2D2"/>
          </w:tcPr>
          <w:p>
            <w:pPr/>
          </w:p>
        </w:tc>
        <w:tc>
          <w:tcPr>
            <w:tcW w:w="1574"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减：库存股</w:t>
            </w: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4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00"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86" w:type="dxa"/>
            <w:vMerge/>
            <w:tcBorders>
              <w:left w:val="single" w:sz="4" w:space="0" w:color="000000"/>
              <w:right w:val="single" w:sz="4" w:space="0" w:color="000000"/>
            </w:tcBorders>
            <w:shd w:val="clear" w:color="auto" w:fill="D2D2D2"/>
          </w:tcPr>
          <w:p>
            <w:pPr/>
          </w:p>
        </w:tc>
        <w:tc>
          <w:tcPr>
            <w:tcW w:w="1561"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88"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vMerge/>
            <w:tcBorders>
              <w:left w:val="single" w:sz="10" w:space="0" w:color="D2D2D2"/>
              <w:bottom w:val="nil" w:sz="6" w:space="0" w:color="auto"/>
              <w:right w:val="single" w:sz="10" w:space="0" w:color="D2D2D2"/>
            </w:tcBorders>
          </w:tcPr>
          <w:p>
            <w:pPr/>
          </w:p>
        </w:tc>
        <w:tc>
          <w:tcPr>
            <w:tcW w:w="1632" w:type="dxa"/>
            <w:vMerge/>
            <w:tcBorders>
              <w:left w:val="single" w:sz="10" w:space="0" w:color="D2D2D2"/>
              <w:bottom w:val="nil" w:sz="6" w:space="0" w:color="auto"/>
              <w:right w:val="single" w:sz="13" w:space="0" w:color="D2D2D2"/>
            </w:tcBorders>
          </w:tcPr>
          <w:p>
            <w:pPr/>
          </w:p>
        </w:tc>
      </w:tr>
      <w:tr>
        <w:trPr>
          <w:trHeight w:val="281" w:hRule="exact"/>
        </w:trPr>
        <w:tc>
          <w:tcPr>
            <w:tcW w:w="250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74"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1500"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51,000,000.00</w:t>
            </w:r>
          </w:p>
        </w:tc>
        <w:tc>
          <w:tcPr>
            <w:tcW w:w="1574" w:type="dxa"/>
            <w:tcBorders>
              <w:top w:val="single" w:sz="58" w:space="0" w:color="D2D2D2"/>
              <w:left w:val="single" w:sz="4" w:space="0" w:color="000000"/>
              <w:bottom w:val="single" w:sz="4" w:space="0" w:color="000000"/>
              <w:right w:val="single" w:sz="4" w:space="0" w:color="000000"/>
            </w:tcBorders>
          </w:tcPr>
          <w:p>
            <w:pPr>
              <w:pStyle w:val="TableParagraph"/>
              <w:spacing w:line="176" w:lineRule="exact"/>
              <w:ind w:right="17"/>
              <w:jc w:val="right"/>
              <w:rPr>
                <w:rFonts w:ascii="宋体" w:hAnsi="宋体" w:cs="宋体" w:eastAsia="宋体" w:hint="default"/>
                <w:sz w:val="21"/>
                <w:szCs w:val="21"/>
              </w:rPr>
            </w:pPr>
            <w:r>
              <w:rPr>
                <w:rFonts w:ascii="宋体"/>
                <w:spacing w:val="-1"/>
                <w:sz w:val="21"/>
              </w:rPr>
              <w:t>19,404,281.42</w:t>
            </w:r>
          </w:p>
        </w:tc>
        <w:tc>
          <w:tcPr>
            <w:tcW w:w="1087" w:type="dxa"/>
            <w:tcBorders>
              <w:top w:val="single" w:sz="58" w:space="0" w:color="D2D2D2"/>
              <w:left w:val="single" w:sz="4" w:space="0" w:color="000000"/>
              <w:bottom w:val="single" w:sz="4" w:space="0" w:color="000000"/>
              <w:right w:val="single" w:sz="4" w:space="0" w:color="000000"/>
            </w:tcBorders>
          </w:tcPr>
          <w:p>
            <w:pPr/>
          </w:p>
        </w:tc>
        <w:tc>
          <w:tcPr>
            <w:tcW w:w="946" w:type="dxa"/>
            <w:tcBorders>
              <w:top w:val="single" w:sz="58" w:space="0" w:color="D2D2D2"/>
              <w:left w:val="single" w:sz="4" w:space="0" w:color="000000"/>
              <w:bottom w:val="single" w:sz="4" w:space="0" w:color="000000"/>
              <w:right w:val="single" w:sz="4" w:space="0" w:color="000000"/>
            </w:tcBorders>
          </w:tcPr>
          <w:p>
            <w:pPr/>
          </w:p>
        </w:tc>
        <w:tc>
          <w:tcPr>
            <w:tcW w:w="1500" w:type="dxa"/>
            <w:tcBorders>
              <w:top w:val="single" w:sz="58" w:space="0" w:color="D2D2D2"/>
              <w:left w:val="single" w:sz="4" w:space="0" w:color="000000"/>
              <w:bottom w:val="single" w:sz="4" w:space="0" w:color="000000"/>
              <w:right w:val="single" w:sz="4" w:space="0" w:color="000000"/>
            </w:tcBorders>
          </w:tcPr>
          <w:p>
            <w:pPr>
              <w:pStyle w:val="TableParagraph"/>
              <w:spacing w:line="176" w:lineRule="exact"/>
              <w:ind w:right="17"/>
              <w:jc w:val="right"/>
              <w:rPr>
                <w:rFonts w:ascii="宋体" w:hAnsi="宋体" w:cs="宋体" w:eastAsia="宋体" w:hint="default"/>
                <w:sz w:val="21"/>
                <w:szCs w:val="21"/>
              </w:rPr>
            </w:pPr>
            <w:r>
              <w:rPr>
                <w:rFonts w:ascii="宋体"/>
                <w:spacing w:val="-1"/>
                <w:sz w:val="21"/>
              </w:rPr>
              <w:t>7,369,788.96</w:t>
            </w: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58" w:space="0" w:color="D2D2D2"/>
              <w:left w:val="single" w:sz="4" w:space="0" w:color="000000"/>
              <w:bottom w:val="single" w:sz="4" w:space="0" w:color="000000"/>
              <w:right w:val="single" w:sz="4" w:space="0" w:color="000000"/>
            </w:tcBorders>
          </w:tcPr>
          <w:p>
            <w:pPr>
              <w:pStyle w:val="TableParagraph"/>
              <w:spacing w:line="176" w:lineRule="exact"/>
              <w:ind w:left="138" w:right="0"/>
              <w:jc w:val="center"/>
              <w:rPr>
                <w:rFonts w:ascii="宋体" w:hAnsi="宋体" w:cs="宋体" w:eastAsia="宋体" w:hint="default"/>
                <w:sz w:val="21"/>
                <w:szCs w:val="21"/>
              </w:rPr>
            </w:pPr>
            <w:r>
              <w:rPr>
                <w:rFonts w:ascii="宋体"/>
                <w:sz w:val="21"/>
              </w:rPr>
              <w:t>66,922,695.76</w:t>
            </w:r>
          </w:p>
        </w:tc>
        <w:tc>
          <w:tcPr>
            <w:tcW w:w="588" w:type="dxa"/>
            <w:tcBorders>
              <w:top w:val="single" w:sz="58" w:space="0" w:color="D2D2D2"/>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1,528,777.68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146,225,543.82</w:t>
            </w: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362"/>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51,000,000.00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19,404,281.42</w:t>
            </w: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7,369,788.96</w:t>
            </w: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66,922,695.76</w:t>
            </w: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1,528,777.68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146,225,543.82</w:t>
            </w:r>
          </w:p>
        </w:tc>
      </w:tr>
      <w:tr>
        <w:trPr>
          <w:trHeight w:val="555"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pacing w:val="-6"/>
                <w:sz w:val="21"/>
                <w:szCs w:val="21"/>
              </w:rPr>
              <w:t>三、本期增减变动金额（减</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17,000,000.00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145,580,800.00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5,010,241.02</w:t>
            </w: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center"/>
              <w:rPr>
                <w:rFonts w:ascii="宋体" w:hAnsi="宋体" w:cs="宋体" w:eastAsia="宋体" w:hint="default"/>
                <w:sz w:val="21"/>
                <w:szCs w:val="21"/>
              </w:rPr>
            </w:pPr>
            <w:r>
              <w:rPr>
                <w:rFonts w:ascii="宋体"/>
                <w:sz w:val="21"/>
              </w:rPr>
              <w:t>31,252,100.23</w:t>
            </w: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-63,445.57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198,779,695.68</w:t>
            </w: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49,862,341.25</w:t>
            </w: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-63,445.57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49,798,895.68</w:t>
            </w: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49,862,341.25</w:t>
            </w: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-63,445.57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49,798,895.68</w:t>
            </w:r>
          </w:p>
        </w:tc>
      </w:tr>
      <w:tr>
        <w:trPr>
          <w:trHeight w:val="554"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pacing w:val="-6"/>
                <w:sz w:val="21"/>
                <w:szCs w:val="21"/>
              </w:rPr>
              <w:t>（三）所有者投入和减少资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17,000,000.00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145,580,800.00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162,580,800.00</w:t>
            </w: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17,000,000.00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145,580,800.00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162,580,800.00</w:t>
            </w:r>
          </w:p>
        </w:tc>
      </w:tr>
      <w:tr>
        <w:trPr>
          <w:trHeight w:val="557"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．股份支付计入所有者权</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5,010,241.02</w:t>
            </w: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-18,610,241.02</w:t>
            </w: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-13,600,000.00</w:t>
            </w: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5,010,241.02</w:t>
            </w: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-5,010,241.02</w:t>
            </w: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．对所有者（或股东）的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sz w:val="21"/>
              </w:rPr>
              <w:t>-13,600,000.00</w:t>
            </w: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-13,600,000.00</w:t>
            </w: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6840" w:h="11910" w:orient="landscape"/>
          <w:pgMar w:header="884" w:footer="980" w:top="1100" w:bottom="1160" w:left="760" w:right="720"/>
          <w:pgNumType w:start="55"/>
        </w:sectPr>
      </w:pPr>
    </w:p>
    <w:p>
      <w:pPr>
        <w:spacing w:line="240" w:lineRule="auto" w:before="7"/>
        <w:rPr>
          <w:rFonts w:ascii="宋体" w:hAnsi="宋体" w:cs="宋体" w:eastAsia="宋体" w:hint="default"/>
          <w:sz w:val="2"/>
          <w:szCs w:val="2"/>
        </w:rPr>
      </w:pPr>
      <w:r>
        <w:rPr/>
        <w:pict>
          <v:group style="position:absolute;margin-left:72.300003pt;margin-top:28.300007pt;width:175.35pt;height:44.35pt;mso-position-horizontal-relative:page;mso-position-vertical-relative:page;z-index:-648448" coordorigin="1446,566" coordsize="3507,887">
            <v:shape style="position:absolute;left:1446;top:566;width:2160;height:803" type="#_x0000_t75" stroked="false">
              <v:imagedata r:id="rId7" o:title=""/>
            </v:shape>
            <v:group style="position:absolute;left:3411;top:1169;width:2;height:272" coordorigin="3411,1169" coordsize="2,272">
              <v:shape style="position:absolute;left:3411;top:1169;width:2;height:272" coordorigin="3411,1169" coordsize="0,272" path="m3411,1169l3411,1440e" filled="false" stroked="true" strokeweight="1.2pt" strokecolor="#ffffff">
                <v:path arrowok="t"/>
              </v:shape>
            </v:group>
            <v:group style="position:absolute;left:3423;top:1169;width:1530;height:272" coordorigin="3423,1169" coordsize="1530,272">
              <v:shape style="position:absolute;left:3423;top:1169;width:1530;height:272" coordorigin="3423,1169" coordsize="1530,272" path="m3423,1440l4952,1440,4952,1169,3423,1169,3423,1440xe" filled="true" fillcolor="#ffffff" stroked="false">
                <v:path arrowok="t"/>
                <v:fill type="solid"/>
              </v:shape>
            </v:group>
            <w10:wrap type="none"/>
          </v:group>
        </w:pict>
      </w:r>
    </w:p>
    <w:tbl>
      <w:tblPr>
        <w:tblW w:w="0" w:type="auto"/>
        <w:jc w:val="left"/>
        <w:tblInd w:w="156" w:type="dxa"/>
        <w:tblLayout w:type="fixed"/>
        <w:tblCellMar>
          <w:top w:w="0" w:type="dxa"/>
          <w:left w:w="0" w:type="dxa"/>
          <w:bottom w:w="0" w:type="dxa"/>
          <w:right w:w="0" w:type="dxa"/>
        </w:tblCellMar>
        <w:tblLook w:val="01E0"/>
      </w:tblPr>
      <w:tblGrid>
        <w:gridCol w:w="2513"/>
        <w:gridCol w:w="1587"/>
        <w:gridCol w:w="1574"/>
        <w:gridCol w:w="1087"/>
        <w:gridCol w:w="946"/>
        <w:gridCol w:w="1500"/>
        <w:gridCol w:w="686"/>
        <w:gridCol w:w="1561"/>
        <w:gridCol w:w="588"/>
        <w:gridCol w:w="1414"/>
        <w:gridCol w:w="1632"/>
      </w:tblGrid>
      <w:tr>
        <w:trPr>
          <w:trHeight w:val="293" w:hRule="exact"/>
        </w:trPr>
        <w:tc>
          <w:tcPr>
            <w:tcW w:w="251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12" w:right="0"/>
              <w:jc w:val="left"/>
              <w:rPr>
                <w:rFonts w:ascii="宋体" w:hAnsi="宋体" w:cs="宋体" w:eastAsia="宋体" w:hint="default"/>
                <w:sz w:val="21"/>
                <w:szCs w:val="21"/>
              </w:rPr>
            </w:pPr>
            <w:r>
              <w:rPr>
                <w:rFonts w:ascii="宋体" w:hAnsi="宋体" w:cs="宋体" w:eastAsia="宋体" w:hint="default"/>
                <w:spacing w:val="-6"/>
                <w:sz w:val="21"/>
                <w:szCs w:val="21"/>
              </w:rPr>
              <w:t>（五）所有者权益内部结转</w:t>
            </w:r>
          </w:p>
        </w:tc>
        <w:tc>
          <w:tcPr>
            <w:tcW w:w="1587" w:type="dxa"/>
            <w:tcBorders>
              <w:top w:val="single" w:sz="10" w:space="0" w:color="000000"/>
              <w:left w:val="single" w:sz="4" w:space="0" w:color="000000"/>
              <w:bottom w:val="single" w:sz="4" w:space="0" w:color="000000"/>
              <w:right w:val="single" w:sz="4" w:space="0" w:color="000000"/>
            </w:tcBorders>
          </w:tcPr>
          <w:p>
            <w:pPr/>
          </w:p>
        </w:tc>
        <w:tc>
          <w:tcPr>
            <w:tcW w:w="1574" w:type="dxa"/>
            <w:tcBorders>
              <w:top w:val="single" w:sz="10" w:space="0" w:color="000000"/>
              <w:left w:val="single" w:sz="4" w:space="0" w:color="000000"/>
              <w:bottom w:val="single" w:sz="4" w:space="0" w:color="000000"/>
              <w:right w:val="single" w:sz="4" w:space="0" w:color="000000"/>
            </w:tcBorders>
          </w:tcPr>
          <w:p>
            <w:pPr/>
          </w:p>
        </w:tc>
        <w:tc>
          <w:tcPr>
            <w:tcW w:w="1087" w:type="dxa"/>
            <w:tcBorders>
              <w:top w:val="single" w:sz="10" w:space="0" w:color="000000"/>
              <w:left w:val="single" w:sz="4" w:space="0" w:color="000000"/>
              <w:bottom w:val="single" w:sz="4" w:space="0" w:color="000000"/>
              <w:right w:val="single" w:sz="4" w:space="0" w:color="000000"/>
            </w:tcBorders>
          </w:tcPr>
          <w:p>
            <w:pPr/>
          </w:p>
        </w:tc>
        <w:tc>
          <w:tcPr>
            <w:tcW w:w="946" w:type="dxa"/>
            <w:tcBorders>
              <w:top w:val="single" w:sz="10" w:space="0" w:color="000000"/>
              <w:left w:val="single" w:sz="4" w:space="0" w:color="000000"/>
              <w:bottom w:val="single" w:sz="4" w:space="0" w:color="000000"/>
              <w:right w:val="single" w:sz="4" w:space="0" w:color="000000"/>
            </w:tcBorders>
          </w:tcPr>
          <w:p>
            <w:pPr/>
          </w:p>
        </w:tc>
        <w:tc>
          <w:tcPr>
            <w:tcW w:w="1500" w:type="dxa"/>
            <w:tcBorders>
              <w:top w:val="single" w:sz="10" w:space="0" w:color="000000"/>
              <w:left w:val="single" w:sz="4" w:space="0" w:color="000000"/>
              <w:bottom w:val="single" w:sz="4" w:space="0" w:color="000000"/>
              <w:right w:val="single" w:sz="4" w:space="0" w:color="000000"/>
            </w:tcBorders>
          </w:tcPr>
          <w:p>
            <w:pPr/>
          </w:p>
        </w:tc>
        <w:tc>
          <w:tcPr>
            <w:tcW w:w="686" w:type="dxa"/>
            <w:tcBorders>
              <w:top w:val="single" w:sz="10" w:space="0" w:color="000000"/>
              <w:left w:val="single" w:sz="4" w:space="0" w:color="000000"/>
              <w:bottom w:val="single" w:sz="4" w:space="0" w:color="000000"/>
              <w:right w:val="single" w:sz="4" w:space="0" w:color="000000"/>
            </w:tcBorders>
          </w:tcPr>
          <w:p>
            <w:pPr/>
          </w:p>
        </w:tc>
        <w:tc>
          <w:tcPr>
            <w:tcW w:w="1561" w:type="dxa"/>
            <w:tcBorders>
              <w:top w:val="single" w:sz="10" w:space="0" w:color="000000"/>
              <w:left w:val="single" w:sz="4" w:space="0" w:color="000000"/>
              <w:bottom w:val="single" w:sz="4" w:space="0" w:color="000000"/>
              <w:right w:val="single" w:sz="4" w:space="0" w:color="000000"/>
            </w:tcBorders>
          </w:tcPr>
          <w:p>
            <w:pPr/>
          </w:p>
        </w:tc>
        <w:tc>
          <w:tcPr>
            <w:tcW w:w="588" w:type="dxa"/>
            <w:tcBorders>
              <w:top w:val="single" w:sz="10" w:space="0" w:color="000000"/>
              <w:left w:val="single" w:sz="4" w:space="0" w:color="000000"/>
              <w:bottom w:val="single" w:sz="4" w:space="0" w:color="000000"/>
              <w:right w:val="single" w:sz="4" w:space="0" w:color="000000"/>
            </w:tcBorders>
          </w:tcPr>
          <w:p>
            <w:pPr/>
          </w:p>
        </w:tc>
        <w:tc>
          <w:tcPr>
            <w:tcW w:w="1414" w:type="dxa"/>
            <w:tcBorders>
              <w:top w:val="single" w:sz="10" w:space="0" w:color="000000"/>
              <w:left w:val="single" w:sz="4" w:space="0" w:color="000000"/>
              <w:bottom w:val="single" w:sz="4" w:space="0" w:color="000000"/>
              <w:right w:val="single" w:sz="4" w:space="0" w:color="000000"/>
            </w:tcBorders>
          </w:tcPr>
          <w:p>
            <w:pPr/>
          </w:p>
        </w:tc>
        <w:tc>
          <w:tcPr>
            <w:tcW w:w="1632"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．资本公积转增资本（或</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．盈余公积转增资本（或</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9" w:right="0"/>
              <w:jc w:val="left"/>
              <w:rPr>
                <w:rFonts w:ascii="宋体" w:hAnsi="宋体" w:cs="宋体" w:eastAsia="宋体" w:hint="default"/>
                <w:sz w:val="21"/>
                <w:szCs w:val="21"/>
              </w:rPr>
            </w:pPr>
            <w:r>
              <w:rPr>
                <w:rFonts w:ascii="宋体"/>
                <w:sz w:val="21"/>
              </w:rPr>
              <w:t>68,000,000.00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 w:right="0"/>
              <w:jc w:val="left"/>
              <w:rPr>
                <w:rFonts w:ascii="宋体" w:hAnsi="宋体" w:cs="宋体" w:eastAsia="宋体" w:hint="default"/>
                <w:sz w:val="21"/>
                <w:szCs w:val="21"/>
              </w:rPr>
            </w:pPr>
            <w:r>
              <w:rPr>
                <w:rFonts w:ascii="宋体"/>
                <w:sz w:val="21"/>
              </w:rPr>
              <w:t>164,985,081.42</w:t>
            </w:r>
          </w:p>
        </w:tc>
        <w:tc>
          <w:tcPr>
            <w:tcW w:w="108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12,380,029.98</w:t>
            </w:r>
          </w:p>
        </w:tc>
        <w:tc>
          <w:tcPr>
            <w:tcW w:w="6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sz w:val="21"/>
              </w:rPr>
              <w:t>98,174,795.99</w:t>
            </w:r>
          </w:p>
        </w:tc>
        <w:tc>
          <w:tcPr>
            <w:tcW w:w="58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sz w:val="21"/>
              </w:rPr>
              <w:t>1,465,332.11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0"/>
              <w:jc w:val="left"/>
              <w:rPr>
                <w:rFonts w:ascii="宋体" w:hAnsi="宋体" w:cs="宋体" w:eastAsia="宋体" w:hint="default"/>
                <w:sz w:val="21"/>
                <w:szCs w:val="21"/>
              </w:rPr>
            </w:pPr>
            <w:r>
              <w:rPr>
                <w:rFonts w:ascii="宋体"/>
                <w:sz w:val="21"/>
              </w:rPr>
              <w:t>345,005,239.50</w:t>
            </w:r>
          </w:p>
        </w:tc>
      </w:tr>
    </w:tbl>
    <w:p>
      <w:pPr>
        <w:spacing w:line="240" w:lineRule="auto" w:before="7"/>
        <w:rPr>
          <w:rFonts w:ascii="宋体" w:hAnsi="宋体" w:cs="宋体" w:eastAsia="宋体" w:hint="default"/>
          <w:sz w:val="15"/>
          <w:szCs w:val="15"/>
        </w:rPr>
      </w:pPr>
    </w:p>
    <w:p>
      <w:pPr>
        <w:pStyle w:val="BodyText"/>
        <w:spacing w:line="273" w:lineRule="exact" w:before="36"/>
        <w:ind w:left="720" w:right="0"/>
        <w:jc w:val="left"/>
      </w:pPr>
      <w:r>
        <w:rPr/>
        <w:t>上年金额</w:t>
      </w:r>
    </w:p>
    <w:p>
      <w:pPr>
        <w:pStyle w:val="BodyText"/>
        <w:spacing w:line="273" w:lineRule="exact"/>
        <w:ind w:left="0" w:right="753"/>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90"/>
        <w:gridCol w:w="1840"/>
        <w:gridCol w:w="235"/>
        <w:gridCol w:w="1392"/>
        <w:gridCol w:w="1008"/>
        <w:gridCol w:w="946"/>
        <w:gridCol w:w="1462"/>
        <w:gridCol w:w="686"/>
        <w:gridCol w:w="1625"/>
        <w:gridCol w:w="490"/>
        <w:gridCol w:w="1414"/>
        <w:gridCol w:w="1601"/>
      </w:tblGrid>
      <w:tr>
        <w:trPr>
          <w:trHeight w:val="281" w:hRule="exact"/>
        </w:trPr>
        <w:tc>
          <w:tcPr>
            <w:tcW w:w="2490" w:type="dxa"/>
            <w:vMerge w:val="restart"/>
            <w:tcBorders>
              <w:top w:val="single" w:sz="4" w:space="0" w:color="000000"/>
              <w:left w:val="single" w:sz="4" w:space="0" w:color="000000"/>
              <w:right w:val="single" w:sz="4" w:space="0" w:color="000000"/>
            </w:tcBorders>
            <w:shd w:val="clear" w:color="auto" w:fill="D2D2D2"/>
          </w:tcPr>
          <w:p>
            <w:pPr/>
          </w:p>
        </w:tc>
        <w:tc>
          <w:tcPr>
            <w:tcW w:w="1269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2" w:hRule="exact"/>
        </w:trPr>
        <w:tc>
          <w:tcPr>
            <w:tcW w:w="2490" w:type="dxa"/>
            <w:vMerge/>
            <w:tcBorders>
              <w:left w:val="single" w:sz="4" w:space="0" w:color="000000"/>
              <w:bottom w:val="nil" w:sz="6" w:space="0" w:color="auto"/>
              <w:right w:val="single" w:sz="4" w:space="0" w:color="000000"/>
            </w:tcBorders>
            <w:shd w:val="clear" w:color="auto" w:fill="D2D2D2"/>
          </w:tcPr>
          <w:p>
            <w:pPr/>
          </w:p>
        </w:tc>
        <w:tc>
          <w:tcPr>
            <w:tcW w:w="9684" w:type="dxa"/>
            <w:gridSpan w:val="9"/>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14" w:type="dxa"/>
            <w:vMerge w:val="restart"/>
            <w:tcBorders>
              <w:top w:val="single" w:sz="4" w:space="0" w:color="000000"/>
              <w:left w:val="single" w:sz="4" w:space="0" w:color="000000"/>
              <w:right w:val="single" w:sz="4" w:space="0" w:color="000000"/>
            </w:tcBorders>
            <w:shd w:val="clear" w:color="auto" w:fill="D2D2D2"/>
          </w:tcPr>
          <w:p>
            <w:pPr/>
          </w:p>
        </w:tc>
        <w:tc>
          <w:tcPr>
            <w:tcW w:w="1601" w:type="dxa"/>
            <w:vMerge w:val="restart"/>
            <w:tcBorders>
              <w:top w:val="single" w:sz="4" w:space="0" w:color="000000"/>
              <w:left w:val="single" w:sz="4" w:space="0" w:color="000000"/>
              <w:right w:val="single" w:sz="4" w:space="0" w:color="000000"/>
            </w:tcBorders>
            <w:shd w:val="clear" w:color="auto" w:fill="D2D2D2"/>
          </w:tcPr>
          <w:p>
            <w:pPr/>
          </w:p>
        </w:tc>
      </w:tr>
      <w:tr>
        <w:trPr>
          <w:trHeight w:val="142" w:hRule="exact"/>
        </w:trPr>
        <w:tc>
          <w:tcPr>
            <w:tcW w:w="2490"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684" w:type="dxa"/>
            <w:gridSpan w:val="9"/>
            <w:vMerge/>
            <w:tcBorders>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nil" w:sz="6" w:space="0" w:color="auto"/>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142" w:hRule="exact"/>
        </w:trPr>
        <w:tc>
          <w:tcPr>
            <w:tcW w:w="2490" w:type="dxa"/>
            <w:vMerge/>
            <w:tcBorders>
              <w:left w:val="single" w:sz="4" w:space="0" w:color="000000"/>
              <w:bottom w:val="nil" w:sz="6" w:space="0" w:color="auto"/>
              <w:right w:val="single" w:sz="4" w:space="0" w:color="000000"/>
            </w:tcBorders>
            <w:shd w:val="clear" w:color="auto" w:fill="D2D2D2"/>
          </w:tcPr>
          <w:p>
            <w:pPr/>
          </w:p>
        </w:tc>
        <w:tc>
          <w:tcPr>
            <w:tcW w:w="1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4" w:type="dxa"/>
            <w:vMerge w:val="restart"/>
            <w:tcBorders>
              <w:top w:val="nil" w:sz="6" w:space="0" w:color="auto"/>
              <w:left w:val="single" w:sz="10" w:space="0" w:color="D2D2D2"/>
              <w:right w:val="single" w:sz="23" w:space="0" w:color="D2D2D2"/>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少数股东权益</w:t>
            </w:r>
            <w:r>
              <w:rPr>
                <w:rFonts w:ascii="宋体" w:hAnsi="宋体" w:cs="宋体" w:eastAsia="宋体" w:hint="default"/>
                <w:sz w:val="21"/>
                <w:szCs w:val="21"/>
              </w:rPr>
            </w:r>
          </w:p>
        </w:tc>
        <w:tc>
          <w:tcPr>
            <w:tcW w:w="1601" w:type="dxa"/>
            <w:vMerge w:val="restart"/>
            <w:tcBorders>
              <w:top w:val="nil" w:sz="6" w:space="0" w:color="auto"/>
              <w:left w:val="single" w:sz="23" w:space="0" w:color="D2D2D2"/>
              <w:right w:val="single" w:sz="12" w:space="0" w:color="D2D2D2"/>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所有者权益合计</w:t>
            </w:r>
            <w:r>
              <w:rPr>
                <w:rFonts w:ascii="宋体" w:hAnsi="宋体" w:cs="宋体" w:eastAsia="宋体" w:hint="default"/>
                <w:sz w:val="21"/>
                <w:szCs w:val="21"/>
              </w:rPr>
            </w:r>
          </w:p>
        </w:tc>
      </w:tr>
      <w:tr>
        <w:trPr>
          <w:trHeight w:val="130" w:hRule="exact"/>
        </w:trPr>
        <w:tc>
          <w:tcPr>
            <w:tcW w:w="2490" w:type="dxa"/>
            <w:vMerge w:val="restart"/>
            <w:tcBorders>
              <w:top w:val="nil" w:sz="6" w:space="0" w:color="auto"/>
              <w:left w:val="single" w:sz="4" w:space="0" w:color="000000"/>
              <w:right w:val="single" w:sz="4" w:space="0" w:color="000000"/>
            </w:tcBorders>
            <w:shd w:val="clear" w:color="auto" w:fill="D2D2D2"/>
          </w:tcPr>
          <w:p>
            <w:pPr/>
          </w:p>
        </w:tc>
        <w:tc>
          <w:tcPr>
            <w:tcW w:w="1840"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34" w:right="0"/>
              <w:jc w:val="left"/>
              <w:rPr>
                <w:rFonts w:ascii="宋体" w:hAnsi="宋体" w:cs="宋体" w:eastAsia="宋体" w:hint="default"/>
                <w:sz w:val="21"/>
                <w:szCs w:val="21"/>
              </w:rPr>
            </w:pPr>
            <w:r>
              <w:rPr>
                <w:rFonts w:ascii="宋体" w:hAnsi="宋体" w:cs="宋体" w:eastAsia="宋体" w:hint="default"/>
                <w:spacing w:val="-3"/>
                <w:sz w:val="21"/>
                <w:szCs w:val="21"/>
              </w:rPr>
              <w:t>实收资本（或股本</w:t>
            </w:r>
          </w:p>
        </w:tc>
        <w:tc>
          <w:tcPr>
            <w:tcW w:w="235" w:type="dxa"/>
            <w:vMerge w:val="restart"/>
            <w:tcBorders>
              <w:top w:val="nil" w:sz="6" w:space="0" w:color="auto"/>
              <w:left w:val="single" w:sz="4" w:space="0" w:color="000000"/>
              <w:right w:val="nil" w:sz="6" w:space="0" w:color="auto"/>
            </w:tcBorders>
            <w:shd w:val="clear" w:color="auto" w:fill="D2D2D2"/>
          </w:tcPr>
          <w:p>
            <w:pPr>
              <w:pStyle w:val="TableParagraph"/>
              <w:spacing w:line="241" w:lineRule="exact"/>
              <w:ind w:left="-13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392" w:type="dxa"/>
            <w:vMerge w:val="restart"/>
            <w:tcBorders>
              <w:top w:val="nil" w:sz="6" w:space="0" w:color="auto"/>
              <w:left w:val="nil" w:sz="6" w:space="0" w:color="auto"/>
              <w:right w:val="single" w:sz="4" w:space="0" w:color="000000"/>
            </w:tcBorders>
            <w:shd w:val="clear" w:color="auto" w:fill="D2D2D2"/>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库</w:t>
            </w:r>
            <w:r>
              <w:rPr>
                <w:rFonts w:ascii="宋体" w:hAnsi="宋体" w:cs="宋体" w:eastAsia="宋体" w:hint="default"/>
                <w:w w:val="100"/>
                <w:sz w:val="21"/>
                <w:szCs w:val="21"/>
              </w:rPr>
              <w:t>存股</w:t>
            </w: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4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86" w:type="dxa"/>
            <w:vMerge/>
            <w:tcBorders>
              <w:left w:val="single" w:sz="4" w:space="0" w:color="000000"/>
              <w:right w:val="single" w:sz="4" w:space="0" w:color="000000"/>
            </w:tcBorders>
            <w:shd w:val="clear" w:color="auto" w:fill="D2D2D2"/>
          </w:tcPr>
          <w:p>
            <w:pPr/>
          </w:p>
        </w:tc>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vMerge/>
            <w:tcBorders>
              <w:left w:val="single" w:sz="10" w:space="0" w:color="D2D2D2"/>
              <w:bottom w:val="nil" w:sz="6" w:space="0" w:color="auto"/>
              <w:right w:val="single" w:sz="23" w:space="0" w:color="D2D2D2"/>
            </w:tcBorders>
          </w:tcPr>
          <w:p>
            <w:pPr/>
          </w:p>
        </w:tc>
        <w:tc>
          <w:tcPr>
            <w:tcW w:w="1601" w:type="dxa"/>
            <w:vMerge/>
            <w:tcBorders>
              <w:left w:val="single" w:sz="23" w:space="0" w:color="D2D2D2"/>
              <w:bottom w:val="nil" w:sz="6" w:space="0" w:color="auto"/>
              <w:right w:val="single" w:sz="12" w:space="0" w:color="D2D2D2"/>
            </w:tcBorders>
          </w:tcPr>
          <w:p>
            <w:pPr/>
          </w:p>
        </w:tc>
      </w:tr>
      <w:tr>
        <w:trPr>
          <w:trHeight w:val="142" w:hRule="exact"/>
        </w:trPr>
        <w:tc>
          <w:tcPr>
            <w:tcW w:w="2490" w:type="dxa"/>
            <w:vMerge/>
            <w:tcBorders>
              <w:left w:val="single" w:sz="4" w:space="0" w:color="000000"/>
              <w:right w:val="single" w:sz="4" w:space="0" w:color="000000"/>
            </w:tcBorders>
            <w:shd w:val="clear" w:color="auto" w:fill="D2D2D2"/>
          </w:tcPr>
          <w:p>
            <w:pPr/>
          </w:p>
        </w:tc>
        <w:tc>
          <w:tcPr>
            <w:tcW w:w="1840"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bottom w:val="nil" w:sz="6" w:space="0" w:color="auto"/>
              <w:right w:val="nil" w:sz="6" w:space="0" w:color="auto"/>
            </w:tcBorders>
            <w:shd w:val="clear" w:color="auto" w:fill="D2D2D2"/>
          </w:tcPr>
          <w:p>
            <w:pPr/>
          </w:p>
        </w:tc>
        <w:tc>
          <w:tcPr>
            <w:tcW w:w="1392" w:type="dxa"/>
            <w:vMerge/>
            <w:tcBorders>
              <w:left w:val="nil" w:sz="6" w:space="0" w:color="auto"/>
              <w:bottom w:val="nil" w:sz="6" w:space="0" w:color="auto"/>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146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1625"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nil" w:sz="6" w:space="0" w:color="auto"/>
              <w:left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
        </w:tc>
      </w:tr>
      <w:tr>
        <w:trPr>
          <w:trHeight w:val="142" w:hRule="exact"/>
        </w:trPr>
        <w:tc>
          <w:tcPr>
            <w:tcW w:w="2490" w:type="dxa"/>
            <w:vMerge/>
            <w:tcBorders>
              <w:left w:val="single" w:sz="4" w:space="0" w:color="000000"/>
              <w:bottom w:val="single" w:sz="4" w:space="0" w:color="000000"/>
              <w:right w:val="single" w:sz="4" w:space="0" w:color="000000"/>
            </w:tcBorders>
            <w:shd w:val="clear" w:color="auto" w:fill="D2D2D2"/>
          </w:tcPr>
          <w:p>
            <w:pPr/>
          </w:p>
        </w:tc>
        <w:tc>
          <w:tcPr>
            <w:tcW w:w="1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1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840"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51,000,000.00</w:t>
            </w:r>
          </w:p>
        </w:tc>
        <w:tc>
          <w:tcPr>
            <w:tcW w:w="1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sz w:val="21"/>
              </w:rPr>
              <w:t>19,404,281.42</w:t>
            </w: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2,936,578.65</w:t>
            </w: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26,486,883.44</w:t>
            </w: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1,547,899.39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101,375,642.90</w:t>
            </w:r>
          </w:p>
        </w:tc>
      </w:tr>
      <w:tr>
        <w:trPr>
          <w:trHeight w:val="554"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8"/>
                <w:sz w:val="21"/>
                <w:szCs w:val="21"/>
              </w:rPr>
              <w:t>加：同一控制下企业合</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并产生的追溯调整</w:t>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351"/>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840"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51,000,000.00</w:t>
            </w:r>
          </w:p>
        </w:tc>
        <w:tc>
          <w:tcPr>
            <w:tcW w:w="1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sz w:val="21"/>
              </w:rPr>
              <w:t>19,404,281.42</w:t>
            </w: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2,936,578.65</w:t>
            </w: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26,486,883.44</w:t>
            </w: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1,547,899.39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101,375,642.90</w:t>
            </w:r>
          </w:p>
        </w:tc>
      </w:tr>
      <w:tr>
        <w:trPr>
          <w:trHeight w:val="555"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pacing w:val="-7"/>
                <w:sz w:val="21"/>
                <w:szCs w:val="21"/>
              </w:rPr>
              <w:t>三、本期增减变动金额（减</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4,433,210.31</w:t>
            </w: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40,435,812.32</w:t>
            </w: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-19,121.71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44,849,900.92</w:t>
            </w:r>
          </w:p>
        </w:tc>
      </w:tr>
      <w:tr>
        <w:trPr>
          <w:trHeight w:val="28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44,869,022.63</w:t>
            </w: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-19,121.71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44,849,900.92</w:t>
            </w:r>
          </w:p>
        </w:tc>
      </w:tr>
      <w:tr>
        <w:trPr>
          <w:trHeight w:val="28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44,869,022.63</w:t>
            </w: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-19,121.71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44,849,900.92</w:t>
            </w:r>
          </w:p>
        </w:tc>
      </w:tr>
      <w:tr>
        <w:trPr>
          <w:trHeight w:val="557"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7"/>
                <w:sz w:val="21"/>
                <w:szCs w:val="21"/>
              </w:rPr>
              <w:t>（三）所有者投入和减少资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840" w:type="dxa"/>
            <w:tcBorders>
              <w:top w:val="single" w:sz="4" w:space="0" w:color="000000"/>
              <w:left w:val="single" w:sz="9" w:space="0" w:color="D2D2D2"/>
              <w:bottom w:val="single" w:sz="4" w:space="0" w:color="000000"/>
              <w:right w:val="single" w:sz="4" w:space="0" w:color="000000"/>
            </w:tcBorders>
          </w:tcPr>
          <w:p>
            <w:pPr/>
          </w:p>
        </w:tc>
        <w:tc>
          <w:tcPr>
            <w:tcW w:w="1627"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980" w:top="1100" w:bottom="1160" w:left="720" w:right="680"/>
        </w:sectPr>
      </w:pP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513"/>
        <w:gridCol w:w="1829"/>
        <w:gridCol w:w="1627"/>
        <w:gridCol w:w="1008"/>
        <w:gridCol w:w="946"/>
        <w:gridCol w:w="1462"/>
        <w:gridCol w:w="686"/>
        <w:gridCol w:w="1625"/>
        <w:gridCol w:w="490"/>
        <w:gridCol w:w="1414"/>
        <w:gridCol w:w="1601"/>
      </w:tblGrid>
      <w:tr>
        <w:trPr>
          <w:trHeight w:val="567" w:hRule="exact"/>
        </w:trPr>
        <w:tc>
          <w:tcPr>
            <w:tcW w:w="251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．股份支付计入所有者权</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1829" w:type="dxa"/>
            <w:tcBorders>
              <w:top w:val="single" w:sz="10" w:space="0" w:color="000000"/>
              <w:left w:val="single" w:sz="4" w:space="0" w:color="000000"/>
              <w:bottom w:val="single" w:sz="4" w:space="0" w:color="000000"/>
              <w:right w:val="single" w:sz="4" w:space="0" w:color="000000"/>
            </w:tcBorders>
          </w:tcPr>
          <w:p>
            <w:pPr/>
          </w:p>
        </w:tc>
        <w:tc>
          <w:tcPr>
            <w:tcW w:w="1627" w:type="dxa"/>
            <w:tcBorders>
              <w:top w:val="single" w:sz="10" w:space="0" w:color="000000"/>
              <w:left w:val="single" w:sz="4" w:space="0" w:color="000000"/>
              <w:bottom w:val="single" w:sz="4" w:space="0" w:color="000000"/>
              <w:right w:val="single" w:sz="4" w:space="0" w:color="000000"/>
            </w:tcBorders>
          </w:tcPr>
          <w:p>
            <w:pPr/>
          </w:p>
        </w:tc>
        <w:tc>
          <w:tcPr>
            <w:tcW w:w="1008" w:type="dxa"/>
            <w:tcBorders>
              <w:top w:val="single" w:sz="10" w:space="0" w:color="000000"/>
              <w:left w:val="single" w:sz="4" w:space="0" w:color="000000"/>
              <w:bottom w:val="single" w:sz="4" w:space="0" w:color="000000"/>
              <w:right w:val="single" w:sz="4" w:space="0" w:color="000000"/>
            </w:tcBorders>
          </w:tcPr>
          <w:p>
            <w:pPr/>
          </w:p>
        </w:tc>
        <w:tc>
          <w:tcPr>
            <w:tcW w:w="946" w:type="dxa"/>
            <w:tcBorders>
              <w:top w:val="single" w:sz="10" w:space="0" w:color="000000"/>
              <w:left w:val="single" w:sz="4" w:space="0" w:color="000000"/>
              <w:bottom w:val="single" w:sz="4" w:space="0" w:color="000000"/>
              <w:right w:val="single" w:sz="4" w:space="0" w:color="000000"/>
            </w:tcBorders>
          </w:tcPr>
          <w:p>
            <w:pPr/>
          </w:p>
        </w:tc>
        <w:tc>
          <w:tcPr>
            <w:tcW w:w="1462" w:type="dxa"/>
            <w:tcBorders>
              <w:top w:val="single" w:sz="10" w:space="0" w:color="000000"/>
              <w:left w:val="single" w:sz="4" w:space="0" w:color="000000"/>
              <w:bottom w:val="single" w:sz="4" w:space="0" w:color="000000"/>
              <w:right w:val="single" w:sz="4" w:space="0" w:color="000000"/>
            </w:tcBorders>
          </w:tcPr>
          <w:p>
            <w:pPr/>
          </w:p>
        </w:tc>
        <w:tc>
          <w:tcPr>
            <w:tcW w:w="686" w:type="dxa"/>
            <w:tcBorders>
              <w:top w:val="single" w:sz="10" w:space="0" w:color="000000"/>
              <w:left w:val="single" w:sz="4" w:space="0" w:color="000000"/>
              <w:bottom w:val="single" w:sz="4" w:space="0" w:color="000000"/>
              <w:right w:val="single" w:sz="4" w:space="0" w:color="000000"/>
            </w:tcBorders>
          </w:tcPr>
          <w:p>
            <w:pPr/>
          </w:p>
        </w:tc>
        <w:tc>
          <w:tcPr>
            <w:tcW w:w="1625" w:type="dxa"/>
            <w:tcBorders>
              <w:top w:val="single" w:sz="10" w:space="0" w:color="000000"/>
              <w:left w:val="single" w:sz="4" w:space="0" w:color="000000"/>
              <w:bottom w:val="single" w:sz="4" w:space="0" w:color="000000"/>
              <w:right w:val="single" w:sz="4" w:space="0" w:color="000000"/>
            </w:tcBorders>
          </w:tcPr>
          <w:p>
            <w:pPr/>
          </w:p>
        </w:tc>
        <w:tc>
          <w:tcPr>
            <w:tcW w:w="490" w:type="dxa"/>
            <w:tcBorders>
              <w:top w:val="single" w:sz="10" w:space="0" w:color="000000"/>
              <w:left w:val="single" w:sz="4" w:space="0" w:color="000000"/>
              <w:bottom w:val="single" w:sz="4" w:space="0" w:color="000000"/>
              <w:right w:val="single" w:sz="4" w:space="0" w:color="000000"/>
            </w:tcBorders>
          </w:tcPr>
          <w:p>
            <w:pPr/>
          </w:p>
        </w:tc>
        <w:tc>
          <w:tcPr>
            <w:tcW w:w="1414" w:type="dxa"/>
            <w:tcBorders>
              <w:top w:val="single" w:sz="10" w:space="0" w:color="000000"/>
              <w:left w:val="single" w:sz="4" w:space="0" w:color="000000"/>
              <w:bottom w:val="single" w:sz="4" w:space="0" w:color="000000"/>
              <w:right w:val="single" w:sz="4" w:space="0" w:color="000000"/>
            </w:tcBorders>
          </w:tcPr>
          <w:p>
            <w:pPr/>
          </w:p>
        </w:tc>
        <w:tc>
          <w:tcPr>
            <w:tcW w:w="1601" w:type="dxa"/>
            <w:tcBorders>
              <w:top w:val="single" w:sz="10" w:space="0" w:color="000000"/>
              <w:left w:val="single" w:sz="4" w:space="0" w:color="000000"/>
              <w:bottom w:val="single" w:sz="4" w:space="0" w:color="000000"/>
              <w:right w:val="single" w:sz="4" w:space="0" w:color="000000"/>
            </w:tcBorders>
          </w:tcPr>
          <w:p>
            <w:pPr/>
          </w:p>
        </w:tc>
      </w:tr>
      <w:tr>
        <w:trPr>
          <w:trHeight w:val="281"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4,433,210.31</w:t>
            </w: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-4,433,210.31</w:t>
            </w: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4,433,210.31</w:t>
            </w: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-4,433,210.31</w:t>
            </w: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．对所有者（或股东）的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（五）所有者权益内部结转</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．资本公积转增资本（或</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．盈余公积转增资本（或</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829"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51,000,000.00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sz w:val="21"/>
              </w:rPr>
              <w:t>19,404,281.42</w:t>
            </w:r>
          </w:p>
        </w:tc>
        <w:tc>
          <w:tcPr>
            <w:tcW w:w="100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7,369,788.96</w:t>
            </w:r>
          </w:p>
        </w:tc>
        <w:tc>
          <w:tcPr>
            <w:tcW w:w="68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66,922,695.76</w:t>
            </w:r>
          </w:p>
        </w:tc>
        <w:tc>
          <w:tcPr>
            <w:tcW w:w="4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1,528,777.68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146,225,543.82</w:t>
            </w:r>
          </w:p>
        </w:tc>
      </w:tr>
    </w:tbl>
    <w:p>
      <w:pPr>
        <w:spacing w:line="240" w:lineRule="auto" w:before="7"/>
        <w:rPr>
          <w:rFonts w:ascii="宋体" w:hAnsi="宋体" w:cs="宋体" w:eastAsia="宋体" w:hint="default"/>
          <w:sz w:val="17"/>
          <w:szCs w:val="17"/>
        </w:rPr>
      </w:pPr>
    </w:p>
    <w:p>
      <w:pPr>
        <w:tabs>
          <w:tab w:pos="4922" w:val="left" w:leader="none"/>
          <w:tab w:pos="9658" w:val="left" w:leader="none"/>
        </w:tabs>
        <w:spacing w:before="36"/>
        <w:ind w:left="82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w:t>
      </w:r>
      <w:r>
        <w:rPr>
          <w:rFonts w:ascii="宋体" w:hAnsi="宋体" w:cs="宋体" w:eastAsia="宋体" w:hint="default"/>
          <w:spacing w:val="-1"/>
          <w:sz w:val="21"/>
          <w:szCs w:val="21"/>
        </w:rPr>
        <w:t>付永全</w:t>
        <w:tab/>
      </w:r>
      <w:r>
        <w:rPr>
          <w:rFonts w:ascii="宋体" w:hAnsi="宋体" w:cs="宋体" w:eastAsia="宋体" w:hint="default"/>
          <w:b/>
          <w:bCs/>
          <w:spacing w:val="-1"/>
          <w:sz w:val="21"/>
          <w:szCs w:val="21"/>
        </w:rPr>
        <w:t>主管会计工作负责人：</w:t>
      </w:r>
      <w:r>
        <w:rPr>
          <w:rFonts w:ascii="宋体" w:hAnsi="宋体" w:cs="宋体" w:eastAsia="宋体" w:hint="default"/>
          <w:spacing w:val="-1"/>
          <w:sz w:val="21"/>
          <w:szCs w:val="21"/>
        </w:rPr>
        <w:t>冯丽</w:t>
        <w:tab/>
      </w:r>
      <w:r>
        <w:rPr>
          <w:rFonts w:ascii="宋体" w:hAnsi="宋体" w:cs="宋体" w:eastAsia="宋体" w:hint="default"/>
          <w:b/>
          <w:bCs/>
          <w:spacing w:val="-1"/>
          <w:sz w:val="21"/>
          <w:szCs w:val="21"/>
        </w:rPr>
        <w:t>会计机构负责人：</w:t>
      </w:r>
      <w:r>
        <w:rPr>
          <w:rFonts w:ascii="宋体" w:hAnsi="宋体" w:cs="宋体" w:eastAsia="宋体" w:hint="default"/>
          <w:spacing w:val="-1"/>
          <w:sz w:val="21"/>
          <w:szCs w:val="21"/>
        </w:rPr>
        <w:t>汤淼云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2"/>
        <w:ind w:left="820" w:right="0"/>
        <w:jc w:val="left"/>
        <w:rPr>
          <w:b w:val="0"/>
          <w:bCs w:val="0"/>
        </w:rPr>
      </w:pPr>
      <w:r>
        <w:rPr>
          <w:rFonts w:ascii="宋体" w:hAnsi="宋体" w:cs="宋体" w:eastAsia="宋体" w:hint="default"/>
        </w:rPr>
        <w:t>8</w:t>
      </w:r>
      <w:r>
        <w:rPr/>
        <w:t>、母公司所有者权益变动表</w:t>
      </w:r>
      <w:r>
        <w:rPr>
          <w:b w:val="0"/>
          <w:bCs w:val="0"/>
        </w:rPr>
      </w:r>
    </w:p>
    <w:p>
      <w:pPr>
        <w:spacing w:line="240" w:lineRule="auto" w:before="2"/>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6840" w:h="11910" w:orient="landscape"/>
          <w:pgMar w:header="884" w:footer="980" w:top="1100" w:bottom="1160" w:left="620" w:right="620"/>
        </w:sectPr>
      </w:pPr>
    </w:p>
    <w:p>
      <w:pPr>
        <w:pStyle w:val="BodyText"/>
        <w:spacing w:line="272" w:lineRule="exact" w:before="64"/>
        <w:ind w:left="820" w:right="0"/>
        <w:jc w:val="left"/>
      </w:pPr>
      <w:r>
        <w:rPr>
          <w:spacing w:val="-2"/>
        </w:rPr>
        <w:t>编制单位：荣科科技股份有限公司</w:t>
      </w:r>
      <w:r>
        <w:rPr>
          <w:spacing w:val="-75"/>
        </w:rPr>
        <w:t> </w:t>
      </w:r>
      <w:r>
        <w:rPr>
          <w:spacing w:val="-75"/>
        </w:rPr>
      </w: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820" w:right="0"/>
        <w:jc w:val="left"/>
      </w:pPr>
      <w:r>
        <w:rPr/>
        <w:t>单位：元</w:t>
      </w:r>
    </w:p>
    <w:p>
      <w:pPr>
        <w:spacing w:after="0" w:line="240" w:lineRule="auto"/>
        <w:jc w:val="left"/>
        <w:sectPr>
          <w:type w:val="continuous"/>
          <w:pgSz w:w="16840" w:h="11910" w:orient="landscape"/>
          <w:pgMar w:top="1100" w:bottom="1160" w:left="620" w:right="620"/>
          <w:cols w:num="2" w:equalWidth="0">
            <w:col w:w="3975" w:space="9146"/>
            <w:col w:w="2479"/>
          </w:cols>
        </w:sectPr>
      </w:pPr>
    </w:p>
    <w:p>
      <w:pPr>
        <w:spacing w:line="240" w:lineRule="auto" w:before="4"/>
        <w:rPr>
          <w:rFonts w:ascii="宋体" w:hAnsi="宋体" w:cs="宋体" w:eastAsia="宋体" w:hint="default"/>
          <w:sz w:val="2"/>
          <w:szCs w:val="2"/>
        </w:rPr>
      </w:pPr>
      <w:r>
        <w:rPr/>
        <w:pict>
          <v:group style="position:absolute;margin-left:72.300003pt;margin-top:28.300007pt;width:185.55pt;height:51.2pt;mso-position-horizontal-relative:page;mso-position-vertical-relative:page;z-index:-648424" coordorigin="1446,566" coordsize="3711,1024">
            <v:shape style="position:absolute;left:1446;top:566;width:2160;height:803" type="#_x0000_t75" stroked="false">
              <v:imagedata r:id="rId7" o:title=""/>
            </v:shape>
            <v:group style="position:absolute;left:3336;top:1169;width:1820;height:138" coordorigin="3336,1169" coordsize="1820,138">
              <v:shape style="position:absolute;left:3336;top:1169;width:1820;height:138" coordorigin="3336,1169" coordsize="1820,138" path="m3336,1306l5156,1306,5156,1169,3336,1169,3336,1306xe" filled="true" fillcolor="#ffffff" stroked="false">
                <v:path arrowok="t"/>
                <v:fill type="solid"/>
              </v:shape>
            </v:group>
            <v:group style="position:absolute;left:3348;top:1306;width:2;height:272" coordorigin="3348,1306" coordsize="2,272">
              <v:shape style="position:absolute;left:3348;top:1306;width:2;height:272" coordorigin="3348,1306" coordsize="0,272" path="m3348,1306l3348,1577e" filled="false" stroked="true" strokeweight="1.2pt" strokecolor="#ffffff">
                <v:path arrowok="t"/>
              </v:shape>
            </v:group>
            <v:group style="position:absolute;left:3360;top:1306;width:1772;height:272" coordorigin="3360,1306" coordsize="1772,272">
              <v:shape style="position:absolute;left:3360;top:1306;width:1772;height:272" coordorigin="3360,1306" coordsize="1772,272" path="m3360,1577l5132,1577,5132,1306,3360,1306,3360,1577xe" filled="true" fillcolor="#ffffff" stroked="false">
                <v:path arrowok="t"/>
                <v:fill type="solid"/>
              </v:shape>
            </v:group>
            <w10:wrap type="none"/>
          </v:group>
        </w:pict>
      </w:r>
    </w:p>
    <w:tbl>
      <w:tblPr>
        <w:tblW w:w="0" w:type="auto"/>
        <w:jc w:val="left"/>
        <w:tblInd w:w="114" w:type="dxa"/>
        <w:tblLayout w:type="fixed"/>
        <w:tblCellMar>
          <w:top w:w="0" w:type="dxa"/>
          <w:left w:w="0" w:type="dxa"/>
          <w:bottom w:w="0" w:type="dxa"/>
          <w:right w:w="0" w:type="dxa"/>
        </w:tblCellMar>
        <w:tblLook w:val="01E0"/>
      </w:tblPr>
      <w:tblGrid>
        <w:gridCol w:w="3034"/>
        <w:gridCol w:w="1935"/>
        <w:gridCol w:w="1680"/>
        <w:gridCol w:w="1366"/>
        <w:gridCol w:w="1049"/>
        <w:gridCol w:w="1531"/>
        <w:gridCol w:w="1366"/>
        <w:gridCol w:w="1574"/>
        <w:gridCol w:w="1827"/>
      </w:tblGrid>
      <w:tr>
        <w:trPr>
          <w:trHeight w:val="146" w:hRule="exact"/>
        </w:trPr>
        <w:tc>
          <w:tcPr>
            <w:tcW w:w="3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28"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2" w:hRule="exact"/>
        </w:trPr>
        <w:tc>
          <w:tcPr>
            <w:tcW w:w="3034"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2328" w:type="dxa"/>
            <w:gridSpan w:val="8"/>
            <w:vMerge/>
            <w:tcBorders>
              <w:left w:val="single" w:sz="4" w:space="0" w:color="000000"/>
              <w:bottom w:val="single" w:sz="4" w:space="0" w:color="000000"/>
              <w:right w:val="single" w:sz="4" w:space="0" w:color="000000"/>
            </w:tcBorders>
            <w:shd w:val="clear" w:color="auto" w:fill="D2D2D2"/>
          </w:tcPr>
          <w:p>
            <w:pPr/>
          </w:p>
        </w:tc>
      </w:tr>
      <w:tr>
        <w:trPr>
          <w:trHeight w:val="142" w:hRule="exact"/>
        </w:trPr>
        <w:tc>
          <w:tcPr>
            <w:tcW w:w="3034" w:type="dxa"/>
            <w:vMerge/>
            <w:tcBorders>
              <w:left w:val="single" w:sz="4" w:space="0" w:color="000000"/>
              <w:bottom w:val="nil" w:sz="6" w:space="0" w:color="auto"/>
              <w:right w:val="single" w:sz="4" w:space="0" w:color="000000"/>
            </w:tcBorders>
            <w:shd w:val="clear" w:color="auto" w:fill="D2D2D2"/>
          </w:tcPr>
          <w:p>
            <w:pPr/>
          </w:p>
        </w:tc>
        <w:tc>
          <w:tcPr>
            <w:tcW w:w="1935"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2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80"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15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9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31"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34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48"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25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27"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left="17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46" w:hRule="exact"/>
        </w:trPr>
        <w:tc>
          <w:tcPr>
            <w:tcW w:w="3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5" w:type="dxa"/>
            <w:vMerge/>
            <w:tcBorders>
              <w:left w:val="single" w:sz="4" w:space="0" w:color="000000"/>
              <w:bottom w:val="single" w:sz="4" w:space="0" w:color="000000"/>
              <w:right w:val="single" w:sz="4" w:space="0" w:color="000000"/>
            </w:tcBorders>
            <w:shd w:val="clear" w:color="auto" w:fill="D2D2D2"/>
          </w:tcPr>
          <w:p>
            <w:pPr/>
          </w:p>
        </w:tc>
        <w:tc>
          <w:tcPr>
            <w:tcW w:w="1680"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531"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574" w:type="dxa"/>
            <w:vMerge/>
            <w:tcBorders>
              <w:left w:val="single" w:sz="4" w:space="0" w:color="000000"/>
              <w:bottom w:val="single" w:sz="4" w:space="0" w:color="000000"/>
              <w:right w:val="single" w:sz="4" w:space="0" w:color="000000"/>
            </w:tcBorders>
            <w:shd w:val="clear" w:color="auto" w:fill="D2D2D2"/>
          </w:tcPr>
          <w:p>
            <w:pPr/>
          </w:p>
        </w:tc>
        <w:tc>
          <w:tcPr>
            <w:tcW w:w="1827" w:type="dxa"/>
            <w:vMerge/>
            <w:tcBorders>
              <w:left w:val="single" w:sz="4" w:space="0" w:color="000000"/>
              <w:bottom w:val="single" w:sz="4" w:space="0" w:color="000000"/>
              <w:right w:val="single" w:sz="4" w:space="0" w:color="000000"/>
            </w:tcBorders>
            <w:shd w:val="clear" w:color="auto" w:fill="D2D2D2"/>
          </w:tcPr>
          <w:p>
            <w:pP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935"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51,000,000.00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sz w:val="21"/>
              </w:rPr>
              <w:t>19,403,626.31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sz w:val="21"/>
              </w:rPr>
              <w:t>7,369,788.96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66,328,100.68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sz w:val="21"/>
              </w:rPr>
              <w:t>144,101,515.95</w:t>
            </w:r>
          </w:p>
        </w:tc>
      </w:tr>
    </w:tbl>
    <w:p>
      <w:pPr>
        <w:spacing w:after="0" w:line="241" w:lineRule="exact"/>
        <w:jc w:val="left"/>
        <w:rPr>
          <w:rFonts w:ascii="宋体" w:hAnsi="宋体" w:cs="宋体" w:eastAsia="宋体" w:hint="default"/>
          <w:sz w:val="21"/>
          <w:szCs w:val="21"/>
        </w:rPr>
        <w:sectPr>
          <w:type w:val="continuous"/>
          <w:pgSz w:w="16840" w:h="11910" w:orient="landscape"/>
          <w:pgMar w:top="1100" w:bottom="1160" w:left="620" w:right="620"/>
        </w:sectPr>
      </w:pPr>
    </w:p>
    <w:p>
      <w:pPr>
        <w:spacing w:line="240" w:lineRule="auto" w:before="7"/>
        <w:rPr>
          <w:rFonts w:ascii="宋体" w:hAnsi="宋体" w:cs="宋体" w:eastAsia="宋体" w:hint="default"/>
          <w:sz w:val="2"/>
          <w:szCs w:val="2"/>
        </w:rPr>
      </w:pPr>
      <w:r>
        <w:rPr/>
        <w:pict>
          <v:shape style="position:absolute;margin-left:72.300003pt;margin-top:28.300007pt;width:108.0pt;height:40.15pt;mso-position-horizontal-relative:page;mso-position-vertical-relative:page;z-index:-648400" type="#_x0000_t75" stroked="false">
            <v:imagedata r:id="rId7" o:title=""/>
          </v:shape>
        </w:pict>
      </w:r>
    </w:p>
    <w:tbl>
      <w:tblPr>
        <w:tblW w:w="0" w:type="auto"/>
        <w:jc w:val="left"/>
        <w:tblInd w:w="122" w:type="dxa"/>
        <w:tblLayout w:type="fixed"/>
        <w:tblCellMar>
          <w:top w:w="0" w:type="dxa"/>
          <w:left w:w="0" w:type="dxa"/>
          <w:bottom w:w="0" w:type="dxa"/>
          <w:right w:w="0" w:type="dxa"/>
        </w:tblCellMar>
        <w:tblLook w:val="01E0"/>
      </w:tblPr>
      <w:tblGrid>
        <w:gridCol w:w="3034"/>
        <w:gridCol w:w="1947"/>
        <w:gridCol w:w="1680"/>
        <w:gridCol w:w="1366"/>
        <w:gridCol w:w="1049"/>
        <w:gridCol w:w="1531"/>
        <w:gridCol w:w="1366"/>
        <w:gridCol w:w="1574"/>
        <w:gridCol w:w="1839"/>
      </w:tblGrid>
      <w:tr>
        <w:trPr>
          <w:trHeight w:val="293" w:hRule="exact"/>
        </w:trPr>
        <w:tc>
          <w:tcPr>
            <w:tcW w:w="303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44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947" w:type="dxa"/>
            <w:tcBorders>
              <w:top w:val="single" w:sz="10" w:space="0" w:color="000000"/>
              <w:left w:val="single" w:sz="13" w:space="0" w:color="D2D2D2"/>
              <w:bottom w:val="single" w:sz="4" w:space="0" w:color="000000"/>
              <w:right w:val="single" w:sz="4" w:space="0" w:color="000000"/>
            </w:tcBorders>
          </w:tcPr>
          <w:p>
            <w:pPr/>
          </w:p>
        </w:tc>
        <w:tc>
          <w:tcPr>
            <w:tcW w:w="1680"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049" w:type="dxa"/>
            <w:tcBorders>
              <w:top w:val="single" w:sz="10" w:space="0" w:color="000000"/>
              <w:left w:val="single" w:sz="4" w:space="0" w:color="000000"/>
              <w:bottom w:val="single" w:sz="4" w:space="0" w:color="000000"/>
              <w:right w:val="single" w:sz="4" w:space="0" w:color="000000"/>
            </w:tcBorders>
          </w:tcPr>
          <w:p>
            <w:pPr/>
          </w:p>
        </w:tc>
        <w:tc>
          <w:tcPr>
            <w:tcW w:w="1531"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574" w:type="dxa"/>
            <w:tcBorders>
              <w:top w:val="single" w:sz="10" w:space="0" w:color="000000"/>
              <w:left w:val="single" w:sz="4" w:space="0" w:color="000000"/>
              <w:bottom w:val="single" w:sz="4" w:space="0" w:color="000000"/>
              <w:right w:val="single" w:sz="4" w:space="0" w:color="000000"/>
            </w:tcBorders>
          </w:tcPr>
          <w:p>
            <w:pPr/>
          </w:p>
        </w:tc>
        <w:tc>
          <w:tcPr>
            <w:tcW w:w="1839" w:type="dxa"/>
            <w:tcBorders>
              <w:top w:val="single" w:sz="10"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947"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51,000,000.00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19,403,626.31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center"/>
              <w:rPr>
                <w:rFonts w:ascii="宋体" w:hAnsi="宋体" w:cs="宋体" w:eastAsia="宋体" w:hint="default"/>
                <w:sz w:val="21"/>
                <w:szCs w:val="21"/>
              </w:rPr>
            </w:pPr>
            <w:r>
              <w:rPr>
                <w:rFonts w:ascii="宋体"/>
                <w:sz w:val="21"/>
              </w:rPr>
              <w:t>7,369,788.96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66,328,100.68</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144,101,515.95</w:t>
            </w:r>
          </w:p>
        </w:tc>
      </w:tr>
      <w:tr>
        <w:trPr>
          <w:trHeight w:val="554"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9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17,000,000.00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145,580,800.00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center"/>
              <w:rPr>
                <w:rFonts w:ascii="宋体" w:hAnsi="宋体" w:cs="宋体" w:eastAsia="宋体" w:hint="default"/>
                <w:sz w:val="21"/>
                <w:szCs w:val="21"/>
              </w:rPr>
            </w:pPr>
            <w:r>
              <w:rPr>
                <w:rFonts w:ascii="宋体"/>
                <w:sz w:val="21"/>
              </w:rPr>
              <w:t>5,010,241.02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31,492,169.20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199,083,210.22</w:t>
            </w: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50,102,410.22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50,102,410.22</w:t>
            </w: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50,102,410.22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50,102,410.22</w:t>
            </w:r>
          </w:p>
        </w:tc>
      </w:tr>
      <w:tr>
        <w:trPr>
          <w:trHeight w:val="284"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947"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145,580,800.00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162,580,800.00</w:t>
            </w: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947"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145,580,800.00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162,580,800.00</w:t>
            </w:r>
          </w:p>
        </w:tc>
      </w:tr>
      <w:tr>
        <w:trPr>
          <w:trHeight w:val="554"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．股份支付计入所有者权益的金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center"/>
              <w:rPr>
                <w:rFonts w:ascii="宋体" w:hAnsi="宋体" w:cs="宋体" w:eastAsia="宋体" w:hint="default"/>
                <w:sz w:val="21"/>
                <w:szCs w:val="21"/>
              </w:rPr>
            </w:pPr>
            <w:r>
              <w:rPr>
                <w:rFonts w:ascii="宋体"/>
                <w:sz w:val="21"/>
              </w:rPr>
              <w:t>5,010,241.02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-18,610,241.02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-13,600,000.00</w:t>
            </w: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center"/>
              <w:rPr>
                <w:rFonts w:ascii="宋体" w:hAnsi="宋体" w:cs="宋体" w:eastAsia="宋体" w:hint="default"/>
                <w:sz w:val="21"/>
                <w:szCs w:val="21"/>
              </w:rPr>
            </w:pPr>
            <w:r>
              <w:rPr>
                <w:rFonts w:ascii="宋体"/>
                <w:sz w:val="21"/>
              </w:rPr>
              <w:t>5,010,241.02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-5,010,241.02</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．对所有者（或股东）的分配</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-13,600,000.00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-13,600,000.00</w:t>
            </w:r>
          </w:p>
        </w:tc>
      </w:tr>
      <w:tr>
        <w:trPr>
          <w:trHeight w:val="284"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1" w:lineRule="exact"/>
              <w:ind w:left="24" w:right="-53"/>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．资本公积转增资本（或股本）</w:t>
            </w:r>
          </w:p>
        </w:tc>
        <w:tc>
          <w:tcPr>
            <w:tcW w:w="1947" w:type="dxa"/>
            <w:tcBorders>
              <w:top w:val="single" w:sz="4" w:space="0" w:color="000000"/>
              <w:left w:val="single" w:sz="23" w:space="0" w:color="FFFFFF"/>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1" w:lineRule="exact"/>
              <w:ind w:left="24" w:right="-5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．盈余公积转增资本（或股本）</w:t>
            </w:r>
          </w:p>
        </w:tc>
        <w:tc>
          <w:tcPr>
            <w:tcW w:w="1947" w:type="dxa"/>
            <w:tcBorders>
              <w:top w:val="single" w:sz="4" w:space="0" w:color="000000"/>
              <w:left w:val="single" w:sz="23" w:space="0" w:color="FFFFFF"/>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947" w:type="dxa"/>
            <w:tcBorders>
              <w:top w:val="single" w:sz="4" w:space="0" w:color="000000"/>
              <w:left w:val="single" w:sz="13" w:space="0" w:color="D2D2D2"/>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947"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164,984,426.31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12,380,029.98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97,820,269.88</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343,184,726.17</w:t>
            </w:r>
          </w:p>
        </w:tc>
      </w:tr>
    </w:tbl>
    <w:p>
      <w:pPr>
        <w:spacing w:line="240" w:lineRule="auto" w:before="7"/>
        <w:rPr>
          <w:rFonts w:ascii="宋体" w:hAnsi="宋体" w:cs="宋体" w:eastAsia="宋体" w:hint="default"/>
          <w:sz w:val="15"/>
          <w:szCs w:val="15"/>
        </w:rPr>
      </w:pPr>
    </w:p>
    <w:p>
      <w:pPr>
        <w:pStyle w:val="BodyText"/>
        <w:spacing w:line="273" w:lineRule="exact" w:before="36"/>
        <w:ind w:left="840" w:right="0"/>
        <w:jc w:val="left"/>
      </w:pPr>
      <w:r>
        <w:rPr/>
        <w:t>上年金额</w:t>
      </w:r>
    </w:p>
    <w:p>
      <w:pPr>
        <w:pStyle w:val="BodyText"/>
        <w:spacing w:line="273" w:lineRule="exact"/>
        <w:ind w:left="0" w:right="833"/>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45"/>
        <w:gridCol w:w="12356"/>
      </w:tblGrid>
      <w:tr>
        <w:trPr>
          <w:trHeight w:val="281" w:hRule="exact"/>
        </w:trPr>
        <w:tc>
          <w:tcPr>
            <w:tcW w:w="3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上年金额</w:t>
            </w:r>
          </w:p>
        </w:tc>
      </w:tr>
    </w:tbl>
    <w:p>
      <w:pPr>
        <w:spacing w:after="0" w:line="241" w:lineRule="exact"/>
        <w:jc w:val="center"/>
        <w:rPr>
          <w:rFonts w:ascii="宋体" w:hAnsi="宋体" w:cs="宋体" w:eastAsia="宋体" w:hint="default"/>
          <w:sz w:val="21"/>
          <w:szCs w:val="21"/>
        </w:rPr>
        <w:sectPr>
          <w:pgSz w:w="16840" w:h="11910" w:orient="landscape"/>
          <w:pgMar w:header="884" w:footer="980" w:top="1100" w:bottom="1160" w:left="600" w:right="600"/>
        </w:sectPr>
      </w:pPr>
    </w:p>
    <w:p>
      <w:pPr>
        <w:spacing w:line="240" w:lineRule="auto" w:before="7"/>
        <w:rPr>
          <w:rFonts w:ascii="宋体" w:hAnsi="宋体" w:cs="宋体" w:eastAsia="宋体" w:hint="default"/>
          <w:sz w:val="2"/>
          <w:szCs w:val="2"/>
        </w:rPr>
      </w:pPr>
      <w:r>
        <w:rPr/>
        <w:pict>
          <v:shape style="position:absolute;margin-left:72.300003pt;margin-top:28.300007pt;width:108.0pt;height:40.15pt;mso-position-horizontal-relative:page;mso-position-vertical-relative:page;z-index:-648376" type="#_x0000_t75" stroked="false">
            <v:imagedata r:id="rId7" o:title=""/>
          </v:shape>
        </w:pict>
      </w:r>
    </w:p>
    <w:tbl>
      <w:tblPr>
        <w:tblW w:w="0" w:type="auto"/>
        <w:jc w:val="left"/>
        <w:tblInd w:w="106" w:type="dxa"/>
        <w:tblLayout w:type="fixed"/>
        <w:tblCellMar>
          <w:top w:w="0" w:type="dxa"/>
          <w:left w:w="0" w:type="dxa"/>
          <w:bottom w:w="0" w:type="dxa"/>
          <w:right w:w="0" w:type="dxa"/>
        </w:tblCellMar>
        <w:tblLook w:val="01E0"/>
      </w:tblPr>
      <w:tblGrid>
        <w:gridCol w:w="3022"/>
        <w:gridCol w:w="1927"/>
        <w:gridCol w:w="1577"/>
        <w:gridCol w:w="1364"/>
        <w:gridCol w:w="1366"/>
        <w:gridCol w:w="1515"/>
        <w:gridCol w:w="1366"/>
        <w:gridCol w:w="1574"/>
        <w:gridCol w:w="1680"/>
      </w:tblGrid>
      <w:tr>
        <w:trPr>
          <w:trHeight w:val="293" w:hRule="exact"/>
        </w:trPr>
        <w:tc>
          <w:tcPr>
            <w:tcW w:w="302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right="-12"/>
              <w:jc w:val="right"/>
              <w:rPr>
                <w:rFonts w:ascii="宋体" w:hAnsi="宋体" w:cs="宋体" w:eastAsia="宋体" w:hint="default"/>
                <w:sz w:val="21"/>
                <w:szCs w:val="21"/>
              </w:rPr>
            </w:pPr>
            <w:r>
              <w:rPr>
                <w:rFonts w:ascii="宋体" w:hAnsi="宋体" w:cs="宋体" w:eastAsia="宋体" w:hint="default"/>
                <w:spacing w:val="-1"/>
                <w:sz w:val="21"/>
                <w:szCs w:val="21"/>
              </w:rPr>
              <w:t>实收资本（或股本）</w:t>
            </w:r>
          </w:p>
        </w:tc>
        <w:tc>
          <w:tcPr>
            <w:tcW w:w="157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36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3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14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3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5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1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3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3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4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7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5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927"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19,403,626.31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2,936,578.65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26,429,207.88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99,769,412.84</w:t>
            </w: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3"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927"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19,403,626.31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2,936,578.65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26,429,207.88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99,769,412.84</w:t>
            </w:r>
          </w:p>
        </w:tc>
      </w:tr>
      <w:tr>
        <w:trPr>
          <w:trHeight w:val="554"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0"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4,433,210.31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39,898,892.80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44,332,103.11</w:t>
            </w: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44,332,103.11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44,332,103.11</w:t>
            </w:r>
          </w:p>
        </w:tc>
      </w:tr>
      <w:tr>
        <w:trPr>
          <w:trHeight w:val="284"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44,332,103.11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44,332,103.11</w:t>
            </w: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0"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．股份支付计入所有者权益的金</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4,433,210.31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-4,433,210.31</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4,433,210.31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-4,433,210.31</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．对所有者（或股东）的分配</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3" w:lineRule="exact"/>
              <w:ind w:left="10" w:right="-52"/>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．资本公积转增资本（或股本）</w:t>
            </w:r>
          </w:p>
        </w:tc>
        <w:tc>
          <w:tcPr>
            <w:tcW w:w="1927" w:type="dxa"/>
            <w:tcBorders>
              <w:top w:val="single" w:sz="4" w:space="0" w:color="000000"/>
              <w:left w:val="single" w:sz="10" w:space="0" w:color="FFFFFF"/>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1" w:lineRule="exact"/>
              <w:ind w:left="10" w:right="-52"/>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．盈余公积转增资本（或股本）</w:t>
            </w:r>
          </w:p>
        </w:tc>
        <w:tc>
          <w:tcPr>
            <w:tcW w:w="1927" w:type="dxa"/>
            <w:tcBorders>
              <w:top w:val="single" w:sz="4" w:space="0" w:color="000000"/>
              <w:left w:val="single" w:sz="10" w:space="0" w:color="FFFFFF"/>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927" w:type="dxa"/>
            <w:tcBorders>
              <w:top w:val="single" w:sz="4" w:space="0" w:color="000000"/>
              <w:left w:val="single" w:sz="9" w:space="0" w:color="D2D2D2"/>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927"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19,403,626.31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7,369,788.96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66,328,100.68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144,101,515.95</w:t>
            </w:r>
          </w:p>
        </w:tc>
      </w:tr>
    </w:tbl>
    <w:p>
      <w:pPr>
        <w:spacing w:line="240" w:lineRule="auto" w:before="7"/>
        <w:rPr>
          <w:rFonts w:ascii="宋体" w:hAnsi="宋体" w:cs="宋体" w:eastAsia="宋体" w:hint="default"/>
          <w:sz w:val="17"/>
          <w:szCs w:val="17"/>
        </w:rPr>
      </w:pPr>
    </w:p>
    <w:p>
      <w:pPr>
        <w:tabs>
          <w:tab w:pos="4185" w:val="left" w:leader="none"/>
          <w:tab w:pos="8078" w:val="left" w:leader="none"/>
        </w:tabs>
        <w:spacing w:before="36"/>
        <w:ind w:left="82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w:t>
      </w:r>
      <w:r>
        <w:rPr>
          <w:rFonts w:ascii="宋体" w:hAnsi="宋体" w:cs="宋体" w:eastAsia="宋体" w:hint="default"/>
          <w:spacing w:val="-1"/>
          <w:sz w:val="21"/>
          <w:szCs w:val="21"/>
        </w:rPr>
        <w:t>付永全</w:t>
        <w:tab/>
      </w:r>
      <w:r>
        <w:rPr>
          <w:rFonts w:ascii="宋体" w:hAnsi="宋体" w:cs="宋体" w:eastAsia="宋体" w:hint="default"/>
          <w:b/>
          <w:bCs/>
          <w:spacing w:val="-1"/>
          <w:sz w:val="21"/>
          <w:szCs w:val="21"/>
        </w:rPr>
        <w:t>主管会计工作负责人：</w:t>
      </w:r>
      <w:r>
        <w:rPr>
          <w:rFonts w:ascii="宋体" w:hAnsi="宋体" w:cs="宋体" w:eastAsia="宋体" w:hint="default"/>
          <w:spacing w:val="-1"/>
          <w:sz w:val="21"/>
          <w:szCs w:val="21"/>
        </w:rPr>
        <w:t>冯丽</w:t>
        <w:tab/>
      </w:r>
      <w:r>
        <w:rPr>
          <w:rFonts w:ascii="宋体" w:hAnsi="宋体" w:cs="宋体" w:eastAsia="宋体" w:hint="default"/>
          <w:b/>
          <w:bCs/>
          <w:spacing w:val="-1"/>
          <w:sz w:val="21"/>
          <w:szCs w:val="21"/>
        </w:rPr>
        <w:t>会计机构负责人：</w:t>
      </w:r>
      <w:r>
        <w:rPr>
          <w:rFonts w:ascii="宋体" w:hAnsi="宋体" w:cs="宋体" w:eastAsia="宋体" w:hint="default"/>
          <w:spacing w:val="-1"/>
          <w:sz w:val="21"/>
          <w:szCs w:val="21"/>
        </w:rPr>
        <w:t>汤淼云</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6840" w:h="11910" w:orient="landscape"/>
          <w:pgMar w:header="884" w:footer="980" w:top="1100" w:bottom="1160" w:left="620" w:right="600"/>
        </w:sectPr>
      </w:pPr>
    </w:p>
    <w:p>
      <w:pPr>
        <w:spacing w:line="240" w:lineRule="auto" w:before="0"/>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64835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11"/>
        <w:rPr>
          <w:rFonts w:ascii="宋体" w:hAnsi="宋体" w:cs="宋体" w:eastAsia="宋体" w:hint="default"/>
          <w:sz w:val="15"/>
          <w:szCs w:val="15"/>
        </w:rPr>
      </w:pPr>
    </w:p>
    <w:p>
      <w:pPr>
        <w:pStyle w:val="Heading4"/>
        <w:spacing w:line="240" w:lineRule="auto" w:before="26"/>
        <w:ind w:right="4"/>
        <w:jc w:val="left"/>
        <w:rPr>
          <w:b w:val="0"/>
          <w:bCs w:val="0"/>
        </w:rPr>
      </w:pPr>
      <w:r>
        <w:rPr/>
        <w:t>三、公司基本情况</w:t>
      </w:r>
      <w:r>
        <w:rPr>
          <w:b w:val="0"/>
          <w:bCs w:val="0"/>
        </w:rPr>
      </w:r>
    </w:p>
    <w:p>
      <w:pPr>
        <w:pStyle w:val="BodyText"/>
        <w:spacing w:line="240" w:lineRule="auto" w:before="201"/>
        <w:ind w:left="573" w:right="4" w:firstLine="2"/>
        <w:jc w:val="left"/>
      </w:pPr>
      <w:r>
        <w:rPr>
          <w:rFonts w:ascii="宋体" w:hAnsi="宋体" w:cs="宋体" w:eastAsia="宋体" w:hint="default"/>
          <w:b/>
          <w:bCs/>
        </w:rPr>
        <w:t>（一）公司历史沿革</w:t>
      </w:r>
      <w:r>
        <w:rPr>
          <w:rFonts w:ascii="宋体" w:hAnsi="宋体" w:cs="宋体" w:eastAsia="宋体" w:hint="default"/>
          <w:b/>
          <w:bCs/>
          <w:w w:val="100"/>
        </w:rPr>
        <w:t> </w:t>
      </w:r>
      <w:r>
        <w:rPr>
          <w:spacing w:val="-2"/>
        </w:rPr>
        <w:t>荣科科技股份有限公司（以下简称公司或本公司）系由沈阳荣科科技工程有限公司（以下简称有限公</w:t>
      </w:r>
    </w:p>
    <w:p>
      <w:pPr>
        <w:pStyle w:val="BodyText"/>
        <w:spacing w:line="237" w:lineRule="auto"/>
        <w:ind w:right="4"/>
        <w:jc w:val="left"/>
      </w:pPr>
      <w:r>
        <w:rPr>
          <w:spacing w:val="-4"/>
        </w:rPr>
        <w:t>司）于</w:t>
      </w:r>
      <w:r>
        <w:rPr>
          <w:spacing w:val="-52"/>
        </w:rPr>
        <w:t> </w:t>
      </w:r>
      <w:r>
        <w:rPr>
          <w:rFonts w:ascii="宋体" w:hAnsi="宋体" w:cs="宋体" w:eastAsia="宋体" w:hint="default"/>
        </w:rPr>
        <w:t>2010</w:t>
      </w:r>
      <w:r>
        <w:rPr>
          <w:rFonts w:ascii="宋体" w:hAnsi="宋体" w:cs="宋体" w:eastAsia="宋体" w:hint="default"/>
          <w:spacing w:val="-52"/>
        </w:rPr>
        <w:t> </w:t>
      </w:r>
      <w:r>
        <w:rPr/>
        <w:t>年以整体变更方式设立的股份有限公司，有限公司于</w:t>
      </w:r>
      <w:r>
        <w:rPr>
          <w:spacing w:val="-52"/>
        </w:rPr>
        <w:t> </w:t>
      </w:r>
      <w:r>
        <w:rPr>
          <w:rFonts w:ascii="宋体" w:hAnsi="宋体" w:cs="宋体" w:eastAsia="宋体" w:hint="default"/>
        </w:rPr>
        <w:t>2005</w:t>
      </w:r>
      <w:r>
        <w:rPr>
          <w:rFonts w:ascii="宋体" w:hAnsi="宋体" w:cs="宋体" w:eastAsia="宋体" w:hint="default"/>
          <w:spacing w:val="-54"/>
        </w:rPr>
        <w:t> </w:t>
      </w:r>
      <w:r>
        <w:rPr/>
        <w:t>年</w:t>
      </w:r>
      <w:r>
        <w:rPr>
          <w:spacing w:val="-52"/>
        </w:rPr>
        <w:t> </w:t>
      </w:r>
      <w:r>
        <w:rPr>
          <w:rFonts w:ascii="宋体" w:hAnsi="宋体" w:cs="宋体" w:eastAsia="宋体" w:hint="default"/>
        </w:rPr>
        <w:t>11</w:t>
      </w:r>
      <w:r>
        <w:rPr>
          <w:rFonts w:ascii="宋体" w:hAnsi="宋体" w:cs="宋体" w:eastAsia="宋体" w:hint="default"/>
          <w:spacing w:val="-54"/>
        </w:rPr>
        <w:t> </w:t>
      </w:r>
      <w:r>
        <w:rPr/>
        <w:t>月</w:t>
      </w:r>
      <w:r>
        <w:rPr>
          <w:spacing w:val="-52"/>
        </w:rPr>
        <w:t> </w:t>
      </w:r>
      <w:r>
        <w:rPr>
          <w:rFonts w:ascii="宋体" w:hAnsi="宋体" w:cs="宋体" w:eastAsia="宋体" w:hint="default"/>
        </w:rPr>
        <w:t>18</w:t>
      </w:r>
      <w:r>
        <w:rPr>
          <w:rFonts w:ascii="宋体" w:hAnsi="宋体" w:cs="宋体" w:eastAsia="宋体" w:hint="default"/>
          <w:spacing w:val="-54"/>
        </w:rPr>
        <w:t> </w:t>
      </w:r>
      <w:r>
        <w:rPr>
          <w:spacing w:val="-3"/>
        </w:rPr>
        <w:t>日由崔万涛、付艳杰两</w:t>
      </w:r>
      <w:r>
        <w:rPr>
          <w:spacing w:val="-102"/>
        </w:rPr>
        <w:t> </w:t>
      </w:r>
      <w:r>
        <w:rPr>
          <w:spacing w:val="-102"/>
        </w:rPr>
      </w:r>
      <w:r>
        <w:rPr>
          <w:spacing w:val="-3"/>
        </w:rPr>
        <w:t>自然人共同出资组建，并在沈阳市工商行政管理局取得注册号为</w:t>
      </w:r>
      <w:r>
        <w:rPr>
          <w:spacing w:val="-31"/>
        </w:rPr>
        <w:t> </w:t>
      </w:r>
      <w:r>
        <w:rPr>
          <w:rFonts w:ascii="宋体" w:hAnsi="宋体" w:cs="宋体" w:eastAsia="宋体" w:hint="default"/>
        </w:rPr>
        <w:t>2101052102543</w:t>
      </w:r>
      <w:r>
        <w:rPr>
          <w:rFonts w:ascii="宋体" w:hAnsi="宋体" w:cs="宋体" w:eastAsia="宋体" w:hint="default"/>
          <w:spacing w:val="-32"/>
        </w:rPr>
        <w:t> </w:t>
      </w:r>
      <w:r>
        <w:rPr>
          <w:spacing w:val="-9"/>
        </w:rPr>
        <w:t>的《企业法人营业执照》，</w:t>
      </w:r>
      <w:r>
        <w:rPr>
          <w:spacing w:val="-96"/>
        </w:rPr>
        <w:t> </w:t>
      </w:r>
      <w:r>
        <w:rPr>
          <w:spacing w:val="-96"/>
        </w:rPr>
      </w:r>
      <w:r>
        <w:rPr/>
        <w:t>有限公司设立时的注册资本为人民币</w:t>
      </w:r>
      <w:r>
        <w:rPr>
          <w:spacing w:val="-54"/>
        </w:rPr>
        <w:t> </w:t>
      </w:r>
      <w:r>
        <w:rPr>
          <w:rFonts w:ascii="宋体" w:hAnsi="宋体" w:cs="宋体" w:eastAsia="宋体" w:hint="default"/>
        </w:rPr>
        <w:t>500,000.00</w:t>
      </w:r>
      <w:r>
        <w:rPr>
          <w:rFonts w:ascii="宋体" w:hAnsi="宋体" w:cs="宋体" w:eastAsia="宋体" w:hint="default"/>
          <w:spacing w:val="-57"/>
        </w:rPr>
        <w:t> </w:t>
      </w:r>
      <w:r>
        <w:rPr/>
        <w:t>元，上述两位股东各持有限公司注册资本的</w:t>
      </w:r>
      <w:r>
        <w:rPr>
          <w:spacing w:val="-54"/>
        </w:rPr>
        <w:t> </w:t>
      </w:r>
      <w:r>
        <w:rPr>
          <w:rFonts w:ascii="宋体" w:hAnsi="宋体" w:cs="宋体" w:eastAsia="宋体" w:hint="default"/>
        </w:rPr>
        <w:t>50%</w:t>
      </w:r>
      <w:r>
        <w:rPr/>
        <w:t>。</w:t>
      </w:r>
    </w:p>
    <w:p>
      <w:pPr>
        <w:pStyle w:val="BodyText"/>
        <w:spacing w:line="272" w:lineRule="exact"/>
        <w:ind w:left="573" w:right="4"/>
        <w:jc w:val="left"/>
      </w:pPr>
      <w:r>
        <w:rPr>
          <w:rFonts w:ascii="宋体" w:hAnsi="宋体" w:cs="宋体" w:eastAsia="宋体" w:hint="default"/>
        </w:rPr>
        <w:t>2006</w:t>
      </w:r>
      <w:r>
        <w:rPr>
          <w:rFonts w:ascii="宋体" w:hAnsi="宋体" w:cs="宋体" w:eastAsia="宋体" w:hint="default"/>
          <w:spacing w:val="-48"/>
        </w:rPr>
        <w:t> </w:t>
      </w:r>
      <w:r>
        <w:rPr/>
        <w:t>年</w:t>
      </w:r>
      <w:r>
        <w:rPr>
          <w:spacing w:val="-46"/>
        </w:rPr>
        <w:t> </w:t>
      </w:r>
      <w:r>
        <w:rPr>
          <w:rFonts w:ascii="宋体" w:hAnsi="宋体" w:cs="宋体" w:eastAsia="宋体" w:hint="default"/>
        </w:rPr>
        <w:t>6</w:t>
      </w:r>
      <w:r>
        <w:rPr>
          <w:rFonts w:ascii="宋体" w:hAnsi="宋体" w:cs="宋体" w:eastAsia="宋体" w:hint="default"/>
          <w:spacing w:val="-48"/>
        </w:rPr>
        <w:t> </w:t>
      </w:r>
      <w:r>
        <w:rPr/>
        <w:t>月</w:t>
      </w:r>
      <w:r>
        <w:rPr>
          <w:spacing w:val="-46"/>
        </w:rPr>
        <w:t> </w:t>
      </w:r>
      <w:r>
        <w:rPr>
          <w:rFonts w:ascii="宋体" w:hAnsi="宋体" w:cs="宋体" w:eastAsia="宋体" w:hint="default"/>
        </w:rPr>
        <w:t>13</w:t>
      </w:r>
      <w:r>
        <w:rPr>
          <w:rFonts w:ascii="宋体" w:hAnsi="宋体" w:cs="宋体" w:eastAsia="宋体" w:hint="default"/>
          <w:spacing w:val="-48"/>
        </w:rPr>
        <w:t> </w:t>
      </w:r>
      <w:r>
        <w:rPr>
          <w:spacing w:val="-4"/>
        </w:rPr>
        <w:t>日，上述两位股东以货币资金人民币</w:t>
      </w:r>
      <w:r>
        <w:rPr>
          <w:spacing w:val="-48"/>
        </w:rPr>
        <w:t> </w:t>
      </w:r>
      <w:r>
        <w:rPr>
          <w:rFonts w:ascii="宋体" w:hAnsi="宋体" w:cs="宋体" w:eastAsia="宋体" w:hint="default"/>
        </w:rPr>
        <w:t>4,500,000.00</w:t>
      </w:r>
      <w:r>
        <w:rPr>
          <w:rFonts w:ascii="宋体" w:hAnsi="宋体" w:cs="宋体" w:eastAsia="宋体" w:hint="default"/>
          <w:spacing w:val="-48"/>
        </w:rPr>
        <w:t> </w:t>
      </w:r>
      <w:r>
        <w:rPr>
          <w:spacing w:val="-4"/>
        </w:rPr>
        <w:t>元同比例增资，有限公司变更后的</w:t>
      </w:r>
    </w:p>
    <w:p>
      <w:pPr>
        <w:pStyle w:val="BodyText"/>
        <w:spacing w:line="272" w:lineRule="exact"/>
        <w:ind w:right="4"/>
        <w:jc w:val="left"/>
      </w:pPr>
      <w:r>
        <w:rPr/>
        <w:t>注册资本为人民币</w:t>
      </w:r>
      <w:r>
        <w:rPr>
          <w:spacing w:val="-54"/>
        </w:rPr>
        <w:t> </w:t>
      </w:r>
      <w:r>
        <w:rPr>
          <w:rFonts w:ascii="宋体" w:hAnsi="宋体" w:cs="宋体" w:eastAsia="宋体" w:hint="default"/>
        </w:rPr>
        <w:t>5,000,000.00</w:t>
      </w:r>
      <w:r>
        <w:rPr>
          <w:rFonts w:ascii="宋体" w:hAnsi="宋体" w:cs="宋体" w:eastAsia="宋体" w:hint="default"/>
          <w:spacing w:val="-53"/>
        </w:rPr>
        <w:t> </w:t>
      </w:r>
      <w:r>
        <w:rPr>
          <w:spacing w:val="-3"/>
        </w:rPr>
        <w:t>元。</w:t>
      </w:r>
      <w:r>
        <w:rPr/>
      </w:r>
    </w:p>
    <w:p>
      <w:pPr>
        <w:pStyle w:val="BodyText"/>
        <w:spacing w:line="272" w:lineRule="exact"/>
        <w:ind w:left="573" w:right="4"/>
        <w:jc w:val="left"/>
      </w:pPr>
      <w:r>
        <w:rPr>
          <w:rFonts w:ascii="宋体" w:hAnsi="宋体" w:cs="宋体" w:eastAsia="宋体" w:hint="default"/>
        </w:rPr>
        <w:t>2006</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49"/>
        </w:rPr>
        <w:t> </w:t>
      </w:r>
      <w:r>
        <w:rPr/>
        <w:t>月</w:t>
      </w:r>
      <w:r>
        <w:rPr>
          <w:spacing w:val="-51"/>
        </w:rPr>
        <w:t> </w:t>
      </w:r>
      <w:r>
        <w:rPr>
          <w:rFonts w:ascii="宋体" w:hAnsi="宋体" w:cs="宋体" w:eastAsia="宋体" w:hint="default"/>
        </w:rPr>
        <w:t>3</w:t>
      </w:r>
      <w:r>
        <w:rPr>
          <w:rFonts w:ascii="宋体" w:hAnsi="宋体" w:cs="宋体" w:eastAsia="宋体" w:hint="default"/>
          <w:spacing w:val="-51"/>
        </w:rPr>
        <w:t> </w:t>
      </w:r>
      <w:r>
        <w:rPr/>
        <w:t>日，上述两位股东以货币资金人民币</w:t>
      </w:r>
      <w:r>
        <w:rPr>
          <w:spacing w:val="-51"/>
        </w:rPr>
        <w:t> </w:t>
      </w:r>
      <w:r>
        <w:rPr>
          <w:rFonts w:ascii="宋体" w:hAnsi="宋体" w:cs="宋体" w:eastAsia="宋体" w:hint="default"/>
        </w:rPr>
        <w:t>100,000.00</w:t>
      </w:r>
      <w:r>
        <w:rPr>
          <w:rFonts w:ascii="宋体" w:hAnsi="宋体" w:cs="宋体" w:eastAsia="宋体" w:hint="default"/>
          <w:spacing w:val="-49"/>
        </w:rPr>
        <w:t> </w:t>
      </w:r>
      <w:r>
        <w:rPr/>
        <w:t>元同比例增资，有限公司变更后的注</w:t>
      </w:r>
    </w:p>
    <w:p>
      <w:pPr>
        <w:pStyle w:val="BodyText"/>
        <w:spacing w:line="273" w:lineRule="exact"/>
        <w:ind w:right="4"/>
        <w:jc w:val="left"/>
      </w:pPr>
      <w:r>
        <w:rPr/>
        <w:t>册资本为人民币</w:t>
      </w:r>
      <w:r>
        <w:rPr>
          <w:spacing w:val="-53"/>
        </w:rPr>
        <w:t> </w:t>
      </w:r>
      <w:r>
        <w:rPr>
          <w:rFonts w:ascii="宋体" w:hAnsi="宋体" w:cs="宋体" w:eastAsia="宋体" w:hint="default"/>
        </w:rPr>
        <w:t>5,100,000.00</w:t>
      </w:r>
      <w:r>
        <w:rPr>
          <w:rFonts w:ascii="宋体" w:hAnsi="宋体" w:cs="宋体" w:eastAsia="宋体" w:hint="default"/>
          <w:spacing w:val="-55"/>
        </w:rPr>
        <w:t> </w:t>
      </w:r>
      <w:r>
        <w:rPr/>
        <w:t>元。</w:t>
      </w:r>
    </w:p>
    <w:p>
      <w:pPr>
        <w:pStyle w:val="BodyText"/>
        <w:spacing w:line="273" w:lineRule="exact"/>
        <w:ind w:left="573" w:right="4"/>
        <w:jc w:val="left"/>
      </w:pPr>
      <w:r>
        <w:rPr>
          <w:rFonts w:ascii="宋体" w:hAnsi="宋体" w:cs="宋体" w:eastAsia="宋体" w:hint="default"/>
        </w:rPr>
        <w:t>2007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日，有限公司《企业法人营业执照》注册号变更为</w:t>
      </w:r>
      <w:r>
        <w:rPr>
          <w:spacing w:val="-53"/>
        </w:rPr>
        <w:t> </w:t>
      </w:r>
      <w:r>
        <w:rPr>
          <w:rFonts w:ascii="宋体" w:hAnsi="宋体" w:cs="宋体" w:eastAsia="宋体" w:hint="default"/>
        </w:rPr>
        <w:t>2101002118490</w:t>
      </w:r>
      <w:r>
        <w:rPr/>
        <w:t>。</w:t>
      </w:r>
    </w:p>
    <w:p>
      <w:pPr>
        <w:pStyle w:val="BodyText"/>
        <w:spacing w:line="272" w:lineRule="exact"/>
        <w:ind w:left="573" w:right="4"/>
        <w:jc w:val="left"/>
      </w:pPr>
      <w:r>
        <w:rPr>
          <w:rFonts w:ascii="宋体" w:hAnsi="宋体" w:cs="宋体" w:eastAsia="宋体" w:hint="default"/>
        </w:rPr>
        <w:t>2007</w:t>
      </w:r>
      <w:r>
        <w:rPr>
          <w:rFonts w:ascii="宋体" w:hAnsi="宋体" w:cs="宋体" w:eastAsia="宋体" w:hint="default"/>
          <w:spacing w:val="-48"/>
        </w:rPr>
        <w:t> </w:t>
      </w:r>
      <w:r>
        <w:rPr/>
        <w:t>年</w:t>
      </w:r>
      <w:r>
        <w:rPr>
          <w:spacing w:val="-46"/>
        </w:rPr>
        <w:t> </w:t>
      </w:r>
      <w:r>
        <w:rPr>
          <w:rFonts w:ascii="宋体" w:hAnsi="宋体" w:cs="宋体" w:eastAsia="宋体" w:hint="default"/>
        </w:rPr>
        <w:t>5</w:t>
      </w:r>
      <w:r>
        <w:rPr>
          <w:rFonts w:ascii="宋体" w:hAnsi="宋体" w:cs="宋体" w:eastAsia="宋体" w:hint="default"/>
          <w:spacing w:val="-48"/>
        </w:rPr>
        <w:t> </w:t>
      </w:r>
      <w:r>
        <w:rPr/>
        <w:t>月</w:t>
      </w:r>
      <w:r>
        <w:rPr>
          <w:spacing w:val="-46"/>
        </w:rPr>
        <w:t> </w:t>
      </w:r>
      <w:r>
        <w:rPr>
          <w:rFonts w:ascii="宋体" w:hAnsi="宋体" w:cs="宋体" w:eastAsia="宋体" w:hint="default"/>
        </w:rPr>
        <w:t>28</w:t>
      </w:r>
      <w:r>
        <w:rPr>
          <w:rFonts w:ascii="宋体" w:hAnsi="宋体" w:cs="宋体" w:eastAsia="宋体" w:hint="default"/>
          <w:spacing w:val="-48"/>
        </w:rPr>
        <w:t> </w:t>
      </w:r>
      <w:r>
        <w:rPr>
          <w:spacing w:val="-4"/>
        </w:rPr>
        <w:t>日，上述两位股东以货币资金人民币</w:t>
      </w:r>
      <w:r>
        <w:rPr>
          <w:spacing w:val="-48"/>
        </w:rPr>
        <w:t> </w:t>
      </w:r>
      <w:r>
        <w:rPr>
          <w:rFonts w:ascii="宋体" w:hAnsi="宋体" w:cs="宋体" w:eastAsia="宋体" w:hint="default"/>
        </w:rPr>
        <w:t>4,900,000.00</w:t>
      </w:r>
      <w:r>
        <w:rPr>
          <w:rFonts w:ascii="宋体" w:hAnsi="宋体" w:cs="宋体" w:eastAsia="宋体" w:hint="default"/>
          <w:spacing w:val="-48"/>
        </w:rPr>
        <w:t> </w:t>
      </w:r>
      <w:r>
        <w:rPr>
          <w:spacing w:val="-4"/>
        </w:rPr>
        <w:t>元同比例增资，有限公司变更后的</w:t>
      </w:r>
    </w:p>
    <w:p>
      <w:pPr>
        <w:pStyle w:val="BodyText"/>
        <w:spacing w:line="272" w:lineRule="exact"/>
        <w:ind w:right="4"/>
        <w:jc w:val="left"/>
      </w:pPr>
      <w:r>
        <w:rPr/>
        <w:t>注册资本为人民币</w:t>
      </w:r>
      <w:r>
        <w:rPr>
          <w:spacing w:val="-56"/>
        </w:rPr>
        <w:t> </w:t>
      </w:r>
      <w:r>
        <w:rPr>
          <w:rFonts w:ascii="宋体" w:hAnsi="宋体" w:cs="宋体" w:eastAsia="宋体" w:hint="default"/>
        </w:rPr>
        <w:t>10,000,000.00</w:t>
      </w:r>
      <w:r>
        <w:rPr>
          <w:rFonts w:ascii="宋体" w:hAnsi="宋体" w:cs="宋体" w:eastAsia="宋体" w:hint="default"/>
          <w:spacing w:val="-55"/>
        </w:rPr>
        <w:t> </w:t>
      </w:r>
      <w:r>
        <w:rPr/>
        <w:t>元。</w:t>
      </w:r>
    </w:p>
    <w:p>
      <w:pPr>
        <w:pStyle w:val="BodyText"/>
        <w:spacing w:line="272" w:lineRule="exact"/>
        <w:ind w:left="573" w:right="4"/>
        <w:jc w:val="left"/>
      </w:pPr>
      <w:r>
        <w:rPr>
          <w:rFonts w:ascii="宋体" w:hAnsi="宋体" w:cs="宋体" w:eastAsia="宋体" w:hint="default"/>
        </w:rPr>
        <w:t>2009</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w:t>
      </w:r>
      <w:r>
        <w:rPr>
          <w:rFonts w:ascii="宋体" w:hAnsi="宋体" w:cs="宋体" w:eastAsia="宋体" w:hint="default"/>
          <w:spacing w:val="-56"/>
        </w:rPr>
        <w:t> </w:t>
      </w:r>
      <w:r>
        <w:rPr/>
        <w:t>日，有限公司《企业法人营业执照》注册号变更为</w:t>
      </w:r>
      <w:r>
        <w:rPr>
          <w:spacing w:val="-54"/>
        </w:rPr>
        <w:t> </w:t>
      </w:r>
      <w:r>
        <w:rPr>
          <w:rFonts w:ascii="宋体" w:hAnsi="宋体" w:cs="宋体" w:eastAsia="宋体" w:hint="default"/>
        </w:rPr>
        <w:t>210100000047160</w:t>
      </w:r>
      <w:r>
        <w:rPr/>
        <w:t>。</w:t>
      </w:r>
    </w:p>
    <w:p>
      <w:pPr>
        <w:pStyle w:val="BodyText"/>
        <w:spacing w:line="272" w:lineRule="exact"/>
        <w:ind w:left="573" w:right="4"/>
        <w:jc w:val="left"/>
      </w:pPr>
      <w:r>
        <w:rPr>
          <w:rFonts w:ascii="宋体" w:hAnsi="宋体" w:cs="宋体" w:eastAsia="宋体" w:hint="default"/>
        </w:rPr>
        <w:t>2010</w:t>
      </w:r>
      <w:r>
        <w:rPr>
          <w:rFonts w:ascii="宋体" w:hAnsi="宋体" w:cs="宋体" w:eastAsia="宋体" w:hint="default"/>
          <w:spacing w:val="-42"/>
        </w:rPr>
        <w:t> </w:t>
      </w:r>
      <w:r>
        <w:rPr/>
        <w:t>年</w:t>
      </w:r>
      <w:r>
        <w:rPr>
          <w:spacing w:val="-40"/>
        </w:rPr>
        <w:t> </w:t>
      </w:r>
      <w:r>
        <w:rPr>
          <w:rFonts w:ascii="宋体" w:hAnsi="宋体" w:cs="宋体" w:eastAsia="宋体" w:hint="default"/>
        </w:rPr>
        <w:t>3</w:t>
      </w:r>
      <w:r>
        <w:rPr>
          <w:rFonts w:ascii="宋体" w:hAnsi="宋体" w:cs="宋体" w:eastAsia="宋体" w:hint="default"/>
          <w:spacing w:val="-42"/>
        </w:rPr>
        <w:t> </w:t>
      </w:r>
      <w:r>
        <w:rPr/>
        <w:t>月</w:t>
      </w:r>
      <w:r>
        <w:rPr>
          <w:spacing w:val="-40"/>
        </w:rPr>
        <w:t> </w:t>
      </w:r>
      <w:r>
        <w:rPr>
          <w:rFonts w:ascii="宋体" w:hAnsi="宋体" w:cs="宋体" w:eastAsia="宋体" w:hint="default"/>
        </w:rPr>
        <w:t>9</w:t>
      </w:r>
      <w:r>
        <w:rPr>
          <w:rFonts w:ascii="宋体" w:hAnsi="宋体" w:cs="宋体" w:eastAsia="宋体" w:hint="default"/>
          <w:spacing w:val="-42"/>
        </w:rPr>
        <w:t> </w:t>
      </w:r>
      <w:r>
        <w:rPr>
          <w:spacing w:val="-4"/>
        </w:rPr>
        <w:t>日，有限公司新增尹春福、杨皓、罗福金、冯丽、马林、杨兴礼、田英佳、余力兴、张</w:t>
      </w:r>
    </w:p>
    <w:p>
      <w:pPr>
        <w:pStyle w:val="BodyText"/>
        <w:spacing w:line="272" w:lineRule="exact"/>
        <w:ind w:right="4"/>
        <w:jc w:val="left"/>
      </w:pPr>
      <w:r>
        <w:rPr>
          <w:spacing w:val="-3"/>
        </w:rPr>
        <w:t>俭、张喆等</w:t>
      </w:r>
      <w:r>
        <w:rPr>
          <w:spacing w:val="-57"/>
        </w:rPr>
        <w:t> </w:t>
      </w:r>
      <w:r>
        <w:rPr>
          <w:rFonts w:ascii="宋体" w:hAnsi="宋体" w:cs="宋体" w:eastAsia="宋体" w:hint="default"/>
        </w:rPr>
        <w:t>10</w:t>
      </w:r>
      <w:r>
        <w:rPr>
          <w:rFonts w:ascii="宋体" w:hAnsi="宋体" w:cs="宋体" w:eastAsia="宋体" w:hint="default"/>
          <w:spacing w:val="-60"/>
        </w:rPr>
        <w:t> </w:t>
      </w:r>
      <w:r>
        <w:rPr/>
        <w:t>位自然人股东。新增注册资本人民币</w:t>
      </w:r>
      <w:r>
        <w:rPr>
          <w:spacing w:val="-60"/>
        </w:rPr>
        <w:t> </w:t>
      </w:r>
      <w:r>
        <w:rPr>
          <w:rFonts w:ascii="宋体" w:hAnsi="宋体" w:cs="宋体" w:eastAsia="宋体" w:hint="default"/>
        </w:rPr>
        <w:t>200,000.00</w:t>
      </w:r>
      <w:r>
        <w:rPr>
          <w:rFonts w:ascii="宋体" w:hAnsi="宋体" w:cs="宋体" w:eastAsia="宋体" w:hint="default"/>
          <w:spacing w:val="-57"/>
        </w:rPr>
        <w:t> </w:t>
      </w:r>
      <w:r>
        <w:rPr/>
        <w:t>元，有限公司变更后的注册资本为人民币</w:t>
      </w:r>
    </w:p>
    <w:p>
      <w:pPr>
        <w:pStyle w:val="BodyText"/>
        <w:spacing w:line="272" w:lineRule="exact"/>
        <w:ind w:right="4"/>
        <w:jc w:val="left"/>
      </w:pPr>
      <w:r>
        <w:rPr>
          <w:rFonts w:ascii="宋体" w:hAnsi="宋体" w:cs="宋体" w:eastAsia="宋体" w:hint="default"/>
        </w:rPr>
        <w:t>10,200,000.00</w:t>
      </w:r>
      <w:r>
        <w:rPr>
          <w:rFonts w:ascii="宋体" w:hAnsi="宋体" w:cs="宋体" w:eastAsia="宋体" w:hint="default"/>
          <w:spacing w:val="-51"/>
        </w:rPr>
        <w:t> </w:t>
      </w:r>
      <w:r>
        <w:rPr/>
        <w:t>元。</w:t>
      </w:r>
    </w:p>
    <w:p>
      <w:pPr>
        <w:pStyle w:val="BodyText"/>
        <w:spacing w:line="271" w:lineRule="exact"/>
        <w:ind w:left="573" w:right="4"/>
        <w:jc w:val="left"/>
      </w:pP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29</w:t>
      </w:r>
      <w:r>
        <w:rPr>
          <w:rFonts w:ascii="宋体" w:hAnsi="宋体" w:cs="宋体" w:eastAsia="宋体" w:hint="default"/>
          <w:spacing w:val="-48"/>
        </w:rPr>
        <w:t> </w:t>
      </w:r>
      <w:r>
        <w:rPr/>
        <w:t>日，有限公司新增平安财智投资管理有限公司、北京正达联合投资有限公司、北京恒</w:t>
      </w:r>
    </w:p>
    <w:p>
      <w:pPr>
        <w:pStyle w:val="BodyText"/>
        <w:spacing w:line="272" w:lineRule="exact"/>
        <w:ind w:right="4"/>
        <w:jc w:val="left"/>
      </w:pPr>
      <w:r>
        <w:rPr/>
        <w:t>远恒信科技发展有限公司等</w:t>
      </w:r>
      <w:r>
        <w:rPr>
          <w:spacing w:val="-36"/>
        </w:rPr>
        <w:t> </w:t>
      </w:r>
      <w:r>
        <w:rPr>
          <w:rFonts w:ascii="宋体" w:hAnsi="宋体" w:cs="宋体" w:eastAsia="宋体" w:hint="default"/>
        </w:rPr>
        <w:t>3</w:t>
      </w:r>
      <w:r>
        <w:rPr>
          <w:rFonts w:ascii="宋体" w:hAnsi="宋体" w:cs="宋体" w:eastAsia="宋体" w:hint="default"/>
          <w:spacing w:val="-34"/>
        </w:rPr>
        <w:t> </w:t>
      </w:r>
      <w:r>
        <w:rPr/>
        <w:t>位法人股东。新增注册资本人民币</w:t>
      </w:r>
      <w:r>
        <w:rPr>
          <w:spacing w:val="-37"/>
        </w:rPr>
        <w:t> </w:t>
      </w:r>
      <w:r>
        <w:rPr>
          <w:rFonts w:ascii="宋体" w:hAnsi="宋体" w:cs="宋体" w:eastAsia="宋体" w:hint="default"/>
        </w:rPr>
        <w:t>2,788,100.00</w:t>
      </w:r>
      <w:r>
        <w:rPr>
          <w:rFonts w:ascii="宋体" w:hAnsi="宋体" w:cs="宋体" w:eastAsia="宋体" w:hint="default"/>
          <w:spacing w:val="-34"/>
        </w:rPr>
        <w:t> </w:t>
      </w:r>
      <w:r>
        <w:rPr/>
        <w:t>元，有限公司变更后的注</w:t>
      </w:r>
    </w:p>
    <w:p>
      <w:pPr>
        <w:pStyle w:val="BodyText"/>
        <w:spacing w:line="272" w:lineRule="exact"/>
        <w:ind w:right="4"/>
        <w:jc w:val="left"/>
      </w:pPr>
      <w:r>
        <w:rPr/>
        <w:t>册资本为人民币</w:t>
      </w:r>
      <w:r>
        <w:rPr>
          <w:spacing w:val="-53"/>
        </w:rPr>
        <w:t> </w:t>
      </w:r>
      <w:r>
        <w:rPr>
          <w:rFonts w:ascii="宋体" w:hAnsi="宋体" w:cs="宋体" w:eastAsia="宋体" w:hint="default"/>
        </w:rPr>
        <w:t>12,988,100.00</w:t>
      </w:r>
      <w:r>
        <w:rPr>
          <w:rFonts w:ascii="宋体" w:hAnsi="宋体" w:cs="宋体" w:eastAsia="宋体" w:hint="default"/>
          <w:spacing w:val="-55"/>
        </w:rPr>
        <w:t> </w:t>
      </w:r>
      <w:r>
        <w:rPr/>
        <w:t>元。</w:t>
      </w:r>
    </w:p>
    <w:p>
      <w:pPr>
        <w:pStyle w:val="BodyText"/>
        <w:spacing w:line="237" w:lineRule="auto"/>
        <w:ind w:right="4" w:firstLine="420"/>
        <w:jc w:val="left"/>
      </w:pPr>
      <w:r>
        <w:rPr>
          <w:w w:val="100"/>
        </w:rPr>
        <w:t>根据</w:t>
      </w:r>
      <w:r>
        <w:rPr>
          <w:spacing w:val="-53"/>
          <w:w w:val="100"/>
        </w:rPr>
        <w:t> </w:t>
      </w:r>
      <w:r>
        <w:rPr>
          <w:rFonts w:ascii="宋体" w:hAnsi="宋体" w:cs="宋体" w:eastAsia="宋体" w:hint="default"/>
          <w:spacing w:val="-1"/>
          <w:w w:val="100"/>
        </w:rPr>
        <w:t>2010</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7</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22</w:t>
      </w:r>
      <w:r>
        <w:rPr>
          <w:rFonts w:ascii="宋体" w:hAnsi="宋体" w:cs="宋体" w:eastAsia="宋体" w:hint="default"/>
          <w:spacing w:val="-55"/>
          <w:w w:val="100"/>
        </w:rPr>
        <w:t> </w:t>
      </w:r>
      <w:r>
        <w:rPr>
          <w:spacing w:val="-5"/>
          <w:w w:val="100"/>
        </w:rPr>
        <w:t>日有限公司股东会审议通过的《关于公司由有限公司变更设立股份公司的决议》、</w:t>
      </w:r>
      <w:r>
        <w:rPr>
          <w:w w:val="100"/>
        </w:rPr>
        <w:t> </w:t>
      </w:r>
      <w:r>
        <w:rPr>
          <w:spacing w:val="-2"/>
        </w:rPr>
        <w:t>各股东签订的《沈阳荣科科技股份有限公司发起人协议书》及修改后的公司章程，全体股东一致同意将有</w:t>
      </w:r>
      <w:r>
        <w:rPr>
          <w:spacing w:val="-43"/>
        </w:rPr>
        <w:t> </w:t>
      </w:r>
      <w:r>
        <w:rPr>
          <w:spacing w:val="-43"/>
        </w:rPr>
      </w:r>
      <w:r>
        <w:rPr>
          <w:spacing w:val="-2"/>
        </w:rPr>
        <w:t>限公司整体变更为股份有限公司，由崔万涛、付艳杰、北京正达联合投资有限公司、平安财智投资管理有</w:t>
      </w:r>
      <w:r>
        <w:rPr>
          <w:spacing w:val="-46"/>
        </w:rPr>
        <w:t> </w:t>
      </w:r>
      <w:r>
        <w:rPr>
          <w:spacing w:val="-46"/>
        </w:rPr>
      </w:r>
      <w:r>
        <w:rPr>
          <w:spacing w:val="-2"/>
        </w:rPr>
        <w:t>限公司、北京恒远恒信科技发展有限公司、尹春福、杨皓、罗福金、冯丽、马林、杨兴礼、田英佳、余力</w:t>
      </w:r>
      <w:r>
        <w:rPr>
          <w:spacing w:val="-43"/>
        </w:rPr>
        <w:t> </w:t>
      </w:r>
      <w:r>
        <w:rPr>
          <w:spacing w:val="-43"/>
        </w:rPr>
      </w:r>
      <w:r>
        <w:rPr/>
        <w:t>兴、张俭和张喆以经审计确认的有限公司截至</w:t>
      </w:r>
      <w:r>
        <w:rPr>
          <w:spacing w:val="-55"/>
        </w:rPr>
        <w:t> </w:t>
      </w:r>
      <w:r>
        <w:rPr>
          <w:rFonts w:ascii="宋体" w:hAnsi="宋体" w:cs="宋体" w:eastAsia="宋体" w:hint="default"/>
        </w:rPr>
        <w:t>2010</w:t>
      </w:r>
      <w:r>
        <w:rPr>
          <w:rFonts w:ascii="宋体" w:hAnsi="宋体" w:cs="宋体" w:eastAsia="宋体" w:hint="default"/>
          <w:spacing w:val="-57"/>
        </w:rPr>
        <w:t> </w:t>
      </w:r>
      <w:r>
        <w:rPr/>
        <w:t>年</w:t>
      </w:r>
      <w:r>
        <w:rPr>
          <w:spacing w:val="-55"/>
        </w:rPr>
        <w:t> </w:t>
      </w:r>
      <w:r>
        <w:rPr>
          <w:rFonts w:ascii="宋体" w:hAnsi="宋体" w:cs="宋体" w:eastAsia="宋体" w:hint="default"/>
        </w:rPr>
        <w:t>5</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t>日止的净资产人民币</w:t>
      </w:r>
      <w:r>
        <w:rPr>
          <w:spacing w:val="-55"/>
        </w:rPr>
        <w:t> </w:t>
      </w:r>
      <w:r>
        <w:rPr>
          <w:rFonts w:ascii="宋体" w:hAnsi="宋体" w:cs="宋体" w:eastAsia="宋体" w:hint="default"/>
        </w:rPr>
        <w:t>70,403,626.31</w:t>
      </w:r>
      <w:r>
        <w:rPr>
          <w:rFonts w:ascii="宋体" w:hAnsi="宋体" w:cs="宋体" w:eastAsia="宋体" w:hint="default"/>
          <w:spacing w:val="-57"/>
        </w:rPr>
        <w:t> </w:t>
      </w:r>
      <w:r>
        <w:rPr>
          <w:spacing w:val="-6"/>
        </w:rPr>
        <w:t>元（经</w:t>
      </w:r>
    </w:p>
    <w:p>
      <w:pPr>
        <w:pStyle w:val="BodyText"/>
        <w:spacing w:line="272" w:lineRule="exact"/>
        <w:ind w:right="4"/>
        <w:jc w:val="left"/>
      </w:pPr>
      <w:r>
        <w:rPr/>
        <w:t>评估的净资产为人民币</w:t>
      </w:r>
      <w:r>
        <w:rPr>
          <w:spacing w:val="-36"/>
        </w:rPr>
        <w:t> </w:t>
      </w:r>
      <w:r>
        <w:rPr>
          <w:rFonts w:ascii="宋体" w:hAnsi="宋体" w:cs="宋体" w:eastAsia="宋体" w:hint="default"/>
        </w:rPr>
        <w:t>70,403,660.86</w:t>
      </w:r>
      <w:r>
        <w:rPr>
          <w:rFonts w:ascii="宋体" w:hAnsi="宋体" w:cs="宋体" w:eastAsia="宋体" w:hint="default"/>
          <w:spacing w:val="-37"/>
        </w:rPr>
        <w:t> </w:t>
      </w:r>
      <w:r>
        <w:rPr/>
        <w:t>元）作为折合股份有限公司股份的依据，折合股本为</w:t>
      </w:r>
      <w:r>
        <w:rPr>
          <w:spacing w:val="-34"/>
        </w:rPr>
        <w:t> </w:t>
      </w:r>
      <w:r>
        <w:rPr>
          <w:rFonts w:ascii="宋体" w:hAnsi="宋体" w:cs="宋体" w:eastAsia="宋体" w:hint="default"/>
        </w:rPr>
        <w:t>5,100.00</w:t>
      </w:r>
      <w:r>
        <w:rPr>
          <w:rFonts w:ascii="宋体" w:hAnsi="宋体" w:cs="宋体" w:eastAsia="宋体" w:hint="default"/>
          <w:spacing w:val="-34"/>
        </w:rPr>
        <w:t> </w:t>
      </w:r>
      <w:r>
        <w:rPr/>
        <w:t>万</w:t>
      </w:r>
    </w:p>
    <w:p>
      <w:pPr>
        <w:pStyle w:val="BodyText"/>
        <w:spacing w:line="272" w:lineRule="exact"/>
        <w:ind w:right="4"/>
        <w:jc w:val="left"/>
        <w:rPr>
          <w:rFonts w:ascii="宋体" w:hAnsi="宋体" w:cs="宋体" w:eastAsia="宋体" w:hint="default"/>
        </w:rPr>
      </w:pPr>
      <w:r>
        <w:rPr/>
        <w:t>股，每股面值人民币</w:t>
      </w:r>
      <w:r>
        <w:rPr>
          <w:spacing w:val="-49"/>
        </w:rPr>
        <w:t> </w:t>
      </w:r>
      <w:r>
        <w:rPr>
          <w:rFonts w:ascii="宋体" w:hAnsi="宋体" w:cs="宋体" w:eastAsia="宋体" w:hint="default"/>
        </w:rPr>
        <w:t>1</w:t>
      </w:r>
      <w:r>
        <w:rPr>
          <w:rFonts w:ascii="宋体" w:hAnsi="宋体" w:cs="宋体" w:eastAsia="宋体" w:hint="default"/>
          <w:spacing w:val="-51"/>
        </w:rPr>
        <w:t> </w:t>
      </w:r>
      <w:r>
        <w:rPr>
          <w:spacing w:val="-3"/>
        </w:rPr>
        <w:t>元，余额计入资本公积，公司注册资本为人民币</w:t>
      </w:r>
      <w:r>
        <w:rPr>
          <w:spacing w:val="-48"/>
        </w:rPr>
        <w:t> </w:t>
      </w:r>
      <w:r>
        <w:rPr>
          <w:rFonts w:ascii="宋体" w:hAnsi="宋体" w:cs="宋体" w:eastAsia="宋体" w:hint="default"/>
        </w:rPr>
        <w:t>51,000,000.00</w:t>
      </w:r>
      <w:r>
        <w:rPr>
          <w:rFonts w:ascii="宋体" w:hAnsi="宋体" w:cs="宋体" w:eastAsia="宋体" w:hint="default"/>
          <w:spacing w:val="-51"/>
        </w:rPr>
        <w:t> </w:t>
      </w:r>
      <w:r>
        <w:rPr/>
        <w:t>元。</w:t>
      </w:r>
      <w:r>
        <w:rPr>
          <w:rFonts w:ascii="宋体" w:hAnsi="宋体" w:cs="宋体" w:eastAsia="宋体" w:hint="default"/>
        </w:rPr>
        <w:t>2010</w:t>
      </w:r>
      <w:r>
        <w:rPr>
          <w:rFonts w:ascii="宋体" w:hAnsi="宋体" w:cs="宋体" w:eastAsia="宋体" w:hint="default"/>
          <w:spacing w:val="-49"/>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w:t>
      </w:r>
      <w:r>
        <w:rPr>
          <w:spacing w:val="-49"/>
        </w:rPr>
        <w:t> </w:t>
      </w:r>
      <w:r>
        <w:rPr>
          <w:rFonts w:ascii="宋体" w:hAnsi="宋体" w:cs="宋体" w:eastAsia="宋体" w:hint="default"/>
        </w:rPr>
        <w:t>8</w:t>
      </w:r>
    </w:p>
    <w:p>
      <w:pPr>
        <w:pStyle w:val="BodyText"/>
        <w:spacing w:line="272" w:lineRule="exact"/>
        <w:ind w:right="4"/>
        <w:jc w:val="left"/>
      </w:pPr>
      <w:r>
        <w:rPr/>
        <w:t>日，公司在沈阳市工商行政管理局办理工商变更登记手续，取得注册号为</w:t>
      </w:r>
      <w:r>
        <w:rPr>
          <w:spacing w:val="-57"/>
        </w:rPr>
        <w:t> </w:t>
      </w:r>
      <w:r>
        <w:rPr>
          <w:rFonts w:ascii="宋体" w:hAnsi="宋体" w:cs="宋体" w:eastAsia="宋体" w:hint="default"/>
        </w:rPr>
        <w:t>210100000047160</w:t>
      </w:r>
      <w:r>
        <w:rPr>
          <w:rFonts w:ascii="宋体" w:hAnsi="宋体" w:cs="宋体" w:eastAsia="宋体" w:hint="default"/>
          <w:spacing w:val="-60"/>
        </w:rPr>
        <w:t> </w:t>
      </w:r>
      <w:r>
        <w:rPr>
          <w:spacing w:val="-3"/>
        </w:rPr>
        <w:t>的《企业法人</w:t>
      </w:r>
    </w:p>
    <w:p>
      <w:pPr>
        <w:pStyle w:val="BodyText"/>
        <w:spacing w:line="272" w:lineRule="exact"/>
        <w:ind w:right="4"/>
        <w:jc w:val="left"/>
      </w:pPr>
      <w:r>
        <w:rPr>
          <w:w w:val="100"/>
        </w:rPr>
        <w:t>营业</w:t>
      </w:r>
      <w:r>
        <w:rPr>
          <w:spacing w:val="-3"/>
          <w:w w:val="100"/>
        </w:rPr>
        <w:t>执</w:t>
      </w:r>
      <w:r>
        <w:rPr>
          <w:w w:val="100"/>
        </w:rPr>
        <w:t>照</w:t>
      </w:r>
      <w:r>
        <w:rPr>
          <w:spacing w:val="-108"/>
          <w:w w:val="100"/>
        </w:rPr>
        <w:t>》</w:t>
      </w:r>
      <w:r>
        <w:rPr>
          <w:w w:val="100"/>
        </w:rPr>
        <w:t>。</w:t>
      </w:r>
      <w:r>
        <w:rPr>
          <w:rFonts w:ascii="宋体" w:hAnsi="宋体" w:cs="宋体" w:eastAsia="宋体" w:hint="default"/>
          <w:w w:val="100"/>
        </w:rPr>
        <w:t>2010</w:t>
      </w:r>
      <w:r>
        <w:rPr>
          <w:rFonts w:ascii="宋体" w:hAnsi="宋体" w:cs="宋体" w:eastAsia="宋体" w:hint="default"/>
          <w:spacing w:val="-48"/>
        </w:rPr>
        <w:t> </w:t>
      </w:r>
      <w:r>
        <w:rPr>
          <w:w w:val="100"/>
        </w:rPr>
        <w:t>年</w:t>
      </w:r>
      <w:r>
        <w:rPr>
          <w:spacing w:val="-50"/>
        </w:rPr>
        <w:t> </w:t>
      </w:r>
      <w:r>
        <w:rPr>
          <w:rFonts w:ascii="宋体" w:hAnsi="宋体" w:cs="宋体" w:eastAsia="宋体" w:hint="default"/>
          <w:w w:val="100"/>
        </w:rPr>
        <w:t>10</w:t>
      </w:r>
      <w:r>
        <w:rPr>
          <w:rFonts w:ascii="宋体" w:hAnsi="宋体" w:cs="宋体" w:eastAsia="宋体" w:hint="default"/>
          <w:spacing w:val="-48"/>
        </w:rPr>
        <w:t> </w:t>
      </w:r>
      <w:r>
        <w:rPr>
          <w:w w:val="100"/>
        </w:rPr>
        <w:t>月</w:t>
      </w:r>
      <w:r>
        <w:rPr>
          <w:spacing w:val="-50"/>
        </w:rPr>
        <w:t> </w:t>
      </w:r>
      <w:r>
        <w:rPr>
          <w:rFonts w:ascii="宋体" w:hAnsi="宋体" w:cs="宋体" w:eastAsia="宋体" w:hint="default"/>
          <w:w w:val="100"/>
        </w:rPr>
        <w:t>14</w:t>
      </w:r>
      <w:r>
        <w:rPr>
          <w:rFonts w:ascii="宋体" w:hAnsi="宋体" w:cs="宋体" w:eastAsia="宋体" w:hint="default"/>
          <w:spacing w:val="-47"/>
        </w:rPr>
        <w:t> </w:t>
      </w:r>
      <w:r>
        <w:rPr>
          <w:w w:val="100"/>
        </w:rPr>
        <w:t>日</w:t>
      </w:r>
      <w:r>
        <w:rPr>
          <w:spacing w:val="-3"/>
          <w:w w:val="100"/>
        </w:rPr>
        <w:t>，</w:t>
      </w:r>
      <w:r>
        <w:rPr>
          <w:w w:val="100"/>
        </w:rPr>
        <w:t>公</w:t>
      </w:r>
      <w:r>
        <w:rPr>
          <w:spacing w:val="-3"/>
          <w:w w:val="100"/>
        </w:rPr>
        <w:t>司</w:t>
      </w:r>
      <w:r>
        <w:rPr>
          <w:w w:val="100"/>
        </w:rPr>
        <w:t>名</w:t>
      </w:r>
      <w:r>
        <w:rPr>
          <w:spacing w:val="-3"/>
          <w:w w:val="100"/>
        </w:rPr>
        <w:t>称</w:t>
      </w:r>
      <w:r>
        <w:rPr>
          <w:w w:val="100"/>
        </w:rPr>
        <w:t>变</w:t>
      </w:r>
      <w:r>
        <w:rPr>
          <w:spacing w:val="-3"/>
          <w:w w:val="100"/>
        </w:rPr>
        <w:t>更</w:t>
      </w:r>
      <w:r>
        <w:rPr>
          <w:w w:val="100"/>
        </w:rPr>
        <w:t>为</w:t>
      </w:r>
      <w:r>
        <w:rPr>
          <w:spacing w:val="-3"/>
          <w:w w:val="100"/>
        </w:rPr>
        <w:t>荣</w:t>
      </w:r>
      <w:r>
        <w:rPr>
          <w:w w:val="100"/>
        </w:rPr>
        <w:t>科科</w:t>
      </w:r>
      <w:r>
        <w:rPr>
          <w:spacing w:val="-3"/>
          <w:w w:val="100"/>
        </w:rPr>
        <w:t>技</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w:t>
      </w:r>
      <w:r>
        <w:rPr>
          <w:spacing w:val="-3"/>
          <w:w w:val="100"/>
        </w:rPr>
        <w:t>公</w:t>
      </w:r>
      <w:r>
        <w:rPr>
          <w:w w:val="100"/>
        </w:rPr>
        <w:t>司在</w:t>
      </w:r>
      <w:r>
        <w:rPr>
          <w:spacing w:val="-3"/>
          <w:w w:val="100"/>
        </w:rPr>
        <w:t>沈</w:t>
      </w:r>
      <w:r>
        <w:rPr>
          <w:w w:val="100"/>
        </w:rPr>
        <w:t>阳</w:t>
      </w:r>
      <w:r>
        <w:rPr>
          <w:spacing w:val="-3"/>
          <w:w w:val="100"/>
        </w:rPr>
        <w:t>市</w:t>
      </w:r>
      <w:r>
        <w:rPr>
          <w:w w:val="100"/>
        </w:rPr>
        <w:t>工</w:t>
      </w:r>
      <w:r>
        <w:rPr>
          <w:spacing w:val="-3"/>
          <w:w w:val="100"/>
        </w:rPr>
        <w:t>商</w:t>
      </w:r>
      <w:r>
        <w:rPr>
          <w:w w:val="100"/>
        </w:rPr>
        <w:t>行</w:t>
      </w:r>
      <w:r>
        <w:rPr>
          <w:spacing w:val="-3"/>
          <w:w w:val="100"/>
        </w:rPr>
        <w:t>政</w:t>
      </w:r>
      <w:r>
        <w:rPr>
          <w:w w:val="100"/>
        </w:rPr>
        <w:t>管</w:t>
      </w:r>
      <w:r>
        <w:rPr>
          <w:spacing w:val="-3"/>
          <w:w w:val="100"/>
        </w:rPr>
        <w:t>理</w:t>
      </w:r>
      <w:r>
        <w:rPr>
          <w:w w:val="100"/>
        </w:rPr>
        <w:t>局</w:t>
      </w:r>
    </w:p>
    <w:p>
      <w:pPr>
        <w:pStyle w:val="BodyText"/>
        <w:spacing w:line="272" w:lineRule="exact" w:before="27"/>
        <w:ind w:left="573" w:right="204" w:hanging="421"/>
        <w:jc w:val="left"/>
      </w:pPr>
      <w:r>
        <w:rPr>
          <w:spacing w:val="-2"/>
          <w:w w:val="100"/>
        </w:rPr>
        <w:t>办理工商变更登记手续，取得注册号为</w:t>
      </w:r>
      <w:r>
        <w:rPr>
          <w:spacing w:val="-53"/>
          <w:w w:val="100"/>
        </w:rPr>
        <w:t> </w:t>
      </w:r>
      <w:r>
        <w:rPr>
          <w:rFonts w:ascii="宋体" w:hAnsi="宋体" w:cs="宋体" w:eastAsia="宋体" w:hint="default"/>
          <w:spacing w:val="-1"/>
          <w:w w:val="100"/>
        </w:rPr>
        <w:t>210100000047160</w:t>
      </w:r>
      <w:r>
        <w:rPr>
          <w:rFonts w:ascii="宋体" w:hAnsi="宋体" w:cs="宋体" w:eastAsia="宋体" w:hint="default"/>
          <w:spacing w:val="-56"/>
          <w:w w:val="100"/>
        </w:rPr>
        <w:t> </w:t>
      </w:r>
      <w:r>
        <w:rPr>
          <w:spacing w:val="-10"/>
          <w:w w:val="100"/>
        </w:rPr>
        <w:t>的《企业法人营业执照》。</w:t>
      </w:r>
      <w:r>
        <w:rPr>
          <w:spacing w:val="-91"/>
          <w:w w:val="100"/>
        </w:rPr>
        <w:t> </w:t>
      </w:r>
      <w:r>
        <w:rPr>
          <w:spacing w:val="-91"/>
          <w:w w:val="100"/>
        </w:rPr>
      </w:r>
      <w:r>
        <w:rPr/>
        <w:t>经中国证券监督管理委员会证监许可</w:t>
      </w:r>
      <w:r>
        <w:rPr>
          <w:rFonts w:ascii="宋体" w:hAnsi="宋体" w:cs="宋体" w:eastAsia="宋体" w:hint="default"/>
        </w:rPr>
        <w:t>[2011]2143</w:t>
      </w:r>
      <w:r>
        <w:rPr>
          <w:rFonts w:ascii="宋体" w:hAnsi="宋体" w:cs="宋体" w:eastAsia="宋体" w:hint="default"/>
          <w:spacing w:val="-21"/>
        </w:rPr>
        <w:t> </w:t>
      </w:r>
      <w:r>
        <w:rPr>
          <w:spacing w:val="-5"/>
        </w:rPr>
        <w:t>号文核准，本公司向社会公众公开发行人民币普通股</w:t>
      </w:r>
    </w:p>
    <w:p>
      <w:pPr>
        <w:pStyle w:val="BodyText"/>
        <w:spacing w:line="247" w:lineRule="exact"/>
        <w:ind w:right="4"/>
        <w:jc w:val="left"/>
      </w:pPr>
      <w:r>
        <w:rPr/>
        <w:t>（</w:t>
      </w:r>
      <w:r>
        <w:rPr>
          <w:rFonts w:ascii="宋体" w:hAnsi="宋体" w:cs="宋体" w:eastAsia="宋体" w:hint="default"/>
        </w:rPr>
        <w:t>A</w:t>
      </w:r>
      <w:r>
        <w:rPr>
          <w:rFonts w:ascii="宋体" w:hAnsi="宋体" w:cs="宋体" w:eastAsia="宋体" w:hint="default"/>
          <w:spacing w:val="5"/>
        </w:rPr>
        <w:t> </w:t>
      </w:r>
      <w:r>
        <w:rPr>
          <w:spacing w:val="-8"/>
        </w:rPr>
        <w:t>股）股票</w:t>
      </w:r>
      <w:r>
        <w:rPr>
          <w:spacing w:val="-53"/>
        </w:rPr>
        <w:t> </w:t>
      </w:r>
      <w:r>
        <w:rPr>
          <w:rFonts w:ascii="宋体" w:hAnsi="宋体" w:cs="宋体" w:eastAsia="宋体" w:hint="default"/>
        </w:rPr>
        <w:t>1,700</w:t>
      </w:r>
      <w:r>
        <w:rPr>
          <w:rFonts w:ascii="宋体" w:hAnsi="宋体" w:cs="宋体" w:eastAsia="宋体" w:hint="default"/>
          <w:spacing w:val="-51"/>
        </w:rPr>
        <w:t> </w:t>
      </w:r>
      <w:r>
        <w:rPr>
          <w:spacing w:val="-6"/>
        </w:rPr>
        <w:t>万股，每股面值</w:t>
      </w:r>
      <w:r>
        <w:rPr>
          <w:spacing w:val="-50"/>
        </w:rPr>
        <w:t> </w:t>
      </w:r>
      <w:r>
        <w:rPr>
          <w:rFonts w:ascii="宋体" w:hAnsi="宋体" w:cs="宋体" w:eastAsia="宋体" w:hint="default"/>
        </w:rPr>
        <w:t>1.00</w:t>
      </w:r>
      <w:r>
        <w:rPr>
          <w:rFonts w:ascii="宋体" w:hAnsi="宋体" w:cs="宋体" w:eastAsia="宋体" w:hint="default"/>
          <w:spacing w:val="3"/>
        </w:rPr>
        <w:t> </w:t>
      </w:r>
      <w:r>
        <w:rPr>
          <w:spacing w:val="-5"/>
        </w:rPr>
        <w:t>元，公司股票已于</w:t>
      </w:r>
      <w:r>
        <w:rPr>
          <w:spacing w:val="-50"/>
        </w:rPr>
        <w:t> </w:t>
      </w:r>
      <w:r>
        <w:rPr>
          <w:rFonts w:ascii="宋体" w:hAnsi="宋体" w:cs="宋体" w:eastAsia="宋体" w:hint="default"/>
        </w:rPr>
        <w:t>2012</w:t>
      </w:r>
      <w:r>
        <w:rPr>
          <w:rFonts w:ascii="宋体" w:hAnsi="宋体" w:cs="宋体" w:eastAsia="宋体" w:hint="default"/>
          <w:spacing w:val="3"/>
        </w:rPr>
        <w:t> </w:t>
      </w:r>
      <w:r>
        <w:rPr/>
        <w:t>年</w:t>
      </w:r>
      <w:r>
        <w:rPr>
          <w:spacing w:val="-51"/>
        </w:rPr>
        <w:t> </w:t>
      </w:r>
      <w:r>
        <w:rPr>
          <w:rFonts w:ascii="宋体" w:hAnsi="宋体" w:cs="宋体" w:eastAsia="宋体" w:hint="default"/>
        </w:rPr>
        <w:t>2</w:t>
      </w:r>
      <w:r>
        <w:rPr>
          <w:rFonts w:ascii="宋体" w:hAnsi="宋体" w:cs="宋体" w:eastAsia="宋体" w:hint="default"/>
          <w:spacing w:val="-53"/>
        </w:rPr>
        <w:t> </w:t>
      </w:r>
      <w:r>
        <w:rPr/>
        <w:t>月</w:t>
      </w:r>
      <w:r>
        <w:rPr>
          <w:spacing w:val="-51"/>
        </w:rPr>
        <w:t> </w:t>
      </w:r>
      <w:r>
        <w:rPr>
          <w:rFonts w:ascii="宋体" w:hAnsi="宋体" w:cs="宋体" w:eastAsia="宋体" w:hint="default"/>
        </w:rPr>
        <w:t>16 </w:t>
      </w:r>
      <w:r>
        <w:rPr/>
        <w:t>日在深圳证券交易所挂牌交</w:t>
      </w:r>
    </w:p>
    <w:p>
      <w:pPr>
        <w:pStyle w:val="BodyText"/>
        <w:spacing w:line="240" w:lineRule="auto"/>
        <w:ind w:right="4"/>
        <w:jc w:val="left"/>
      </w:pPr>
      <w:r>
        <w:rPr/>
        <w:t>易。发行后公司股本变更为</w:t>
      </w:r>
      <w:r>
        <w:rPr>
          <w:spacing w:val="-49"/>
        </w:rPr>
        <w:t> </w:t>
      </w:r>
      <w:r>
        <w:rPr>
          <w:rFonts w:ascii="宋体" w:hAnsi="宋体" w:cs="宋体" w:eastAsia="宋体" w:hint="default"/>
        </w:rPr>
        <w:t>6,800.00</w:t>
      </w:r>
      <w:r>
        <w:rPr>
          <w:rFonts w:ascii="宋体" w:hAnsi="宋体" w:cs="宋体" w:eastAsia="宋体" w:hint="default"/>
          <w:spacing w:val="-3"/>
        </w:rPr>
        <w:t> </w:t>
      </w:r>
      <w:r>
        <w:rPr/>
        <w:t>万股。公司已于</w:t>
      </w:r>
      <w:r>
        <w:rPr>
          <w:spacing w:val="-51"/>
        </w:rPr>
        <w:t> </w:t>
      </w:r>
      <w:r>
        <w:rPr>
          <w:rFonts w:ascii="宋体" w:hAnsi="宋体" w:cs="宋体" w:eastAsia="宋体" w:hint="default"/>
        </w:rPr>
        <w:t>2012</w:t>
      </w:r>
      <w:r>
        <w:rPr>
          <w:rFonts w:ascii="宋体" w:hAnsi="宋体" w:cs="宋体" w:eastAsia="宋体" w:hint="default"/>
          <w:spacing w:val="-49"/>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w:t>
      </w:r>
      <w:r>
        <w:rPr>
          <w:spacing w:val="-49"/>
        </w:rPr>
        <w:t> </w:t>
      </w:r>
      <w:r>
        <w:rPr>
          <w:rFonts w:ascii="宋体" w:hAnsi="宋体" w:cs="宋体" w:eastAsia="宋体" w:hint="default"/>
        </w:rPr>
        <w:t>11</w:t>
      </w:r>
      <w:r>
        <w:rPr>
          <w:rFonts w:ascii="宋体" w:hAnsi="宋体" w:cs="宋体" w:eastAsia="宋体" w:hint="default"/>
          <w:spacing w:val="-49"/>
        </w:rPr>
        <w:t> </w:t>
      </w:r>
      <w:r>
        <w:rPr/>
        <w:t>日在沈阳市工商行政管理局办理工</w:t>
      </w:r>
      <w:r>
        <w:rPr>
          <w:w w:val="100"/>
        </w:rPr>
        <w:t> </w:t>
      </w:r>
      <w:r>
        <w:rPr/>
        <w:t>商变更登记手续。</w:t>
      </w:r>
    </w:p>
    <w:p>
      <w:pPr>
        <w:pStyle w:val="BodyText"/>
        <w:spacing w:line="271" w:lineRule="exact"/>
        <w:ind w:left="573" w:right="4"/>
        <w:jc w:val="left"/>
      </w:pPr>
      <w:r>
        <w:rPr/>
        <w:t>截至</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日止，公司注册资本为人民币</w:t>
      </w:r>
      <w:r>
        <w:rPr>
          <w:spacing w:val="-55"/>
        </w:rPr>
        <w:t> </w:t>
      </w:r>
      <w:r>
        <w:rPr>
          <w:rFonts w:ascii="宋体" w:hAnsi="宋体" w:cs="宋体" w:eastAsia="宋体" w:hint="default"/>
        </w:rPr>
        <w:t>68,000,000.00</w:t>
      </w:r>
      <w:r>
        <w:rPr>
          <w:rFonts w:ascii="宋体" w:hAnsi="宋体" w:cs="宋体" w:eastAsia="宋体" w:hint="default"/>
          <w:spacing w:val="-55"/>
        </w:rPr>
        <w:t> </w:t>
      </w:r>
      <w:r>
        <w:rPr/>
        <w:t>元。</w:t>
      </w:r>
    </w:p>
    <w:p>
      <w:pPr>
        <w:spacing w:line="272" w:lineRule="exact" w:before="27"/>
        <w:ind w:left="573" w:right="6777" w:firstLine="2"/>
        <w:jc w:val="left"/>
        <w:rPr>
          <w:rFonts w:ascii="宋体" w:hAnsi="宋体" w:cs="宋体" w:eastAsia="宋体" w:hint="default"/>
          <w:sz w:val="21"/>
          <w:szCs w:val="21"/>
        </w:rPr>
      </w:pPr>
      <w:r>
        <w:rPr>
          <w:rFonts w:ascii="宋体" w:hAnsi="宋体" w:cs="宋体" w:eastAsia="宋体" w:hint="default"/>
          <w:b/>
          <w:bCs/>
          <w:sz w:val="21"/>
          <w:szCs w:val="21"/>
        </w:rPr>
        <w:t>（二）行业性质</w:t>
      </w:r>
      <w:r>
        <w:rPr>
          <w:rFonts w:ascii="宋体" w:hAnsi="宋体" w:cs="宋体" w:eastAsia="宋体" w:hint="default"/>
          <w:b/>
          <w:bCs/>
          <w:w w:val="100"/>
          <w:sz w:val="21"/>
          <w:szCs w:val="21"/>
        </w:rPr>
        <w:t> </w:t>
      </w:r>
      <w:r>
        <w:rPr>
          <w:rFonts w:ascii="宋体" w:hAnsi="宋体" w:cs="宋体" w:eastAsia="宋体" w:hint="default"/>
          <w:spacing w:val="-2"/>
          <w:sz w:val="21"/>
          <w:szCs w:val="21"/>
        </w:rPr>
        <w:t>公司属计算机应用服务业。</w:t>
      </w:r>
    </w:p>
    <w:p>
      <w:pPr>
        <w:pStyle w:val="BodyText"/>
        <w:spacing w:line="272" w:lineRule="exact" w:before="1"/>
        <w:ind w:left="573" w:right="4" w:firstLine="2"/>
        <w:jc w:val="left"/>
      </w:pPr>
      <w:r>
        <w:rPr>
          <w:rFonts w:ascii="宋体" w:hAnsi="宋体" w:cs="宋体" w:eastAsia="宋体" w:hint="default"/>
          <w:b/>
          <w:bCs/>
        </w:rPr>
        <w:t>（三）主要业务</w:t>
      </w:r>
      <w:r>
        <w:rPr>
          <w:rFonts w:ascii="宋体" w:hAnsi="宋体" w:cs="宋体" w:eastAsia="宋体" w:hint="default"/>
          <w:b/>
          <w:bCs/>
          <w:w w:val="100"/>
        </w:rPr>
        <w:t> </w:t>
      </w:r>
      <w:r>
        <w:rPr>
          <w:spacing w:val="2"/>
        </w:rPr>
        <w:t>公司主要产品及业务：数据中心集成建设与运营维护的第三方服务（以下简称“数据中心第三方服</w:t>
      </w:r>
    </w:p>
    <w:p>
      <w:pPr>
        <w:pStyle w:val="BodyText"/>
        <w:spacing w:line="246" w:lineRule="exact"/>
        <w:ind w:right="4"/>
        <w:jc w:val="left"/>
      </w:pPr>
      <w:r>
        <w:rPr/>
        <w:t>务”）、重点行业信息化解决方案以及金融</w:t>
      </w:r>
      <w:r>
        <w:rPr>
          <w:spacing w:val="-55"/>
        </w:rPr>
        <w:t> </w:t>
      </w:r>
      <w:r>
        <w:rPr>
          <w:rFonts w:ascii="宋体" w:hAnsi="宋体" w:cs="宋体" w:eastAsia="宋体" w:hint="default"/>
        </w:rPr>
        <w:t>IT</w:t>
      </w:r>
      <w:r>
        <w:rPr>
          <w:rFonts w:ascii="宋体" w:hAnsi="宋体" w:cs="宋体" w:eastAsia="宋体" w:hint="default"/>
          <w:spacing w:val="-55"/>
        </w:rPr>
        <w:t> </w:t>
      </w:r>
      <w:r>
        <w:rPr/>
        <w:t>外包服务。</w:t>
      </w:r>
    </w:p>
    <w:p>
      <w:pPr>
        <w:pStyle w:val="BodyText"/>
        <w:spacing w:line="272" w:lineRule="exact" w:before="27"/>
        <w:ind w:left="573" w:right="4" w:firstLine="2"/>
        <w:jc w:val="left"/>
      </w:pPr>
      <w:r>
        <w:rPr>
          <w:rFonts w:ascii="宋体" w:hAnsi="宋体" w:cs="宋体" w:eastAsia="宋体" w:hint="default"/>
          <w:b/>
          <w:bCs/>
        </w:rPr>
        <w:t>（四）经营范围</w:t>
      </w:r>
      <w:r>
        <w:rPr>
          <w:rFonts w:ascii="宋体" w:hAnsi="宋体" w:cs="宋体" w:eastAsia="宋体" w:hint="default"/>
          <w:b/>
          <w:bCs/>
          <w:w w:val="100"/>
        </w:rPr>
        <w:t> </w:t>
      </w:r>
      <w:r>
        <w:rPr>
          <w:spacing w:val="-2"/>
        </w:rPr>
        <w:t>公司的经营范围为：第二类增值电信业务中的信息服务业务（不含固定网电话信息服务和互联网信息</w:t>
      </w:r>
    </w:p>
    <w:p>
      <w:pPr>
        <w:pStyle w:val="BodyText"/>
        <w:spacing w:line="272" w:lineRule="exact" w:before="1"/>
        <w:ind w:right="4"/>
        <w:jc w:val="left"/>
      </w:pPr>
      <w:r>
        <w:rPr>
          <w:spacing w:val="-2"/>
        </w:rPr>
        <w:t>服务）；计算机软硬件技术、电控工程技术开发；计算机系统集成（持资质证经营）及咨询服务；计算机</w:t>
      </w:r>
      <w:r>
        <w:rPr>
          <w:spacing w:val="-46"/>
        </w:rPr>
        <w:t> </w:t>
      </w:r>
      <w:r>
        <w:rPr>
          <w:spacing w:val="-46"/>
        </w:rPr>
      </w:r>
      <w:r>
        <w:rPr>
          <w:spacing w:val="-2"/>
        </w:rPr>
        <w:t>及辅助设备、通讯器材、机械电子设备销售；建筑智能化工程、防雷电工程、安全技术防范设施工程、弱</w:t>
      </w:r>
      <w:r>
        <w:rPr/>
      </w:r>
    </w:p>
    <w:p>
      <w:pPr>
        <w:pStyle w:val="BodyText"/>
        <w:spacing w:line="272" w:lineRule="exact" w:before="1"/>
        <w:ind w:right="4"/>
        <w:jc w:val="left"/>
      </w:pPr>
      <w:r>
        <w:rPr>
          <w:spacing w:val="-2"/>
        </w:rPr>
        <w:t>电工程设计、施工，计算机房装修及综合布线（上述项目持资质证经营）；计算机系统维护，自营和代理</w:t>
      </w:r>
      <w:r>
        <w:rPr>
          <w:spacing w:val="-42"/>
        </w:rPr>
        <w:t> </w:t>
      </w:r>
      <w:r>
        <w:rPr>
          <w:spacing w:val="-42"/>
        </w:rPr>
      </w:r>
      <w:r>
        <w:rPr/>
        <w:t>各类商品和技术的进出口，但国家限定公司经营或禁止进出口的商品和技术除外。</w:t>
      </w:r>
    </w:p>
    <w:p>
      <w:pPr>
        <w:pStyle w:val="BodyText"/>
        <w:spacing w:line="247" w:lineRule="exact"/>
        <w:ind w:left="573" w:right="4"/>
        <w:jc w:val="left"/>
      </w:pPr>
      <w:r>
        <w:rPr/>
        <w:t>公司注册地址为沈阳市和平区和平北大街</w:t>
      </w:r>
      <w:r>
        <w:rPr>
          <w:spacing w:val="-54"/>
        </w:rPr>
        <w:t> </w:t>
      </w:r>
      <w:r>
        <w:rPr>
          <w:rFonts w:ascii="宋体" w:hAnsi="宋体" w:cs="宋体" w:eastAsia="宋体" w:hint="default"/>
        </w:rPr>
        <w:t>62</w:t>
      </w:r>
      <w:r>
        <w:rPr>
          <w:rFonts w:ascii="宋体" w:hAnsi="宋体" w:cs="宋体" w:eastAsia="宋体" w:hint="default"/>
          <w:spacing w:val="-56"/>
        </w:rPr>
        <w:t> </w:t>
      </w:r>
      <w:r>
        <w:rPr/>
        <w:t>号，法定代表人为付永全。</w:t>
      </w:r>
    </w:p>
    <w:p>
      <w:pPr>
        <w:pStyle w:val="BodyText"/>
        <w:spacing w:line="240" w:lineRule="auto"/>
        <w:ind w:left="573" w:right="203" w:firstLine="2"/>
        <w:jc w:val="left"/>
      </w:pPr>
      <w:r>
        <w:rPr>
          <w:rFonts w:ascii="宋体" w:hAnsi="宋体" w:cs="宋体" w:eastAsia="宋体" w:hint="default"/>
          <w:b/>
          <w:bCs/>
        </w:rPr>
        <w:t>（五）组织架构</w:t>
      </w:r>
      <w:r>
        <w:rPr>
          <w:rFonts w:ascii="宋体" w:hAnsi="宋体" w:cs="宋体" w:eastAsia="宋体" w:hint="default"/>
          <w:b/>
          <w:bCs/>
          <w:w w:val="100"/>
        </w:rPr>
        <w:t> </w:t>
      </w:r>
      <w:r>
        <w:rPr/>
        <w:t>股东大会是由全体股东组成本公司权力机构；董事会是本公司决策机构，现董事会设</w:t>
      </w:r>
      <w:r>
        <w:rPr>
          <w:spacing w:val="-57"/>
        </w:rPr>
        <w:t> </w:t>
      </w:r>
      <w:r>
        <w:rPr>
          <w:rFonts w:ascii="宋体" w:hAnsi="宋体" w:cs="宋体" w:eastAsia="宋体" w:hint="default"/>
        </w:rPr>
        <w:t>9</w:t>
      </w:r>
      <w:r>
        <w:rPr>
          <w:rFonts w:ascii="宋体" w:hAnsi="宋体" w:cs="宋体" w:eastAsia="宋体" w:hint="default"/>
          <w:spacing w:val="-60"/>
        </w:rPr>
        <w:t> </w:t>
      </w:r>
      <w:r>
        <w:rPr>
          <w:spacing w:val="-3"/>
        </w:rPr>
        <w:t>名董事，其中</w:t>
      </w:r>
    </w:p>
    <w:p>
      <w:pPr>
        <w:spacing w:after="0" w:line="240" w:lineRule="auto"/>
        <w:jc w:val="left"/>
        <w:sectPr>
          <w:headerReference w:type="default" r:id="rId40"/>
          <w:footerReference w:type="default" r:id="rId41"/>
          <w:pgSz w:w="11910" w:h="16840"/>
          <w:pgMar w:header="884" w:footer="979" w:top="1100" w:bottom="1160" w:left="980" w:right="920"/>
          <w:pgNumType w:start="6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48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3" w:lineRule="exact" w:before="36"/>
        <w:ind w:right="4"/>
        <w:jc w:val="left"/>
      </w:pPr>
      <w:r>
        <w:rPr>
          <w:rFonts w:ascii="宋体" w:hAnsi="宋体" w:cs="宋体" w:eastAsia="宋体" w:hint="default"/>
        </w:rPr>
        <w:t>3</w:t>
      </w:r>
      <w:r>
        <w:rPr>
          <w:rFonts w:ascii="宋体" w:hAnsi="宋体" w:cs="宋体" w:eastAsia="宋体" w:hint="default"/>
          <w:spacing w:val="-48"/>
        </w:rPr>
        <w:t> </w:t>
      </w:r>
      <w:r>
        <w:rPr/>
        <w:t>名为独立董事，设董事长</w:t>
      </w:r>
      <w:r>
        <w:rPr>
          <w:spacing w:val="-49"/>
        </w:rPr>
        <w:t> </w:t>
      </w:r>
      <w:r>
        <w:rPr>
          <w:rFonts w:ascii="宋体" w:hAnsi="宋体" w:cs="宋体" w:eastAsia="宋体" w:hint="default"/>
        </w:rPr>
        <w:t>1</w:t>
      </w:r>
      <w:r>
        <w:rPr>
          <w:rFonts w:ascii="宋体" w:hAnsi="宋体" w:cs="宋体" w:eastAsia="宋体" w:hint="default"/>
          <w:spacing w:val="-51"/>
        </w:rPr>
        <w:t> </w:t>
      </w:r>
      <w:r>
        <w:rPr/>
        <w:t>名；监事会是公司的监督机构，现监事会设</w:t>
      </w:r>
      <w:r>
        <w:rPr>
          <w:spacing w:val="-52"/>
        </w:rPr>
        <w:t> </w:t>
      </w:r>
      <w:r>
        <w:rPr>
          <w:rFonts w:ascii="宋体" w:hAnsi="宋体" w:cs="宋体" w:eastAsia="宋体" w:hint="default"/>
        </w:rPr>
        <w:t>3</w:t>
      </w:r>
      <w:r>
        <w:rPr>
          <w:rFonts w:ascii="宋体" w:hAnsi="宋体" w:cs="宋体" w:eastAsia="宋体" w:hint="default"/>
          <w:spacing w:val="-51"/>
        </w:rPr>
        <w:t> </w:t>
      </w:r>
      <w:r>
        <w:rPr/>
        <w:t>名监事，其中职工代表</w:t>
      </w:r>
      <w:r>
        <w:rPr>
          <w:spacing w:val="-51"/>
        </w:rPr>
        <w:t> </w:t>
      </w:r>
      <w:r>
        <w:rPr>
          <w:rFonts w:ascii="宋体" w:hAnsi="宋体" w:cs="宋体" w:eastAsia="宋体" w:hint="default"/>
        </w:rPr>
        <w:t>1</w:t>
      </w:r>
      <w:r>
        <w:rPr>
          <w:rFonts w:ascii="宋体" w:hAnsi="宋体" w:cs="宋体" w:eastAsia="宋体" w:hint="default"/>
          <w:spacing w:val="-51"/>
        </w:rPr>
        <w:t> </w:t>
      </w:r>
      <w:r>
        <w:rPr/>
        <w:t>名，</w:t>
      </w:r>
    </w:p>
    <w:p>
      <w:pPr>
        <w:pStyle w:val="BodyText"/>
        <w:spacing w:line="272" w:lineRule="exact"/>
        <w:ind w:right="4"/>
        <w:jc w:val="left"/>
      </w:pPr>
      <w:r>
        <w:rPr/>
        <w:t>设监事会主席</w:t>
      </w:r>
      <w:r>
        <w:rPr>
          <w:spacing w:val="-41"/>
        </w:rPr>
        <w:t> </w:t>
      </w:r>
      <w:r>
        <w:rPr>
          <w:rFonts w:ascii="宋体" w:hAnsi="宋体" w:cs="宋体" w:eastAsia="宋体" w:hint="default"/>
        </w:rPr>
        <w:t>1</w:t>
      </w:r>
      <w:r>
        <w:rPr>
          <w:rFonts w:ascii="宋体" w:hAnsi="宋体" w:cs="宋体" w:eastAsia="宋体" w:hint="default"/>
          <w:spacing w:val="-39"/>
        </w:rPr>
        <w:t> </w:t>
      </w:r>
      <w:r>
        <w:rPr/>
        <w:t>名。</w:t>
      </w:r>
      <w:r>
        <w:rPr>
          <w:spacing w:val="-3"/>
        </w:rPr>
        <w:t> </w:t>
      </w:r>
      <w:r>
        <w:rPr/>
        <w:t>本公司设总经理</w:t>
      </w:r>
      <w:r>
        <w:rPr>
          <w:spacing w:val="-39"/>
        </w:rPr>
        <w:t> </w:t>
      </w:r>
      <w:r>
        <w:rPr>
          <w:rFonts w:ascii="宋体" w:hAnsi="宋体" w:cs="宋体" w:eastAsia="宋体" w:hint="default"/>
        </w:rPr>
        <w:t>1</w:t>
      </w:r>
      <w:r>
        <w:rPr>
          <w:rFonts w:ascii="宋体" w:hAnsi="宋体" w:cs="宋体" w:eastAsia="宋体" w:hint="default"/>
          <w:spacing w:val="-42"/>
        </w:rPr>
        <w:t> </w:t>
      </w:r>
      <w:r>
        <w:rPr/>
        <w:t>名，总经理主持公司日常生产经营和管理工作；现设总监</w:t>
      </w:r>
      <w:r>
        <w:rPr>
          <w:spacing w:val="-39"/>
        </w:rPr>
        <w:t> </w:t>
      </w:r>
      <w:r>
        <w:rPr>
          <w:rFonts w:ascii="宋体" w:hAnsi="宋体" w:cs="宋体" w:eastAsia="宋体" w:hint="default"/>
        </w:rPr>
        <w:t>4</w:t>
      </w:r>
      <w:r>
        <w:rPr>
          <w:rFonts w:ascii="宋体" w:hAnsi="宋体" w:cs="宋体" w:eastAsia="宋体" w:hint="default"/>
          <w:spacing w:val="-42"/>
        </w:rPr>
        <w:t> </w:t>
      </w:r>
      <w:r>
        <w:rPr>
          <w:spacing w:val="-3"/>
        </w:rPr>
        <w:t>名，</w:t>
      </w:r>
      <w:r>
        <w:rPr/>
      </w:r>
    </w:p>
    <w:p>
      <w:pPr>
        <w:pStyle w:val="BodyText"/>
        <w:spacing w:line="272" w:lineRule="exact"/>
        <w:ind w:right="4"/>
        <w:jc w:val="left"/>
      </w:pPr>
      <w:r>
        <w:rPr>
          <w:spacing w:val="-3"/>
        </w:rPr>
        <w:t>协助总经理工作。设董事会秘书 </w:t>
      </w:r>
      <w:r>
        <w:rPr>
          <w:rFonts w:ascii="宋体" w:hAnsi="宋体" w:cs="宋体" w:eastAsia="宋体" w:hint="default"/>
        </w:rPr>
        <w:t>1</w:t>
      </w:r>
      <w:r>
        <w:rPr>
          <w:rFonts w:ascii="宋体" w:hAnsi="宋体" w:cs="宋体" w:eastAsia="宋体" w:hint="default"/>
          <w:spacing w:val="33"/>
        </w:rPr>
        <w:t> </w:t>
      </w:r>
      <w:r>
        <w:rPr>
          <w:spacing w:val="-4"/>
        </w:rPr>
        <w:t>名，负责对外信息披露，处理公司与证券管理部门、公司与股东的相关</w:t>
      </w:r>
    </w:p>
    <w:p>
      <w:pPr>
        <w:pStyle w:val="BodyText"/>
        <w:spacing w:line="240" w:lineRule="auto"/>
        <w:ind w:right="4"/>
        <w:jc w:val="left"/>
      </w:pPr>
      <w:r>
        <w:rPr>
          <w:spacing w:val="-4"/>
        </w:rPr>
        <w:t>事宜；本公司现设</w:t>
      </w:r>
      <w:r>
        <w:rPr>
          <w:spacing w:val="-15"/>
        </w:rPr>
        <w:t> </w:t>
      </w:r>
      <w:r>
        <w:rPr>
          <w:rFonts w:ascii="宋体" w:hAnsi="宋体" w:cs="宋体" w:eastAsia="宋体" w:hint="default"/>
        </w:rPr>
        <w:t>9</w:t>
      </w:r>
      <w:r>
        <w:rPr>
          <w:rFonts w:ascii="宋体" w:hAnsi="宋体" w:cs="宋体" w:eastAsia="宋体" w:hint="default"/>
          <w:spacing w:val="-20"/>
        </w:rPr>
        <w:t> </w:t>
      </w:r>
      <w:r>
        <w:rPr>
          <w:spacing w:val="-5"/>
        </w:rPr>
        <w:t>个职能部门，技术部、销售部、人力资源部、行政部、财务部、商务部、运营管理部、</w:t>
      </w:r>
      <w:r>
        <w:rPr>
          <w:spacing w:val="-91"/>
        </w:rPr>
        <w:t> </w:t>
      </w:r>
      <w:r>
        <w:rPr>
          <w:spacing w:val="-91"/>
        </w:rPr>
      </w:r>
      <w:r>
        <w:rPr/>
        <w:t>证券投资部、审计部。</w:t>
      </w:r>
    </w:p>
    <w:p>
      <w:pPr>
        <w:spacing w:line="240" w:lineRule="auto" w:before="9"/>
        <w:rPr>
          <w:rFonts w:ascii="宋体" w:hAnsi="宋体" w:cs="宋体" w:eastAsia="宋体" w:hint="default"/>
          <w:sz w:val="14"/>
          <w:szCs w:val="14"/>
        </w:rPr>
      </w:pPr>
    </w:p>
    <w:p>
      <w:pPr>
        <w:pStyle w:val="Heading4"/>
        <w:spacing w:line="240" w:lineRule="auto"/>
        <w:ind w:right="4"/>
        <w:jc w:val="left"/>
        <w:rPr>
          <w:b w:val="0"/>
          <w:bCs w:val="0"/>
        </w:rPr>
      </w:pPr>
      <w:r>
        <w:rPr/>
        <w:t>四、公司主要会计政策、会计估计和前期差错</w:t>
      </w:r>
      <w:r>
        <w:rPr>
          <w:b w:val="0"/>
          <w:bCs w:val="0"/>
        </w:rPr>
      </w:r>
    </w:p>
    <w:p>
      <w:pPr>
        <w:spacing w:line="450" w:lineRule="atLeast" w:before="28"/>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本公司以持续经营为基础，根据实际发生的交易和事项，按照《企业会计准则》、应用指南及准则解</w:t>
      </w:r>
    </w:p>
    <w:p>
      <w:pPr>
        <w:spacing w:line="324" w:lineRule="auto" w:before="0"/>
        <w:ind w:left="152" w:right="4350" w:firstLine="0"/>
        <w:jc w:val="left"/>
        <w:rPr>
          <w:rFonts w:ascii="宋体" w:hAnsi="宋体" w:cs="宋体" w:eastAsia="宋体" w:hint="default"/>
          <w:sz w:val="21"/>
          <w:szCs w:val="21"/>
        </w:rPr>
      </w:pPr>
      <w:r>
        <w:rPr>
          <w:rFonts w:ascii="宋体" w:hAnsi="宋体" w:cs="宋体" w:eastAsia="宋体" w:hint="default"/>
          <w:spacing w:val="-2"/>
          <w:sz w:val="21"/>
          <w:szCs w:val="21"/>
        </w:rPr>
        <w:t>释的规定进行确认和计量，在此基础上编制财务报表。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pStyle w:val="BodyText"/>
        <w:spacing w:line="240" w:lineRule="auto" w:before="107"/>
        <w:ind w:right="284" w:firstLine="420"/>
        <w:jc w:val="left"/>
      </w:pPr>
      <w:r>
        <w:rPr/>
        <w:t>本公司编制的</w:t>
      </w:r>
      <w:r>
        <w:rPr>
          <w:rFonts w:ascii="宋体" w:hAnsi="宋体" w:cs="宋体" w:eastAsia="宋体" w:hint="default"/>
        </w:rPr>
        <w:t>2012</w:t>
      </w:r>
      <w:r>
        <w:rPr/>
        <w:t>年年度合并及母公司财务报表符合《企业会计准则》的要求，</w:t>
      </w:r>
      <w:r>
        <w:rPr>
          <w:spacing w:val="-5"/>
        </w:rPr>
        <w:t> </w:t>
      </w:r>
      <w:r>
        <w:rPr/>
        <w:t>真实完整地反映了</w:t>
      </w:r>
      <w:r>
        <w:rPr>
          <w:w w:val="100"/>
        </w:rPr>
        <w:t> </w:t>
      </w:r>
      <w:r>
        <w:rPr/>
        <w:t>本公司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日的财务状况、</w:t>
      </w:r>
      <w:r>
        <w:rPr>
          <w:rFonts w:ascii="宋体" w:hAnsi="宋体" w:cs="宋体" w:eastAsia="宋体" w:hint="default"/>
        </w:rPr>
        <w:t>2012</w:t>
      </w:r>
      <w:r>
        <w:rPr/>
        <w:t>年度的经营成果和现金流量等有关信息。</w:t>
      </w:r>
    </w:p>
    <w:p>
      <w:pPr>
        <w:pStyle w:val="Heading5"/>
        <w:spacing w:line="240" w:lineRule="auto" w:before="92"/>
        <w:ind w:right="4"/>
        <w:jc w:val="left"/>
        <w:rPr>
          <w:b w:val="0"/>
          <w:bCs w:val="0"/>
        </w:rPr>
      </w:pPr>
      <w:r>
        <w:rPr>
          <w:rFonts w:ascii="宋体" w:hAnsi="宋体" w:cs="宋体" w:eastAsia="宋体" w:hint="default"/>
        </w:rPr>
        <w:t>3</w:t>
      </w:r>
      <w:r>
        <w:rPr/>
        <w:t>、会计期间</w:t>
      </w:r>
      <w:r>
        <w:rPr>
          <w:b w:val="0"/>
          <w:bCs w:val="0"/>
        </w:rPr>
      </w:r>
    </w:p>
    <w:p>
      <w:pPr>
        <w:spacing w:line="240" w:lineRule="auto" w:before="11"/>
        <w:rPr>
          <w:rFonts w:ascii="宋体" w:hAnsi="宋体" w:cs="宋体" w:eastAsia="宋体" w:hint="default"/>
          <w:b/>
          <w:bCs/>
          <w:sz w:val="13"/>
          <w:szCs w:val="13"/>
        </w:rPr>
      </w:pPr>
    </w:p>
    <w:p>
      <w:pPr>
        <w:pStyle w:val="BodyText"/>
        <w:spacing w:line="321" w:lineRule="auto"/>
        <w:ind w:right="2047" w:firstLine="420"/>
        <w:jc w:val="left"/>
        <w:rPr>
          <w:rFonts w:ascii="宋体" w:hAnsi="宋体" w:cs="宋体" w:eastAsia="宋体" w:hint="default"/>
        </w:rPr>
      </w:pPr>
      <w:r>
        <w:rPr>
          <w:spacing w:val="-2"/>
        </w:rPr>
        <w:t>本公司会计年度采用公历制，即公历</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日为一个会计年度。</w:t>
      </w:r>
      <w:r>
        <w:rPr>
          <w:w w:val="100"/>
        </w:rPr>
        <w:t> </w:t>
      </w:r>
      <w:r>
        <w:rPr>
          <w:rFonts w:ascii="宋体" w:hAnsi="宋体" w:cs="宋体" w:eastAsia="宋体" w:hint="default"/>
          <w:b/>
          <w:bCs/>
        </w:rPr>
        <w:t>4</w:t>
      </w:r>
      <w:r>
        <w:rPr>
          <w:rFonts w:ascii="宋体" w:hAnsi="宋体" w:cs="宋体" w:eastAsia="宋体" w:hint="default"/>
          <w:b/>
          <w:bCs/>
        </w:rPr>
        <w:t>、记账本位币</w:t>
      </w:r>
      <w:r>
        <w:rPr>
          <w:rFonts w:ascii="宋体" w:hAnsi="宋体" w:cs="宋体" w:eastAsia="宋体" w:hint="default"/>
        </w:rPr>
      </w:r>
    </w:p>
    <w:p>
      <w:pPr>
        <w:spacing w:line="321" w:lineRule="auto" w:before="109"/>
        <w:ind w:left="152" w:right="4350" w:firstLine="420"/>
        <w:jc w:val="left"/>
        <w:rPr>
          <w:rFonts w:ascii="宋体" w:hAnsi="宋体" w:cs="宋体" w:eastAsia="宋体" w:hint="default"/>
          <w:sz w:val="21"/>
          <w:szCs w:val="21"/>
        </w:rPr>
      </w:pPr>
      <w:r>
        <w:rPr>
          <w:rFonts w:ascii="宋体" w:hAnsi="宋体" w:cs="宋体" w:eastAsia="宋体" w:hint="default"/>
          <w:sz w:val="21"/>
          <w:szCs w:val="21"/>
        </w:rPr>
        <w:t>本公司以人民币为记账本位币。</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、同一控制下和非同一控制下企业合并的会计处理方法</w:t>
      </w:r>
      <w:r>
        <w:rPr>
          <w:rFonts w:ascii="宋体" w:hAnsi="宋体" w:cs="宋体" w:eastAsia="宋体" w:hint="default"/>
          <w:spacing w:val="-1"/>
          <w:sz w:val="21"/>
          <w:szCs w:val="21"/>
        </w:rPr>
      </w:r>
    </w:p>
    <w:p>
      <w:pPr>
        <w:pStyle w:val="Heading5"/>
        <w:spacing w:line="240" w:lineRule="auto" w:before="163"/>
        <w:ind w:right="4"/>
        <w:jc w:val="left"/>
        <w:rPr>
          <w:b w:val="0"/>
          <w:bCs w:val="0"/>
        </w:rPr>
      </w:pPr>
      <w:r>
        <w:rPr/>
        <w:t>（</w:t>
      </w:r>
      <w:r>
        <w:rPr>
          <w:rFonts w:ascii="宋体" w:hAnsi="宋体" w:cs="宋体" w:eastAsia="宋体" w:hint="default"/>
        </w:rPr>
        <w:t>1</w:t>
      </w:r>
      <w:r>
        <w:rPr/>
        <w:t>）同一控制下企业合并</w:t>
      </w:r>
      <w:r>
        <w:rPr>
          <w:b w:val="0"/>
          <w:bCs w:val="0"/>
        </w:rPr>
      </w:r>
    </w:p>
    <w:p>
      <w:pPr>
        <w:pStyle w:val="BodyText"/>
        <w:spacing w:line="274" w:lineRule="exact" w:before="97"/>
        <w:ind w:left="573" w:right="4"/>
        <w:jc w:val="left"/>
      </w:pPr>
      <w:r>
        <w:rPr/>
        <w:t>①同一控制下的控股合并的会计处理方法详见本附注二、（十二）</w:t>
      </w:r>
    </w:p>
    <w:p>
      <w:pPr>
        <w:pStyle w:val="BodyText"/>
        <w:spacing w:line="272" w:lineRule="exact" w:before="27"/>
        <w:ind w:right="4" w:firstLine="420"/>
        <w:jc w:val="left"/>
      </w:pPr>
      <w:r>
        <w:rPr/>
        <w:t>②同一控制下的吸收合并的会计处理方法</w:t>
      </w:r>
      <w:r>
        <w:rPr>
          <w:w w:val="100"/>
        </w:rPr>
        <w:t> </w:t>
      </w:r>
      <w:r>
        <w:rPr>
          <w:spacing w:val="-2"/>
        </w:rPr>
        <w:t>对同一控制下吸收合并中取得的资产、负债按照相关资产、负债在被合并方的原账面价值入账。</w:t>
      </w:r>
    </w:p>
    <w:p>
      <w:pPr>
        <w:pStyle w:val="BodyText"/>
        <w:spacing w:line="272" w:lineRule="exact" w:before="1"/>
        <w:ind w:right="4" w:firstLine="420"/>
        <w:jc w:val="left"/>
      </w:pPr>
      <w:r>
        <w:rPr>
          <w:rFonts w:ascii="宋体" w:hAnsi="宋体" w:cs="宋体" w:eastAsia="宋体" w:hint="default"/>
          <w:spacing w:val="-2"/>
        </w:rPr>
        <w:t>a.</w:t>
      </w:r>
      <w:r>
        <w:rPr>
          <w:spacing w:val="-2"/>
        </w:rPr>
        <w:t>以发行权益性证券方式进行的该类合并，本公司在合并日以被合并方的原账面价值确认合并中取得</w:t>
      </w:r>
      <w:r>
        <w:rPr>
          <w:w w:val="100"/>
        </w:rPr>
        <w:t> </w:t>
      </w:r>
      <w:r>
        <w:rPr/>
        <w:t>的被合并方的资产和负债后，所确认的净资产入账价值与发行股份面值总额的差额，记入资本公积</w:t>
      </w:r>
      <w:r>
        <w:rPr>
          <w:rFonts w:ascii="宋体" w:hAnsi="宋体" w:cs="宋体" w:eastAsia="宋体" w:hint="default"/>
        </w:rPr>
        <w:t>(</w:t>
      </w:r>
      <w:r>
        <w:rPr/>
        <w:t>股本</w:t>
      </w:r>
    </w:p>
    <w:p>
      <w:pPr>
        <w:pStyle w:val="BodyText"/>
        <w:spacing w:line="272" w:lineRule="exact" w:before="1"/>
        <w:ind w:left="573" w:right="4" w:hanging="421"/>
        <w:jc w:val="left"/>
      </w:pPr>
      <w:r>
        <w:rPr/>
        <w:t>溢价</w:t>
      </w:r>
      <w:r>
        <w:rPr>
          <w:rFonts w:ascii="宋体" w:hAnsi="宋体" w:cs="宋体" w:eastAsia="宋体" w:hint="default"/>
        </w:rPr>
        <w:t>)</w:t>
      </w:r>
      <w:r>
        <w:rPr/>
        <w:t>，资本公积</w:t>
      </w:r>
      <w:r>
        <w:rPr>
          <w:rFonts w:ascii="宋体" w:hAnsi="宋体" w:cs="宋体" w:eastAsia="宋体" w:hint="default"/>
        </w:rPr>
        <w:t>(</w:t>
      </w:r>
      <w:r>
        <w:rPr/>
        <w:t>股本溢价</w:t>
      </w:r>
      <w:r>
        <w:rPr>
          <w:rFonts w:ascii="宋体" w:hAnsi="宋体" w:cs="宋体" w:eastAsia="宋体" w:hint="default"/>
        </w:rPr>
        <w:t>)</w:t>
      </w:r>
      <w:r>
        <w:rPr/>
        <w:t>的余额不足冲减的，相应冲减盈余公积和未分配利润；</w:t>
      </w:r>
      <w:r>
        <w:rPr>
          <w:w w:val="100"/>
        </w:rPr>
        <w:t> </w:t>
      </w:r>
      <w:r>
        <w:rPr>
          <w:rFonts w:ascii="宋体" w:hAnsi="宋体" w:cs="宋体" w:eastAsia="宋体" w:hint="default"/>
          <w:spacing w:val="-2"/>
        </w:rPr>
        <w:t>b.</w:t>
      </w:r>
      <w:r>
        <w:rPr>
          <w:spacing w:val="-2"/>
        </w:rPr>
        <w:t>以支付现金、非现金资产方式进行的该类合并，所确认的净资产入账价值与支付的现金、非现金资</w:t>
      </w:r>
    </w:p>
    <w:p>
      <w:pPr>
        <w:pStyle w:val="BodyText"/>
        <w:spacing w:line="272" w:lineRule="exact" w:before="1"/>
        <w:ind w:right="4"/>
        <w:jc w:val="left"/>
      </w:pPr>
      <w:r>
        <w:rPr>
          <w:spacing w:val="-2"/>
        </w:rPr>
        <w:t>产账面价值的差额，相应调整资本公积</w:t>
      </w:r>
      <w:r>
        <w:rPr>
          <w:rFonts w:ascii="宋体" w:hAnsi="宋体" w:cs="宋体" w:eastAsia="宋体" w:hint="default"/>
          <w:spacing w:val="-2"/>
        </w:rPr>
        <w:t>(</w:t>
      </w:r>
      <w:r>
        <w:rPr>
          <w:spacing w:val="-2"/>
        </w:rPr>
        <w:t>股本溢价</w:t>
      </w:r>
      <w:r>
        <w:rPr>
          <w:rFonts w:ascii="宋体" w:hAnsi="宋体" w:cs="宋体" w:eastAsia="宋体" w:hint="default"/>
          <w:spacing w:val="-2"/>
        </w:rPr>
        <w:t>)</w:t>
      </w:r>
      <w:r>
        <w:rPr>
          <w:spacing w:val="-2"/>
        </w:rPr>
        <w:t>，资本公积</w:t>
      </w:r>
      <w:r>
        <w:rPr>
          <w:rFonts w:ascii="宋体" w:hAnsi="宋体" w:cs="宋体" w:eastAsia="宋体" w:hint="default"/>
          <w:spacing w:val="-2"/>
        </w:rPr>
        <w:t>(</w:t>
      </w:r>
      <w:r>
        <w:rPr>
          <w:spacing w:val="-2"/>
        </w:rPr>
        <w:t>股本溢价</w:t>
      </w:r>
      <w:r>
        <w:rPr>
          <w:rFonts w:ascii="宋体" w:hAnsi="宋体" w:cs="宋体" w:eastAsia="宋体" w:hint="default"/>
          <w:spacing w:val="-2"/>
        </w:rPr>
        <w:t>)</w:t>
      </w:r>
      <w:r>
        <w:rPr>
          <w:spacing w:val="-2"/>
        </w:rPr>
        <w:t>的余额不足冲减的，相应冲减盈</w:t>
      </w:r>
      <w:r>
        <w:rPr>
          <w:spacing w:val="-42"/>
        </w:rPr>
        <w:t> </w:t>
      </w:r>
      <w:r>
        <w:rPr>
          <w:spacing w:val="-42"/>
        </w:rPr>
      </w:r>
      <w:r>
        <w:rPr/>
        <w:t>余公积和未分配利润。</w:t>
      </w:r>
    </w:p>
    <w:p>
      <w:pPr>
        <w:pStyle w:val="Heading5"/>
        <w:spacing w:line="240" w:lineRule="auto" w:before="72"/>
        <w:ind w:right="4"/>
        <w:jc w:val="left"/>
        <w:rPr>
          <w:b w:val="0"/>
          <w:bCs w:val="0"/>
        </w:rPr>
      </w:pPr>
      <w:r>
        <w:rPr/>
        <w:t>（</w:t>
      </w:r>
      <w:r>
        <w:rPr>
          <w:rFonts w:ascii="宋体" w:hAnsi="宋体" w:cs="宋体" w:eastAsia="宋体" w:hint="default"/>
        </w:rPr>
        <w:t>2</w:t>
      </w:r>
      <w:r>
        <w:rPr/>
        <w:t>）非同一控制下的企业合并</w:t>
      </w:r>
      <w:r>
        <w:rPr>
          <w:b w:val="0"/>
          <w:bCs w:val="0"/>
        </w:rPr>
      </w:r>
    </w:p>
    <w:p>
      <w:pPr>
        <w:pStyle w:val="BodyText"/>
        <w:spacing w:line="273" w:lineRule="exact" w:before="100"/>
        <w:ind w:left="573" w:right="4"/>
        <w:jc w:val="left"/>
      </w:pPr>
      <w:r>
        <w:rPr/>
        <w:t>①非同一控制下的控股合并的会计处理方法详见本附注二、（十二）</w:t>
      </w:r>
    </w:p>
    <w:p>
      <w:pPr>
        <w:pStyle w:val="BodyText"/>
        <w:spacing w:line="240" w:lineRule="auto"/>
        <w:ind w:left="573" w:right="4"/>
        <w:jc w:val="left"/>
      </w:pPr>
      <w:r>
        <w:rPr/>
        <w:t>②非同一控制下的吸收合并的会计处理方法</w:t>
      </w:r>
      <w:r>
        <w:rPr>
          <w:w w:val="100"/>
        </w:rPr>
        <w:t> </w:t>
      </w:r>
      <w:r>
        <w:rPr>
          <w:spacing w:val="-2"/>
        </w:rPr>
        <w:t>非同一控制下的吸收合并，本公司在购买日将合并中取得的符合确认条件的各项可辨认资产、负债，</w:t>
      </w:r>
    </w:p>
    <w:p>
      <w:pPr>
        <w:pStyle w:val="BodyText"/>
        <w:spacing w:line="237" w:lineRule="auto"/>
        <w:ind w:right="206"/>
        <w:jc w:val="both"/>
      </w:pPr>
      <w:r>
        <w:rPr>
          <w:spacing w:val="-2"/>
        </w:rPr>
        <w:t>按其公允价值确认为本公司的资产和负债；作为合并对价的有关非货币性资产在购买日的公允价值与其账</w:t>
      </w:r>
      <w:r>
        <w:rPr>
          <w:spacing w:val="-43"/>
        </w:rPr>
        <w:t> </w:t>
      </w:r>
      <w:r>
        <w:rPr>
          <w:spacing w:val="-43"/>
        </w:rPr>
      </w:r>
      <w:r>
        <w:rPr>
          <w:spacing w:val="-2"/>
        </w:rPr>
        <w:t>面价值的差额，作为资产处置损益计入合并当期的利润表；确定的企业合并成本与所取得的被购买方可辨</w:t>
      </w:r>
      <w:r>
        <w:rPr>
          <w:spacing w:val="-43"/>
        </w:rPr>
        <w:t> </w:t>
      </w:r>
      <w:r>
        <w:rPr>
          <w:spacing w:val="-43"/>
        </w:rPr>
      </w:r>
      <w:r>
        <w:rPr/>
        <w:t>认净资产公允价值之间的差额，如为借差确认为商誉，如为贷差计入企业合并当期的损益。</w:t>
      </w:r>
    </w:p>
    <w:p>
      <w:pPr>
        <w:pStyle w:val="BodyText"/>
        <w:spacing w:line="274" w:lineRule="exact" w:before="22"/>
        <w:ind w:left="573" w:right="4"/>
        <w:jc w:val="left"/>
      </w:pPr>
      <w:r>
        <w:rPr/>
        <w:t>③商誉的减值测试</w:t>
      </w:r>
      <w:r>
        <w:rPr>
          <w:w w:val="100"/>
        </w:rPr>
        <w:t> </w:t>
      </w:r>
      <w:r>
        <w:rPr>
          <w:spacing w:val="-2"/>
        </w:rPr>
        <w:t>公司对企业合并所形成的商誉，在每年年度终了进行减值测试，减值测试时结合与其相关的资产组或</w:t>
      </w:r>
    </w:p>
    <w:p>
      <w:pPr>
        <w:pStyle w:val="BodyText"/>
        <w:spacing w:line="245" w:lineRule="exact"/>
        <w:ind w:right="4"/>
        <w:jc w:val="left"/>
      </w:pPr>
      <w:r>
        <w:rPr/>
        <w:t>者资产组组合进行，比较相关资产组或者资产组组合的账面价值（包括所分摊的商誉的账面价值部分）与</w:t>
      </w:r>
    </w:p>
    <w:p>
      <w:pPr>
        <w:spacing w:line="321" w:lineRule="auto" w:before="0"/>
        <w:ind w:left="152" w:right="4" w:firstLine="0"/>
        <w:jc w:val="left"/>
        <w:rPr>
          <w:rFonts w:ascii="宋体" w:hAnsi="宋体" w:cs="宋体" w:eastAsia="宋体" w:hint="default"/>
          <w:sz w:val="21"/>
          <w:szCs w:val="21"/>
        </w:rPr>
      </w:pPr>
      <w:r>
        <w:rPr>
          <w:rFonts w:ascii="宋体" w:hAnsi="宋体" w:cs="宋体" w:eastAsia="宋体" w:hint="default"/>
          <w:spacing w:val="-2"/>
          <w:sz w:val="21"/>
          <w:szCs w:val="21"/>
        </w:rPr>
        <w:t>其可收回金额，如相关资产组或者资产组组合的可收回金额低于其账面价值的，确认商誉的减值损失。</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237" w:lineRule="auto" w:before="115"/>
        <w:ind w:right="206" w:firstLine="420"/>
        <w:jc w:val="both"/>
      </w:pPr>
      <w:r>
        <w:rPr>
          <w:spacing w:val="-2"/>
        </w:rPr>
        <w:t>凡本公司能够控制的子公司、合营公司以及特殊目的主体（以下简称“纳入合并范围的公司”）都纳</w:t>
      </w:r>
      <w:r>
        <w:rPr>
          <w:w w:val="100"/>
        </w:rPr>
        <w:t> </w:t>
      </w:r>
      <w:r>
        <w:rPr>
          <w:spacing w:val="-2"/>
        </w:rPr>
        <w:t>入合并范围；纳入合并范围的公司所采用的会计期间、会计政策与母公司不一致的，已按照母公司的会计</w:t>
      </w:r>
      <w:r>
        <w:rPr>
          <w:spacing w:val="-41"/>
        </w:rPr>
        <w:t> </w:t>
      </w:r>
      <w:r>
        <w:rPr>
          <w:spacing w:val="-41"/>
        </w:rPr>
      </w:r>
      <w:r>
        <w:rPr>
          <w:spacing w:val="-2"/>
        </w:rPr>
        <w:t>期间、会计政策对其财务报表进行调整；以母公司和纳入合并范围公司调整后的财务报表为基础，按照权</w:t>
      </w:r>
    </w:p>
    <w:p>
      <w:pPr>
        <w:spacing w:after="0" w:line="237" w:lineRule="auto"/>
        <w:jc w:val="both"/>
        <w:sectPr>
          <w:pgSz w:w="11910" w:h="16840"/>
          <w:pgMar w:header="884" w:footer="979" w:top="1100" w:bottom="1160" w:left="980" w:right="92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51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2" w:lineRule="exact" w:before="64"/>
        <w:ind w:right="142"/>
        <w:jc w:val="left"/>
      </w:pPr>
      <w:r>
        <w:rPr>
          <w:spacing w:val="-2"/>
        </w:rPr>
        <w:t>益法调整对纳入合并范围公司的长期股权投资后，由母公司编制；合并报表范围内母公司与纳入合并范围</w:t>
      </w:r>
      <w:r>
        <w:rPr>
          <w:spacing w:val="-42"/>
        </w:rPr>
        <w:t> </w:t>
      </w:r>
      <w:r>
        <w:rPr>
          <w:spacing w:val="-42"/>
        </w:rPr>
      </w:r>
      <w:r>
        <w:rPr/>
        <w:t>的公司、纳入合并范围的公司相互之间发生的内部交易、资金往来在合并时予以抵销。</w:t>
      </w:r>
    </w:p>
    <w:p>
      <w:pPr>
        <w:pStyle w:val="Heading5"/>
        <w:spacing w:line="240" w:lineRule="auto" w:before="70"/>
        <w:ind w:right="0"/>
        <w:jc w:val="both"/>
        <w:rPr>
          <w:b w:val="0"/>
          <w:bCs w:val="0"/>
        </w:rPr>
      </w:pPr>
      <w:r>
        <w:rPr>
          <w:rFonts w:ascii="宋体" w:hAnsi="宋体" w:cs="宋体" w:eastAsia="宋体" w:hint="default"/>
        </w:rPr>
        <w:t>7</w:t>
      </w:r>
      <w:r>
        <w:rPr/>
        <w:t>、现金及现金等价物的确定标准</w:t>
      </w:r>
      <w:r>
        <w:rPr>
          <w:b w:val="0"/>
          <w:bCs w:val="0"/>
        </w:rPr>
      </w:r>
    </w:p>
    <w:p>
      <w:pPr>
        <w:spacing w:line="240" w:lineRule="auto" w:before="11"/>
        <w:rPr>
          <w:rFonts w:ascii="宋体" w:hAnsi="宋体" w:cs="宋体" w:eastAsia="宋体" w:hint="default"/>
          <w:b/>
          <w:bCs/>
          <w:sz w:val="13"/>
          <w:szCs w:val="13"/>
        </w:rPr>
      </w:pPr>
    </w:p>
    <w:p>
      <w:pPr>
        <w:pStyle w:val="BodyText"/>
        <w:spacing w:line="240" w:lineRule="auto"/>
        <w:ind w:right="142" w:firstLine="420"/>
        <w:jc w:val="left"/>
      </w:pPr>
      <w:r>
        <w:rPr>
          <w:spacing w:val="-2"/>
        </w:rPr>
        <w:t>现金指企业库存现金及可以随时用于支付的存款。现金等价物是指持有的期限短（一般指从购买日起</w:t>
      </w:r>
      <w:r>
        <w:rPr>
          <w:w w:val="100"/>
        </w:rPr>
        <w:t> </w:t>
      </w:r>
      <w:r>
        <w:rPr/>
        <w:t>三个月内到期）、流动性强、易于转换为已知金额现金、价值变动风险很小的投资。</w:t>
      </w:r>
    </w:p>
    <w:p>
      <w:pPr>
        <w:pStyle w:val="Heading5"/>
        <w:spacing w:line="240" w:lineRule="auto" w:before="92"/>
        <w:ind w:right="0"/>
        <w:jc w:val="both"/>
        <w:rPr>
          <w:b w:val="0"/>
          <w:bCs w:val="0"/>
        </w:rPr>
      </w:pPr>
      <w:r>
        <w:rPr>
          <w:rFonts w:ascii="宋体" w:hAnsi="宋体" w:cs="宋体" w:eastAsia="宋体" w:hint="default"/>
        </w:rPr>
        <w:t>8</w:t>
      </w:r>
      <w:r>
        <w:rPr/>
        <w:t>、外币业务和外币报表折算</w:t>
      </w:r>
      <w:r>
        <w:rPr>
          <w:b w:val="0"/>
          <w:bCs w:val="0"/>
        </w:rPr>
      </w:r>
    </w:p>
    <w:p>
      <w:pPr>
        <w:spacing w:line="240" w:lineRule="auto" w:before="9"/>
        <w:rPr>
          <w:rFonts w:ascii="宋体" w:hAnsi="宋体" w:cs="宋体" w:eastAsia="宋体" w:hint="default"/>
          <w:b/>
          <w:bCs/>
          <w:sz w:val="17"/>
          <w:szCs w:val="17"/>
        </w:rPr>
      </w:pPr>
    </w:p>
    <w:p>
      <w:pPr>
        <w:pStyle w:val="Heading5"/>
        <w:spacing w:line="240" w:lineRule="auto"/>
        <w:ind w:right="0"/>
        <w:jc w:val="both"/>
        <w:rPr>
          <w:b w:val="0"/>
          <w:bCs w:val="0"/>
        </w:rPr>
      </w:pPr>
      <w:r>
        <w:rPr/>
        <w:t>（</w:t>
      </w:r>
      <w:r>
        <w:rPr>
          <w:rFonts w:ascii="宋体" w:hAnsi="宋体" w:cs="宋体" w:eastAsia="宋体" w:hint="default"/>
        </w:rPr>
        <w:t>1</w:t>
      </w:r>
      <w:r>
        <w:rPr/>
        <w:t>）外币业务</w:t>
      </w:r>
      <w:r>
        <w:rPr>
          <w:b w:val="0"/>
          <w:bCs w:val="0"/>
        </w:rPr>
      </w:r>
    </w:p>
    <w:p>
      <w:pPr>
        <w:pStyle w:val="BodyText"/>
        <w:spacing w:line="240" w:lineRule="auto" w:before="99"/>
        <w:ind w:left="573" w:right="142"/>
        <w:jc w:val="left"/>
      </w:pPr>
      <w:r>
        <w:rPr/>
        <w:t>本公司外币交易初始确认时采用交易发生日的即期汇率折算为记账本位币。</w:t>
      </w:r>
      <w:r>
        <w:rPr>
          <w:w w:val="100"/>
        </w:rPr>
        <w:t> </w:t>
      </w:r>
      <w:r>
        <w:rPr>
          <w:spacing w:val="-2"/>
        </w:rPr>
        <w:t>在资产负债表日，公司按照下列规定对外币货币性项目和外币非货币性项目进行处理：</w:t>
      </w:r>
    </w:p>
    <w:p>
      <w:pPr>
        <w:pStyle w:val="BodyText"/>
        <w:spacing w:line="274" w:lineRule="exact" w:before="23"/>
        <w:ind w:right="142" w:firstLine="420"/>
        <w:jc w:val="left"/>
      </w:pPr>
      <w:r>
        <w:rPr>
          <w:spacing w:val="-2"/>
        </w:rPr>
        <w:t>①外币货币性项目，采用资产负债表日即期汇率折算。因资产负债表日即期汇率与初始确认时或前一</w:t>
      </w:r>
      <w:r>
        <w:rPr>
          <w:w w:val="100"/>
        </w:rPr>
        <w:t> </w:t>
      </w:r>
      <w:r>
        <w:rPr/>
        <w:t>资产负债表日即期汇率不同而产生的汇兑差额，计入当期损益。</w:t>
      </w:r>
    </w:p>
    <w:p>
      <w:pPr>
        <w:pStyle w:val="BodyText"/>
        <w:spacing w:line="245" w:lineRule="exact"/>
        <w:ind w:left="573" w:right="0"/>
        <w:jc w:val="left"/>
      </w:pPr>
      <w:r>
        <w:rPr/>
        <w:t>②以历史成本计量的外币非货币性项目，仍采用交易发生日的即期汇率折算，不改变其记账本位币金</w:t>
      </w:r>
    </w:p>
    <w:p>
      <w:pPr>
        <w:pStyle w:val="BodyText"/>
        <w:spacing w:line="274" w:lineRule="exact"/>
        <w:ind w:right="0"/>
        <w:jc w:val="both"/>
      </w:pPr>
      <w:r>
        <w:rPr/>
        <w:t>额。</w:t>
      </w:r>
    </w:p>
    <w:p>
      <w:pPr>
        <w:spacing w:line="326" w:lineRule="auto" w:before="94"/>
        <w:ind w:left="573" w:right="14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资产负债表中的资产和负债项目，采用资产负债表日的即期汇率折算，所有者权益项目除“未分配利</w:t>
      </w:r>
    </w:p>
    <w:p>
      <w:pPr>
        <w:pStyle w:val="BodyText"/>
        <w:spacing w:line="195" w:lineRule="exact"/>
        <w:ind w:right="0"/>
        <w:jc w:val="both"/>
      </w:pPr>
      <w:r>
        <w:rPr/>
        <w:t>润”项目外，其他项目采用发生时的即期汇率折算。</w:t>
      </w:r>
    </w:p>
    <w:p>
      <w:pPr>
        <w:pStyle w:val="BodyText"/>
        <w:spacing w:line="272" w:lineRule="exact" w:before="27"/>
        <w:ind w:right="142" w:firstLine="420"/>
        <w:jc w:val="left"/>
      </w:pPr>
      <w:r>
        <w:rPr>
          <w:spacing w:val="-2"/>
        </w:rPr>
        <w:t>利润表中的收入和费用项目，采用交易发生日的即期汇率折算，折算产生的外币财务报表折算差额，</w:t>
      </w:r>
      <w:r>
        <w:rPr>
          <w:w w:val="100"/>
        </w:rPr>
        <w:t> </w:t>
      </w:r>
      <w:r>
        <w:rPr/>
        <w:t>在资产负债表中所有者权益项目下单独列示。</w:t>
      </w:r>
    </w:p>
    <w:p>
      <w:pPr>
        <w:pStyle w:val="BodyText"/>
        <w:spacing w:line="249" w:lineRule="exact"/>
        <w:ind w:left="573" w:right="142"/>
        <w:jc w:val="left"/>
      </w:pPr>
      <w:r>
        <w:rPr/>
        <w:t>外币现金流量以及境外子公司的现金流量，采用现金流量发生日的即期汇率</w:t>
      </w:r>
      <w:r>
        <w:rPr>
          <w:spacing w:val="-7"/>
        </w:rPr>
        <w:t> </w:t>
      </w:r>
      <w:r>
        <w:rPr/>
        <w:t>。</w:t>
      </w:r>
    </w:p>
    <w:p>
      <w:pPr>
        <w:pStyle w:val="Heading5"/>
        <w:spacing w:line="240" w:lineRule="auto" w:before="92"/>
        <w:ind w:right="0"/>
        <w:jc w:val="both"/>
        <w:rPr>
          <w:b w:val="0"/>
          <w:bCs w:val="0"/>
        </w:rPr>
      </w:pPr>
      <w:r>
        <w:rPr>
          <w:rFonts w:ascii="宋体" w:hAnsi="宋体" w:cs="宋体" w:eastAsia="宋体" w:hint="default"/>
        </w:rPr>
        <w:t>9</w:t>
      </w:r>
      <w:r>
        <w:rPr/>
        <w:t>、金融工具</w:t>
      </w:r>
      <w:r>
        <w:rPr>
          <w:b w:val="0"/>
          <w:bCs w:val="0"/>
        </w:rPr>
      </w:r>
    </w:p>
    <w:p>
      <w:pPr>
        <w:spacing w:line="240" w:lineRule="auto" w:before="10"/>
        <w:rPr>
          <w:rFonts w:ascii="宋体" w:hAnsi="宋体" w:cs="宋体" w:eastAsia="宋体" w:hint="default"/>
          <w:b/>
          <w:bCs/>
          <w:sz w:val="17"/>
          <w:szCs w:val="17"/>
        </w:rPr>
      </w:pPr>
    </w:p>
    <w:p>
      <w:pPr>
        <w:pStyle w:val="Heading5"/>
        <w:spacing w:line="240" w:lineRule="auto"/>
        <w:ind w:right="0"/>
        <w:jc w:val="both"/>
        <w:rPr>
          <w:b w:val="0"/>
          <w:bCs w:val="0"/>
        </w:rPr>
      </w:pPr>
      <w:r>
        <w:rPr/>
        <w:t>（</w:t>
      </w:r>
      <w:r>
        <w:rPr>
          <w:rFonts w:ascii="宋体" w:hAnsi="宋体" w:cs="宋体" w:eastAsia="宋体" w:hint="default"/>
        </w:rPr>
        <w:t>1</w:t>
      </w:r>
      <w:r>
        <w:rPr/>
        <w:t>）金融工具的分类</w:t>
      </w:r>
      <w:r>
        <w:rPr>
          <w:b w:val="0"/>
          <w:bCs w:val="0"/>
        </w:rPr>
      </w:r>
    </w:p>
    <w:p>
      <w:pPr>
        <w:pStyle w:val="BodyText"/>
        <w:spacing w:line="237" w:lineRule="auto" w:before="102"/>
        <w:ind w:left="573" w:right="3151"/>
        <w:jc w:val="left"/>
      </w:pPr>
      <w:r>
        <w:rPr/>
        <w:t>①金融资产划分为以下四类：</w:t>
      </w:r>
      <w:r>
        <w:rPr>
          <w:w w:val="100"/>
        </w:rPr>
        <w:t> </w:t>
      </w:r>
      <w:r>
        <w:rPr>
          <w:rFonts w:ascii="宋体" w:hAnsi="宋体" w:cs="宋体" w:eastAsia="宋体" w:hint="default"/>
          <w:spacing w:val="-2"/>
        </w:rPr>
        <w:t>a.</w:t>
      </w:r>
      <w:r>
        <w:rPr>
          <w:spacing w:val="-2"/>
        </w:rPr>
        <w:t>以公允价值计量且其变动计入当期损益的金融资产；</w:t>
      </w:r>
      <w:r>
        <w:rPr>
          <w:spacing w:val="-57"/>
        </w:rPr>
        <w:t> </w:t>
      </w:r>
      <w:r>
        <w:rPr>
          <w:spacing w:val="-57"/>
        </w:rPr>
      </w:r>
      <w:r>
        <w:rPr>
          <w:rFonts w:ascii="宋体" w:hAnsi="宋体" w:cs="宋体" w:eastAsia="宋体" w:hint="default"/>
        </w:rPr>
        <w:t>b.</w:t>
      </w:r>
      <w:r>
        <w:rPr/>
        <w:t>持有至到期投资；</w:t>
      </w:r>
    </w:p>
    <w:p>
      <w:pPr>
        <w:pStyle w:val="BodyText"/>
        <w:spacing w:line="272" w:lineRule="exact" w:before="26"/>
        <w:ind w:left="573" w:right="6084"/>
        <w:jc w:val="left"/>
      </w:pPr>
      <w:r>
        <w:rPr>
          <w:rFonts w:ascii="宋体" w:hAnsi="宋体" w:cs="宋体" w:eastAsia="宋体" w:hint="default"/>
        </w:rPr>
        <w:t>c.</w:t>
      </w:r>
      <w:r>
        <w:rPr/>
        <w:t>应收款项；</w:t>
      </w:r>
      <w:r>
        <w:rPr>
          <w:w w:val="100"/>
        </w:rPr>
        <w:t> </w:t>
      </w:r>
      <w:r>
        <w:rPr>
          <w:rFonts w:ascii="宋体" w:hAnsi="宋体" w:cs="宋体" w:eastAsia="宋体" w:hint="default"/>
          <w:spacing w:val="-2"/>
        </w:rPr>
        <w:t>d.</w:t>
      </w:r>
      <w:r>
        <w:rPr>
          <w:spacing w:val="-2"/>
        </w:rPr>
        <w:t>可供出售金融资产；</w:t>
      </w:r>
    </w:p>
    <w:p>
      <w:pPr>
        <w:pStyle w:val="BodyText"/>
        <w:spacing w:line="272" w:lineRule="exact" w:before="1"/>
        <w:ind w:left="573" w:right="2399"/>
        <w:jc w:val="left"/>
      </w:pPr>
      <w:r>
        <w:rPr/>
        <w:t>②金融负债在初始确认时划分为以下两类：</w:t>
      </w:r>
      <w:r>
        <w:rPr>
          <w:w w:val="100"/>
        </w:rPr>
        <w:t> </w:t>
      </w:r>
      <w:r>
        <w:rPr>
          <w:rFonts w:ascii="宋体" w:hAnsi="宋体" w:cs="宋体" w:eastAsia="宋体" w:hint="default"/>
          <w:spacing w:val="-2"/>
        </w:rPr>
        <w:t>a.</w:t>
      </w:r>
      <w:r>
        <w:rPr>
          <w:spacing w:val="-2"/>
        </w:rPr>
        <w:t>以公允价值计量且其变动计入当期损益的金融负债；</w:t>
      </w:r>
    </w:p>
    <w:p>
      <w:pPr>
        <w:pStyle w:val="BodyText"/>
        <w:spacing w:line="249" w:lineRule="exact"/>
        <w:ind w:left="573" w:right="142"/>
        <w:jc w:val="left"/>
      </w:pPr>
      <w:r>
        <w:rPr>
          <w:rFonts w:ascii="宋体" w:hAnsi="宋体" w:cs="宋体" w:eastAsia="宋体" w:hint="default"/>
        </w:rPr>
        <w:t>b.</w:t>
      </w:r>
      <w:r>
        <w:rPr/>
        <w:t>其他金融负债。</w:t>
      </w:r>
    </w:p>
    <w:p>
      <w:pPr>
        <w:spacing w:line="326" w:lineRule="auto" w:before="94"/>
        <w:ind w:left="573" w:right="629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100"/>
          <w:sz w:val="21"/>
          <w:szCs w:val="21"/>
        </w:rPr>
        <w:t> </w:t>
      </w:r>
      <w:r>
        <w:rPr>
          <w:rFonts w:ascii="宋体" w:hAnsi="宋体" w:cs="宋体" w:eastAsia="宋体" w:hint="default"/>
          <w:sz w:val="21"/>
          <w:szCs w:val="21"/>
        </w:rPr>
        <w:t>金融资产确认依据和计量方法</w:t>
      </w:r>
    </w:p>
    <w:p>
      <w:pPr>
        <w:pStyle w:val="BodyText"/>
        <w:spacing w:line="195" w:lineRule="exact"/>
        <w:ind w:left="573" w:right="142"/>
        <w:jc w:val="left"/>
      </w:pPr>
      <w:r>
        <w:rPr/>
        <w:t>①以公允价值计量且其变动计入当期损益的金融资产</w:t>
      </w:r>
    </w:p>
    <w:p>
      <w:pPr>
        <w:pStyle w:val="BodyText"/>
        <w:spacing w:line="237" w:lineRule="auto" w:before="2"/>
        <w:ind w:right="146" w:firstLine="420"/>
        <w:jc w:val="both"/>
      </w:pPr>
      <w:r>
        <w:rPr>
          <w:spacing w:val="-2"/>
        </w:rPr>
        <w:t>主要是指本公司为了近期内出售而持有的股票、债券、基金以及不作为有效套期工具的衍生工具。包</w:t>
      </w:r>
      <w:r>
        <w:rPr>
          <w:w w:val="100"/>
        </w:rPr>
        <w:t> </w:t>
      </w:r>
      <w:r>
        <w:rPr>
          <w:spacing w:val="-2"/>
        </w:rPr>
        <w:t>括交易性金融资产和直接指定为以公允价值计量且其变动计入当期损益的金融资产。这类资产在初始计量</w:t>
      </w:r>
      <w:r>
        <w:rPr>
          <w:spacing w:val="-43"/>
        </w:rPr>
        <w:t> </w:t>
      </w:r>
      <w:r>
        <w:rPr>
          <w:spacing w:val="-43"/>
        </w:rPr>
      </w:r>
      <w:r>
        <w:rPr>
          <w:spacing w:val="-2"/>
        </w:rPr>
        <w:t>时按照取得时的公允价值作为初始确认金额，相关的交易费用在发生时计入当期损益。支付的价款中包含</w:t>
      </w:r>
      <w:r>
        <w:rPr>
          <w:spacing w:val="-42"/>
        </w:rPr>
        <w:t> </w:t>
      </w:r>
      <w:r>
        <w:rPr>
          <w:spacing w:val="-42"/>
        </w:rPr>
      </w:r>
      <w:r>
        <w:rPr>
          <w:spacing w:val="-2"/>
        </w:rPr>
        <w:t>已宣告但尚未发放的现金股利或已到付息但尚未领取的债券利息，单独确认为应收项目。在持有期间取得</w:t>
      </w:r>
      <w:r>
        <w:rPr>
          <w:spacing w:val="-43"/>
        </w:rPr>
        <w:t> </w:t>
      </w:r>
      <w:r>
        <w:rPr>
          <w:spacing w:val="-43"/>
        </w:rPr>
      </w:r>
      <w:r>
        <w:rPr>
          <w:spacing w:val="-2"/>
        </w:rPr>
        <w:t>利息或现金股利，确认为投资收益。资产负债表日，本公司将这类金融资产以公允价值计量且其变动计入</w:t>
      </w:r>
      <w:r>
        <w:rPr>
          <w:spacing w:val="-45"/>
        </w:rPr>
        <w:t> </w:t>
      </w:r>
      <w:r>
        <w:rPr>
          <w:spacing w:val="-45"/>
        </w:rPr>
      </w:r>
      <w:r>
        <w:rPr>
          <w:spacing w:val="-2"/>
        </w:rPr>
        <w:t>当期损益。这类金融资产在处置时，其公允价值与初始入账金额之间的差额确认为投资收益，同时调整公</w:t>
      </w:r>
      <w:r>
        <w:rPr>
          <w:spacing w:val="-45"/>
        </w:rPr>
        <w:t> </w:t>
      </w:r>
      <w:r>
        <w:rPr>
          <w:spacing w:val="-45"/>
        </w:rPr>
      </w:r>
      <w:r>
        <w:rPr/>
        <w:t>允价值变动损益。</w:t>
      </w:r>
    </w:p>
    <w:p>
      <w:pPr>
        <w:pStyle w:val="BodyText"/>
        <w:spacing w:line="274" w:lineRule="exact" w:before="22"/>
        <w:ind w:left="573" w:right="142"/>
        <w:jc w:val="left"/>
      </w:pPr>
      <w:r>
        <w:rPr/>
        <w:t>②持有至到期投资</w:t>
      </w:r>
      <w:r>
        <w:rPr>
          <w:w w:val="100"/>
        </w:rPr>
        <w:t> </w:t>
      </w:r>
      <w:r>
        <w:rPr>
          <w:spacing w:val="-2"/>
        </w:rPr>
        <w:t>主要是指到期日固定、回收金额固定或可确定，且本公司具有明确意图和能力持有至到期的国债、公</w:t>
      </w:r>
    </w:p>
    <w:p>
      <w:pPr>
        <w:pStyle w:val="BodyText"/>
        <w:spacing w:line="246" w:lineRule="exact"/>
        <w:ind w:right="0"/>
        <w:jc w:val="both"/>
      </w:pPr>
      <w:r>
        <w:rPr/>
        <w:t>司债券等。这类金融资产按照取得时的公允价值和相关交易费用之和作为初始确认金额。支付价款中包含</w:t>
      </w:r>
    </w:p>
    <w:p>
      <w:pPr>
        <w:pStyle w:val="BodyText"/>
        <w:spacing w:line="237" w:lineRule="auto" w:before="2"/>
        <w:ind w:right="146"/>
        <w:jc w:val="both"/>
      </w:pPr>
      <w:r>
        <w:rPr>
          <w:spacing w:val="-2"/>
        </w:rPr>
        <w:t>的已到付息期但尚未发放的债券利息，单独确认为应收项目。持有至到期投资在持有期间按照摊余成本和</w:t>
      </w:r>
      <w:r>
        <w:rPr>
          <w:spacing w:val="-43"/>
        </w:rPr>
        <w:t> </w:t>
      </w:r>
      <w:r>
        <w:rPr>
          <w:spacing w:val="-43"/>
        </w:rPr>
      </w:r>
      <w:r>
        <w:rPr>
          <w:spacing w:val="-2"/>
        </w:rPr>
        <w:t>实际利率计算确认利息收入，计入投资收益。处置持有至到期投资时，将所取得价款与该投资账面价值之</w:t>
      </w:r>
      <w:r>
        <w:rPr>
          <w:spacing w:val="-43"/>
        </w:rPr>
        <w:t> </w:t>
      </w:r>
      <w:r>
        <w:rPr>
          <w:spacing w:val="-43"/>
        </w:rPr>
      </w:r>
      <w:r>
        <w:rPr/>
        <w:t>间的差额计入投资收益。</w:t>
      </w:r>
    </w:p>
    <w:p>
      <w:pPr>
        <w:spacing w:after="0" w:line="237" w:lineRule="auto"/>
        <w:jc w:val="both"/>
        <w:sectPr>
          <w:pgSz w:w="11910" w:h="16840"/>
          <w:pgMar w:header="884" w:footer="979" w:top="110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53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2" w:lineRule="exact" w:before="64"/>
        <w:ind w:left="573" w:right="4"/>
        <w:jc w:val="left"/>
      </w:pPr>
      <w:r>
        <w:rPr/>
        <w:t>③应收款项</w:t>
      </w:r>
      <w:r>
        <w:rPr>
          <w:spacing w:val="-102"/>
        </w:rPr>
        <w:t> </w:t>
      </w:r>
      <w:r>
        <w:rPr>
          <w:spacing w:val="-102"/>
        </w:rPr>
      </w:r>
      <w:r>
        <w:rPr>
          <w:spacing w:val="-2"/>
        </w:rPr>
        <w:t>应收款项包括应收账款和其他应收款等。应收账款是指本公司销售商品或提供劳务形成的应收款项。</w:t>
      </w:r>
    </w:p>
    <w:p>
      <w:pPr>
        <w:pStyle w:val="BodyText"/>
        <w:spacing w:line="247" w:lineRule="exact"/>
        <w:ind w:right="4"/>
        <w:jc w:val="left"/>
      </w:pPr>
      <w:r>
        <w:rPr/>
        <w:t>应收账款按从购货方应收的合同或协议价款作为初始确认金额。</w:t>
      </w:r>
    </w:p>
    <w:p>
      <w:pPr>
        <w:pStyle w:val="BodyText"/>
        <w:spacing w:line="240" w:lineRule="auto"/>
        <w:ind w:left="573" w:right="4"/>
        <w:jc w:val="left"/>
      </w:pPr>
      <w:r>
        <w:rPr/>
        <w:t>④可供出售金融资产</w:t>
      </w:r>
      <w:r>
        <w:rPr>
          <w:w w:val="100"/>
        </w:rPr>
        <w:t> </w:t>
      </w:r>
      <w:r>
        <w:rPr>
          <w:spacing w:val="-2"/>
        </w:rPr>
        <w:t>主要是指本公司没有划分为以公允价值计量且其变动计入当期损益的金融资产、持有至到期投资、应</w:t>
      </w:r>
    </w:p>
    <w:p>
      <w:pPr>
        <w:pStyle w:val="BodyText"/>
        <w:spacing w:line="237" w:lineRule="auto"/>
        <w:ind w:right="206"/>
        <w:jc w:val="both"/>
      </w:pPr>
      <w:r>
        <w:rPr>
          <w:spacing w:val="-2"/>
        </w:rPr>
        <w:t>收款项的金融资产。可供出售金融资产按照取得该金融资产的公允价值和相关交易费用之和作为初始确认</w:t>
      </w:r>
      <w:r>
        <w:rPr>
          <w:spacing w:val="-43"/>
        </w:rPr>
        <w:t> </w:t>
      </w:r>
      <w:r>
        <w:rPr>
          <w:spacing w:val="-43"/>
        </w:rPr>
      </w:r>
      <w:r>
        <w:rPr>
          <w:spacing w:val="-2"/>
        </w:rPr>
        <w:t>金额。支付的价款中包含的已到付息期但尚未领取的债券利息或已宣告但尚未发放的现金股利，单独确认</w:t>
      </w:r>
      <w:r>
        <w:rPr>
          <w:spacing w:val="-42"/>
        </w:rPr>
        <w:t> </w:t>
      </w:r>
      <w:r>
        <w:rPr>
          <w:spacing w:val="-42"/>
        </w:rPr>
      </w:r>
      <w:r>
        <w:rPr>
          <w:spacing w:val="-2"/>
        </w:rPr>
        <w:t>为应收项目。可供出售金融资产持有期间取得的利息或现金股利计入投资收益。资产负债表日，可供出售</w:t>
      </w:r>
      <w:r>
        <w:rPr>
          <w:spacing w:val="-43"/>
        </w:rPr>
        <w:t> </w:t>
      </w:r>
      <w:r>
        <w:rPr>
          <w:spacing w:val="-43"/>
        </w:rPr>
      </w:r>
      <w:r>
        <w:rPr>
          <w:spacing w:val="-2"/>
        </w:rPr>
        <w:t>金融资产以公允价值计量且公允价值变动计入资本公积。处置可供出售金融资产时，将取得的价款与该金</w:t>
      </w:r>
      <w:r>
        <w:rPr>
          <w:spacing w:val="-43"/>
        </w:rPr>
        <w:t> </w:t>
      </w:r>
      <w:r>
        <w:rPr>
          <w:spacing w:val="-43"/>
        </w:rPr>
      </w:r>
      <w:r>
        <w:rPr>
          <w:spacing w:val="-2"/>
        </w:rPr>
        <w:t>融资产账面价值之间差额计入投资收益；同时，将原计入所有者权益的公允价值变动累计额对应处置部分</w:t>
      </w:r>
      <w:r>
        <w:rPr>
          <w:spacing w:val="-41"/>
        </w:rPr>
        <w:t> </w:t>
      </w:r>
      <w:r>
        <w:rPr>
          <w:spacing w:val="-41"/>
        </w:rPr>
      </w:r>
      <w:r>
        <w:rPr/>
        <w:t>的金额转出，计入投资收益。</w:t>
      </w:r>
    </w:p>
    <w:p>
      <w:pPr>
        <w:pStyle w:val="BodyText"/>
        <w:spacing w:line="271" w:lineRule="exact"/>
        <w:ind w:left="573" w:right="4"/>
        <w:jc w:val="left"/>
      </w:pPr>
      <w:r>
        <w:rPr/>
        <w:t>金融负债确认依据和计量方法：</w:t>
      </w:r>
    </w:p>
    <w:p>
      <w:pPr>
        <w:pStyle w:val="BodyText"/>
        <w:spacing w:line="237" w:lineRule="auto" w:before="2"/>
        <w:ind w:right="206" w:firstLine="420"/>
        <w:jc w:val="both"/>
      </w:pPr>
      <w:r>
        <w:rPr>
          <w:spacing w:val="-2"/>
        </w:rPr>
        <w:t>①以公允价值计量且其变动计入当期损益的金融负债，包括交易性金融负债和指定为以公允价值计量</w:t>
      </w:r>
      <w:r>
        <w:rPr>
          <w:w w:val="100"/>
        </w:rPr>
        <w:t> </w:t>
      </w:r>
      <w:r>
        <w:rPr>
          <w:spacing w:val="-2"/>
        </w:rPr>
        <w:t>且其变动计入当期损益的金融负债；这类金融负债初始确认时以公允价值计量，相关交易费用直接计入当</w:t>
      </w:r>
      <w:r>
        <w:rPr>
          <w:spacing w:val="-43"/>
        </w:rPr>
        <w:t> </w:t>
      </w:r>
      <w:r>
        <w:rPr>
          <w:spacing w:val="-43"/>
        </w:rPr>
      </w:r>
      <w:r>
        <w:rPr/>
        <w:t>期损益，资产负债表日将公允价值变动计入当期损益。</w:t>
      </w:r>
    </w:p>
    <w:p>
      <w:pPr>
        <w:pStyle w:val="BodyText"/>
        <w:spacing w:line="271" w:lineRule="exact"/>
        <w:ind w:left="573" w:right="4"/>
        <w:jc w:val="left"/>
      </w:pPr>
      <w:r>
        <w:rPr/>
        <w:t>②其他金融负债，是指以公允价值计量且其变动计入当期损益的金融负债以外的金融负债。</w:t>
      </w:r>
    </w:p>
    <w:p>
      <w:pPr>
        <w:pStyle w:val="Heading5"/>
        <w:spacing w:line="240" w:lineRule="auto" w:before="97"/>
        <w:ind w:right="4"/>
        <w:jc w:val="left"/>
        <w:rPr>
          <w:b w:val="0"/>
          <w:bCs w:val="0"/>
        </w:rPr>
      </w:pPr>
      <w:r>
        <w:rPr/>
        <w:t>（</w:t>
      </w:r>
      <w:r>
        <w:rPr>
          <w:rFonts w:ascii="宋体" w:hAnsi="宋体" w:cs="宋体" w:eastAsia="宋体" w:hint="default"/>
        </w:rPr>
        <w:t>3</w:t>
      </w:r>
      <w:r>
        <w:rPr/>
        <w:t>）金融资产转移的确认依据和计量方法</w:t>
      </w:r>
      <w:r>
        <w:rPr>
          <w:b w:val="0"/>
          <w:bCs w:val="0"/>
        </w:rPr>
      </w:r>
    </w:p>
    <w:p>
      <w:pPr>
        <w:pStyle w:val="BodyText"/>
        <w:spacing w:line="240" w:lineRule="auto" w:before="97"/>
        <w:ind w:left="573" w:right="4"/>
        <w:jc w:val="left"/>
      </w:pPr>
      <w:r>
        <w:rPr>
          <w:spacing w:val="-2"/>
        </w:rPr>
        <w:t>①已将金融资产所有权上几乎所有的风险和报酬转移给转入方时终止对该项金融资产的确认。</w:t>
      </w:r>
      <w:r>
        <w:rPr>
          <w:spacing w:val="-29"/>
        </w:rPr>
        <w:t> </w:t>
      </w:r>
      <w:r>
        <w:rPr>
          <w:spacing w:val="-29"/>
        </w:rPr>
      </w:r>
      <w:r>
        <w:rPr/>
        <w:t>金融资产整体转移满足终止确认条件的，将下列两项的差额计入当期损益：</w:t>
      </w:r>
    </w:p>
    <w:p>
      <w:pPr>
        <w:pStyle w:val="BodyText"/>
        <w:spacing w:line="271" w:lineRule="exact"/>
        <w:ind w:left="573" w:right="4"/>
        <w:jc w:val="left"/>
      </w:pPr>
      <w:r>
        <w:rPr>
          <w:rFonts w:ascii="宋体" w:hAnsi="宋体" w:cs="宋体" w:eastAsia="宋体" w:hint="default"/>
        </w:rPr>
        <w:t>a.</w:t>
      </w:r>
      <w:r>
        <w:rPr>
          <w:rFonts w:ascii="宋体" w:hAnsi="宋体" w:cs="宋体" w:eastAsia="宋体" w:hint="default"/>
          <w:spacing w:val="-2"/>
        </w:rPr>
        <w:t> </w:t>
      </w:r>
      <w:r>
        <w:rPr/>
        <w:t>所转移金融资产的账面价值。</w:t>
      </w:r>
    </w:p>
    <w:p>
      <w:pPr>
        <w:pStyle w:val="BodyText"/>
        <w:spacing w:line="272" w:lineRule="exact" w:before="27"/>
        <w:ind w:left="573" w:right="4"/>
        <w:jc w:val="left"/>
      </w:pPr>
      <w:r>
        <w:rPr>
          <w:rFonts w:ascii="宋体" w:hAnsi="宋体" w:cs="宋体" w:eastAsia="宋体" w:hint="default"/>
        </w:rPr>
        <w:t>b.</w:t>
      </w:r>
      <w:r>
        <w:rPr>
          <w:rFonts w:ascii="宋体" w:hAnsi="宋体" w:cs="宋体" w:eastAsia="宋体" w:hint="default"/>
          <w:spacing w:val="-1"/>
        </w:rPr>
        <w:t> </w:t>
      </w:r>
      <w:r>
        <w:rPr/>
        <w:t>因转移而收到的对价，与原直接计入所有者权益的公允价值变动累计额之和。</w:t>
      </w:r>
      <w:r>
        <w:rPr>
          <w:w w:val="100"/>
        </w:rPr>
        <w:t> </w:t>
      </w:r>
      <w:r>
        <w:rPr>
          <w:spacing w:val="-2"/>
        </w:rPr>
        <w:t>金融资产部分转移满足终止确认条件的，将所转移金融资产整体的账面价值，在终止确认部分和未终</w:t>
      </w:r>
    </w:p>
    <w:p>
      <w:pPr>
        <w:pStyle w:val="BodyText"/>
        <w:spacing w:line="272" w:lineRule="exact" w:before="1"/>
        <w:ind w:left="573" w:right="4" w:hanging="421"/>
        <w:jc w:val="left"/>
      </w:pPr>
      <w:r>
        <w:rPr/>
        <w:t>止确认部分之间，按照各自的相对公允价值进行分摊，并将下列两项金额的差额计入当期损益：</w:t>
      </w:r>
      <w:r>
        <w:rPr>
          <w:w w:val="100"/>
        </w:rPr>
        <w:t> </w:t>
      </w:r>
      <w:r>
        <w:rPr>
          <w:rFonts w:ascii="宋体" w:hAnsi="宋体" w:cs="宋体" w:eastAsia="宋体" w:hint="default"/>
        </w:rPr>
        <w:t>a</w:t>
      </w:r>
      <w:r>
        <w:rPr/>
        <w:t>．终止确认部分的账面价值。</w:t>
      </w:r>
    </w:p>
    <w:p>
      <w:pPr>
        <w:pStyle w:val="BodyText"/>
        <w:spacing w:line="272" w:lineRule="exact" w:before="1"/>
        <w:ind w:right="4" w:firstLine="420"/>
        <w:jc w:val="left"/>
      </w:pPr>
      <w:r>
        <w:rPr>
          <w:rFonts w:ascii="宋体" w:hAnsi="宋体" w:cs="宋体" w:eastAsia="宋体" w:hint="default"/>
        </w:rPr>
        <w:t>b</w:t>
      </w:r>
      <w:r>
        <w:rPr/>
        <w:t>．终止确认部分的对价，与原直接计入所有者权益的公允价值变动累计额中对应终止确认部分的金</w:t>
      </w:r>
      <w:r>
        <w:rPr>
          <w:w w:val="100"/>
        </w:rPr>
        <w:t> </w:t>
      </w:r>
      <w:r>
        <w:rPr/>
        <w:t>额之和。</w:t>
      </w:r>
    </w:p>
    <w:p>
      <w:pPr>
        <w:pStyle w:val="BodyText"/>
        <w:spacing w:line="249" w:lineRule="exact"/>
        <w:ind w:left="573" w:right="4"/>
        <w:jc w:val="left"/>
      </w:pPr>
      <w:r>
        <w:rPr>
          <w:spacing w:val="-5"/>
        </w:rPr>
        <w:t>②金融资产转移不满足终止确认条件的，继续确认该金融资产，将所收到的对价确认为一项金融负债。</w:t>
      </w:r>
    </w:p>
    <w:p>
      <w:pPr>
        <w:spacing w:line="326" w:lineRule="auto" w:before="94"/>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p>
    <w:p>
      <w:pPr>
        <w:pStyle w:val="BodyText"/>
        <w:spacing w:line="195" w:lineRule="exact"/>
        <w:ind w:right="4"/>
        <w:jc w:val="left"/>
      </w:pPr>
      <w:r>
        <w:rPr/>
        <w:t>签定协议，以承担新金融负债方式替换现存金融负债，且新金融负债与现存金融负债的合同条款实质上不</w:t>
      </w:r>
    </w:p>
    <w:p>
      <w:pPr>
        <w:pStyle w:val="BodyText"/>
        <w:spacing w:line="272" w:lineRule="exact" w:before="27"/>
        <w:ind w:left="573" w:right="4" w:hanging="421"/>
        <w:jc w:val="left"/>
      </w:pPr>
      <w:r>
        <w:rPr/>
        <w:t>同的，则终止确认现存金融负债，并同时确认新金融负债。</w:t>
      </w:r>
      <w:r>
        <w:rPr>
          <w:w w:val="100"/>
        </w:rPr>
        <w:t> </w:t>
      </w:r>
      <w:r>
        <w:rPr>
          <w:spacing w:val="-2"/>
        </w:rPr>
        <w:t>对现存金融负债全部或部分合同条款作出实质性修改的，则终止确认现存金融负债或其一部分，同时</w:t>
      </w:r>
    </w:p>
    <w:p>
      <w:pPr>
        <w:pStyle w:val="BodyText"/>
        <w:spacing w:line="272" w:lineRule="exact" w:before="1"/>
        <w:ind w:left="573" w:right="4" w:hanging="421"/>
        <w:jc w:val="left"/>
      </w:pPr>
      <w:r>
        <w:rPr/>
        <w:t>将修改条款后的金融负债确认为一项新金融负债。</w:t>
      </w:r>
      <w:r>
        <w:rPr>
          <w:w w:val="100"/>
        </w:rPr>
        <w:t> </w:t>
      </w:r>
      <w:r>
        <w:rPr>
          <w:spacing w:val="-2"/>
        </w:rPr>
        <w:t>金融负债全部或部分终止确认时，终止确认的金融负债账面价值与支付对价（包括转出的非现金资产</w:t>
      </w:r>
    </w:p>
    <w:p>
      <w:pPr>
        <w:pStyle w:val="BodyText"/>
        <w:spacing w:line="272" w:lineRule="exact" w:before="1"/>
        <w:ind w:left="573" w:right="4" w:hanging="421"/>
        <w:jc w:val="left"/>
      </w:pPr>
      <w:r>
        <w:rPr/>
        <w:t>或承担的新金融负债）之间的差额，计入当期损益。</w:t>
      </w:r>
      <w:r>
        <w:rPr>
          <w:w w:val="100"/>
        </w:rPr>
        <w:t> </w:t>
      </w:r>
      <w:r>
        <w:rPr>
          <w:spacing w:val="-2"/>
        </w:rPr>
        <w:t>本公司若回购部分金融负债的，在回购日按照继续确认部分与终止确认部分的相对公允价值，将该金</w:t>
      </w:r>
    </w:p>
    <w:p>
      <w:pPr>
        <w:pStyle w:val="BodyText"/>
        <w:spacing w:line="272" w:lineRule="exact" w:before="1"/>
        <w:ind w:right="4"/>
        <w:jc w:val="left"/>
      </w:pP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pStyle w:val="Heading5"/>
        <w:spacing w:line="240" w:lineRule="auto" w:before="72"/>
        <w:ind w:right="4"/>
        <w:jc w:val="left"/>
        <w:rPr>
          <w:b w:val="0"/>
          <w:bCs w:val="0"/>
        </w:rPr>
      </w:pPr>
      <w:r>
        <w:rPr/>
        <w:t>（</w:t>
      </w:r>
      <w:r>
        <w:rPr>
          <w:rFonts w:ascii="宋体" w:hAnsi="宋体" w:cs="宋体" w:eastAsia="宋体" w:hint="default"/>
        </w:rPr>
        <w:t>5</w:t>
      </w:r>
      <w:r>
        <w:rPr/>
        <w:t>）金融资产和金融负债公允价值的确定方法</w:t>
      </w:r>
      <w:r>
        <w:rPr>
          <w:b w:val="0"/>
          <w:bCs w:val="0"/>
        </w:rPr>
      </w:r>
    </w:p>
    <w:p>
      <w:pPr>
        <w:pStyle w:val="BodyText"/>
        <w:spacing w:line="273" w:lineRule="exact" w:before="99"/>
        <w:ind w:left="573" w:right="4"/>
        <w:jc w:val="left"/>
      </w:pPr>
      <w:r>
        <w:rPr/>
        <w:t>①存在活跃市场的金融资产或金融负债，采用活跃市场中的报价来确定公允价值；</w:t>
      </w:r>
    </w:p>
    <w:p>
      <w:pPr>
        <w:pStyle w:val="BodyText"/>
        <w:spacing w:line="273" w:lineRule="exact"/>
        <w:ind w:left="573" w:right="4"/>
        <w:jc w:val="left"/>
      </w:pPr>
      <w:r>
        <w:rPr/>
        <w:t>②金融工具不存在活跃市场的，本公司采用估值技术确定其公允价值。</w:t>
      </w:r>
    </w:p>
    <w:p>
      <w:pPr>
        <w:pStyle w:val="Heading5"/>
        <w:spacing w:line="240" w:lineRule="auto" w:before="97"/>
        <w:ind w:right="4"/>
        <w:jc w:val="left"/>
        <w:rPr>
          <w:b w:val="0"/>
          <w:bCs w:val="0"/>
        </w:rPr>
      </w:pPr>
      <w:r>
        <w:rPr/>
        <w:t>（</w:t>
      </w:r>
      <w:r>
        <w:rPr>
          <w:rFonts w:ascii="宋体" w:hAnsi="宋体" w:cs="宋体" w:eastAsia="宋体" w:hint="default"/>
        </w:rPr>
        <w:t>6</w:t>
      </w:r>
      <w:r>
        <w:rPr/>
        <w:t>）金融资产（不含应收款项）减值测试方法、减值准备计提方法</w:t>
      </w:r>
      <w:r>
        <w:rPr>
          <w:b w:val="0"/>
          <w:bCs w:val="0"/>
        </w:rPr>
      </w:r>
    </w:p>
    <w:p>
      <w:pPr>
        <w:pStyle w:val="BodyText"/>
        <w:spacing w:line="237" w:lineRule="auto" w:before="99"/>
        <w:ind w:left="573" w:right="4"/>
        <w:jc w:val="left"/>
      </w:pPr>
      <w:r>
        <w:rPr/>
        <w:t>①本公司在有以下证据表明该金融资产发生减值的，计提减值准备：</w:t>
      </w:r>
      <w:r>
        <w:rPr>
          <w:w w:val="100"/>
        </w:rPr>
        <w:t> </w:t>
      </w:r>
      <w:r>
        <w:rPr>
          <w:rFonts w:ascii="宋体" w:hAnsi="宋体" w:cs="宋体" w:eastAsia="宋体" w:hint="default"/>
        </w:rPr>
        <w:t>a</w:t>
      </w:r>
      <w:r>
        <w:rPr/>
        <w:t>．发行方或债务人发生严重财务困难；</w:t>
      </w:r>
      <w:r>
        <w:rPr>
          <w:w w:val="100"/>
        </w:rPr>
        <w:t> </w:t>
      </w:r>
      <w:r>
        <w:rPr>
          <w:rFonts w:ascii="宋体" w:hAnsi="宋体" w:cs="宋体" w:eastAsia="宋体" w:hint="default"/>
        </w:rPr>
        <w:t>b.</w:t>
      </w:r>
      <w:r>
        <w:rPr/>
        <w:t>债务人违反了合同条款，如偿付利息或本金发生违约或逾期等；</w:t>
      </w:r>
      <w:r>
        <w:rPr>
          <w:w w:val="100"/>
        </w:rPr>
        <w:t> </w:t>
      </w:r>
      <w:r>
        <w:rPr>
          <w:rFonts w:ascii="宋体" w:hAnsi="宋体" w:cs="宋体" w:eastAsia="宋体" w:hint="default"/>
          <w:spacing w:val="-2"/>
        </w:rPr>
        <w:t>c.</w:t>
      </w:r>
      <w:r>
        <w:rPr>
          <w:spacing w:val="-2"/>
        </w:rPr>
        <w:t>债权人出于经济或法律等方面的考虑，对发生财务困难的债务人作出让步；</w:t>
      </w:r>
      <w:r>
        <w:rPr>
          <w:spacing w:val="-40"/>
        </w:rPr>
        <w:t> </w:t>
      </w:r>
      <w:r>
        <w:rPr>
          <w:spacing w:val="-40"/>
        </w:rPr>
      </w:r>
      <w:r>
        <w:rPr>
          <w:rFonts w:ascii="宋体" w:hAnsi="宋体" w:cs="宋体" w:eastAsia="宋体" w:hint="default"/>
        </w:rPr>
        <w:t>d.</w:t>
      </w:r>
      <w:r>
        <w:rPr/>
        <w:t>债务人可能倒闭或进行其他财务重组；</w:t>
      </w:r>
      <w:r>
        <w:rPr>
          <w:w w:val="100"/>
        </w:rPr>
        <w:t> </w:t>
      </w:r>
      <w:r>
        <w:rPr>
          <w:rFonts w:ascii="宋体" w:hAnsi="宋体" w:cs="宋体" w:eastAsia="宋体" w:hint="default"/>
        </w:rPr>
        <w:t>e.</w:t>
      </w:r>
      <w:r>
        <w:rPr/>
        <w:t>因发行方发生重大财务困难，该金融资产无法在活跃市场继续交易；</w:t>
      </w:r>
    </w:p>
    <w:p>
      <w:pPr>
        <w:spacing w:after="0" w:line="237" w:lineRule="auto"/>
        <w:jc w:val="left"/>
        <w:sectPr>
          <w:pgSz w:w="11910" w:h="16840"/>
          <w:pgMar w:header="884" w:footer="979" w:top="1100" w:bottom="1160" w:left="980" w:right="92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56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2" w:lineRule="exact" w:before="64"/>
        <w:ind w:right="4" w:firstLine="420"/>
        <w:jc w:val="left"/>
      </w:pPr>
      <w:r>
        <w:rPr>
          <w:rFonts w:ascii="宋体" w:hAnsi="宋体" w:cs="宋体" w:eastAsia="宋体" w:hint="default"/>
          <w:spacing w:val="-2"/>
        </w:rPr>
        <w:t>f.</w:t>
      </w:r>
      <w:r>
        <w:rPr>
          <w:spacing w:val="-2"/>
        </w:rPr>
        <w:t>无法辨认一组金融资产中的某项资产的现金流量是否已经减少，但根据公开的数据对其进行总体评</w:t>
      </w:r>
      <w:r>
        <w:rPr>
          <w:w w:val="100"/>
        </w:rPr>
        <w:t> </w:t>
      </w:r>
      <w:r>
        <w:rPr/>
        <w:t>价后发现，该组金融资产自初始确认以来的预计未来现金流量确已减少且可计量；</w:t>
      </w:r>
    </w:p>
    <w:p>
      <w:pPr>
        <w:pStyle w:val="BodyText"/>
        <w:spacing w:line="272" w:lineRule="exact" w:before="1"/>
        <w:ind w:right="4" w:firstLine="420"/>
        <w:jc w:val="left"/>
      </w:pPr>
      <w:r>
        <w:rPr>
          <w:rFonts w:ascii="宋体" w:hAnsi="宋体" w:cs="宋体" w:eastAsia="宋体" w:hint="default"/>
          <w:spacing w:val="-2"/>
        </w:rPr>
        <w:t>g.</w:t>
      </w:r>
      <w:r>
        <w:rPr>
          <w:spacing w:val="-2"/>
        </w:rPr>
        <w:t>债务人经营所处的技术、市场、经济或法律环境等发生重大不利变化，使权益工具投资人可能无法</w:t>
      </w:r>
      <w:r>
        <w:rPr>
          <w:w w:val="100"/>
        </w:rPr>
        <w:t> </w:t>
      </w:r>
      <w:r>
        <w:rPr/>
        <w:t>收回投资成本；</w:t>
      </w:r>
    </w:p>
    <w:p>
      <w:pPr>
        <w:pStyle w:val="BodyText"/>
        <w:spacing w:line="272" w:lineRule="exact" w:before="1"/>
        <w:ind w:left="573" w:right="4350"/>
        <w:jc w:val="left"/>
      </w:pPr>
      <w:r>
        <w:rPr>
          <w:rFonts w:ascii="宋体" w:hAnsi="宋体" w:cs="宋体" w:eastAsia="宋体" w:hint="default"/>
          <w:spacing w:val="-2"/>
        </w:rPr>
        <w:t>h.</w:t>
      </w:r>
      <w:r>
        <w:rPr>
          <w:spacing w:val="-2"/>
        </w:rPr>
        <w:t>权益工具投资的公允价值发生严重或非暂时性下跌；</w:t>
      </w:r>
      <w:r>
        <w:rPr>
          <w:spacing w:val="-57"/>
        </w:rPr>
        <w:t> </w:t>
      </w:r>
      <w:r>
        <w:rPr>
          <w:spacing w:val="-57"/>
        </w:rPr>
      </w:r>
      <w:r>
        <w:rPr>
          <w:rFonts w:ascii="宋体" w:hAnsi="宋体" w:cs="宋体" w:eastAsia="宋体" w:hint="default"/>
        </w:rPr>
        <w:t>i.</w:t>
      </w:r>
      <w:r>
        <w:rPr/>
        <w:t>其他表明金融资产发生减值的客观证据。</w:t>
      </w:r>
    </w:p>
    <w:p>
      <w:pPr>
        <w:pStyle w:val="BodyText"/>
        <w:spacing w:line="272" w:lineRule="exact" w:before="1"/>
        <w:ind w:left="573" w:right="240"/>
        <w:jc w:val="left"/>
      </w:pPr>
      <w:r>
        <w:rPr>
          <w:spacing w:val="-2"/>
        </w:rPr>
        <w:t>②本公司在资产负债表日分别不同类别的金融资产采取不同的方法进行减值测试，并计提减值准备：</w:t>
      </w:r>
      <w:r>
        <w:rPr>
          <w:spacing w:val="-27"/>
        </w:rPr>
        <w:t> </w:t>
      </w:r>
      <w:r>
        <w:rPr>
          <w:spacing w:val="-27"/>
        </w:rPr>
      </w:r>
      <w:r>
        <w:rPr>
          <w:rFonts w:ascii="宋体" w:hAnsi="宋体" w:cs="宋体" w:eastAsia="宋体" w:hint="default"/>
        </w:rPr>
        <w:t>a.</w:t>
      </w:r>
      <w:r>
        <w:rPr>
          <w:rFonts w:ascii="宋体" w:hAnsi="宋体" w:cs="宋体" w:eastAsia="宋体" w:hint="default"/>
          <w:spacing w:val="-6"/>
        </w:rPr>
        <w:t> </w:t>
      </w:r>
      <w:r>
        <w:rPr/>
        <w:t>交易性金融资产：在资产负债表日以公允价值反映，公允价值的变动计入当期损益；</w:t>
      </w:r>
    </w:p>
    <w:p>
      <w:pPr>
        <w:pStyle w:val="BodyText"/>
        <w:spacing w:line="272" w:lineRule="exact" w:before="1"/>
        <w:ind w:right="286" w:firstLine="420"/>
        <w:jc w:val="left"/>
      </w:pPr>
      <w:r>
        <w:rPr>
          <w:rFonts w:ascii="宋体" w:hAnsi="宋体" w:cs="宋体" w:eastAsia="宋体" w:hint="default"/>
        </w:rPr>
        <w:t>b.</w:t>
      </w:r>
      <w:r>
        <w:rPr>
          <w:rFonts w:ascii="宋体" w:hAnsi="宋体" w:cs="宋体" w:eastAsia="宋体" w:hint="default"/>
          <w:spacing w:val="-7"/>
        </w:rPr>
        <w:t> </w:t>
      </w:r>
      <w:r>
        <w:rPr/>
        <w:t>持有至到期投资：资产负债表日，本公司对于持有至到期投资有客观证据表明其发生了减值的，</w:t>
      </w:r>
      <w:r>
        <w:rPr>
          <w:w w:val="100"/>
        </w:rPr>
        <w:t> </w:t>
      </w:r>
      <w:r>
        <w:rPr/>
        <w:t>应当根据其账面价值与预计未来现金流量现值之间差额计算确认减值损失。</w:t>
      </w:r>
    </w:p>
    <w:p>
      <w:pPr>
        <w:pStyle w:val="BodyText"/>
        <w:spacing w:line="272" w:lineRule="exact" w:before="1"/>
        <w:ind w:right="4" w:firstLine="420"/>
        <w:jc w:val="left"/>
      </w:pPr>
      <w:r>
        <w:rPr>
          <w:rFonts w:ascii="宋体" w:hAnsi="宋体" w:cs="宋体" w:eastAsia="宋体" w:hint="default"/>
        </w:rPr>
        <w:t>c.</w:t>
      </w:r>
      <w:r>
        <w:rPr>
          <w:rFonts w:ascii="宋体" w:hAnsi="宋体" w:cs="宋体" w:eastAsia="宋体" w:hint="default"/>
          <w:spacing w:val="-3"/>
        </w:rPr>
        <w:t> </w:t>
      </w:r>
      <w:r>
        <w:rPr/>
        <w:t>可供出售金融资产：资产负债表日，本公司对可供出售金融资产的减值情况进行分析，判断该项</w:t>
      </w:r>
      <w:r>
        <w:rPr>
          <w:w w:val="100"/>
        </w:rPr>
        <w:t> </w:t>
      </w:r>
      <w:r>
        <w:rPr>
          <w:spacing w:val="-2"/>
        </w:rPr>
        <w:t>金融资产公允价值是否持续下降。通常情况下，如果可供出售金融资产的公允价值发生较大幅度下降，在</w:t>
      </w:r>
    </w:p>
    <w:p>
      <w:pPr>
        <w:pStyle w:val="BodyText"/>
        <w:spacing w:line="272" w:lineRule="exact" w:before="2"/>
        <w:ind w:right="4"/>
        <w:jc w:val="left"/>
      </w:pPr>
      <w:r>
        <w:rPr>
          <w:spacing w:val="-5"/>
        </w:rPr>
        <w:t>综合考虑各种相关因素后，预期这种下降趋势属于非暂时性的，可以认定该可供出售金融资产已发生减值， </w:t>
      </w:r>
      <w:r>
        <w:rPr>
          <w:spacing w:val="-2"/>
        </w:rPr>
        <w:t>确认减值损失。可供出售金融资产发生减值的，在确认减值损失时，将原直接计入所有者权益的公允价值</w:t>
      </w:r>
      <w:r>
        <w:rPr/>
      </w:r>
    </w:p>
    <w:p>
      <w:pPr>
        <w:pStyle w:val="BodyText"/>
        <w:spacing w:line="249" w:lineRule="exact"/>
        <w:ind w:right="4"/>
        <w:jc w:val="left"/>
      </w:pPr>
      <w:r>
        <w:rPr/>
        <w:t>下降形成的累计损失一并转出，计入资产减值损失。</w:t>
      </w:r>
    </w:p>
    <w:p>
      <w:pPr>
        <w:pStyle w:val="Heading5"/>
        <w:spacing w:line="326" w:lineRule="auto" w:before="94"/>
        <w:ind w:right="4"/>
        <w:jc w:val="left"/>
        <w:rPr>
          <w:b w:val="0"/>
          <w:bCs w:val="0"/>
        </w:rPr>
      </w:pPr>
      <w:r>
        <w:rPr>
          <w:spacing w:val="-1"/>
        </w:rPr>
        <w:t>（</w:t>
      </w:r>
      <w:r>
        <w:rPr>
          <w:rFonts w:ascii="宋体" w:hAnsi="宋体" w:cs="宋体" w:eastAsia="宋体" w:hint="default"/>
          <w:spacing w:val="-1"/>
        </w:rPr>
        <w:t>7</w:t>
      </w:r>
      <w:r>
        <w:rPr>
          <w:spacing w:val="-1"/>
        </w:rPr>
        <w:t>）将尚未到期的持有至到期投资重分类为可供出售金融资产的，说明持有意图或能力发生改变的依据</w:t>
      </w:r>
      <w:r>
        <w:rPr>
          <w:spacing w:val="-67"/>
        </w:rPr>
        <w:t> </w:t>
      </w:r>
      <w:r>
        <w:rPr>
          <w:spacing w:val="-67"/>
        </w:rPr>
      </w:r>
      <w:r>
        <w:rPr>
          <w:rFonts w:ascii="宋体" w:hAnsi="宋体" w:cs="宋体" w:eastAsia="宋体" w:hint="default"/>
        </w:rPr>
        <w:t>10</w:t>
      </w:r>
      <w:r>
        <w:rPr/>
        <w:t>、应收款项坏账准备的确认标准和计提方法</w:t>
      </w:r>
      <w:r>
        <w:rPr>
          <w:b w:val="0"/>
          <w:bCs w:val="0"/>
        </w:rPr>
      </w:r>
    </w:p>
    <w:p>
      <w:pPr>
        <w:pStyle w:val="BodyText"/>
        <w:spacing w:line="240" w:lineRule="auto" w:before="105"/>
        <w:ind w:left="573" w:right="4"/>
        <w:jc w:val="left"/>
      </w:pPr>
      <w:r>
        <w:rPr/>
        <w:t>在资产负债表日对应收款项的账面价值进行检查，有客观证据表明其发生减值的，计提减值准备。</w:t>
      </w:r>
    </w:p>
    <w:p>
      <w:pPr>
        <w:pStyle w:val="Heading5"/>
        <w:spacing w:line="240" w:lineRule="auto" w:before="97"/>
        <w:ind w:right="4"/>
        <w:jc w:val="left"/>
        <w:rPr>
          <w:b w:val="0"/>
          <w:bCs w:val="0"/>
        </w:rPr>
      </w:pPr>
      <w:r>
        <w:rPr/>
        <w:t>（</w:t>
      </w:r>
      <w:r>
        <w:rPr>
          <w:rFonts w:ascii="宋体" w:hAnsi="宋体" w:cs="宋体" w:eastAsia="宋体" w:hint="default"/>
        </w:rPr>
        <w:t>1</w:t>
      </w:r>
      <w:r>
        <w:rPr/>
        <w:t>）单项金额重大的应收款项坏账准备</w:t>
      </w:r>
      <w:r>
        <w:rPr>
          <w:b w:val="0"/>
          <w:bCs w:val="0"/>
        </w:rPr>
      </w:r>
    </w:p>
    <w:p>
      <w:pPr>
        <w:spacing w:line="240" w:lineRule="auto" w:before="0"/>
        <w:rPr>
          <w:rFonts w:ascii="宋体" w:hAnsi="宋体" w:cs="宋体" w:eastAsia="宋体" w:hint="default"/>
          <w:b/>
          <w:bCs/>
          <w:sz w:val="10"/>
          <w:szCs w:val="10"/>
        </w:rPr>
      </w:pPr>
    </w:p>
    <w:tbl>
      <w:tblPr>
        <w:tblW w:w="0" w:type="auto"/>
        <w:jc w:val="left"/>
        <w:tblInd w:w="190" w:type="dxa"/>
        <w:tblLayout w:type="fixed"/>
        <w:tblCellMar>
          <w:top w:w="0" w:type="dxa"/>
          <w:left w:w="0" w:type="dxa"/>
          <w:bottom w:w="0" w:type="dxa"/>
          <w:right w:w="0" w:type="dxa"/>
        </w:tblCellMar>
        <w:tblLook w:val="01E0"/>
      </w:tblPr>
      <w:tblGrid>
        <w:gridCol w:w="4305"/>
        <w:gridCol w:w="5250"/>
      </w:tblGrid>
      <w:tr>
        <w:trPr>
          <w:trHeight w:val="557" w:hRule="exact"/>
        </w:trPr>
        <w:tc>
          <w:tcPr>
            <w:tcW w:w="4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本公司将</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万元以上应收账款，</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万元以上其他应收</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款确定为单项金额重大。</w:t>
            </w:r>
          </w:p>
        </w:tc>
      </w:tr>
      <w:tr>
        <w:trPr>
          <w:trHeight w:val="1100" w:hRule="exact"/>
        </w:trPr>
        <w:tc>
          <w:tcPr>
            <w:tcW w:w="4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pacing w:val="-4"/>
                <w:sz w:val="21"/>
                <w:szCs w:val="21"/>
              </w:rPr>
              <w:t>对于单项金额重大的应收款项，单独进行减值测试。有客</w:t>
            </w:r>
          </w:p>
          <w:p>
            <w:pPr>
              <w:pStyle w:val="TableParagraph"/>
              <w:spacing w:line="237" w:lineRule="auto" w:before="1"/>
              <w:ind w:left="23" w:right="14"/>
              <w:jc w:val="both"/>
              <w:rPr>
                <w:rFonts w:ascii="宋体" w:hAnsi="宋体" w:cs="宋体" w:eastAsia="宋体" w:hint="default"/>
                <w:sz w:val="21"/>
                <w:szCs w:val="21"/>
              </w:rPr>
            </w:pPr>
            <w:r>
              <w:rPr>
                <w:rFonts w:ascii="宋体" w:hAnsi="宋体" w:cs="宋体" w:eastAsia="宋体" w:hint="default"/>
                <w:spacing w:val="-4"/>
                <w:sz w:val="21"/>
                <w:szCs w:val="21"/>
              </w:rPr>
              <w:t>观证据表明其发生了减值的，根据其未来现金流量现值低</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于其账面价值的差额，确认减值损失，并据此计提相应的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坏账准备。</w:t>
            </w:r>
          </w:p>
        </w:tc>
      </w:tr>
    </w:tbl>
    <w:p>
      <w:pPr>
        <w:pStyle w:val="Heading5"/>
        <w:spacing w:line="240" w:lineRule="auto" w:before="64"/>
        <w:ind w:right="4"/>
        <w:jc w:val="left"/>
        <w:rPr>
          <w:b w:val="0"/>
          <w:bCs w:val="0"/>
        </w:rPr>
      </w:pPr>
      <w:r>
        <w:rPr/>
        <w:t>（</w:t>
      </w:r>
      <w:r>
        <w:rPr>
          <w:rFonts w:ascii="宋体" w:hAnsi="宋体" w:cs="宋体" w:eastAsia="宋体" w:hint="default"/>
        </w:rPr>
        <w:t>2</w:t>
      </w:r>
      <w:r>
        <w:rPr/>
        <w:t>）按组合计提坏账准备的应收款项</w:t>
      </w:r>
      <w:r>
        <w:rPr>
          <w:b w:val="0"/>
          <w:bCs w:val="0"/>
        </w:rPr>
      </w:r>
    </w:p>
    <w:p>
      <w:pPr>
        <w:spacing w:line="240" w:lineRule="auto" w:before="3"/>
        <w:rPr>
          <w:rFonts w:ascii="宋体" w:hAnsi="宋体" w:cs="宋体" w:eastAsia="宋体" w:hint="default"/>
          <w:b/>
          <w:bCs/>
          <w:sz w:val="10"/>
          <w:szCs w:val="10"/>
        </w:rPr>
      </w:pPr>
    </w:p>
    <w:tbl>
      <w:tblPr>
        <w:tblW w:w="0" w:type="auto"/>
        <w:jc w:val="left"/>
        <w:tblInd w:w="183" w:type="dxa"/>
        <w:tblLayout w:type="fixed"/>
        <w:tblCellMar>
          <w:top w:w="0" w:type="dxa"/>
          <w:left w:w="0" w:type="dxa"/>
          <w:bottom w:w="0" w:type="dxa"/>
          <w:right w:w="0" w:type="dxa"/>
        </w:tblCellMar>
        <w:tblLook w:val="01E0"/>
      </w:tblPr>
      <w:tblGrid>
        <w:gridCol w:w="2600"/>
        <w:gridCol w:w="2184"/>
        <w:gridCol w:w="4784"/>
      </w:tblGrid>
      <w:tr>
        <w:trPr>
          <w:trHeight w:val="554"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按组合计提坏账准备的</w:t>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按账龄段组合的应收款项</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本公司将相同账龄的应收账款作为具有类似信用风</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险特征的组合，确定组合的依据</w:t>
            </w:r>
            <w:r>
              <w:rPr>
                <w:rFonts w:ascii="宋体" w:hAnsi="宋体" w:cs="宋体" w:eastAsia="宋体" w:hint="default"/>
                <w:sz w:val="21"/>
                <w:szCs w:val="21"/>
              </w:rPr>
              <w:t>.</w:t>
            </w:r>
          </w:p>
        </w:tc>
      </w:tr>
    </w:tbl>
    <w:p>
      <w:pPr>
        <w:pStyle w:val="BodyText"/>
        <w:spacing w:line="240" w:lineRule="exact"/>
        <w:ind w:right="4"/>
        <w:jc w:val="left"/>
      </w:pPr>
      <w:r>
        <w:rPr/>
        <w:t>组合中，采用账龄分析法计提坏账准备的</w:t>
      </w:r>
    </w:p>
    <w:p>
      <w:pPr>
        <w:pStyle w:val="BodyText"/>
        <w:spacing w:line="274" w:lineRule="exact"/>
        <w:ind w:right="4"/>
        <w:jc w:val="left"/>
      </w:pPr>
      <w:r>
        <w:rPr/>
        <w:t>√ 适用 □</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2576"/>
        <w:gridCol w:w="2986"/>
        <w:gridCol w:w="3994"/>
      </w:tblGrid>
      <w:tr>
        <w:trPr>
          <w:trHeight w:val="28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86"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w:t>
            </w:r>
          </w:p>
        </w:tc>
      </w:tr>
      <w:tr>
        <w:trPr>
          <w:trHeight w:val="28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6"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r>
      <w:tr>
        <w:trPr>
          <w:trHeight w:val="28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6"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30%</w:t>
            </w:r>
          </w:p>
        </w:tc>
      </w:tr>
      <w:tr>
        <w:trPr>
          <w:trHeight w:val="281"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6"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50%</w:t>
            </w:r>
          </w:p>
        </w:tc>
      </w:tr>
      <w:tr>
        <w:trPr>
          <w:trHeight w:val="28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6"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80%</w:t>
            </w:r>
          </w:p>
        </w:tc>
      </w:tr>
      <w:tr>
        <w:trPr>
          <w:trHeight w:val="28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86"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w:t>
            </w:r>
          </w:p>
        </w:tc>
      </w:tr>
    </w:tbl>
    <w:p>
      <w:pPr>
        <w:pStyle w:val="BodyText"/>
        <w:spacing w:line="239" w:lineRule="exact"/>
        <w:ind w:right="4"/>
        <w:jc w:val="left"/>
      </w:pPr>
      <w:r>
        <w:rPr/>
        <w:t>组合中，采用余额百分比法计提坏账准备的</w:t>
      </w:r>
    </w:p>
    <w:p>
      <w:pPr>
        <w:pStyle w:val="BodyText"/>
        <w:spacing w:line="240" w:lineRule="auto"/>
        <w:ind w:right="4870"/>
        <w:jc w:val="left"/>
      </w:pPr>
      <w:r>
        <w:rPr/>
        <w:t>□ 适用 √ 不适用</w:t>
      </w:r>
      <w:r>
        <w:rPr>
          <w:spacing w:val="-104"/>
        </w:rPr>
        <w:t> </w:t>
      </w:r>
      <w:r>
        <w:rPr>
          <w:spacing w:val="-104"/>
        </w:rPr>
      </w:r>
      <w:r>
        <w:rPr>
          <w:spacing w:val="-2"/>
        </w:rPr>
        <w:t>组合中，采用其他方法计提坏账准备的</w:t>
      </w:r>
    </w:p>
    <w:p>
      <w:pPr>
        <w:pStyle w:val="BodyText"/>
        <w:spacing w:line="271" w:lineRule="exact"/>
        <w:ind w:right="4"/>
        <w:jc w:val="left"/>
      </w:pPr>
      <w:r>
        <w:rPr/>
        <w:t>□ 适用 √</w:t>
      </w:r>
      <w:r>
        <w:rPr>
          <w:spacing w:val="1"/>
        </w:rPr>
        <w:t> </w:t>
      </w:r>
      <w:r>
        <w:rPr/>
        <w:t>不适用</w:t>
      </w:r>
    </w:p>
    <w:p>
      <w:pPr>
        <w:pStyle w:val="Heading5"/>
        <w:spacing w:line="240" w:lineRule="auto" w:before="97"/>
        <w:ind w:right="4"/>
        <w:jc w:val="left"/>
        <w:rPr>
          <w:b w:val="0"/>
          <w:bCs w:val="0"/>
        </w:rPr>
      </w:pPr>
      <w:r>
        <w:rPr/>
        <w:t>（</w:t>
      </w:r>
      <w:r>
        <w:rPr>
          <w:rFonts w:ascii="宋体" w:hAnsi="宋体" w:cs="宋体" w:eastAsia="宋体"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10"/>
          <w:szCs w:val="10"/>
        </w:rPr>
      </w:pPr>
    </w:p>
    <w:tbl>
      <w:tblPr>
        <w:tblW w:w="0" w:type="auto"/>
        <w:jc w:val="left"/>
        <w:tblInd w:w="183" w:type="dxa"/>
        <w:tblLayout w:type="fixed"/>
        <w:tblCellMar>
          <w:top w:w="0" w:type="dxa"/>
          <w:left w:w="0" w:type="dxa"/>
          <w:bottom w:w="0" w:type="dxa"/>
          <w:right w:w="0" w:type="dxa"/>
        </w:tblCellMar>
        <w:tblLook w:val="01E0"/>
      </w:tblPr>
      <w:tblGrid>
        <w:gridCol w:w="3354"/>
        <w:gridCol w:w="6215"/>
      </w:tblGrid>
      <w:tr>
        <w:trPr>
          <w:trHeight w:val="828" w:hRule="exact"/>
        </w:trPr>
        <w:tc>
          <w:tcPr>
            <w:tcW w:w="3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单项金额不重大但已有客观证据表明其发生了减值的应收款项，按</w:t>
            </w:r>
          </w:p>
          <w:p>
            <w:pPr>
              <w:pStyle w:val="TableParagraph"/>
              <w:spacing w:line="272" w:lineRule="exact" w:before="26"/>
              <w:ind w:left="23" w:right="82"/>
              <w:jc w:val="left"/>
              <w:rPr>
                <w:rFonts w:ascii="宋体" w:hAnsi="宋体" w:cs="宋体" w:eastAsia="宋体" w:hint="default"/>
                <w:sz w:val="21"/>
                <w:szCs w:val="21"/>
              </w:rPr>
            </w:pPr>
            <w:r>
              <w:rPr>
                <w:rFonts w:ascii="宋体" w:hAnsi="宋体" w:cs="宋体" w:eastAsia="宋体" w:hint="default"/>
                <w:spacing w:val="-2"/>
                <w:sz w:val="21"/>
                <w:szCs w:val="21"/>
              </w:rPr>
              <w:t>账龄分析法计提的坏账准备不能反映实际情况，本公司单独进行减</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值测试。</w:t>
            </w:r>
          </w:p>
        </w:tc>
      </w:tr>
    </w:tbl>
    <w:p>
      <w:pPr>
        <w:spacing w:after="0" w:line="272" w:lineRule="exact"/>
        <w:jc w:val="left"/>
        <w:rPr>
          <w:rFonts w:ascii="宋体" w:hAnsi="宋体" w:cs="宋体" w:eastAsia="宋体" w:hint="default"/>
          <w:sz w:val="21"/>
          <w:szCs w:val="21"/>
        </w:rPr>
        <w:sectPr>
          <w:pgSz w:w="11910" w:h="16840"/>
          <w:pgMar w:header="884" w:footer="979" w:top="1100" w:bottom="1160" w:left="980" w:right="920"/>
        </w:sectPr>
      </w:pPr>
    </w:p>
    <w:p>
      <w:pPr>
        <w:spacing w:line="240" w:lineRule="auto" w:before="6"/>
        <w:rPr>
          <w:rFonts w:ascii="宋体" w:hAnsi="宋体" w:cs="宋体" w:eastAsia="宋体" w:hint="default"/>
          <w:b/>
          <w:bCs/>
          <w:sz w:val="25"/>
          <w:szCs w:val="25"/>
        </w:rPr>
      </w:pPr>
      <w:r>
        <w:rPr/>
        <w:pict>
          <v:group style="position:absolute;margin-left:54.84pt;margin-top:28.299982pt;width:485.65pt;height:40.15pt;mso-position-horizontal-relative:page;mso-position-vertical-relative:page;z-index:258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83" w:type="dxa"/>
        <w:tblLayout w:type="fixed"/>
        <w:tblCellMar>
          <w:top w:w="0" w:type="dxa"/>
          <w:left w:w="0" w:type="dxa"/>
          <w:bottom w:w="0" w:type="dxa"/>
          <w:right w:w="0" w:type="dxa"/>
        </w:tblCellMar>
        <w:tblLook w:val="01E0"/>
      </w:tblPr>
      <w:tblGrid>
        <w:gridCol w:w="3354"/>
        <w:gridCol w:w="6215"/>
      </w:tblGrid>
      <w:tr>
        <w:trPr>
          <w:trHeight w:val="555" w:hRule="exact"/>
        </w:trPr>
        <w:tc>
          <w:tcPr>
            <w:tcW w:w="3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根据其未来现金流量现值低于其账面价值的差额，确认减值损失，</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并据此计提相应的坏账准备。</w:t>
            </w:r>
          </w:p>
        </w:tc>
      </w:tr>
    </w:tbl>
    <w:p>
      <w:pPr>
        <w:pStyle w:val="Heading5"/>
        <w:spacing w:line="240" w:lineRule="auto" w:before="62"/>
        <w:ind w:right="4"/>
        <w:jc w:val="left"/>
        <w:rPr>
          <w:b w:val="0"/>
          <w:bCs w:val="0"/>
        </w:rPr>
      </w:pPr>
      <w:r>
        <w:rPr>
          <w:rFonts w:ascii="宋体" w:hAnsi="宋体" w:cs="宋体" w:eastAsia="宋体" w:hint="default"/>
        </w:rPr>
        <w:t>11</w:t>
      </w:r>
      <w:r>
        <w:rPr/>
        <w:t>、存货</w:t>
      </w:r>
      <w:r>
        <w:rPr>
          <w:b w:val="0"/>
          <w:bCs w:val="0"/>
        </w:rPr>
      </w:r>
    </w:p>
    <w:p>
      <w:pPr>
        <w:spacing w:line="240" w:lineRule="auto" w:before="12"/>
        <w:rPr>
          <w:rFonts w:ascii="宋体" w:hAnsi="宋体" w:cs="宋体" w:eastAsia="宋体" w:hint="default"/>
          <w:b/>
          <w:bCs/>
          <w:sz w:val="17"/>
          <w:szCs w:val="17"/>
        </w:rPr>
      </w:pPr>
    </w:p>
    <w:p>
      <w:pPr>
        <w:spacing w:line="324" w:lineRule="auto" w:before="0"/>
        <w:ind w:left="152" w:right="43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本公司存货包括原材料、在产品、周转材料等。</w:t>
      </w:r>
    </w:p>
    <w:p>
      <w:pPr>
        <w:spacing w:line="326" w:lineRule="auto" w:before="23"/>
        <w:ind w:left="152" w:right="74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z w:val="21"/>
          <w:szCs w:val="21"/>
        </w:rPr>
        <w:t>计价方法：个别认定法</w:t>
      </w:r>
    </w:p>
    <w:p>
      <w:pPr>
        <w:spacing w:line="326" w:lineRule="auto" w:before="19"/>
        <w:ind w:left="575" w:right="4"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存货可变现净值的确认方法：存货可变现净值是按存货的估计售价减去至完工时估计将要发生的成</w:t>
      </w:r>
    </w:p>
    <w:p>
      <w:pPr>
        <w:pStyle w:val="BodyText"/>
        <w:spacing w:line="196" w:lineRule="exact"/>
        <w:ind w:right="4"/>
        <w:jc w:val="left"/>
      </w:pPr>
      <w:r>
        <w:rPr>
          <w:spacing w:val="-2"/>
        </w:rPr>
        <w:t>本、估计的销售费用以及相关税费后的金额。</w:t>
      </w:r>
      <w:r>
        <w:rPr>
          <w:spacing w:val="63"/>
        </w:rPr>
        <w:t> </w:t>
      </w:r>
      <w:r>
        <w:rPr>
          <w:spacing w:val="-2"/>
        </w:rPr>
        <w:t>资产负债表日如果以前减记存货价值的影响因素已经消失，</w:t>
      </w:r>
    </w:p>
    <w:p>
      <w:pPr>
        <w:pStyle w:val="BodyText"/>
        <w:spacing w:line="272" w:lineRule="exact" w:before="27"/>
        <w:ind w:left="575" w:right="4" w:hanging="423"/>
        <w:jc w:val="left"/>
      </w:pPr>
      <w:r>
        <w:rPr/>
        <w:t>则减记的金额予以恢复，并在原已计提的存货跌价准备的金额内转回，转回的金额计入当期损益。</w:t>
      </w:r>
      <w:r>
        <w:rPr>
          <w:w w:val="100"/>
        </w:rPr>
        <w:t> </w:t>
      </w:r>
      <w:r>
        <w:rPr>
          <w:spacing w:val="-5"/>
        </w:rPr>
        <w:t>存货跌价准备计提方法：资产负债表日按成本与可变现净值孰低计量，存货成本高于其可变现净值的，</w:t>
      </w:r>
    </w:p>
    <w:p>
      <w:pPr>
        <w:pStyle w:val="BodyText"/>
        <w:spacing w:line="272" w:lineRule="exact" w:before="1"/>
        <w:ind w:right="286"/>
        <w:jc w:val="left"/>
      </w:pPr>
      <w:r>
        <w:rPr/>
        <w:t>计提存货跌价准备，计入当期损益。</w:t>
      </w:r>
      <w:r>
        <w:rPr>
          <w:spacing w:val="-7"/>
        </w:rPr>
        <w:t> </w:t>
      </w:r>
      <w:r>
        <w:rPr/>
        <w:t>存货跌价准备一般按单个存货项目计提；对于数量繁多、单价较低</w:t>
      </w:r>
      <w:r>
        <w:rPr>
          <w:w w:val="100"/>
        </w:rPr>
        <w:t> </w:t>
      </w:r>
      <w:r>
        <w:rPr/>
        <w:t>的存货，按存货类别计提。</w:t>
      </w:r>
    </w:p>
    <w:p>
      <w:pPr>
        <w:spacing w:line="326" w:lineRule="auto" w:before="72"/>
        <w:ind w:left="152" w:right="753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03"/>
          <w:sz w:val="21"/>
          <w:szCs w:val="21"/>
        </w:rPr>
        <w:t> </w:t>
      </w:r>
      <w:r>
        <w:rPr>
          <w:rFonts w:ascii="宋体" w:hAnsi="宋体" w:cs="宋体" w:eastAsia="宋体" w:hint="default"/>
          <w:spacing w:val="-2"/>
          <w:sz w:val="21"/>
          <w:szCs w:val="21"/>
        </w:rPr>
        <w:t>盘存制度：永续盘存制</w:t>
      </w:r>
    </w:p>
    <w:p>
      <w:pPr>
        <w:spacing w:line="326" w:lineRule="auto" w:before="19"/>
        <w:ind w:left="152" w:right="63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z w:val="21"/>
          <w:szCs w:val="21"/>
        </w:rPr>
        <w:t>低值易耗品</w:t>
      </w:r>
    </w:p>
    <w:p>
      <w:pPr>
        <w:pStyle w:val="BodyText"/>
        <w:spacing w:line="195" w:lineRule="exact"/>
        <w:ind w:right="4"/>
        <w:jc w:val="left"/>
      </w:pPr>
      <w:r>
        <w:rPr/>
        <w:t>摊销方法：一次摊销法</w:t>
      </w:r>
    </w:p>
    <w:p>
      <w:pPr>
        <w:pStyle w:val="BodyText"/>
        <w:spacing w:line="272" w:lineRule="exact" w:before="27"/>
        <w:ind w:right="7532"/>
        <w:jc w:val="left"/>
      </w:pPr>
      <w:r>
        <w:rPr/>
        <w:t>包装物</w:t>
      </w:r>
      <w:r>
        <w:rPr>
          <w:spacing w:val="-102"/>
        </w:rPr>
        <w:t> </w:t>
      </w:r>
      <w:r>
        <w:rPr>
          <w:spacing w:val="-2"/>
        </w:rPr>
        <w:t>摊销方法：一次摊销法</w:t>
      </w:r>
    </w:p>
    <w:p>
      <w:pPr>
        <w:pStyle w:val="Heading5"/>
        <w:spacing w:line="240" w:lineRule="auto" w:before="70"/>
        <w:ind w:right="4"/>
        <w:jc w:val="left"/>
        <w:rPr>
          <w:b w:val="0"/>
          <w:bCs w:val="0"/>
        </w:rPr>
      </w:pPr>
      <w:r>
        <w:rPr>
          <w:rFonts w:ascii="宋体" w:hAnsi="宋体" w:cs="宋体" w:eastAsia="宋体" w:hint="default"/>
        </w:rPr>
        <w:t>12</w:t>
      </w:r>
      <w:r>
        <w:rPr/>
        <w:t>、长期股权投资</w:t>
      </w:r>
      <w:r>
        <w:rPr>
          <w:b w:val="0"/>
          <w:bCs w:val="0"/>
        </w:rPr>
      </w:r>
    </w:p>
    <w:p>
      <w:pPr>
        <w:spacing w:line="240" w:lineRule="auto" w:before="9"/>
        <w:rPr>
          <w:rFonts w:ascii="宋体" w:hAnsi="宋体" w:cs="宋体" w:eastAsia="宋体" w:hint="default"/>
          <w:b/>
          <w:bCs/>
          <w:sz w:val="17"/>
          <w:szCs w:val="17"/>
        </w:rPr>
      </w:pPr>
    </w:p>
    <w:p>
      <w:pPr>
        <w:pStyle w:val="Heading5"/>
        <w:spacing w:line="240" w:lineRule="auto"/>
        <w:ind w:right="4"/>
        <w:jc w:val="left"/>
        <w:rPr>
          <w:b w:val="0"/>
          <w:bCs w:val="0"/>
        </w:rPr>
      </w:pPr>
      <w:r>
        <w:rPr/>
        <w:t>（</w:t>
      </w:r>
      <w:r>
        <w:rPr>
          <w:rFonts w:ascii="宋体" w:hAnsi="宋体" w:cs="宋体" w:eastAsia="宋体" w:hint="default"/>
        </w:rPr>
        <w:t>1</w:t>
      </w:r>
      <w:r>
        <w:rPr/>
        <w:t>）投资成本的确定</w:t>
      </w:r>
      <w:r>
        <w:rPr>
          <w:b w:val="0"/>
          <w:bCs w:val="0"/>
        </w:rPr>
      </w:r>
    </w:p>
    <w:p>
      <w:pPr>
        <w:pStyle w:val="BodyText"/>
        <w:spacing w:line="272" w:lineRule="exact" w:before="127"/>
        <w:ind w:left="573" w:right="4"/>
        <w:jc w:val="left"/>
      </w:pPr>
      <w:r>
        <w:rPr/>
        <w:t>①企业合并形成的长期股权投资，按照下列规定确定其投资成本：</w:t>
      </w:r>
      <w:r>
        <w:rPr>
          <w:w w:val="100"/>
        </w:rPr>
        <w:t> </w:t>
      </w:r>
      <w:r>
        <w:rPr>
          <w:rFonts w:ascii="宋体" w:hAnsi="宋体" w:cs="宋体" w:eastAsia="宋体" w:hint="default"/>
          <w:spacing w:val="-2"/>
        </w:rPr>
        <w:t>a.</w:t>
      </w:r>
      <w:r>
        <w:rPr>
          <w:spacing w:val="-2"/>
        </w:rPr>
        <w:t>同一控制下的企业合并，合并方以支付现金、转让非现金资产或承担债务方式作为合并对价的，在</w:t>
      </w:r>
    </w:p>
    <w:p>
      <w:pPr>
        <w:pStyle w:val="BodyText"/>
        <w:spacing w:line="272" w:lineRule="exact" w:before="1"/>
        <w:ind w:right="4"/>
        <w:jc w:val="left"/>
      </w:pPr>
      <w:r>
        <w:rPr>
          <w:spacing w:val="-2"/>
        </w:rPr>
        <w:t>合并日按照取得被合并方所有者权益账面价值的份额作为长期股权投资的投资成本。长期股权投资投资成</w:t>
      </w:r>
      <w:r>
        <w:rPr>
          <w:spacing w:val="-43"/>
        </w:rPr>
        <w:t> </w:t>
      </w:r>
      <w:r>
        <w:rPr>
          <w:spacing w:val="-43"/>
        </w:rPr>
      </w:r>
      <w:r>
        <w:rPr>
          <w:spacing w:val="-2"/>
        </w:rPr>
        <w:t>本与支付的现金、转让的非现金资产以及所承担债务账面价值之间的差额，调整资本公积；资本公积不足</w:t>
      </w:r>
    </w:p>
    <w:p>
      <w:pPr>
        <w:pStyle w:val="BodyText"/>
        <w:spacing w:line="272" w:lineRule="exact" w:before="1"/>
        <w:ind w:left="573" w:right="4" w:hanging="421"/>
        <w:jc w:val="left"/>
      </w:pPr>
      <w:r>
        <w:rPr/>
        <w:t>冲减的，调整留存收益；</w:t>
      </w:r>
      <w:r>
        <w:rPr>
          <w:w w:val="100"/>
        </w:rPr>
        <w:t> </w:t>
      </w:r>
      <w:r>
        <w:rPr>
          <w:rFonts w:ascii="宋体" w:hAnsi="宋体" w:cs="宋体" w:eastAsia="宋体" w:hint="default"/>
          <w:spacing w:val="-2"/>
        </w:rPr>
        <w:t>b.</w:t>
      </w:r>
      <w:r>
        <w:rPr>
          <w:spacing w:val="-2"/>
        </w:rPr>
        <w:t>合并方以发行权益性证券作为合并对价的，在合并日按照取得被合并方所有者权益账面价值的份额</w:t>
      </w:r>
    </w:p>
    <w:p>
      <w:pPr>
        <w:pStyle w:val="BodyText"/>
        <w:spacing w:line="272" w:lineRule="exact" w:before="1"/>
        <w:ind w:right="4"/>
        <w:jc w:val="left"/>
      </w:pPr>
      <w:r>
        <w:rPr>
          <w:spacing w:val="-2"/>
        </w:rPr>
        <w:t>作为长期股权投资的投资成本。按照发行股份的面值总额作为股本，长期股权投资投资成本与所发行股份</w:t>
      </w:r>
      <w:r>
        <w:rPr>
          <w:spacing w:val="-43"/>
        </w:rPr>
        <w:t> </w:t>
      </w:r>
      <w:r>
        <w:rPr>
          <w:spacing w:val="-43"/>
        </w:rPr>
      </w:r>
      <w:r>
        <w:rPr/>
        <w:t>面值总额之间的差额，调整资本公积；资本公积不足冲减的，调整留存收益；</w:t>
      </w:r>
    </w:p>
    <w:p>
      <w:pPr>
        <w:pStyle w:val="BodyText"/>
        <w:spacing w:line="272" w:lineRule="exact" w:before="1"/>
        <w:ind w:right="205" w:firstLine="420"/>
        <w:jc w:val="left"/>
      </w:pPr>
      <w:r>
        <w:rPr>
          <w:rFonts w:ascii="宋体" w:hAnsi="宋体" w:cs="宋体" w:eastAsia="宋体" w:hint="default"/>
        </w:rPr>
        <w:t>c.</w:t>
      </w:r>
      <w:r>
        <w:rPr>
          <w:rFonts w:ascii="宋体" w:hAnsi="宋体" w:cs="宋体" w:eastAsia="宋体" w:hint="default"/>
          <w:spacing w:val="-14"/>
        </w:rPr>
        <w:t> </w:t>
      </w:r>
      <w:r>
        <w:rPr/>
        <w:t>非同一控制下的企业合并，购买方在购买日以按照《企业会计准则第</w:t>
      </w:r>
      <w:r>
        <w:rPr>
          <w:spacing w:val="-60"/>
        </w:rPr>
        <w:t> </w:t>
      </w:r>
      <w:r>
        <w:rPr>
          <w:rFonts w:ascii="宋体" w:hAnsi="宋体" w:cs="宋体" w:eastAsia="宋体" w:hint="default"/>
        </w:rPr>
        <w:t>20</w:t>
      </w:r>
      <w:r>
        <w:rPr>
          <w:rFonts w:ascii="宋体" w:hAnsi="宋体" w:cs="宋体" w:eastAsia="宋体" w:hint="default"/>
          <w:spacing w:val="-62"/>
        </w:rPr>
        <w:t> </w:t>
      </w:r>
      <w:r>
        <w:rPr/>
        <w:t>号—企业合并》确定的合</w:t>
      </w:r>
      <w:r>
        <w:rPr>
          <w:w w:val="100"/>
        </w:rPr>
        <w:t> </w:t>
      </w:r>
      <w:r>
        <w:rPr/>
        <w:t>并成本作为长期股权投资的投资成本。</w:t>
      </w:r>
    </w:p>
    <w:p>
      <w:pPr>
        <w:pStyle w:val="BodyText"/>
        <w:spacing w:line="272" w:lineRule="exact" w:before="1"/>
        <w:ind w:right="4" w:firstLine="420"/>
        <w:jc w:val="left"/>
      </w:pPr>
      <w:r>
        <w:rPr>
          <w:spacing w:val="-2"/>
        </w:rPr>
        <w:t>②除企业合并形成的长期股权投资以外，其他方式取得的长期股权投资，按照下列规定确定其投资成</w:t>
      </w:r>
      <w:r>
        <w:rPr>
          <w:w w:val="100"/>
        </w:rPr>
        <w:t> </w:t>
      </w:r>
      <w:r>
        <w:rPr/>
        <w:t>本：</w:t>
      </w:r>
    </w:p>
    <w:p>
      <w:pPr>
        <w:pStyle w:val="BodyText"/>
        <w:spacing w:line="246" w:lineRule="exact"/>
        <w:ind w:left="573" w:right="4"/>
        <w:jc w:val="left"/>
      </w:pPr>
      <w:r>
        <w:rPr>
          <w:rFonts w:ascii="宋体" w:hAnsi="宋体" w:cs="宋体" w:eastAsia="宋体" w:hint="default"/>
        </w:rPr>
        <w:t>a.</w:t>
      </w:r>
      <w:r>
        <w:rPr>
          <w:rFonts w:ascii="宋体" w:hAnsi="宋体" w:cs="宋体" w:eastAsia="宋体" w:hint="default"/>
          <w:spacing w:val="-9"/>
        </w:rPr>
        <w:t> </w:t>
      </w:r>
      <w:r>
        <w:rPr/>
        <w:t>以支付现金取得的长期股权投资，按照实际支付的购买价款作为投资成本。投资成本包括与取得</w:t>
      </w:r>
    </w:p>
    <w:p>
      <w:pPr>
        <w:pStyle w:val="BodyText"/>
        <w:spacing w:line="272" w:lineRule="exact" w:before="27"/>
        <w:ind w:right="4"/>
        <w:jc w:val="left"/>
      </w:pPr>
      <w:r>
        <w:rPr>
          <w:spacing w:val="-2"/>
        </w:rPr>
        <w:t>长期股权投资直接相关的费用、税金及其他必要支出，但实际支付的价款中包含的已宣告但尚未领取的现</w:t>
      </w:r>
      <w:r>
        <w:rPr>
          <w:spacing w:val="-43"/>
        </w:rPr>
        <w:t> </w:t>
      </w:r>
      <w:r>
        <w:rPr>
          <w:spacing w:val="-43"/>
        </w:rPr>
      </w:r>
      <w:r>
        <w:rPr/>
        <w:t>金股利，作为应收项目单独核算；</w:t>
      </w:r>
    </w:p>
    <w:p>
      <w:pPr>
        <w:pStyle w:val="BodyText"/>
        <w:spacing w:line="247" w:lineRule="exact"/>
        <w:ind w:left="573" w:right="4"/>
        <w:jc w:val="left"/>
      </w:pPr>
      <w:r>
        <w:rPr>
          <w:rFonts w:ascii="宋体" w:hAnsi="宋体" w:cs="宋体" w:eastAsia="宋体" w:hint="default"/>
        </w:rPr>
        <w:t>b.</w:t>
      </w:r>
      <w:r>
        <w:rPr>
          <w:rFonts w:ascii="宋体" w:hAnsi="宋体" w:cs="宋体" w:eastAsia="宋体" w:hint="default"/>
          <w:spacing w:val="-6"/>
        </w:rPr>
        <w:t> </w:t>
      </w:r>
      <w:r>
        <w:rPr/>
        <w:t>以发行权益性证券取得的长期股权投资，按照发行权益性证券的公允价值作为投资成本；</w:t>
      </w:r>
    </w:p>
    <w:p>
      <w:pPr>
        <w:pStyle w:val="BodyText"/>
        <w:spacing w:line="240" w:lineRule="auto"/>
        <w:ind w:right="286" w:firstLine="420"/>
        <w:jc w:val="left"/>
      </w:pPr>
      <w:r>
        <w:rPr>
          <w:rFonts w:ascii="宋体" w:hAnsi="宋体" w:cs="宋体" w:eastAsia="宋体" w:hint="default"/>
        </w:rPr>
        <w:t>c.</w:t>
      </w:r>
      <w:r>
        <w:rPr>
          <w:rFonts w:ascii="宋体" w:hAnsi="宋体" w:cs="宋体" w:eastAsia="宋体" w:hint="default"/>
          <w:spacing w:val="-7"/>
        </w:rPr>
        <w:t> </w:t>
      </w:r>
      <w:r>
        <w:rPr/>
        <w:t>投资者投入的长期股权投资，按照投资合同或协议约定的价值作为投资成本，但合同或协议约定</w:t>
      </w:r>
      <w:r>
        <w:rPr>
          <w:w w:val="100"/>
        </w:rPr>
        <w:t> </w:t>
      </w:r>
      <w:r>
        <w:rPr/>
        <w:t>不公允的除外；</w:t>
      </w:r>
    </w:p>
    <w:p>
      <w:pPr>
        <w:pStyle w:val="BodyText"/>
        <w:spacing w:line="274" w:lineRule="exact" w:before="22"/>
        <w:ind w:right="287" w:firstLine="420"/>
        <w:jc w:val="left"/>
      </w:pPr>
      <w:r>
        <w:rPr>
          <w:rFonts w:ascii="宋体" w:hAnsi="宋体" w:cs="宋体" w:eastAsia="宋体" w:hint="default"/>
        </w:rPr>
        <w:t>d.</w:t>
      </w:r>
      <w:r>
        <w:rPr>
          <w:rFonts w:ascii="宋体" w:hAnsi="宋体" w:cs="宋体" w:eastAsia="宋体" w:hint="default"/>
          <w:spacing w:val="-4"/>
        </w:rPr>
        <w:t> </w:t>
      </w:r>
      <w:r>
        <w:rPr/>
        <w:t>通过非货币性资产交换取得的长期股权投资，其投资成本按照《企业会计准则第</w:t>
      </w:r>
      <w:r>
        <w:rPr>
          <w:spacing w:val="-54"/>
        </w:rPr>
        <w:t> </w:t>
      </w:r>
      <w:r>
        <w:rPr>
          <w:rFonts w:ascii="宋体" w:hAnsi="宋体" w:cs="宋体" w:eastAsia="宋体" w:hint="default"/>
        </w:rPr>
        <w:t>7</w:t>
      </w:r>
      <w:r>
        <w:rPr>
          <w:rFonts w:ascii="宋体" w:hAnsi="宋体" w:cs="宋体" w:eastAsia="宋体" w:hint="default"/>
          <w:spacing w:val="-55"/>
        </w:rPr>
        <w:t> </w:t>
      </w:r>
      <w:r>
        <w:rPr/>
        <w:t>号—非货币性</w:t>
      </w:r>
      <w:r>
        <w:rPr>
          <w:w w:val="100"/>
        </w:rPr>
        <w:t> </w:t>
      </w:r>
      <w:r>
        <w:rPr/>
        <w:t>资产交换》确定；</w:t>
      </w:r>
    </w:p>
    <w:p>
      <w:pPr>
        <w:pStyle w:val="BodyText"/>
        <w:spacing w:line="246" w:lineRule="exact"/>
        <w:ind w:left="573" w:right="4"/>
        <w:jc w:val="left"/>
      </w:pPr>
      <w:r>
        <w:rPr>
          <w:rFonts w:ascii="宋体" w:hAnsi="宋体" w:cs="宋体" w:eastAsia="宋体" w:hint="default"/>
        </w:rPr>
        <w:t>e. </w:t>
      </w:r>
      <w:r>
        <w:rPr>
          <w:spacing w:val="-5"/>
        </w:rPr>
        <w:t>通过债务重组取得的长期股权投资，其投资成本按照《企业会计准则第 </w:t>
      </w:r>
      <w:r>
        <w:rPr>
          <w:rFonts w:ascii="宋体" w:hAnsi="宋体" w:cs="宋体" w:eastAsia="宋体" w:hint="default"/>
        </w:rPr>
        <w:t>12</w:t>
      </w:r>
      <w:r>
        <w:rPr>
          <w:rFonts w:ascii="宋体" w:hAnsi="宋体" w:cs="宋体" w:eastAsia="宋体" w:hint="default"/>
          <w:spacing w:val="-18"/>
        </w:rPr>
        <w:t> </w:t>
      </w:r>
      <w:r>
        <w:rPr>
          <w:spacing w:val="-6"/>
        </w:rPr>
        <w:t>号——债务重组》确定。</w:t>
      </w:r>
    </w:p>
    <w:p>
      <w:pPr>
        <w:spacing w:after="0" w:line="246" w:lineRule="exact"/>
        <w:jc w:val="left"/>
        <w:sectPr>
          <w:pgSz w:w="11910" w:h="16840"/>
          <w:pgMar w:header="884" w:footer="979" w:top="1100" w:bottom="1160" w:left="980" w:right="920"/>
        </w:sectPr>
      </w:pPr>
    </w:p>
    <w:p>
      <w:pPr>
        <w:spacing w:line="240" w:lineRule="auto" w:before="12"/>
        <w:rPr>
          <w:rFonts w:ascii="宋体" w:hAnsi="宋体" w:cs="宋体" w:eastAsia="宋体" w:hint="default"/>
          <w:sz w:val="19"/>
          <w:szCs w:val="19"/>
        </w:rPr>
      </w:pPr>
      <w:r>
        <w:rPr/>
        <w:pict>
          <v:group style="position:absolute;margin-left:54.84pt;margin-top:28.299982pt;width:485.65pt;height:40.15pt;mso-position-horizontal-relative:page;mso-position-vertical-relative:page;z-index:260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spacing w:line="326" w:lineRule="auto" w:before="36"/>
        <w:ind w:left="573" w:right="14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2"/>
          <w:sz w:val="21"/>
          <w:szCs w:val="21"/>
        </w:rPr>
        <w:t>根据是否对被投资单位具有控制、共同控制或重大影响分别对长期股权投资采用成本法或权益法核</w:t>
      </w:r>
    </w:p>
    <w:p>
      <w:pPr>
        <w:pStyle w:val="BodyText"/>
        <w:spacing w:line="196" w:lineRule="exact"/>
        <w:ind w:right="142"/>
        <w:jc w:val="left"/>
      </w:pPr>
      <w:r>
        <w:rPr/>
        <w:t>算。</w:t>
      </w:r>
    </w:p>
    <w:p>
      <w:pPr>
        <w:pStyle w:val="BodyText"/>
        <w:spacing w:line="237" w:lineRule="auto"/>
        <w:ind w:right="146" w:firstLine="420"/>
        <w:jc w:val="both"/>
      </w:pPr>
      <w:r>
        <w:rPr>
          <w:spacing w:val="-2"/>
        </w:rPr>
        <w:t>①采用成本法核算的长期投资，除取得投资时实际支付的价款或对价中包含的已宣告但尚未发放的现</w:t>
      </w:r>
      <w:r>
        <w:rPr>
          <w:w w:val="100"/>
        </w:rPr>
        <w:t> </w:t>
      </w:r>
      <w:r>
        <w:rPr>
          <w:spacing w:val="-2"/>
        </w:rPr>
        <w:t>金股利或利润外，投资企业按照享有被投资单位宣告发放的现金股利或利润确认投资收益，不再划分是否</w:t>
      </w:r>
      <w:r>
        <w:rPr>
          <w:spacing w:val="-43"/>
        </w:rPr>
        <w:t> </w:t>
      </w:r>
      <w:r>
        <w:rPr>
          <w:spacing w:val="-43"/>
        </w:rPr>
      </w:r>
      <w:r>
        <w:rPr/>
        <w:t>属于投资前和投资后被投资单位实现的净利润。</w:t>
      </w:r>
    </w:p>
    <w:p>
      <w:pPr>
        <w:pStyle w:val="BodyText"/>
        <w:spacing w:line="237" w:lineRule="auto" w:before="1"/>
        <w:ind w:right="146" w:firstLine="420"/>
        <w:jc w:val="both"/>
      </w:pPr>
      <w:r>
        <w:rPr>
          <w:spacing w:val="-2"/>
        </w:rPr>
        <w:t>②采用权益法核算的长期股权投资，本公司在取得长期股权投资后，在计算投资损益时按本公司的会</w:t>
      </w:r>
      <w:r>
        <w:rPr>
          <w:w w:val="100"/>
        </w:rPr>
        <w:t> </w:t>
      </w:r>
      <w:r>
        <w:rPr>
          <w:spacing w:val="-2"/>
        </w:rPr>
        <w:t>计政策及会计期间对被投资单位的财务报表进行调整，在此基础上再抵销本公司与联营企业及合营企业之</w:t>
      </w:r>
      <w:r>
        <w:rPr>
          <w:spacing w:val="-43"/>
        </w:rPr>
        <w:t> </w:t>
      </w:r>
      <w:r>
        <w:rPr>
          <w:spacing w:val="-43"/>
        </w:rPr>
      </w:r>
      <w:r>
        <w:rPr>
          <w:spacing w:val="-2"/>
        </w:rPr>
        <w:t>间发生的内部交易损益按照应享有或应分担计算归属于本公司的部分，确认投资损益并调整长期股权投资</w:t>
      </w:r>
      <w:r>
        <w:rPr>
          <w:spacing w:val="-43"/>
        </w:rPr>
        <w:t> </w:t>
      </w:r>
      <w:r>
        <w:rPr>
          <w:spacing w:val="-43"/>
        </w:rPr>
      </w:r>
      <w:r>
        <w:rPr>
          <w:spacing w:val="-2"/>
        </w:rPr>
        <w:t>账面价值。如果本公司取得投资时被投资单位有关资产、负债的公允价值与其账面价值不同的，后续计量</w:t>
      </w:r>
      <w:r>
        <w:rPr>
          <w:spacing w:val="-44"/>
        </w:rPr>
        <w:t> </w:t>
      </w:r>
      <w:r>
        <w:rPr>
          <w:spacing w:val="-44"/>
        </w:rPr>
      </w:r>
      <w:r>
        <w:rPr>
          <w:spacing w:val="-2"/>
        </w:rPr>
        <w:t>计算归属于投资企业应享有的净利润或应承担的净亏损时，应考虑被投资单位计提的折旧额、推销额以及</w:t>
      </w:r>
      <w:r>
        <w:rPr>
          <w:spacing w:val="-43"/>
        </w:rPr>
        <w:t> </w:t>
      </w:r>
      <w:r>
        <w:rPr>
          <w:spacing w:val="-43"/>
        </w:rPr>
      </w:r>
      <w:r>
        <w:rPr>
          <w:spacing w:val="-2"/>
        </w:rPr>
        <w:t>资产减值准备金额等进行调整。以上调整均考虑重要性原则，在符合下列条件之一的，本公司按被投资单</w:t>
      </w:r>
      <w:r>
        <w:rPr>
          <w:spacing w:val="-45"/>
        </w:rPr>
        <w:t> </w:t>
      </w:r>
      <w:r>
        <w:rPr>
          <w:spacing w:val="-45"/>
        </w:rPr>
      </w:r>
      <w:r>
        <w:rPr/>
        <w:t>位的账面净利润为基础，经调整未实现内部交易损益后，计算确认投资损益。</w:t>
      </w:r>
    </w:p>
    <w:p>
      <w:pPr>
        <w:pStyle w:val="BodyText"/>
        <w:spacing w:line="272" w:lineRule="exact" w:before="26"/>
        <w:ind w:left="573" w:right="142"/>
        <w:jc w:val="left"/>
      </w:pPr>
      <w:r>
        <w:rPr>
          <w:rFonts w:ascii="宋体" w:hAnsi="宋体" w:cs="宋体" w:eastAsia="宋体" w:hint="default"/>
        </w:rPr>
        <w:t>a.</w:t>
      </w:r>
      <w:r>
        <w:rPr/>
        <w:t>无法合理确定取得投资时被投资单位各项可辨认资产等的公允价值。</w:t>
      </w:r>
      <w:r>
        <w:rPr>
          <w:w w:val="100"/>
        </w:rPr>
        <w:t> </w:t>
      </w:r>
      <w:r>
        <w:rPr>
          <w:rFonts w:ascii="宋体" w:hAnsi="宋体" w:cs="宋体" w:eastAsia="宋体" w:hint="default"/>
          <w:spacing w:val="-2"/>
        </w:rPr>
        <w:t>b.</w:t>
      </w:r>
      <w:r>
        <w:rPr>
          <w:spacing w:val="-2"/>
        </w:rPr>
        <w:t>投资时被投资单位可辨认资产的公允价值与其账面价值相比</w:t>
      </w:r>
      <w:r>
        <w:rPr>
          <w:rFonts w:ascii="宋体" w:hAnsi="宋体" w:cs="宋体" w:eastAsia="宋体" w:hint="default"/>
          <w:spacing w:val="-2"/>
        </w:rPr>
        <w:t>,</w:t>
      </w:r>
      <w:r>
        <w:rPr>
          <w:spacing w:val="-2"/>
        </w:rPr>
        <w:t>两者之间的差额不具重要性的。</w:t>
      </w:r>
    </w:p>
    <w:p>
      <w:pPr>
        <w:pStyle w:val="BodyText"/>
        <w:spacing w:line="272" w:lineRule="exact" w:before="1"/>
        <w:ind w:right="230" w:firstLine="420"/>
        <w:jc w:val="both"/>
      </w:pPr>
      <w:r>
        <w:rPr>
          <w:rFonts w:ascii="宋体" w:hAnsi="宋体" w:cs="宋体" w:eastAsia="宋体" w:hint="default"/>
        </w:rPr>
        <w:t>c.</w:t>
      </w:r>
      <w:r>
        <w:rPr>
          <w:rFonts w:ascii="宋体" w:hAnsi="宋体" w:cs="宋体" w:eastAsia="宋体" w:hint="default"/>
          <w:spacing w:val="-7"/>
        </w:rPr>
        <w:t> </w:t>
      </w:r>
      <w:r>
        <w:rPr/>
        <w:t>其他原因导致无法取得被投资单位的有关资料，不能按照准则中规定的原则对被投资单位的净损</w:t>
      </w:r>
      <w:r>
        <w:rPr>
          <w:w w:val="100"/>
        </w:rPr>
        <w:t> </w:t>
      </w:r>
      <w:r>
        <w:rPr/>
        <w:t>益进行调整的。</w:t>
      </w:r>
    </w:p>
    <w:p>
      <w:pPr>
        <w:pStyle w:val="BodyText"/>
        <w:spacing w:line="272" w:lineRule="exact" w:before="1"/>
        <w:ind w:right="146" w:firstLine="420"/>
        <w:jc w:val="both"/>
      </w:pPr>
      <w:r>
        <w:rPr>
          <w:spacing w:val="-2"/>
        </w:rPr>
        <w:t>③在权益法下长期股权投资的账面价值减记至零的情况下，如果仍有未确认的投资损失，应以其他长</w:t>
      </w:r>
      <w:r>
        <w:rPr>
          <w:w w:val="100"/>
        </w:rPr>
        <w:t> </w:t>
      </w:r>
      <w:r>
        <w:rPr>
          <w:spacing w:val="-2"/>
        </w:rPr>
        <w:t>期权益的账面价值为基础继续确认。如果在投资合同或协议中约定将履行其他额外的损失补偿义务，还按</w:t>
      </w:r>
    </w:p>
    <w:p>
      <w:pPr>
        <w:pStyle w:val="BodyText"/>
        <w:spacing w:line="247" w:lineRule="exact"/>
        <w:ind w:right="142"/>
        <w:jc w:val="left"/>
      </w:pPr>
      <w:r>
        <w:rPr/>
        <w:t>《企业会计准则第</w:t>
      </w:r>
      <w:r>
        <w:rPr>
          <w:spacing w:val="-56"/>
        </w:rPr>
        <w:t> </w:t>
      </w:r>
      <w:r>
        <w:rPr>
          <w:rFonts w:ascii="宋体" w:hAnsi="宋体" w:cs="宋体" w:eastAsia="宋体" w:hint="default"/>
        </w:rPr>
        <w:t>l3</w:t>
      </w:r>
      <w:r>
        <w:rPr>
          <w:rFonts w:ascii="宋体" w:hAnsi="宋体" w:cs="宋体" w:eastAsia="宋体" w:hint="default"/>
          <w:spacing w:val="-56"/>
        </w:rPr>
        <w:t> </w:t>
      </w:r>
      <w:r>
        <w:rPr/>
        <w:t>号——或有事项》的规定确认预计将承担的损失金额。</w:t>
      </w:r>
    </w:p>
    <w:p>
      <w:pPr>
        <w:pStyle w:val="BodyText"/>
        <w:spacing w:line="237" w:lineRule="auto"/>
        <w:ind w:right="146" w:firstLine="420"/>
        <w:jc w:val="both"/>
      </w:pPr>
      <w:r>
        <w:rPr>
          <w:spacing w:val="-2"/>
        </w:rPr>
        <w:t>④按照权益法核算的长期股权投资，投资企业自被投资单位取得的现金股利或利润，抵减长期股权投</w:t>
      </w:r>
      <w:r>
        <w:rPr>
          <w:w w:val="100"/>
        </w:rPr>
        <w:t> </w:t>
      </w:r>
      <w:r>
        <w:rPr>
          <w:spacing w:val="-2"/>
        </w:rPr>
        <w:t>资的账面价值。自被投资单位取得的现金股利或利润超过已确认损益调整的部分视同投资成本的收回，冲</w:t>
      </w:r>
      <w:r>
        <w:rPr>
          <w:spacing w:val="-43"/>
        </w:rPr>
        <w:t> </w:t>
      </w:r>
      <w:r>
        <w:rPr>
          <w:spacing w:val="-43"/>
        </w:rPr>
      </w:r>
      <w:r>
        <w:rPr/>
        <w:t>减长期股权投资的成本。</w:t>
      </w:r>
    </w:p>
    <w:p>
      <w:pPr>
        <w:pStyle w:val="Heading5"/>
        <w:spacing w:line="240" w:lineRule="auto" w:before="98"/>
        <w:ind w:right="142"/>
        <w:jc w:val="left"/>
        <w:rPr>
          <w:b w:val="0"/>
          <w:bCs w:val="0"/>
        </w:rPr>
      </w:pPr>
      <w:r>
        <w:rPr/>
        <w:t>（</w:t>
      </w:r>
      <w:r>
        <w:rPr>
          <w:rFonts w:ascii="宋体" w:hAnsi="宋体" w:cs="宋体" w:eastAsia="宋体" w:hint="default"/>
        </w:rPr>
        <w:t>3</w:t>
      </w:r>
      <w:r>
        <w:rPr/>
        <w:t>）确定对被投资单位具有共同控制、重大影响的依据</w:t>
      </w:r>
      <w:r>
        <w:rPr>
          <w:b w:val="0"/>
          <w:bCs w:val="0"/>
        </w:rPr>
      </w:r>
    </w:p>
    <w:p>
      <w:pPr>
        <w:pStyle w:val="BodyText"/>
        <w:spacing w:line="237" w:lineRule="auto" w:before="99"/>
        <w:ind w:left="573" w:right="142"/>
        <w:jc w:val="left"/>
      </w:pPr>
      <w:r>
        <w:rPr>
          <w:spacing w:val="-2"/>
        </w:rPr>
        <w:t>①存在以下一种或几种情况时，确定对被投资单位具有共同控制：</w:t>
      </w:r>
      <w:r>
        <w:rPr>
          <w:spacing w:val="-49"/>
        </w:rPr>
        <w:t> </w:t>
      </w:r>
      <w:r>
        <w:rPr>
          <w:spacing w:val="-49"/>
        </w:rPr>
      </w:r>
      <w:r>
        <w:rPr>
          <w:rFonts w:ascii="宋体" w:hAnsi="宋体" w:cs="宋体" w:eastAsia="宋体" w:hint="default"/>
        </w:rPr>
        <w:t>a.</w:t>
      </w:r>
      <w:r>
        <w:rPr/>
        <w:t>任何一个合营方均不能单独控制合营企业的生产经营活动；</w:t>
      </w:r>
      <w:r>
        <w:rPr>
          <w:w w:val="100"/>
        </w:rPr>
        <w:t> </w:t>
      </w:r>
      <w:r>
        <w:rPr>
          <w:rFonts w:ascii="宋体" w:hAnsi="宋体" w:cs="宋体" w:eastAsia="宋体" w:hint="default"/>
        </w:rPr>
        <w:t>b.</w:t>
      </w:r>
      <w:r>
        <w:rPr/>
        <w:t>涉及合营企业基本经营活动的决策需要各合营方一致同意；</w:t>
      </w:r>
    </w:p>
    <w:p>
      <w:pPr>
        <w:pStyle w:val="BodyText"/>
        <w:spacing w:line="237" w:lineRule="auto" w:before="1"/>
        <w:ind w:right="142" w:firstLine="420"/>
        <w:jc w:val="left"/>
      </w:pPr>
      <w:r>
        <w:rPr>
          <w:rFonts w:ascii="宋体" w:hAnsi="宋体" w:cs="宋体" w:eastAsia="宋体" w:hint="default"/>
        </w:rPr>
        <w:t>c.</w:t>
      </w:r>
      <w:r>
        <w:rPr>
          <w:rFonts w:ascii="宋体" w:hAnsi="宋体" w:cs="宋体" w:eastAsia="宋体" w:hint="default"/>
          <w:spacing w:val="-5"/>
        </w:rPr>
        <w:t> </w:t>
      </w:r>
      <w:r>
        <w:rPr/>
        <w:t>各合营方可能通过合同或协议的形式任命其中的一个合营方对合营企业的日常活动进行管理，但</w:t>
      </w:r>
      <w:r>
        <w:rPr>
          <w:w w:val="100"/>
        </w:rPr>
        <w:t> </w:t>
      </w:r>
      <w:r>
        <w:rPr>
          <w:spacing w:val="-2"/>
        </w:rPr>
        <w:t>其必须在各合营方已经一致同意的财务和经营政策范围内行使管理权。当被投资单位处于法定重组或破产</w:t>
      </w:r>
      <w:r>
        <w:rPr>
          <w:spacing w:val="-43"/>
        </w:rPr>
        <w:t> </w:t>
      </w:r>
      <w:r>
        <w:rPr>
          <w:spacing w:val="-43"/>
        </w:rPr>
      </w:r>
      <w:r>
        <w:rPr>
          <w:spacing w:val="-2"/>
        </w:rPr>
        <w:t>中，或者在向投资方转移资金的能力受到严格的长期限制情况下经营时，通常投资方对被投资单位可能无</w:t>
      </w:r>
      <w:r>
        <w:rPr>
          <w:spacing w:val="-44"/>
        </w:rPr>
        <w:t> </w:t>
      </w:r>
      <w:r>
        <w:rPr>
          <w:spacing w:val="-44"/>
        </w:rPr>
      </w:r>
      <w:r>
        <w:rPr>
          <w:spacing w:val="-2"/>
        </w:rPr>
        <w:t>法实施共同控制。但如果能够证明存在共同控制，合营各方仍按照长期股权投资准则的规定采用权益法核</w:t>
      </w:r>
      <w:r>
        <w:rPr>
          <w:spacing w:val="-43"/>
        </w:rPr>
        <w:t> </w:t>
      </w:r>
      <w:r>
        <w:rPr>
          <w:spacing w:val="-43"/>
        </w:rPr>
      </w:r>
      <w:r>
        <w:rPr/>
        <w:t>算。</w:t>
      </w:r>
    </w:p>
    <w:p>
      <w:pPr>
        <w:pStyle w:val="BodyText"/>
        <w:spacing w:line="274" w:lineRule="exact" w:before="22"/>
        <w:ind w:left="573" w:right="3151"/>
        <w:jc w:val="left"/>
      </w:pPr>
      <w:r>
        <w:rPr>
          <w:spacing w:val="-2"/>
        </w:rPr>
        <w:t>②存在以下一种或几种情况时，确定对被投资单位具有重大影响：</w:t>
      </w:r>
      <w:r>
        <w:rPr>
          <w:spacing w:val="-49"/>
        </w:rPr>
        <w:t> </w:t>
      </w:r>
      <w:r>
        <w:rPr>
          <w:spacing w:val="-49"/>
        </w:rPr>
      </w:r>
      <w:r>
        <w:rPr>
          <w:rFonts w:ascii="宋体" w:hAnsi="宋体" w:cs="宋体" w:eastAsia="宋体" w:hint="default"/>
        </w:rPr>
        <w:t>a.</w:t>
      </w:r>
      <w:r>
        <w:rPr>
          <w:rFonts w:ascii="宋体" w:hAnsi="宋体" w:cs="宋体" w:eastAsia="宋体" w:hint="default"/>
          <w:spacing w:val="-5"/>
        </w:rPr>
        <w:t> </w:t>
      </w:r>
      <w:r>
        <w:rPr/>
        <w:t>在被投资单位的董事会或类似权力机构中派有代表。</w:t>
      </w:r>
    </w:p>
    <w:p>
      <w:pPr>
        <w:pStyle w:val="BodyText"/>
        <w:spacing w:line="246" w:lineRule="exact"/>
        <w:ind w:left="573" w:right="142"/>
        <w:jc w:val="left"/>
      </w:pPr>
      <w:r>
        <w:rPr>
          <w:rFonts w:ascii="宋体" w:hAnsi="宋体" w:cs="宋体" w:eastAsia="宋体" w:hint="default"/>
        </w:rPr>
        <w:t>b.</w:t>
      </w:r>
      <w:r>
        <w:rPr>
          <w:rFonts w:ascii="宋体" w:hAnsi="宋体" w:cs="宋体" w:eastAsia="宋体" w:hint="default"/>
          <w:spacing w:val="-8"/>
        </w:rPr>
        <w:t> </w:t>
      </w:r>
      <w:r>
        <w:rPr/>
        <w:t>参与被投资单位的政策制定过程</w:t>
      </w:r>
      <w:r>
        <w:rPr>
          <w:rFonts w:ascii="宋体" w:hAnsi="宋体" w:cs="宋体" w:eastAsia="宋体" w:hint="default"/>
        </w:rPr>
        <w:t>,</w:t>
      </w:r>
      <w:r>
        <w:rPr/>
        <w:t>包括股利分配政策等的制定。</w:t>
      </w:r>
    </w:p>
    <w:p>
      <w:pPr>
        <w:pStyle w:val="BodyText"/>
        <w:spacing w:line="272" w:lineRule="exact" w:before="27"/>
        <w:ind w:left="573" w:right="5890"/>
        <w:jc w:val="left"/>
      </w:pPr>
      <w:r>
        <w:rPr>
          <w:rFonts w:ascii="宋体" w:hAnsi="宋体" w:cs="宋体" w:eastAsia="宋体" w:hint="default"/>
        </w:rPr>
        <w:t>c.</w:t>
      </w:r>
      <w:r>
        <w:rPr>
          <w:rFonts w:ascii="宋体" w:hAnsi="宋体" w:cs="宋体" w:eastAsia="宋体" w:hint="default"/>
          <w:spacing w:val="-2"/>
        </w:rPr>
        <w:t> </w:t>
      </w:r>
      <w:r>
        <w:rPr/>
        <w:t>与被投资单位之间发生重要交易。</w:t>
      </w:r>
      <w:r>
        <w:rPr>
          <w:w w:val="100"/>
        </w:rPr>
        <w:t> </w:t>
      </w:r>
      <w:r>
        <w:rPr>
          <w:rFonts w:ascii="宋体" w:hAnsi="宋体" w:cs="宋体" w:eastAsia="宋体" w:hint="default"/>
        </w:rPr>
        <w:t>d.</w:t>
      </w:r>
      <w:r>
        <w:rPr>
          <w:rFonts w:ascii="宋体" w:hAnsi="宋体" w:cs="宋体" w:eastAsia="宋体" w:hint="default"/>
          <w:spacing w:val="-2"/>
        </w:rPr>
        <w:t> </w:t>
      </w:r>
      <w:r>
        <w:rPr/>
        <w:t>向被投资单位派出管理人员。</w:t>
      </w:r>
    </w:p>
    <w:p>
      <w:pPr>
        <w:pStyle w:val="BodyText"/>
        <w:spacing w:line="249" w:lineRule="exact"/>
        <w:ind w:left="573" w:right="142"/>
        <w:jc w:val="left"/>
      </w:pPr>
      <w:r>
        <w:rPr>
          <w:rFonts w:ascii="宋体" w:hAnsi="宋体" w:cs="宋体" w:eastAsia="宋体" w:hint="default"/>
        </w:rPr>
        <w:t>e.</w:t>
      </w:r>
      <w:r>
        <w:rPr>
          <w:rFonts w:ascii="宋体" w:hAnsi="宋体" w:cs="宋体" w:eastAsia="宋体" w:hint="default"/>
          <w:spacing w:val="-2"/>
        </w:rPr>
        <w:t> </w:t>
      </w:r>
      <w:r>
        <w:rPr/>
        <w:t>向被投资单位提供关键技术资料。</w:t>
      </w:r>
    </w:p>
    <w:p>
      <w:pPr>
        <w:spacing w:line="326" w:lineRule="auto" w:before="94"/>
        <w:ind w:left="573" w:right="14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本公司在资产负债表日对长期股权投资进行逐项检查，根据被投资单位经营政策、法律环境、市场需</w:t>
      </w:r>
    </w:p>
    <w:p>
      <w:pPr>
        <w:pStyle w:val="BodyText"/>
        <w:spacing w:line="195" w:lineRule="exact"/>
        <w:ind w:right="0"/>
        <w:jc w:val="left"/>
      </w:pPr>
      <w:r>
        <w:rPr/>
        <w:t>求、行业及盈利能力等的各种变化判断长期股权投资是否存在减值迹象。当长期股权投资可收回金额低于</w:t>
      </w:r>
    </w:p>
    <w:p>
      <w:pPr>
        <w:pStyle w:val="BodyText"/>
        <w:spacing w:line="272" w:lineRule="exact" w:before="27"/>
        <w:ind w:right="142"/>
        <w:jc w:val="left"/>
      </w:pPr>
      <w:r>
        <w:rPr>
          <w:spacing w:val="-2"/>
        </w:rPr>
        <w:t>账面价值时，将可收回金额低于长期股权投资账面价值的差额作为长期股权投资减值准备予以计提。资产</w:t>
      </w:r>
      <w:r>
        <w:rPr>
          <w:spacing w:val="-43"/>
        </w:rPr>
        <w:t> </w:t>
      </w:r>
      <w:r>
        <w:rPr>
          <w:spacing w:val="-43"/>
        </w:rPr>
      </w:r>
      <w:r>
        <w:rPr/>
        <w:t>减值损失一经确认，在以后会计期间不再转回。</w:t>
      </w:r>
    </w:p>
    <w:p>
      <w:pPr>
        <w:spacing w:after="0" w:line="272" w:lineRule="exact"/>
        <w:jc w:val="left"/>
        <w:sectPr>
          <w:pgSz w:w="11910" w:h="16840"/>
          <w:pgMar w:header="884" w:footer="979" w:top="110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63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right="142"/>
        <w:jc w:val="left"/>
        <w:rPr>
          <w:b w:val="0"/>
          <w:bCs w:val="0"/>
        </w:rPr>
      </w:pPr>
      <w:r>
        <w:rPr>
          <w:rFonts w:ascii="宋体" w:hAnsi="宋体" w:cs="宋体" w:eastAsia="宋体" w:hint="default"/>
        </w:rPr>
        <w:t>13</w:t>
      </w:r>
      <w:r>
        <w:rPr/>
        <w:t>、投资性房地产</w:t>
      </w:r>
      <w:r>
        <w:rPr>
          <w:b w:val="0"/>
          <w:bCs w:val="0"/>
        </w:rPr>
      </w:r>
    </w:p>
    <w:p>
      <w:pPr>
        <w:spacing w:line="240" w:lineRule="auto" w:before="7"/>
        <w:rPr>
          <w:rFonts w:ascii="宋体" w:hAnsi="宋体" w:cs="宋体" w:eastAsia="宋体" w:hint="default"/>
          <w:b/>
          <w:bCs/>
          <w:sz w:val="17"/>
          <w:szCs w:val="17"/>
        </w:rPr>
      </w:pPr>
    </w:p>
    <w:p>
      <w:pPr>
        <w:pStyle w:val="Heading5"/>
        <w:spacing w:line="240" w:lineRule="auto"/>
        <w:ind w:right="142"/>
        <w:jc w:val="left"/>
        <w:rPr>
          <w:b w:val="0"/>
          <w:bCs w:val="0"/>
        </w:rPr>
      </w:pPr>
      <w:r>
        <w:rPr>
          <w:rFonts w:ascii="宋体" w:hAnsi="宋体" w:cs="宋体" w:eastAsia="宋体" w:hint="default"/>
        </w:rPr>
        <w:t>14</w:t>
      </w:r>
      <w:r>
        <w:rPr/>
        <w:t>、固定资产</w:t>
      </w:r>
      <w:r>
        <w:rPr>
          <w:b w:val="0"/>
          <w:bCs w:val="0"/>
        </w:rPr>
      </w:r>
    </w:p>
    <w:p>
      <w:pPr>
        <w:spacing w:line="240" w:lineRule="auto" w:before="9"/>
        <w:rPr>
          <w:rFonts w:ascii="宋体" w:hAnsi="宋体" w:cs="宋体" w:eastAsia="宋体" w:hint="default"/>
          <w:b/>
          <w:bCs/>
          <w:sz w:val="17"/>
          <w:szCs w:val="17"/>
        </w:rPr>
      </w:pPr>
    </w:p>
    <w:p>
      <w:pPr>
        <w:spacing w:line="326" w:lineRule="auto" w:before="0"/>
        <w:ind w:left="573" w:right="14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03"/>
          <w:sz w:val="21"/>
          <w:szCs w:val="21"/>
        </w:rPr>
        <w:t> </w:t>
      </w:r>
      <w:r>
        <w:rPr>
          <w:rFonts w:ascii="宋体" w:hAnsi="宋体" w:cs="宋体" w:eastAsia="宋体" w:hint="default"/>
          <w:spacing w:val="-2"/>
          <w:sz w:val="21"/>
          <w:szCs w:val="21"/>
        </w:rPr>
        <w:t>固定资产是指为生产商品、提供劳务、出租或经营管理而持有的使用年限超过一年的单位价值较高的</w:t>
      </w:r>
    </w:p>
    <w:p>
      <w:pPr>
        <w:pStyle w:val="BodyText"/>
        <w:spacing w:line="196" w:lineRule="exact"/>
        <w:ind w:right="0"/>
        <w:jc w:val="left"/>
      </w:pPr>
      <w:r>
        <w:rPr/>
        <w:t>有形资产。本公司固定资产包括房屋建筑物、机器设备、车辆、仪器仪表以及其他与生产、经营有关的设</w:t>
      </w:r>
    </w:p>
    <w:p>
      <w:pPr>
        <w:pStyle w:val="BodyText"/>
        <w:spacing w:line="240" w:lineRule="auto"/>
        <w:ind w:left="573" w:right="2399" w:hanging="421"/>
        <w:jc w:val="left"/>
      </w:pPr>
      <w:r>
        <w:rPr/>
        <w:t>备、器具、工具等。</w:t>
      </w:r>
      <w:r>
        <w:rPr>
          <w:w w:val="100"/>
        </w:rPr>
        <w:t> </w:t>
      </w:r>
      <w:r>
        <w:rPr>
          <w:spacing w:val="-2"/>
        </w:rPr>
        <w:t>固定资产在同时满足下列条件时，按取得时的实际成本予以确认：</w:t>
      </w:r>
    </w:p>
    <w:p>
      <w:pPr>
        <w:pStyle w:val="BodyText"/>
        <w:spacing w:line="271" w:lineRule="exact"/>
        <w:ind w:left="573" w:right="142"/>
        <w:jc w:val="left"/>
      </w:pPr>
      <w:r>
        <w:rPr/>
        <w:t>（</w:t>
      </w:r>
      <w:r>
        <w:rPr>
          <w:rFonts w:ascii="宋体" w:hAnsi="宋体" w:cs="宋体" w:eastAsia="宋体" w:hint="default"/>
        </w:rPr>
        <w:t>1</w:t>
      </w:r>
      <w:r>
        <w:rPr/>
        <w:t>）与该固定资产有关的经济利益很可能流入企业。</w:t>
      </w:r>
    </w:p>
    <w:p>
      <w:pPr>
        <w:pStyle w:val="BodyText"/>
        <w:spacing w:line="272" w:lineRule="exact" w:before="27"/>
        <w:ind w:left="573" w:right="142"/>
        <w:jc w:val="left"/>
      </w:pPr>
      <w:r>
        <w:rPr/>
        <w:t>（</w:t>
      </w:r>
      <w:r>
        <w:rPr>
          <w:rFonts w:ascii="宋体" w:hAnsi="宋体" w:cs="宋体" w:eastAsia="宋体" w:hint="default"/>
        </w:rPr>
        <w:t>2</w:t>
      </w:r>
      <w:r>
        <w:rPr/>
        <w:t>）该固定资产的成本能够可靠地计量。</w:t>
      </w:r>
      <w:r>
        <w:rPr>
          <w:w w:val="100"/>
        </w:rPr>
        <w:t> </w:t>
      </w:r>
      <w:r>
        <w:rPr>
          <w:spacing w:val="-2"/>
        </w:rPr>
        <w:t>固定资产发生的后续支出，符合固定资产确认条件的计入固定资产成本；不符合固定资产确认条件的</w:t>
      </w:r>
    </w:p>
    <w:p>
      <w:pPr>
        <w:pStyle w:val="BodyText"/>
        <w:spacing w:line="249" w:lineRule="exact"/>
        <w:ind w:right="142"/>
        <w:jc w:val="left"/>
      </w:pPr>
      <w:r>
        <w:rPr/>
        <w:t>在发生时计入当期损益。</w:t>
      </w:r>
    </w:p>
    <w:p>
      <w:pPr>
        <w:pStyle w:val="Heading5"/>
        <w:spacing w:line="240" w:lineRule="auto" w:before="94"/>
        <w:ind w:right="142"/>
        <w:jc w:val="left"/>
        <w:rPr>
          <w:b w:val="0"/>
          <w:bCs w:val="0"/>
        </w:rPr>
      </w:pPr>
      <w:r>
        <w:rPr/>
        <w:t>（</w:t>
      </w:r>
      <w:r>
        <w:rPr>
          <w:rFonts w:ascii="宋体" w:hAnsi="宋体" w:cs="宋体" w:eastAsia="宋体" w:hint="default"/>
        </w:rPr>
        <w:t>2</w:t>
      </w:r>
      <w:r>
        <w:rPr/>
        <w:t>）融资租入固定资产的认定依据、计价方法</w:t>
      </w:r>
      <w:r>
        <w:rPr>
          <w:b w:val="0"/>
          <w:bCs w:val="0"/>
        </w:rPr>
      </w:r>
    </w:p>
    <w:p>
      <w:pPr>
        <w:spacing w:line="324" w:lineRule="auto" w:before="99"/>
        <w:ind w:left="573" w:right="14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本公司从固定资产达到预定可使用状态的次月起按年限平均法计提折旧，按固定资产的类别、估计的</w:t>
      </w:r>
    </w:p>
    <w:p>
      <w:pPr>
        <w:pStyle w:val="BodyText"/>
        <w:spacing w:line="198" w:lineRule="exact"/>
        <w:ind w:right="142"/>
        <w:jc w:val="left"/>
      </w:pPr>
      <w:r>
        <w:rPr/>
        <w:t>经济使用年限和预计的净残值分别确定折旧年限和年折旧率。</w:t>
      </w:r>
    </w:p>
    <w:p>
      <w:pPr>
        <w:pStyle w:val="BodyText"/>
        <w:spacing w:line="272" w:lineRule="exact" w:before="146"/>
        <w:ind w:left="573" w:right="142"/>
        <w:jc w:val="left"/>
      </w:pPr>
      <w:r>
        <w:rPr/>
        <w:t>对于已经计提减值准备的固定资产，在计提折旧时应扣除已计提的固定资产减值准备。</w:t>
      </w:r>
      <w:r>
        <w:rPr>
          <w:w w:val="100"/>
        </w:rPr>
        <w:t> </w:t>
      </w:r>
      <w:r>
        <w:rPr>
          <w:spacing w:val="-2"/>
        </w:rPr>
        <w:t>每个会计年度终了，公司对固定资产的使用寿命、预计净残值和折旧方法进行复核。使用寿命预计数</w:t>
      </w:r>
    </w:p>
    <w:p>
      <w:pPr>
        <w:pStyle w:val="BodyText"/>
        <w:spacing w:line="249" w:lineRule="exact"/>
        <w:ind w:right="142"/>
        <w:jc w:val="left"/>
      </w:pPr>
      <w:r>
        <w:rPr/>
        <w:t>与原先估计数有差异的，调整固定资产使用寿命。</w:t>
      </w:r>
    </w:p>
    <w:p>
      <w:pPr>
        <w:spacing w:line="240" w:lineRule="auto" w:before="3"/>
        <w:rPr>
          <w:rFonts w:ascii="宋体" w:hAnsi="宋体" w:cs="宋体" w:eastAsia="宋体" w:hint="default"/>
          <w:sz w:val="23"/>
          <w:szCs w:val="23"/>
        </w:rPr>
      </w:pPr>
    </w:p>
    <w:tbl>
      <w:tblPr>
        <w:tblW w:w="0" w:type="auto"/>
        <w:jc w:val="left"/>
        <w:tblInd w:w="196" w:type="dxa"/>
        <w:tblLayout w:type="fixed"/>
        <w:tblCellMar>
          <w:top w:w="0" w:type="dxa"/>
          <w:left w:w="0" w:type="dxa"/>
          <w:bottom w:w="0" w:type="dxa"/>
          <w:right w:w="0" w:type="dxa"/>
        </w:tblCellMar>
        <w:tblLook w:val="01E0"/>
      </w:tblPr>
      <w:tblGrid>
        <w:gridCol w:w="2493"/>
        <w:gridCol w:w="2116"/>
        <w:gridCol w:w="2220"/>
        <w:gridCol w:w="2727"/>
      </w:tblGrid>
      <w:tr>
        <w:trPr>
          <w:trHeight w:val="28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1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
              <w:jc w:val="center"/>
              <w:rPr>
                <w:rFonts w:ascii="宋体" w:hAnsi="宋体" w:cs="宋体" w:eastAsia="宋体" w:hint="default"/>
                <w:sz w:val="21"/>
                <w:szCs w:val="21"/>
              </w:rPr>
            </w:pPr>
            <w:r>
              <w:rPr>
                <w:rFonts w:ascii="宋体"/>
                <w:sz w:val="21"/>
              </w:rPr>
              <w:t>2.375%</w:t>
            </w:r>
          </w:p>
        </w:tc>
      </w:tr>
      <w:tr>
        <w:trPr>
          <w:trHeight w:val="28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1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sz w:val="21"/>
              </w:rPr>
              <w:t>9.50%</w:t>
            </w:r>
          </w:p>
        </w:tc>
      </w:tr>
      <w:tr>
        <w:trPr>
          <w:trHeight w:val="28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11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w w:val="100"/>
                <w:sz w:val="21"/>
              </w:rPr>
              <w:t>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sz w:val="21"/>
              </w:rPr>
              <w:t>31.67%</w:t>
            </w:r>
          </w:p>
        </w:tc>
      </w:tr>
      <w:tr>
        <w:trPr>
          <w:trHeight w:val="28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16" w:type="dxa"/>
            <w:tcBorders>
              <w:top w:val="single" w:sz="4" w:space="0" w:color="000000"/>
              <w:left w:val="single" w:sz="10" w:space="0" w:color="D2D2D2"/>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w w:val="100"/>
                <w:sz w:val="21"/>
              </w:rPr>
              <w:t>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 w:right="0"/>
              <w:jc w:val="center"/>
              <w:rPr>
                <w:rFonts w:ascii="宋体" w:hAnsi="宋体" w:cs="宋体" w:eastAsia="宋体" w:hint="default"/>
                <w:sz w:val="21"/>
                <w:szCs w:val="21"/>
              </w:rPr>
            </w:pPr>
            <w:r>
              <w:rPr>
                <w:rFonts w:ascii="宋体"/>
                <w:sz w:val="21"/>
              </w:rPr>
              <w:t>23.75%</w:t>
            </w:r>
          </w:p>
        </w:tc>
      </w:tr>
      <w:tr>
        <w:trPr>
          <w:trHeight w:val="28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sz w:val="21"/>
              </w:rPr>
              <w:t>19.00%</w:t>
            </w:r>
          </w:p>
        </w:tc>
      </w:tr>
    </w:tbl>
    <w:p>
      <w:pPr>
        <w:spacing w:line="326" w:lineRule="auto" w:before="64"/>
        <w:ind w:left="573" w:right="14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本公司在资产负债表日对各项固定资产进行判断，当存在减值迹象，估计可收回金额低于其账面价值</w:t>
      </w:r>
    </w:p>
    <w:p>
      <w:pPr>
        <w:pStyle w:val="BodyText"/>
        <w:spacing w:line="195" w:lineRule="exact"/>
        <w:ind w:right="0"/>
        <w:jc w:val="left"/>
      </w:pPr>
      <w:r>
        <w:rPr/>
        <w:t>时，账面价值减记至可收回金额，减记的金额确认为资产减值损失，计入当期损益，同时计提相应的资产</w:t>
      </w:r>
    </w:p>
    <w:p>
      <w:pPr>
        <w:pStyle w:val="BodyText"/>
        <w:spacing w:line="272" w:lineRule="exact" w:before="27"/>
        <w:ind w:right="142"/>
        <w:jc w:val="left"/>
      </w:pPr>
      <w:r>
        <w:rPr>
          <w:spacing w:val="-2"/>
        </w:rPr>
        <w:t>减值准备。资产减值损失一经确认，在以后会计期间不再转回。当存在下列迹象的，按固定资产单项项目</w:t>
      </w:r>
      <w:r>
        <w:rPr>
          <w:spacing w:val="-50"/>
        </w:rPr>
        <w:t> </w:t>
      </w:r>
      <w:r>
        <w:rPr>
          <w:spacing w:val="-50"/>
        </w:rPr>
      </w:r>
      <w:r>
        <w:rPr/>
        <w:t>全额计提减值准备：</w:t>
      </w:r>
    </w:p>
    <w:p>
      <w:pPr>
        <w:pStyle w:val="BodyText"/>
        <w:spacing w:line="247" w:lineRule="exact"/>
        <w:ind w:left="573" w:right="142"/>
        <w:jc w:val="left"/>
      </w:pPr>
      <w:r>
        <w:rPr/>
        <w:t>①长期闲置不用，在可预见的未来不会再使用，且已无转让价值的固定资产；</w:t>
      </w:r>
    </w:p>
    <w:p>
      <w:pPr>
        <w:pStyle w:val="BodyText"/>
        <w:spacing w:line="273" w:lineRule="exact"/>
        <w:ind w:left="573" w:right="142"/>
        <w:jc w:val="left"/>
      </w:pPr>
      <w:r>
        <w:rPr/>
        <w:t>②由于技术进步等原因，已不可使用的固定资产；</w:t>
      </w:r>
    </w:p>
    <w:p>
      <w:pPr>
        <w:pStyle w:val="BodyText"/>
        <w:spacing w:line="272" w:lineRule="exact"/>
        <w:ind w:left="573" w:right="142"/>
        <w:jc w:val="left"/>
      </w:pPr>
      <w:r>
        <w:rPr/>
        <w:t>③虽然固定资产尚可使用，但使用后产生大量不合格品的固定资产；；</w:t>
      </w:r>
    </w:p>
    <w:p>
      <w:pPr>
        <w:pStyle w:val="BodyText"/>
        <w:spacing w:line="272" w:lineRule="exact"/>
        <w:ind w:left="573" w:right="142"/>
        <w:jc w:val="left"/>
      </w:pPr>
      <w:r>
        <w:rPr/>
        <w:t>④已遭毁损，以至于不再具有使用价值和转让价值的固定资产；</w:t>
      </w:r>
    </w:p>
    <w:p>
      <w:pPr>
        <w:pStyle w:val="BodyText"/>
        <w:spacing w:line="274" w:lineRule="exact"/>
        <w:ind w:left="573" w:right="142"/>
        <w:jc w:val="left"/>
      </w:pPr>
      <w:r>
        <w:rPr/>
        <w:t>⑤其他实质上已经不能再给公司带来经济利益的固定资产。</w:t>
      </w:r>
    </w:p>
    <w:p>
      <w:pPr>
        <w:pStyle w:val="Heading5"/>
        <w:spacing w:line="326" w:lineRule="auto" w:before="94"/>
        <w:ind w:right="8403"/>
        <w:jc w:val="left"/>
        <w:rPr>
          <w:b w:val="0"/>
          <w:bCs w:val="0"/>
        </w:rPr>
      </w:pPr>
      <w:r>
        <w:rPr/>
        <w:t>（</w:t>
      </w:r>
      <w:r>
        <w:rPr>
          <w:rFonts w:ascii="宋体" w:hAnsi="宋体" w:cs="宋体" w:eastAsia="宋体" w:hint="default"/>
        </w:rPr>
        <w:t>5</w:t>
      </w:r>
      <w:r>
        <w:rPr/>
        <w:t>）其他说明</w:t>
      </w:r>
      <w:r>
        <w:rPr>
          <w:spacing w:val="-104"/>
        </w:rPr>
        <w:t> </w:t>
      </w:r>
      <w:r>
        <w:rPr>
          <w:rFonts w:ascii="宋体" w:hAnsi="宋体" w:cs="宋体" w:eastAsia="宋体" w:hint="default"/>
        </w:rPr>
        <w:t>15</w:t>
      </w:r>
      <w:r>
        <w:rPr/>
        <w:t>、在建工程</w:t>
      </w:r>
      <w:r>
        <w:rPr>
          <w:b w:val="0"/>
          <w:bCs w:val="0"/>
        </w:rPr>
      </w:r>
    </w:p>
    <w:p>
      <w:pPr>
        <w:spacing w:line="326" w:lineRule="auto" w:before="156"/>
        <w:ind w:left="152" w:right="60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03"/>
          <w:sz w:val="21"/>
          <w:szCs w:val="21"/>
        </w:rPr>
        <w:t> </w:t>
      </w:r>
      <w:r>
        <w:rPr>
          <w:rFonts w:ascii="宋体" w:hAnsi="宋体" w:cs="宋体" w:eastAsia="宋体" w:hint="default"/>
          <w:spacing w:val="-2"/>
          <w:sz w:val="21"/>
          <w:szCs w:val="21"/>
        </w:rPr>
        <w:t>在建工程以立项项目分类核算。</w:t>
      </w:r>
    </w:p>
    <w:p>
      <w:pPr>
        <w:spacing w:line="326" w:lineRule="auto" w:before="19"/>
        <w:ind w:left="573" w:right="14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BodyText"/>
        <w:spacing w:line="197" w:lineRule="exact"/>
        <w:ind w:right="0"/>
        <w:jc w:val="left"/>
      </w:pPr>
      <w:r>
        <w:rPr/>
        <w:t>包括建筑费用、机器设备原价、其他为使在建工程达到预定可使用状态所发生的必要支出以及在资产达到</w:t>
      </w:r>
    </w:p>
    <w:p>
      <w:pPr>
        <w:pStyle w:val="BodyText"/>
        <w:spacing w:line="273" w:lineRule="exact"/>
        <w:ind w:right="0"/>
        <w:jc w:val="left"/>
      </w:pPr>
      <w:r>
        <w:rPr/>
        <w:t>预定可使用状态之前为该项目专门借款所发生的借款费用及占用的一般借款发生的借款费用。本公司在工</w:t>
      </w:r>
    </w:p>
    <w:p>
      <w:pPr>
        <w:spacing w:after="0" w:line="273" w:lineRule="exact"/>
        <w:jc w:val="left"/>
        <w:sectPr>
          <w:pgSz w:w="11910" w:h="16840"/>
          <w:pgMar w:header="884" w:footer="979" w:top="110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65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37" w:lineRule="auto" w:before="38"/>
        <w:ind w:right="4"/>
        <w:jc w:val="left"/>
      </w:pPr>
      <w:r>
        <w:rPr>
          <w:spacing w:val="-2"/>
        </w:rPr>
        <w:t>程安装或建设完成达到预定可使用状态时将在建工程转入固定资产。所建造的已达到预定可使用状态、但</w:t>
      </w:r>
      <w:r>
        <w:rPr>
          <w:spacing w:val="-44"/>
        </w:rPr>
        <w:t> </w:t>
      </w:r>
      <w:r>
        <w:rPr>
          <w:spacing w:val="-44"/>
        </w:rPr>
      </w:r>
      <w:r>
        <w:rPr>
          <w:spacing w:val="-5"/>
        </w:rPr>
        <w:t>尚未办理竣工决算的固定资产，自达到预定可使用状态之日起，根据工程预算、造价或者工程实际成本等， </w:t>
      </w:r>
      <w:r>
        <w:rPr>
          <w:spacing w:val="-5"/>
        </w:rPr>
      </w:r>
      <w:r>
        <w:rPr>
          <w:spacing w:val="-2"/>
        </w:rPr>
        <w:t>按估计的价值转入固定资产，并按本公司固定资产折旧政策计提固定资产的折旧，待办理竣工决算后，再</w:t>
      </w:r>
      <w:r>
        <w:rPr>
          <w:spacing w:val="-43"/>
        </w:rPr>
        <w:t> </w:t>
      </w:r>
      <w:r>
        <w:rPr>
          <w:spacing w:val="-43"/>
        </w:rPr>
      </w:r>
      <w:r>
        <w:rPr/>
        <w:t>按实际成本调整原来的暂估价值，但不调整原已计提的折旧额。</w:t>
      </w:r>
    </w:p>
    <w:p>
      <w:pPr>
        <w:spacing w:line="326" w:lineRule="auto" w:before="97"/>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本公司于资产负债表日对在建工程进行全面检查，如果有证据表明在建工程已经发生了减值，估计可</w:t>
      </w:r>
    </w:p>
    <w:p>
      <w:pPr>
        <w:pStyle w:val="BodyText"/>
        <w:spacing w:line="195" w:lineRule="exact"/>
        <w:ind w:right="4"/>
        <w:jc w:val="left"/>
      </w:pPr>
      <w:r>
        <w:rPr/>
        <w:t>收回金额低于其账面价值时，账面价值减记至可收回金额，减记的金额确认为资产减值损失，计入当期损</w:t>
      </w:r>
    </w:p>
    <w:p>
      <w:pPr>
        <w:pStyle w:val="BodyText"/>
        <w:spacing w:line="272" w:lineRule="exact" w:before="27"/>
        <w:ind w:right="4"/>
        <w:jc w:val="left"/>
      </w:pPr>
      <w:r>
        <w:rPr>
          <w:spacing w:val="-2"/>
        </w:rPr>
        <w:t>益，同时计提相应的资产减值准备。资产减值损失一经确认，在以后会计期间不再转回。存在下列一项或</w:t>
      </w:r>
      <w:r>
        <w:rPr>
          <w:spacing w:val="-50"/>
        </w:rPr>
        <w:t> </w:t>
      </w:r>
      <w:r>
        <w:rPr>
          <w:spacing w:val="-50"/>
        </w:rPr>
      </w:r>
      <w:r>
        <w:rPr/>
        <w:t>若干项情况的，对在建工程进行减值测试：</w:t>
      </w:r>
    </w:p>
    <w:p>
      <w:pPr>
        <w:pStyle w:val="BodyText"/>
        <w:spacing w:line="247" w:lineRule="exact"/>
        <w:ind w:left="573" w:right="4"/>
        <w:jc w:val="left"/>
      </w:pPr>
      <w:r>
        <w:rPr/>
        <w:t>①长期停建并且预计在未来</w:t>
      </w:r>
      <w:r>
        <w:rPr>
          <w:rFonts w:ascii="宋体" w:hAnsi="宋体" w:cs="宋体" w:eastAsia="宋体" w:hint="default"/>
        </w:rPr>
        <w:t>3</w:t>
      </w:r>
      <w:r>
        <w:rPr/>
        <w:t>年内不会重新开工的在建工程；</w:t>
      </w:r>
    </w:p>
    <w:p>
      <w:pPr>
        <w:pStyle w:val="BodyText"/>
        <w:spacing w:line="273" w:lineRule="exact"/>
        <w:ind w:left="573" w:right="4"/>
        <w:jc w:val="left"/>
      </w:pPr>
      <w:r>
        <w:rPr>
          <w:spacing w:val="-5"/>
        </w:rPr>
        <w:t>②所建项目无论在性能上，还是在技术上已经落后，并且给企业带来的经济利益具有很大的不确定性；</w:t>
      </w:r>
    </w:p>
    <w:p>
      <w:pPr>
        <w:spacing w:line="321" w:lineRule="auto" w:before="0"/>
        <w:ind w:left="152" w:right="4350" w:firstLine="420"/>
        <w:jc w:val="left"/>
        <w:rPr>
          <w:rFonts w:ascii="宋体" w:hAnsi="宋体" w:cs="宋体" w:eastAsia="宋体" w:hint="default"/>
          <w:sz w:val="21"/>
          <w:szCs w:val="21"/>
        </w:rPr>
      </w:pPr>
      <w:r>
        <w:rPr>
          <w:rFonts w:ascii="宋体" w:hAnsi="宋体" w:cs="宋体" w:eastAsia="宋体" w:hint="default"/>
          <w:spacing w:val="-2"/>
          <w:sz w:val="21"/>
          <w:szCs w:val="21"/>
        </w:rPr>
        <w:t>③其他足以证明在建工程已经发生减值的情形。</w:t>
      </w:r>
      <w:r>
        <w:rPr>
          <w:rFonts w:ascii="宋体" w:hAnsi="宋体" w:cs="宋体" w:eastAsia="宋体" w:hint="default"/>
          <w:w w:val="100"/>
          <w:sz w:val="21"/>
          <w:szCs w:val="21"/>
        </w:rPr>
        <w:t> </w:t>
      </w:r>
      <w:r>
        <w:rPr>
          <w:rFonts w:ascii="宋体" w:hAnsi="宋体" w:cs="宋体" w:eastAsia="宋体"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326" w:lineRule="auto" w:before="160"/>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本公司发生的可直接归属于符合资本化条件的资产的购建或生产的借款费用在同时满足下列条件时</w:t>
      </w:r>
    </w:p>
    <w:p>
      <w:pPr>
        <w:pStyle w:val="BodyText"/>
        <w:spacing w:line="196" w:lineRule="exact"/>
        <w:ind w:right="4"/>
        <w:jc w:val="left"/>
      </w:pPr>
      <w:r>
        <w:rPr/>
        <w:t>予以资本化计入相关资产成本：</w:t>
      </w:r>
    </w:p>
    <w:p>
      <w:pPr>
        <w:pStyle w:val="BodyText"/>
        <w:spacing w:line="272" w:lineRule="exact"/>
        <w:ind w:left="573" w:right="4"/>
        <w:jc w:val="left"/>
      </w:pPr>
      <w:r>
        <w:rPr/>
        <w:t>①资产支出已经发生；</w:t>
      </w:r>
    </w:p>
    <w:p>
      <w:pPr>
        <w:pStyle w:val="BodyText"/>
        <w:spacing w:line="272" w:lineRule="exact"/>
        <w:ind w:left="573" w:right="4"/>
        <w:jc w:val="left"/>
      </w:pPr>
      <w:r>
        <w:rPr/>
        <w:t>②借款费用已经发生；</w:t>
      </w:r>
    </w:p>
    <w:p>
      <w:pPr>
        <w:pStyle w:val="BodyText"/>
        <w:spacing w:line="272" w:lineRule="exact" w:before="26"/>
        <w:ind w:left="573" w:right="4"/>
        <w:jc w:val="left"/>
      </w:pPr>
      <w:r>
        <w:rPr>
          <w:spacing w:val="-2"/>
        </w:rPr>
        <w:t>③为使资产达到预定可使用状态所必要的购建或者生产活动已经开始。</w:t>
      </w:r>
      <w:r>
        <w:rPr>
          <w:spacing w:val="-45"/>
        </w:rPr>
        <w:t> </w:t>
      </w:r>
      <w:r>
        <w:rPr>
          <w:spacing w:val="-45"/>
        </w:rPr>
      </w:r>
      <w:r>
        <w:rPr/>
        <w:t>其他的借款利息、折价或溢价和汇兑差额，计入发生当期的损益。</w:t>
      </w:r>
    </w:p>
    <w:p>
      <w:pPr>
        <w:spacing w:line="326" w:lineRule="auto" w:before="72"/>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当购建或者生产符合资本化条件的资产达到预定可使用或者可销售状态时，停止其借款费用的资本</w:t>
      </w:r>
    </w:p>
    <w:p>
      <w:pPr>
        <w:pStyle w:val="BodyText"/>
        <w:spacing w:line="196" w:lineRule="exact"/>
        <w:ind w:right="4"/>
        <w:jc w:val="left"/>
      </w:pPr>
      <w:r>
        <w:rPr/>
        <w:t>化；以后发生的借款费用于发生当期确认为费用。</w:t>
      </w:r>
    </w:p>
    <w:p>
      <w:pPr>
        <w:pStyle w:val="BodyText"/>
        <w:spacing w:line="326" w:lineRule="auto" w:before="97"/>
        <w:ind w:left="573" w:right="4" w:hanging="421"/>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spacing w:val="-103"/>
        </w:rPr>
        <w:t> </w:t>
      </w:r>
      <w:r>
        <w:rPr>
          <w:spacing w:val="-2"/>
        </w:rPr>
        <w:t>符合资本化条件的资产在购建或者生产过程中发生非正常中断，且中断时间连续超过</w:t>
      </w:r>
      <w:r>
        <w:rPr>
          <w:rFonts w:ascii="宋体" w:hAnsi="宋体" w:cs="宋体" w:eastAsia="宋体" w:hint="default"/>
          <w:spacing w:val="-2"/>
        </w:rPr>
        <w:t>3</w:t>
      </w:r>
      <w:r>
        <w:rPr>
          <w:spacing w:val="-2"/>
        </w:rPr>
        <w:t>个月的，暂停</w:t>
      </w:r>
    </w:p>
    <w:p>
      <w:pPr>
        <w:pStyle w:val="BodyText"/>
        <w:spacing w:line="196" w:lineRule="exact"/>
        <w:ind w:right="4"/>
        <w:jc w:val="left"/>
      </w:pPr>
      <w:r>
        <w:rPr/>
        <w:t>借款费用的资本化。</w:t>
      </w:r>
    </w:p>
    <w:p>
      <w:pPr>
        <w:spacing w:line="326" w:lineRule="auto" w:before="94"/>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为购建或者生产符合资本化条件的资产而借入专门借款的，应当以专门借款当期实际发生的利息费</w:t>
      </w:r>
    </w:p>
    <w:p>
      <w:pPr>
        <w:pStyle w:val="BodyText"/>
        <w:spacing w:line="196" w:lineRule="exact"/>
        <w:ind w:right="4"/>
        <w:jc w:val="left"/>
      </w:pPr>
      <w:r>
        <w:rPr/>
        <w:t>用，减去将尚未动用的借款资金存入银行取得的利息收入或者进行暂时性投资取得的投资收益后的金额，</w:t>
      </w:r>
    </w:p>
    <w:p>
      <w:pPr>
        <w:pStyle w:val="BodyText"/>
        <w:spacing w:line="240" w:lineRule="auto"/>
        <w:ind w:left="573" w:right="4" w:hanging="421"/>
        <w:jc w:val="left"/>
      </w:pPr>
      <w:r>
        <w:rPr/>
        <w:t>确定为专门借款利息费用的资本化金额。</w:t>
      </w:r>
      <w:r>
        <w:rPr>
          <w:w w:val="100"/>
        </w:rPr>
        <w:t> </w:t>
      </w:r>
      <w:r>
        <w:rPr>
          <w:spacing w:val="-2"/>
        </w:rPr>
        <w:t>购建或者生产符合资本化条件的资产占用了一般借款的，一般借款应予资本化的利息金额按累计资产</w:t>
      </w:r>
    </w:p>
    <w:p>
      <w:pPr>
        <w:pStyle w:val="BodyText"/>
        <w:spacing w:line="324" w:lineRule="auto"/>
        <w:ind w:right="2047"/>
        <w:jc w:val="left"/>
        <w:rPr>
          <w:rFonts w:ascii="宋体" w:hAnsi="宋体" w:cs="宋体" w:eastAsia="宋体" w:hint="default"/>
        </w:rPr>
      </w:pPr>
      <w:r>
        <w:rPr>
          <w:spacing w:val="-2"/>
        </w:rPr>
        <w:t>支出超过专门借款部分的资产支出加权平均数乘以所占用一般借款的资本化率计算。</w:t>
      </w:r>
      <w:r>
        <w:rPr>
          <w:spacing w:val="-35"/>
        </w:rPr>
        <w:t> </w:t>
      </w:r>
      <w:r>
        <w:rPr>
          <w:spacing w:val="-35"/>
        </w:rPr>
      </w:r>
      <w:r>
        <w:rPr>
          <w:rFonts w:ascii="宋体" w:hAnsi="宋体" w:cs="宋体" w:eastAsia="宋体" w:hint="default"/>
          <w:b/>
          <w:bCs/>
        </w:rPr>
        <w:t>17</w:t>
      </w:r>
      <w:r>
        <w:rPr>
          <w:rFonts w:ascii="宋体" w:hAnsi="宋体" w:cs="宋体" w:eastAsia="宋体" w:hint="default"/>
          <w:b/>
          <w:bCs/>
        </w:rPr>
        <w:t>、生物资产</w:t>
      </w:r>
      <w:r>
        <w:rPr>
          <w:rFonts w:ascii="宋体" w:hAnsi="宋体" w:cs="宋体" w:eastAsia="宋体" w:hint="default"/>
        </w:rPr>
      </w:r>
    </w:p>
    <w:p>
      <w:pPr>
        <w:pStyle w:val="Heading5"/>
        <w:spacing w:line="240" w:lineRule="auto" w:before="155"/>
        <w:ind w:right="4"/>
        <w:jc w:val="left"/>
        <w:rPr>
          <w:b w:val="0"/>
          <w:bCs w:val="0"/>
        </w:rPr>
      </w:pPr>
      <w:r>
        <w:rPr>
          <w:rFonts w:ascii="宋体" w:hAnsi="宋体" w:cs="宋体" w:eastAsia="宋体" w:hint="default"/>
        </w:rPr>
        <w:t>18</w:t>
      </w:r>
      <w:r>
        <w:rPr/>
        <w:t>、油气资产</w:t>
      </w:r>
      <w:r>
        <w:rPr>
          <w:b w:val="0"/>
          <w:bCs w:val="0"/>
        </w:rPr>
      </w:r>
    </w:p>
    <w:p>
      <w:pPr>
        <w:spacing w:line="240" w:lineRule="auto" w:before="7"/>
        <w:rPr>
          <w:rFonts w:ascii="宋体" w:hAnsi="宋体" w:cs="宋体" w:eastAsia="宋体" w:hint="default"/>
          <w:b/>
          <w:bCs/>
          <w:sz w:val="17"/>
          <w:szCs w:val="17"/>
        </w:rPr>
      </w:pPr>
    </w:p>
    <w:p>
      <w:pPr>
        <w:pStyle w:val="Heading5"/>
        <w:spacing w:line="240" w:lineRule="auto"/>
        <w:ind w:right="4"/>
        <w:jc w:val="left"/>
        <w:rPr>
          <w:b w:val="0"/>
          <w:bCs w:val="0"/>
        </w:rPr>
      </w:pPr>
      <w:r>
        <w:rPr>
          <w:rFonts w:ascii="宋体" w:hAnsi="宋体" w:cs="宋体" w:eastAsia="宋体" w:hint="default"/>
        </w:rPr>
        <w:t>19</w:t>
      </w:r>
      <w:r>
        <w:rPr/>
        <w:t>、无形资产</w:t>
      </w:r>
      <w:r>
        <w:rPr>
          <w:b w:val="0"/>
          <w:bCs w:val="0"/>
        </w:rPr>
      </w:r>
    </w:p>
    <w:p>
      <w:pPr>
        <w:spacing w:line="240" w:lineRule="auto" w:before="9"/>
        <w:rPr>
          <w:rFonts w:ascii="宋体" w:hAnsi="宋体" w:cs="宋体" w:eastAsia="宋体" w:hint="default"/>
          <w:b/>
          <w:bCs/>
          <w:sz w:val="17"/>
          <w:szCs w:val="17"/>
        </w:rPr>
      </w:pPr>
    </w:p>
    <w:p>
      <w:pPr>
        <w:spacing w:line="326" w:lineRule="auto" w:before="0"/>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无形资产是指本公司拥有或者控制的没有实物形态的可辨认非货币性资产，主要包括土地使用权、专</w:t>
      </w:r>
    </w:p>
    <w:p>
      <w:pPr>
        <w:pStyle w:val="BodyText"/>
        <w:spacing w:line="196" w:lineRule="exact"/>
        <w:ind w:right="4"/>
        <w:jc w:val="left"/>
      </w:pPr>
      <w:r>
        <w:rPr/>
        <w:t>利权及专有技术等。本公司按照无形资产的取得成本进行初始计量。</w:t>
      </w:r>
    </w:p>
    <w:p>
      <w:pPr>
        <w:pStyle w:val="BodyText"/>
        <w:spacing w:line="272" w:lineRule="exact"/>
        <w:ind w:left="573" w:right="4"/>
        <w:jc w:val="left"/>
      </w:pPr>
      <w:r>
        <w:rPr/>
        <w:t>无形资产按照成本进行初始计量。</w:t>
      </w:r>
    </w:p>
    <w:p>
      <w:pPr>
        <w:pStyle w:val="BodyText"/>
        <w:spacing w:line="272" w:lineRule="exact" w:before="27"/>
        <w:ind w:right="207" w:firstLine="420"/>
        <w:jc w:val="left"/>
      </w:pPr>
      <w:r>
        <w:rPr/>
        <w:t>①</w:t>
      </w:r>
      <w:r>
        <w:rPr>
          <w:spacing w:val="72"/>
        </w:rPr>
        <w:t> </w:t>
      </w:r>
      <w:r>
        <w:rPr/>
        <w:t>外购无形资产的成本，包括购买价款、相关税费以及直接归属于使该项资产达到预定用途所发生</w:t>
      </w:r>
      <w:r>
        <w:rPr>
          <w:w w:val="100"/>
        </w:rPr>
        <w:t> </w:t>
      </w:r>
      <w:r>
        <w:rPr/>
        <w:t>的其他支出。</w:t>
      </w:r>
    </w:p>
    <w:p>
      <w:pPr>
        <w:pStyle w:val="BodyText"/>
        <w:spacing w:line="246" w:lineRule="exact"/>
        <w:ind w:left="573" w:right="4"/>
        <w:jc w:val="left"/>
      </w:pPr>
      <w:r>
        <w:rPr/>
        <w:t>②</w:t>
      </w:r>
      <w:r>
        <w:rPr>
          <w:spacing w:val="57"/>
        </w:rPr>
        <w:t> </w:t>
      </w:r>
      <w:r>
        <w:rPr>
          <w:spacing w:val="-2"/>
        </w:rPr>
        <w:t>自行开发的无形资产，其成本包括自满足准则规定的条件后至达到预定用途前所发生的支出总额，</w:t>
      </w:r>
    </w:p>
    <w:p>
      <w:pPr>
        <w:pStyle w:val="BodyText"/>
        <w:spacing w:line="274" w:lineRule="exact"/>
        <w:ind w:right="4"/>
        <w:jc w:val="left"/>
      </w:pPr>
      <w:r>
        <w:rPr/>
        <w:t>但是对于以前期间已经资本化的支出不再调整。</w:t>
      </w:r>
    </w:p>
    <w:p>
      <w:pPr>
        <w:spacing w:after="0" w:line="274" w:lineRule="exact"/>
        <w:jc w:val="left"/>
        <w:sectPr>
          <w:pgSz w:w="11910" w:h="16840"/>
          <w:pgMar w:header="884" w:footer="979" w:top="1100" w:bottom="1160" w:left="980" w:right="92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68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2" w:lineRule="exact" w:before="64"/>
        <w:ind w:right="207" w:firstLine="420"/>
        <w:jc w:val="left"/>
      </w:pPr>
      <w:r>
        <w:rPr/>
        <w:t>③</w:t>
      </w:r>
      <w:r>
        <w:rPr>
          <w:spacing w:val="72"/>
        </w:rPr>
        <w:t> </w:t>
      </w:r>
      <w:r>
        <w:rPr/>
        <w:t>投资者投入无形资产的成本，按照投资合同或协议约定的价值确定，但合同或协议约定价值不公</w:t>
      </w:r>
      <w:r>
        <w:rPr>
          <w:w w:val="100"/>
        </w:rPr>
        <w:t> </w:t>
      </w:r>
      <w:r>
        <w:rPr/>
        <w:t>允的除外。</w:t>
      </w:r>
    </w:p>
    <w:p>
      <w:pPr>
        <w:pStyle w:val="BodyText"/>
        <w:spacing w:line="272" w:lineRule="exact" w:before="1"/>
        <w:ind w:right="207" w:firstLine="420"/>
        <w:jc w:val="left"/>
      </w:pPr>
      <w:r>
        <w:rPr/>
        <w:t>④</w:t>
      </w:r>
      <w:r>
        <w:rPr>
          <w:spacing w:val="72"/>
        </w:rPr>
        <w:t> </w:t>
      </w:r>
      <w:r>
        <w:rPr/>
        <w:t>非货币性资产交换、债务重组、政府补助和企业合并取得的无形资产的成本，分别按相应的新会</w:t>
      </w:r>
      <w:r>
        <w:rPr>
          <w:w w:val="100"/>
        </w:rPr>
        <w:t> </w:t>
      </w:r>
      <w:r>
        <w:rPr/>
        <w:t>计准则规定确认。</w:t>
      </w:r>
    </w:p>
    <w:p>
      <w:pPr>
        <w:spacing w:line="326" w:lineRule="auto" w:before="72"/>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对于使用寿命有限的无形资产，本公司在取得时估计其使用寿命的年限或者构成使用寿命的产量等类</w:t>
      </w:r>
    </w:p>
    <w:p>
      <w:pPr>
        <w:pStyle w:val="BodyText"/>
        <w:spacing w:line="196" w:lineRule="exact"/>
        <w:ind w:right="4"/>
        <w:jc w:val="left"/>
      </w:pPr>
      <w:r>
        <w:rPr/>
        <w:t>似计量单位数量，在使用寿命内系统合理摊销，摊销金额按受益项目计入当期损益。</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280"/>
        <w:gridCol w:w="2216"/>
        <w:gridCol w:w="5072"/>
      </w:tblGrid>
      <w:tr>
        <w:trPr>
          <w:trHeight w:val="28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按公司在取得时估计其使用寿命的年限为依据</w:t>
            </w:r>
          </w:p>
        </w:tc>
      </w:tr>
    </w:tbl>
    <w:p>
      <w:pPr>
        <w:spacing w:line="326" w:lineRule="auto" w:before="64"/>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无法预见无形资产为企业带来经济利益期限的，视为使用寿命不确定的无形资产。</w:t>
      </w:r>
    </w:p>
    <w:p>
      <w:pPr>
        <w:spacing w:line="326" w:lineRule="auto" w:before="19"/>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pacing w:val="-2"/>
          <w:sz w:val="21"/>
          <w:szCs w:val="21"/>
        </w:rPr>
        <w:t>对于使用寿命确定的无形资产，每年年度终了，公司对使用寿命有限的无形资产的使用寿命及摊销方</w:t>
      </w:r>
    </w:p>
    <w:p>
      <w:pPr>
        <w:pStyle w:val="BodyText"/>
        <w:spacing w:line="196" w:lineRule="exact"/>
        <w:ind w:right="4"/>
        <w:jc w:val="left"/>
      </w:pPr>
      <w:r>
        <w:rPr/>
        <w:t>法进行复核。经复核，本期末无形资产的使用寿命及摊销方法与以前估计未有不同。</w:t>
      </w:r>
    </w:p>
    <w:p>
      <w:pPr>
        <w:pStyle w:val="BodyText"/>
        <w:spacing w:line="237" w:lineRule="auto"/>
        <w:ind w:right="206" w:firstLine="420"/>
        <w:jc w:val="both"/>
      </w:pPr>
      <w:r>
        <w:rPr>
          <w:spacing w:val="-2"/>
        </w:rPr>
        <w:t>对于使用寿命不确定的无形资产，公司在每年年度终了对使用寿命不确定的无形资产的使用寿命进行</w:t>
      </w:r>
      <w:r>
        <w:rPr>
          <w:w w:val="100"/>
        </w:rPr>
        <w:t> </w:t>
      </w:r>
      <w:r>
        <w:rPr>
          <w:spacing w:val="-2"/>
        </w:rPr>
        <w:t>复核，如果重新复核后仍为不确定的，在资产负债表日进行减值测试。当无形资产的可收回金额低于其账</w:t>
      </w:r>
      <w:r>
        <w:rPr>
          <w:spacing w:val="-42"/>
        </w:rPr>
        <w:t> </w:t>
      </w:r>
      <w:r>
        <w:rPr>
          <w:spacing w:val="-42"/>
        </w:rPr>
      </w:r>
      <w:r>
        <w:rPr>
          <w:spacing w:val="-2"/>
        </w:rPr>
        <w:t>面价值时，将资产的账面价值减记至可收回金额，减记的金额确认为资产减值损失，计入当期损益，同时</w:t>
      </w:r>
      <w:r>
        <w:rPr>
          <w:spacing w:val="-47"/>
        </w:rPr>
        <w:t> </w:t>
      </w:r>
      <w:r>
        <w:rPr>
          <w:spacing w:val="-47"/>
        </w:rPr>
      </w:r>
      <w:r>
        <w:rPr>
          <w:spacing w:val="-2"/>
        </w:rPr>
        <w:t>计提相无形资产减值准备。无形资产减值损失一经确认，在以后会计期间不再转回。存在下列一项或多项</w:t>
      </w:r>
      <w:r>
        <w:rPr>
          <w:spacing w:val="-44"/>
        </w:rPr>
        <w:t> </w:t>
      </w:r>
      <w:r>
        <w:rPr>
          <w:spacing w:val="-44"/>
        </w:rPr>
      </w:r>
      <w:r>
        <w:rPr/>
        <w:t>以下情况的，对无形资产进行减值测试：</w:t>
      </w:r>
    </w:p>
    <w:p>
      <w:pPr>
        <w:pStyle w:val="BodyText"/>
        <w:spacing w:line="272" w:lineRule="exact"/>
        <w:ind w:left="573" w:right="4"/>
        <w:jc w:val="left"/>
      </w:pPr>
      <w:r>
        <w:rPr/>
        <w:t>①</w:t>
      </w:r>
      <w:r>
        <w:rPr>
          <w:spacing w:val="-8"/>
        </w:rPr>
        <w:t> </w:t>
      </w:r>
      <w:r>
        <w:rPr/>
        <w:t>该无形资产已被其他新技术等所替代，使其为企业创造经济利益的能力受到重大不利影响；</w:t>
      </w:r>
    </w:p>
    <w:p>
      <w:pPr>
        <w:pStyle w:val="BodyText"/>
        <w:spacing w:line="273" w:lineRule="exact"/>
        <w:ind w:left="573" w:right="4"/>
        <w:jc w:val="left"/>
      </w:pPr>
      <w:r>
        <w:rPr/>
        <w:t>②</w:t>
      </w:r>
      <w:r>
        <w:rPr>
          <w:spacing w:val="-5"/>
        </w:rPr>
        <w:t> </w:t>
      </w:r>
      <w:r>
        <w:rPr/>
        <w:t>该无形资产的市价在当期大幅下跌，并在剩余年限内可能不会回升；</w:t>
      </w:r>
    </w:p>
    <w:p>
      <w:pPr>
        <w:spacing w:line="324" w:lineRule="auto" w:before="97"/>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内部研究开发项目的研究阶段是指为获取或理解新的科学或技术知识而进行的独创性的有计划调查。</w:t>
      </w:r>
    </w:p>
    <w:p>
      <w:pPr>
        <w:pStyle w:val="BodyText"/>
        <w:spacing w:line="198" w:lineRule="exact"/>
        <w:ind w:right="4"/>
        <w:jc w:val="left"/>
      </w:pPr>
      <w:r>
        <w:rPr/>
        <w:t>公司对处于研究阶段的支出，于发生时计入当期损益。</w:t>
      </w:r>
    </w:p>
    <w:p>
      <w:pPr>
        <w:pStyle w:val="BodyText"/>
        <w:spacing w:line="240" w:lineRule="auto"/>
        <w:ind w:right="4" w:firstLine="526"/>
        <w:jc w:val="left"/>
      </w:pPr>
      <w:r>
        <w:rPr>
          <w:spacing w:val="-2"/>
        </w:rPr>
        <w:t>内部研究开发项目的开发阶段是指在进行商业性生产或使用前，将研究成果应用于某项计划或设计，</w:t>
      </w:r>
      <w:r>
        <w:rPr>
          <w:w w:val="100"/>
        </w:rPr>
        <w:t> </w:t>
      </w:r>
      <w:r>
        <w:rPr/>
        <w:t>以生产出新的或具有实质性改进的材料、装置、产品等活动的阶段。</w:t>
      </w:r>
    </w:p>
    <w:p>
      <w:pPr>
        <w:spacing w:line="326" w:lineRule="auto" w:before="94"/>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公司对处于开发阶段的支出，在同时满足下列条件时，才确认为无形资产。</w:t>
      </w:r>
    </w:p>
    <w:p>
      <w:pPr>
        <w:pStyle w:val="BodyText"/>
        <w:spacing w:line="196" w:lineRule="exact"/>
        <w:ind w:left="573" w:right="4"/>
        <w:jc w:val="left"/>
      </w:pPr>
      <w:r>
        <w:rPr/>
        <w:t>——完成该无形资产以使其能够运用于生产在技术上具有可行性；</w:t>
      </w:r>
    </w:p>
    <w:p>
      <w:pPr>
        <w:pStyle w:val="BodyText"/>
        <w:spacing w:line="271" w:lineRule="exact"/>
        <w:ind w:left="573" w:right="4"/>
        <w:jc w:val="left"/>
      </w:pPr>
      <w:r>
        <w:rPr/>
        <w:t>——具有完成该无形资产并使其运用于生产的意图。</w:t>
      </w:r>
    </w:p>
    <w:p>
      <w:pPr>
        <w:pStyle w:val="BodyText"/>
        <w:spacing w:line="240" w:lineRule="auto"/>
        <w:ind w:right="4" w:firstLine="420"/>
        <w:jc w:val="left"/>
      </w:pPr>
      <w:r>
        <w:rPr>
          <w:spacing w:val="-2"/>
        </w:rPr>
        <w:t>——公司能够证明通过运用该无形资产生产的产品存在市场，或运用于内部使用时，能够给公司带来</w:t>
      </w:r>
      <w:r>
        <w:rPr>
          <w:w w:val="100"/>
        </w:rPr>
        <w:t> </w:t>
      </w:r>
      <w:r>
        <w:rPr/>
        <w:t>经济利益。</w:t>
      </w:r>
    </w:p>
    <w:p>
      <w:pPr>
        <w:pStyle w:val="BodyText"/>
        <w:spacing w:line="271" w:lineRule="exact"/>
        <w:ind w:left="573" w:right="4"/>
        <w:jc w:val="left"/>
      </w:pPr>
      <w:r>
        <w:rPr>
          <w:spacing w:val="-5"/>
        </w:rPr>
        <w:t>——有足够的技术、财务资源和其他资源支持，以完成该无形资产的开发，并有能力使用该无形资产。</w:t>
      </w:r>
    </w:p>
    <w:p>
      <w:pPr>
        <w:pStyle w:val="BodyText"/>
        <w:spacing w:line="272" w:lineRule="exact" w:before="27"/>
        <w:ind w:left="573" w:right="4"/>
        <w:jc w:val="left"/>
      </w:pPr>
      <w:r>
        <w:rPr/>
        <w:t>——归属于该无形资产开发阶段的支出能够可靠地计量。</w:t>
      </w:r>
      <w:r>
        <w:rPr>
          <w:w w:val="100"/>
        </w:rPr>
        <w:t> </w:t>
      </w:r>
      <w:r>
        <w:rPr>
          <w:spacing w:val="2"/>
        </w:rPr>
        <w:t>公司根据内部研究开发项目的实际情况，研究开发项目的支出尚无法同时满足确认为无形资产的条</w:t>
      </w:r>
    </w:p>
    <w:p>
      <w:pPr>
        <w:pStyle w:val="BodyText"/>
        <w:spacing w:line="249" w:lineRule="exact"/>
        <w:ind w:right="4"/>
        <w:jc w:val="left"/>
      </w:pPr>
      <w:r>
        <w:rPr/>
        <w:t>件，故公司将研究开发项目的支出于发生时计入当期损益。</w:t>
      </w:r>
    </w:p>
    <w:p>
      <w:pPr>
        <w:pStyle w:val="Heading5"/>
        <w:spacing w:line="240" w:lineRule="auto" w:before="92"/>
        <w:ind w:right="4"/>
        <w:jc w:val="left"/>
        <w:rPr>
          <w:b w:val="0"/>
          <w:bCs w:val="0"/>
        </w:rPr>
      </w:pPr>
      <w:r>
        <w:rPr>
          <w:rFonts w:ascii="宋体" w:hAnsi="宋体" w:cs="宋体" w:eastAsia="宋体" w:hint="default"/>
        </w:rPr>
        <w:t>20</w:t>
      </w:r>
      <w:r>
        <w:rPr/>
        <w:t>、长期待摊费用</w:t>
      </w:r>
      <w:r>
        <w:rPr>
          <w:b w:val="0"/>
          <w:bCs w:val="0"/>
        </w:rPr>
      </w:r>
    </w:p>
    <w:p>
      <w:pPr>
        <w:spacing w:line="240" w:lineRule="auto" w:before="2"/>
        <w:rPr>
          <w:rFonts w:ascii="宋体" w:hAnsi="宋体" w:cs="宋体" w:eastAsia="宋体" w:hint="default"/>
          <w:b/>
          <w:bCs/>
          <w:sz w:val="16"/>
          <w:szCs w:val="16"/>
        </w:rPr>
      </w:pPr>
    </w:p>
    <w:p>
      <w:pPr>
        <w:pStyle w:val="BodyText"/>
        <w:spacing w:line="272" w:lineRule="exact"/>
        <w:ind w:right="4" w:firstLine="420"/>
        <w:jc w:val="left"/>
      </w:pPr>
      <w:r>
        <w:rPr>
          <w:spacing w:val="-2"/>
        </w:rPr>
        <w:t>长期待摊费用在受益期内平均摊销，其中：经营租赁方式租入的固定资产改良支出，按最佳预期经济</w:t>
      </w:r>
      <w:r>
        <w:rPr>
          <w:w w:val="100"/>
        </w:rPr>
        <w:t> </w:t>
      </w:r>
      <w:r>
        <w:rPr/>
        <w:t>利益实现方式合理摊销。</w:t>
      </w:r>
    </w:p>
    <w:p>
      <w:pPr>
        <w:spacing w:after="0" w:line="272" w:lineRule="exact"/>
        <w:jc w:val="left"/>
        <w:sectPr>
          <w:pgSz w:w="11910" w:h="16840"/>
          <w:pgMar w:header="884" w:footer="979" w:top="1100" w:bottom="1160" w:left="980" w:right="92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70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right="4"/>
        <w:jc w:val="left"/>
        <w:rPr>
          <w:b w:val="0"/>
          <w:bCs w:val="0"/>
        </w:rPr>
      </w:pPr>
      <w:r>
        <w:rPr>
          <w:rFonts w:ascii="宋体" w:hAnsi="宋体" w:cs="宋体" w:eastAsia="宋体" w:hint="default"/>
        </w:rPr>
        <w:t>21</w:t>
      </w:r>
      <w:r>
        <w:rPr/>
        <w:t>、附回购条件的资产转让</w:t>
      </w:r>
      <w:r>
        <w:rPr>
          <w:b w:val="0"/>
          <w:bCs w:val="0"/>
        </w:rPr>
      </w:r>
    </w:p>
    <w:p>
      <w:pPr>
        <w:spacing w:line="240" w:lineRule="auto" w:before="7"/>
        <w:rPr>
          <w:rFonts w:ascii="宋体" w:hAnsi="宋体" w:cs="宋体" w:eastAsia="宋体" w:hint="default"/>
          <w:b/>
          <w:bCs/>
          <w:sz w:val="17"/>
          <w:szCs w:val="17"/>
        </w:rPr>
      </w:pPr>
    </w:p>
    <w:p>
      <w:pPr>
        <w:pStyle w:val="Heading5"/>
        <w:spacing w:line="240" w:lineRule="auto"/>
        <w:ind w:right="4"/>
        <w:jc w:val="left"/>
        <w:rPr>
          <w:b w:val="0"/>
          <w:bCs w:val="0"/>
        </w:rPr>
      </w:pPr>
      <w:r>
        <w:rPr>
          <w:rFonts w:ascii="宋体" w:hAnsi="宋体" w:cs="宋体" w:eastAsia="宋体" w:hint="default"/>
        </w:rPr>
        <w:t>22</w:t>
      </w:r>
      <w:r>
        <w:rPr/>
        <w:t>、预计负债</w:t>
      </w:r>
      <w:r>
        <w:rPr>
          <w:b w:val="0"/>
          <w:bCs w:val="0"/>
        </w:rPr>
      </w:r>
    </w:p>
    <w:p>
      <w:pPr>
        <w:spacing w:line="570" w:lineRule="atLeast" w:before="138"/>
        <w:ind w:left="573" w:right="204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如果与或有事项相关的义务同时符合以下条件，本公司将其确认为预计负债：</w:t>
      </w:r>
    </w:p>
    <w:p>
      <w:pPr>
        <w:pStyle w:val="BodyText"/>
        <w:spacing w:line="272" w:lineRule="exact"/>
        <w:ind w:left="573" w:right="4"/>
        <w:jc w:val="left"/>
      </w:pPr>
      <w:r>
        <w:rPr/>
        <w:t>①该义务是本公司承担的现时义务；</w:t>
      </w:r>
    </w:p>
    <w:p>
      <w:pPr>
        <w:pStyle w:val="BodyText"/>
        <w:spacing w:line="272" w:lineRule="exact"/>
        <w:ind w:left="573" w:right="4"/>
        <w:jc w:val="left"/>
      </w:pPr>
      <w:r>
        <w:rPr/>
        <w:t>②该义务的履行很可能导致经济利益流出本公司；</w:t>
      </w:r>
    </w:p>
    <w:p>
      <w:pPr>
        <w:pStyle w:val="BodyText"/>
        <w:spacing w:line="274" w:lineRule="exact"/>
        <w:ind w:left="573" w:right="4"/>
        <w:jc w:val="left"/>
      </w:pPr>
      <w:r>
        <w:rPr/>
        <w:t>③该义务的金额能够可靠地计量。</w:t>
      </w:r>
    </w:p>
    <w:p>
      <w:pPr>
        <w:spacing w:line="240" w:lineRule="auto" w:before="9"/>
        <w:rPr>
          <w:rFonts w:ascii="宋体" w:hAnsi="宋体" w:cs="宋体" w:eastAsia="宋体" w:hint="default"/>
          <w:sz w:val="22"/>
          <w:szCs w:val="22"/>
        </w:rPr>
      </w:pPr>
    </w:p>
    <w:p>
      <w:pPr>
        <w:pStyle w:val="Heading5"/>
        <w:spacing w:line="501" w:lineRule="auto"/>
        <w:ind w:right="7409"/>
        <w:jc w:val="left"/>
        <w:rPr>
          <w:b w:val="0"/>
          <w:bCs w:val="0"/>
        </w:rPr>
      </w:pPr>
      <w:r>
        <w:rPr/>
        <w:t>（</w:t>
      </w:r>
      <w:r>
        <w:rPr>
          <w:rFonts w:ascii="宋体" w:hAnsi="宋体" w:cs="宋体" w:eastAsia="宋体" w:hint="default"/>
        </w:rPr>
        <w:t>2</w:t>
      </w:r>
      <w:r>
        <w:rPr/>
        <w:t>）预计负债的计量方法</w:t>
      </w:r>
      <w:r>
        <w:rPr>
          <w:w w:val="100"/>
        </w:rPr>
        <w:t> </w:t>
      </w:r>
      <w:r>
        <w:rPr>
          <w:rFonts w:ascii="宋体" w:hAnsi="宋体" w:cs="宋体" w:eastAsia="宋体" w:hint="default"/>
        </w:rPr>
        <w:t>23</w:t>
      </w:r>
      <w:r>
        <w:rPr/>
        <w:t>、股份支付及权益工具</w:t>
      </w:r>
      <w:r>
        <w:rPr>
          <w:b w:val="0"/>
          <w:bCs w:val="0"/>
        </w:rPr>
      </w:r>
    </w:p>
    <w:p>
      <w:pPr>
        <w:spacing w:line="326" w:lineRule="auto" w:before="2"/>
        <w:ind w:left="573" w:right="204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03"/>
          <w:sz w:val="21"/>
          <w:szCs w:val="21"/>
        </w:rPr>
        <w:t> </w:t>
      </w:r>
      <w:r>
        <w:rPr>
          <w:rFonts w:ascii="宋体" w:hAnsi="宋体" w:cs="宋体" w:eastAsia="宋体" w:hint="default"/>
          <w:spacing w:val="-2"/>
          <w:sz w:val="21"/>
          <w:szCs w:val="21"/>
        </w:rPr>
        <w:t>股份支付分为以现金结算的股份支付和以权益结算的股份支付。</w:t>
      </w:r>
    </w:p>
    <w:p>
      <w:pPr>
        <w:spacing w:line="326" w:lineRule="auto" w:before="21"/>
        <w:ind w:left="573" w:right="4350"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）权益工具公允价值的确定方法</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以权益工具结算的股份支付：</w:t>
      </w:r>
    </w:p>
    <w:p>
      <w:pPr>
        <w:pStyle w:val="BodyText"/>
        <w:spacing w:line="194" w:lineRule="exact"/>
        <w:ind w:left="573" w:right="4"/>
        <w:jc w:val="left"/>
      </w:pPr>
      <w:r>
        <w:rPr/>
        <w:t>以权益结算的股份支付，以授予职工权益工具的公允价值计量。</w:t>
      </w:r>
    </w:p>
    <w:p>
      <w:pPr>
        <w:pStyle w:val="BodyText"/>
        <w:spacing w:line="240" w:lineRule="auto"/>
        <w:ind w:right="4" w:firstLine="420"/>
        <w:jc w:val="left"/>
      </w:pPr>
      <w:r>
        <w:rPr>
          <w:spacing w:val="-2"/>
        </w:rPr>
        <w:t>授予后立即可行权的换取职工服务的以权益结算的股份支付，在授予日以权益工具的公允价值计入相</w:t>
      </w:r>
      <w:r>
        <w:rPr>
          <w:w w:val="100"/>
        </w:rPr>
        <w:t> </w:t>
      </w:r>
      <w:r>
        <w:rPr/>
        <w:t>关成本或费用，相应增加资本公积。</w:t>
      </w:r>
    </w:p>
    <w:p>
      <w:pPr>
        <w:pStyle w:val="Heading5"/>
        <w:spacing w:line="240" w:lineRule="auto" w:before="95"/>
        <w:ind w:right="4"/>
        <w:jc w:val="left"/>
        <w:rPr>
          <w:b w:val="0"/>
          <w:bCs w:val="0"/>
        </w:rPr>
      </w:pPr>
      <w:r>
        <w:rPr/>
        <w:t>（</w:t>
      </w:r>
      <w:r>
        <w:rPr>
          <w:rFonts w:ascii="宋体" w:hAnsi="宋体" w:cs="宋体" w:eastAsia="宋体" w:hint="default"/>
        </w:rPr>
        <w:t>3</w:t>
      </w:r>
      <w:r>
        <w:rPr/>
        <w:t>）确认可行权权益工具最佳估计的依据</w:t>
      </w:r>
      <w:r>
        <w:rPr>
          <w:b w:val="0"/>
          <w:bCs w:val="0"/>
        </w:rPr>
      </w:r>
    </w:p>
    <w:p>
      <w:pPr>
        <w:pStyle w:val="Heading5"/>
        <w:spacing w:line="324" w:lineRule="auto" w:before="99"/>
        <w:ind w:right="4350"/>
        <w:jc w:val="left"/>
        <w:rPr>
          <w:b w:val="0"/>
          <w:bCs w:val="0"/>
        </w:rPr>
      </w:pPr>
      <w:r>
        <w:rPr>
          <w:spacing w:val="-1"/>
        </w:rPr>
        <w:t>（</w:t>
      </w:r>
      <w:r>
        <w:rPr>
          <w:rFonts w:ascii="宋体" w:hAnsi="宋体" w:cs="宋体" w:eastAsia="宋体" w:hint="default"/>
          <w:spacing w:val="-1"/>
        </w:rPr>
        <w:t>4</w:t>
      </w:r>
      <w:r>
        <w:rPr>
          <w:spacing w:val="-1"/>
        </w:rPr>
        <w:t>）实施、修改、终止股份支付计划的相关会计处理</w:t>
      </w:r>
      <w:r>
        <w:rPr>
          <w:spacing w:val="-86"/>
        </w:rPr>
        <w:t> </w:t>
      </w:r>
      <w:r>
        <w:rPr>
          <w:spacing w:val="-86"/>
        </w:rPr>
      </w:r>
      <w:r>
        <w:rPr>
          <w:rFonts w:ascii="宋体" w:hAnsi="宋体" w:cs="宋体" w:eastAsia="宋体" w:hint="default"/>
        </w:rPr>
        <w:t>24</w:t>
      </w:r>
      <w:r>
        <w:rPr/>
        <w:t>、回购本公司股份</w:t>
      </w:r>
      <w:r>
        <w:rPr>
          <w:b w:val="0"/>
          <w:bCs w:val="0"/>
        </w:rPr>
      </w:r>
    </w:p>
    <w:p>
      <w:pPr>
        <w:pStyle w:val="Heading5"/>
        <w:spacing w:line="240" w:lineRule="auto" w:before="158"/>
        <w:ind w:right="4"/>
        <w:jc w:val="left"/>
        <w:rPr>
          <w:b w:val="0"/>
          <w:bCs w:val="0"/>
        </w:rPr>
      </w:pPr>
      <w:r>
        <w:rPr>
          <w:rFonts w:ascii="宋体" w:hAnsi="宋体" w:cs="宋体" w:eastAsia="宋体" w:hint="default"/>
        </w:rPr>
        <w:t>25</w:t>
      </w:r>
      <w:r>
        <w:rPr/>
        <w:t>、收入</w:t>
      </w:r>
      <w:r>
        <w:rPr>
          <w:b w:val="0"/>
          <w:bCs w:val="0"/>
        </w:rPr>
      </w:r>
    </w:p>
    <w:p>
      <w:pPr>
        <w:spacing w:line="240" w:lineRule="auto" w:before="9"/>
        <w:rPr>
          <w:rFonts w:ascii="宋体" w:hAnsi="宋体" w:cs="宋体" w:eastAsia="宋体" w:hint="default"/>
          <w:b/>
          <w:bCs/>
          <w:sz w:val="17"/>
          <w:szCs w:val="17"/>
        </w:rPr>
      </w:pPr>
    </w:p>
    <w:p>
      <w:pPr>
        <w:spacing w:line="326" w:lineRule="auto" w:before="0"/>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公司已将商品所有权上的主要风险和报酬转移给购货方；公司既没有保留通常与所有权相联系的继续</w:t>
      </w:r>
    </w:p>
    <w:p>
      <w:pPr>
        <w:pStyle w:val="BodyText"/>
        <w:spacing w:line="195" w:lineRule="exact"/>
        <w:ind w:right="4"/>
        <w:jc w:val="left"/>
      </w:pPr>
      <w:r>
        <w:rPr/>
        <w:t>管理权，也没有对已售出的商品实施有效控制；收入的金额能够可靠地计量；相关的经济利益很可能流入</w:t>
      </w:r>
    </w:p>
    <w:p>
      <w:pPr>
        <w:pStyle w:val="BodyText"/>
        <w:spacing w:line="272" w:lineRule="exact" w:before="27"/>
        <w:ind w:left="573" w:right="4" w:hanging="421"/>
        <w:jc w:val="left"/>
      </w:pPr>
      <w:r>
        <w:rPr/>
        <w:t>公司；相关的已发生或将发生的成本能够可靠地计量时，确认为销售收入的实现。</w:t>
      </w:r>
      <w:r>
        <w:rPr>
          <w:w w:val="100"/>
        </w:rPr>
        <w:t> </w:t>
      </w:r>
      <w:r>
        <w:rPr>
          <w:spacing w:val="-2"/>
        </w:rPr>
        <w:t>本公司商品销售主要包括产品化软件销售收入和系统集成收入，其收入的具体确认原则如下：</w:t>
      </w:r>
    </w:p>
    <w:p>
      <w:pPr>
        <w:pStyle w:val="BodyText"/>
        <w:spacing w:line="272" w:lineRule="exact" w:before="2"/>
        <w:ind w:right="4" w:firstLine="420"/>
        <w:jc w:val="left"/>
      </w:pPr>
      <w:r>
        <w:rPr/>
        <w:t>①产品化软件销售收入是指本公司销售自主研发的软件产品收入。公司自主研发的软件产品是指获得</w:t>
      </w:r>
      <w:r>
        <w:rPr>
          <w:w w:val="100"/>
        </w:rPr>
        <w:t> </w:t>
      </w:r>
      <w:r>
        <w:rPr>
          <w:spacing w:val="-5"/>
        </w:rPr>
        <w:t>了软件产品登记证书，具有较强的行业通用性，客户需求差异性较小，并且可以批量复制销售的应用软件。 </w:t>
      </w:r>
      <w:r>
        <w:rPr>
          <w:spacing w:val="-5"/>
        </w:rPr>
      </w:r>
      <w:r>
        <w:rPr>
          <w:spacing w:val="-2"/>
        </w:rPr>
        <w:t>对于产品化软件销售，本公司在按照合同约定内容向购买方移交，并完成安装、调试工作，取得了购买方</w:t>
      </w:r>
    </w:p>
    <w:p>
      <w:pPr>
        <w:pStyle w:val="BodyText"/>
        <w:spacing w:line="247" w:lineRule="exact"/>
        <w:ind w:right="4"/>
        <w:jc w:val="left"/>
      </w:pPr>
      <w:r>
        <w:rPr/>
        <w:t>安装确认单，并同时满足上述销售商品收入确认条件时确认软件产品销售收入。</w:t>
      </w:r>
    </w:p>
    <w:p>
      <w:pPr>
        <w:pStyle w:val="BodyText"/>
        <w:spacing w:line="237" w:lineRule="auto"/>
        <w:ind w:right="185" w:firstLine="420"/>
        <w:jc w:val="both"/>
      </w:pPr>
      <w:r>
        <w:rPr>
          <w:spacing w:val="-2"/>
        </w:rPr>
        <w:t>②系统集成收入是指公司为客户实施系统集成项目时，应客户要求代其外购硬件系统及相关第三方软</w:t>
      </w:r>
      <w:r>
        <w:rPr>
          <w:w w:val="100"/>
        </w:rPr>
        <w:t> </w:t>
      </w:r>
      <w:r>
        <w:rPr>
          <w:spacing w:val="-2"/>
        </w:rPr>
        <w:t>件，并安装集成所获得的收入。系统集成是根据客户的需求选择各种软硬件设备，经过集成设计、集成、</w:t>
      </w:r>
      <w:r>
        <w:rPr>
          <w:spacing w:val="-21"/>
        </w:rPr>
        <w:t> </w:t>
      </w:r>
      <w:r>
        <w:rPr>
          <w:spacing w:val="-21"/>
        </w:rPr>
      </w:r>
      <w:r>
        <w:rPr>
          <w:spacing w:val="-2"/>
        </w:rPr>
        <w:t>安装调试等大量技术性工作使系统能够满足用户的实际需求。系统集成在按照合同约定内容向购买方移交</w:t>
      </w:r>
      <w:r>
        <w:rPr>
          <w:spacing w:val="-43"/>
        </w:rPr>
        <w:t> </w:t>
      </w:r>
      <w:r>
        <w:rPr>
          <w:spacing w:val="-43"/>
        </w:rPr>
      </w:r>
      <w:r>
        <w:rPr>
          <w:spacing w:val="-2"/>
        </w:rPr>
        <w:t>了所提供的软件产品和软件开发相关的、以及代购硬件设备或第三方软件的所有权，取得了购买方的验收</w:t>
      </w:r>
      <w:r>
        <w:rPr>
          <w:spacing w:val="-43"/>
        </w:rPr>
        <w:t> </w:t>
      </w:r>
      <w:r>
        <w:rPr>
          <w:spacing w:val="-43"/>
        </w:rPr>
      </w:r>
      <w:r>
        <w:rPr/>
        <w:t>单，并同时满足上述销售商品收入确认条件时确认系统集成收入。</w:t>
      </w:r>
    </w:p>
    <w:p>
      <w:pPr>
        <w:spacing w:line="326" w:lineRule="auto" w:before="97"/>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本公司在与让渡资产使用权相关的经济利益能够流入和收入的金额能够可靠的计量时确认让渡资产</w:t>
      </w:r>
    </w:p>
    <w:p>
      <w:pPr>
        <w:pStyle w:val="BodyText"/>
        <w:spacing w:line="196" w:lineRule="exact"/>
        <w:ind w:right="4"/>
        <w:jc w:val="left"/>
      </w:pPr>
      <w:r>
        <w:rPr/>
        <w:t>使用权收入。</w:t>
      </w:r>
    </w:p>
    <w:p>
      <w:pPr>
        <w:spacing w:after="0" w:line="196" w:lineRule="exact"/>
        <w:jc w:val="left"/>
        <w:sectPr>
          <w:pgSz w:w="11910" w:h="16840"/>
          <w:pgMar w:header="884" w:footer="979" w:top="1100" w:bottom="1160" w:left="980" w:right="920"/>
        </w:sectPr>
      </w:pPr>
    </w:p>
    <w:p>
      <w:pPr>
        <w:spacing w:line="240" w:lineRule="auto" w:before="12"/>
        <w:rPr>
          <w:rFonts w:ascii="宋体" w:hAnsi="宋体" w:cs="宋体" w:eastAsia="宋体" w:hint="default"/>
          <w:sz w:val="19"/>
          <w:szCs w:val="19"/>
        </w:rPr>
      </w:pPr>
      <w:r>
        <w:rPr/>
        <w:pict>
          <v:group style="position:absolute;margin-left:54.84pt;margin-top:28.299982pt;width:485.65pt;height:40.15pt;mso-position-horizontal-relative:page;mso-position-vertical-relative:page;z-index:272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spacing w:line="326" w:lineRule="auto" w:before="36"/>
        <w:ind w:left="573" w:right="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在资产负债表日提供劳务交易的结果能够可靠估计，采用完工百分比法确认提供劳务收入。提供劳务</w:t>
      </w:r>
    </w:p>
    <w:p>
      <w:pPr>
        <w:pStyle w:val="BodyText"/>
        <w:spacing w:line="196" w:lineRule="exact"/>
        <w:ind w:right="4"/>
        <w:jc w:val="left"/>
      </w:pPr>
      <w:r>
        <w:rPr/>
        <w:t>交易的结果能够可靠估计，是指同时满足下列条件：收入的金额能够可靠地计量；相关的经济利益很可能</w:t>
      </w:r>
    </w:p>
    <w:p>
      <w:pPr>
        <w:pStyle w:val="BodyText"/>
        <w:spacing w:line="240" w:lineRule="auto"/>
        <w:ind w:right="4"/>
        <w:jc w:val="left"/>
      </w:pPr>
      <w:r>
        <w:rPr>
          <w:spacing w:val="-2"/>
        </w:rPr>
        <w:t>流入企业；交易的完工进度能够可靠地确定；交易中已发生和将发生的成本能够可靠地计量时，确认为提</w:t>
      </w:r>
      <w:r>
        <w:rPr>
          <w:spacing w:val="-43"/>
        </w:rPr>
        <w:t> </w:t>
      </w:r>
      <w:r>
        <w:rPr>
          <w:spacing w:val="-43"/>
        </w:rPr>
      </w:r>
      <w:r>
        <w:rPr/>
        <w:t>供劳务收入的实现。</w:t>
      </w:r>
    </w:p>
    <w:p>
      <w:pPr>
        <w:pStyle w:val="BodyText"/>
        <w:spacing w:line="271" w:lineRule="exact"/>
        <w:ind w:left="573" w:right="4"/>
        <w:jc w:val="left"/>
      </w:pPr>
      <w:r>
        <w:rPr/>
        <w:t>本公司提供劳务主要包括定制化软件开发收入和技术服务收入，其收入的具体确认原则如下：</w:t>
      </w:r>
    </w:p>
    <w:p>
      <w:pPr>
        <w:pStyle w:val="BodyText"/>
        <w:spacing w:line="272" w:lineRule="exact" w:before="27"/>
        <w:ind w:right="206" w:firstLine="420"/>
        <w:jc w:val="both"/>
      </w:pPr>
      <w:r>
        <w:rPr>
          <w:spacing w:val="2"/>
        </w:rPr>
        <w:t>①定制化软件开发收入是指公司接受客户委托，针对客户提出的软件需求进行研究开发所获得的收</w:t>
      </w:r>
      <w:r>
        <w:rPr>
          <w:w w:val="100"/>
        </w:rPr>
        <w:t> </w:t>
      </w:r>
      <w:r>
        <w:rPr>
          <w:spacing w:val="-2"/>
        </w:rPr>
        <w:t>入。定制化软件一般是公司基于自主研发的软件平台基础上，按照客户的特定需求，进行定制化开发而形</w:t>
      </w:r>
      <w:r>
        <w:rPr>
          <w:spacing w:val="-43"/>
        </w:rPr>
        <w:t> </w:t>
      </w:r>
      <w:r>
        <w:rPr>
          <w:spacing w:val="-43"/>
        </w:rPr>
      </w:r>
      <w:r>
        <w:rPr/>
        <w:t>成的应用软件。该类软件一般不具有通用性，该类业务实质上属于提供劳务。</w:t>
      </w:r>
    </w:p>
    <w:p>
      <w:pPr>
        <w:pStyle w:val="BodyText"/>
        <w:spacing w:line="272" w:lineRule="exact" w:before="1"/>
        <w:ind w:right="4" w:firstLine="420"/>
        <w:jc w:val="left"/>
      </w:pPr>
      <w:r>
        <w:rPr>
          <w:spacing w:val="-5"/>
        </w:rPr>
        <w:t>对于定制化软件开发，本公司在按照合同约定内容实施了开发工作，为购买方完成了安装、调试工作，</w:t>
      </w:r>
      <w:r>
        <w:rPr>
          <w:w w:val="100"/>
        </w:rPr>
        <w:t> </w:t>
      </w:r>
      <w:r>
        <w:rPr/>
        <w:t>取得购买方的验收单据，并同时满足上述提供劳务收入确认条件时确认定制化软件开发收入。</w:t>
      </w:r>
    </w:p>
    <w:p>
      <w:pPr>
        <w:pStyle w:val="BodyText"/>
        <w:spacing w:line="272" w:lineRule="exact" w:before="1"/>
        <w:ind w:right="4" w:firstLine="420"/>
        <w:jc w:val="left"/>
      </w:pPr>
      <w:r>
        <w:rPr>
          <w:spacing w:val="-2"/>
        </w:rPr>
        <w:t>②技术服务收入是指公司向客户提供专业的技术服务实现的收入。本公司的技术服务收入通常包含但</w:t>
      </w:r>
      <w:r>
        <w:rPr>
          <w:w w:val="100"/>
        </w:rPr>
        <w:t> </w:t>
      </w:r>
      <w:r>
        <w:rPr/>
        <w:t>不限于向客户提供的与</w:t>
      </w:r>
      <w:r>
        <w:rPr>
          <w:rFonts w:ascii="宋体" w:hAnsi="宋体" w:cs="宋体" w:eastAsia="宋体" w:hint="default"/>
        </w:rPr>
        <w:t>IT</w:t>
      </w:r>
      <w:r>
        <w:rPr/>
        <w:t>运维管理相关的技术支持、技术咨询、系统维护、运营管理等服务内容。</w:t>
      </w:r>
    </w:p>
    <w:p>
      <w:pPr>
        <w:pStyle w:val="BodyText"/>
        <w:spacing w:line="272" w:lineRule="exact" w:before="1"/>
        <w:ind w:right="4" w:firstLine="420"/>
        <w:jc w:val="left"/>
      </w:pPr>
      <w:r>
        <w:rPr>
          <w:spacing w:val="-2"/>
        </w:rPr>
        <w:t>对于按期提供劳务的技术服务，公司在按照合同约定内容提供了劳务，并满足上述提供劳务收入确认</w:t>
      </w:r>
      <w:r>
        <w:rPr>
          <w:w w:val="100"/>
        </w:rPr>
        <w:t> </w:t>
      </w:r>
      <w:r>
        <w:rPr>
          <w:spacing w:val="-2"/>
        </w:rPr>
        <w:t>条件时按期确认技术服务收入；对于按次提供劳务的技术服务，公司在劳务已经提供，并符合合同约定的</w:t>
      </w:r>
    </w:p>
    <w:p>
      <w:pPr>
        <w:pStyle w:val="BodyText"/>
        <w:spacing w:line="272" w:lineRule="exact" w:before="1"/>
        <w:ind w:left="573" w:right="4" w:hanging="421"/>
        <w:jc w:val="left"/>
      </w:pPr>
      <w:r>
        <w:rPr/>
        <w:t>服务条款，同时满足提供劳务收入确认条件时确认技术服务收入。</w:t>
      </w:r>
      <w:r>
        <w:rPr>
          <w:w w:val="100"/>
        </w:rPr>
        <w:t> </w:t>
      </w:r>
      <w:r>
        <w:rPr>
          <w:spacing w:val="-2"/>
        </w:rPr>
        <w:t>合同中涉及两项以上业务，如合同中能明确区分各项业务合同金额时，按照上述业务收入确认原则分</w:t>
      </w:r>
    </w:p>
    <w:p>
      <w:pPr>
        <w:pStyle w:val="BodyText"/>
        <w:spacing w:line="249" w:lineRule="exact"/>
        <w:ind w:right="4"/>
        <w:jc w:val="left"/>
      </w:pPr>
      <w:r>
        <w:rPr/>
        <w:t>别确认收入；如合同中未能明确区分各项业务金额时，按照合同主要业务归属收入确认原则确认收入。</w:t>
      </w:r>
    </w:p>
    <w:p>
      <w:pPr>
        <w:pStyle w:val="Heading5"/>
        <w:spacing w:line="326" w:lineRule="auto" w:before="94"/>
        <w:ind w:right="4"/>
        <w:jc w:val="left"/>
        <w:rPr>
          <w:b w:val="0"/>
          <w:bCs w:val="0"/>
        </w:rPr>
      </w:pPr>
      <w:r>
        <w:rPr>
          <w:spacing w:val="-1"/>
        </w:rPr>
        <w:t>（</w:t>
      </w:r>
      <w:r>
        <w:rPr>
          <w:rFonts w:ascii="宋体" w:hAnsi="宋体" w:cs="宋体" w:eastAsia="宋体" w:hint="default"/>
          <w:spacing w:val="-1"/>
        </w:rPr>
        <w:t>4</w:t>
      </w:r>
      <w:r>
        <w:rPr>
          <w:spacing w:val="-1"/>
        </w:rPr>
        <w:t>）按完工百分比法确认提供劳务的收入和建造合同收入时，确定合同完工进度的依据和方法</w:t>
      </w:r>
      <w:r>
        <w:rPr>
          <w:spacing w:val="-67"/>
        </w:rPr>
        <w:t> </w:t>
      </w:r>
      <w:r>
        <w:rPr>
          <w:spacing w:val="-67"/>
        </w:rPr>
      </w:r>
      <w:r>
        <w:rPr>
          <w:rFonts w:ascii="宋体" w:hAnsi="宋体" w:cs="宋体" w:eastAsia="宋体" w:hint="default"/>
        </w:rPr>
        <w:t>26</w:t>
      </w:r>
      <w:r>
        <w:rPr/>
        <w:t>、政府补助</w:t>
      </w:r>
      <w:r>
        <w:rPr>
          <w:b w:val="0"/>
          <w:bCs w:val="0"/>
        </w:rPr>
      </w:r>
    </w:p>
    <w:p>
      <w:pPr>
        <w:pStyle w:val="Heading5"/>
        <w:spacing w:line="240" w:lineRule="auto" w:before="156"/>
        <w:ind w:right="4"/>
        <w:jc w:val="left"/>
        <w:rPr>
          <w:b w:val="0"/>
          <w:bCs w:val="0"/>
        </w:rPr>
      </w:pPr>
      <w:r>
        <w:rPr/>
        <w:t>（</w:t>
      </w:r>
      <w:r>
        <w:rPr>
          <w:rFonts w:ascii="宋体" w:hAnsi="宋体" w:cs="宋体" w:eastAsia="宋体" w:hint="default"/>
        </w:rPr>
        <w:t>1</w:t>
      </w:r>
      <w:r>
        <w:rPr/>
        <w:t>）类型</w:t>
      </w:r>
      <w:r>
        <w:rPr>
          <w:b w:val="0"/>
          <w:bCs w:val="0"/>
        </w:rPr>
      </w:r>
    </w:p>
    <w:p>
      <w:pPr>
        <w:pStyle w:val="BodyText"/>
        <w:spacing w:line="240" w:lineRule="auto" w:before="99"/>
        <w:ind w:right="4" w:firstLine="420"/>
        <w:jc w:val="left"/>
      </w:pPr>
      <w:r>
        <w:rPr>
          <w:spacing w:val="-2"/>
        </w:rPr>
        <w:t>公司将从政府无偿取得货币性资产或非货币性资产，但不包括政府作为企业所有者投入的资本作为政</w:t>
      </w:r>
      <w:r>
        <w:rPr>
          <w:w w:val="100"/>
        </w:rPr>
        <w:t> </w:t>
      </w:r>
      <w:r>
        <w:rPr/>
        <w:t>府补助核算。</w:t>
      </w:r>
      <w:r>
        <w:rPr>
          <w:spacing w:val="-7"/>
        </w:rPr>
        <w:t> </w:t>
      </w:r>
      <w:r>
        <w:rPr/>
        <w:t>政府补助分为与资产相关的政府补助和与收益相关的政府补助。</w:t>
      </w:r>
    </w:p>
    <w:p>
      <w:pPr>
        <w:spacing w:line="326" w:lineRule="auto" w:before="94"/>
        <w:ind w:left="573" w:right="204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公司对能够满足政府补助所附条件且实际收到时，确认为政府补助。</w:t>
      </w:r>
    </w:p>
    <w:p>
      <w:pPr>
        <w:pStyle w:val="BodyText"/>
        <w:spacing w:line="243" w:lineRule="exact"/>
        <w:ind w:left="573" w:right="4"/>
        <w:jc w:val="left"/>
      </w:pPr>
      <w:r>
        <w:rPr/>
        <w:t>①政府补助为货币性资产的，按照收到或应收的金额计量；政府补助为非货币性资产的，按照公允价</w:t>
      </w:r>
    </w:p>
    <w:p>
      <w:pPr>
        <w:pStyle w:val="BodyText"/>
        <w:spacing w:line="274" w:lineRule="exact"/>
        <w:ind w:right="4"/>
        <w:jc w:val="left"/>
      </w:pPr>
      <w:r>
        <w:rPr/>
        <w:t>值计量，公允价值不能可靠取得的，按照名义金额计量。</w:t>
      </w:r>
    </w:p>
    <w:p>
      <w:pPr>
        <w:pStyle w:val="BodyText"/>
        <w:spacing w:line="240" w:lineRule="auto" w:before="44"/>
        <w:ind w:right="4" w:firstLine="420"/>
        <w:jc w:val="left"/>
      </w:pPr>
      <w:r>
        <w:rPr>
          <w:spacing w:val="-2"/>
        </w:rPr>
        <w:t>②与资产相关的政府补助，确认为递延收益，并在相关资产使用寿命内平均分配，计入当期损益。但</w:t>
      </w:r>
      <w:r>
        <w:rPr>
          <w:w w:val="100"/>
        </w:rPr>
        <w:t> </w:t>
      </w:r>
      <w:r>
        <w:rPr/>
        <w:t>是，以名义金额计量的政府补助，直接计入当期损益。</w:t>
      </w:r>
    </w:p>
    <w:p>
      <w:pPr>
        <w:pStyle w:val="BodyText"/>
        <w:spacing w:line="271" w:lineRule="exact"/>
        <w:ind w:left="573" w:right="4"/>
        <w:jc w:val="left"/>
      </w:pPr>
      <w:r>
        <w:rPr/>
        <w:t>③与收益相关的政府补助，分别下列情况处理：</w:t>
      </w:r>
    </w:p>
    <w:p>
      <w:pPr>
        <w:pStyle w:val="BodyText"/>
        <w:spacing w:line="272" w:lineRule="exact" w:before="74"/>
        <w:ind w:right="207" w:firstLine="420"/>
        <w:jc w:val="left"/>
      </w:pPr>
      <w:r>
        <w:rPr>
          <w:rFonts w:ascii="宋体" w:hAnsi="宋体" w:cs="宋体" w:eastAsia="宋体" w:hint="default"/>
        </w:rPr>
        <w:t>a.</w:t>
      </w:r>
      <w:r>
        <w:rPr>
          <w:rFonts w:ascii="宋体" w:hAnsi="宋体" w:cs="宋体" w:eastAsia="宋体" w:hint="default"/>
          <w:spacing w:val="72"/>
        </w:rPr>
        <w:t> </w:t>
      </w:r>
      <w:r>
        <w:rPr/>
        <w:t>用于补偿公司以后期间的相关费用或损失的，确认为递延收益，并在确认相关费用的期间，计入</w:t>
      </w:r>
      <w:r>
        <w:rPr>
          <w:w w:val="100"/>
        </w:rPr>
        <w:t> </w:t>
      </w:r>
      <w:r>
        <w:rPr/>
        <w:t>当期损益；</w:t>
      </w:r>
    </w:p>
    <w:p>
      <w:pPr>
        <w:spacing w:line="321" w:lineRule="auto" w:before="22"/>
        <w:ind w:left="152" w:right="3643" w:firstLine="42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4"/>
          <w:sz w:val="21"/>
          <w:szCs w:val="21"/>
        </w:rPr>
        <w:t> </w:t>
      </w:r>
      <w:r>
        <w:rPr>
          <w:rFonts w:ascii="宋体" w:hAnsi="宋体" w:cs="宋体" w:eastAsia="宋体" w:hint="default"/>
          <w:sz w:val="21"/>
          <w:szCs w:val="21"/>
        </w:rPr>
        <w:t>用于补偿公司已发生的相关费用或损失的，计入当期损益。</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pStyle w:val="Heading5"/>
        <w:spacing w:line="240" w:lineRule="auto" w:before="160"/>
        <w:ind w:right="4"/>
        <w:jc w:val="left"/>
        <w:rPr>
          <w:b w:val="0"/>
          <w:bCs w:val="0"/>
        </w:rPr>
      </w:pPr>
      <w:r>
        <w:rPr/>
        <w:t>（</w:t>
      </w:r>
      <w:r>
        <w:rPr>
          <w:rFonts w:ascii="宋体" w:hAnsi="宋体" w:cs="宋体" w:eastAsia="宋体" w:hint="default"/>
        </w:rPr>
        <w:t>1</w:t>
      </w:r>
      <w:r>
        <w:rPr/>
        <w:t>）确认递延所得税资产的依据</w:t>
      </w:r>
      <w:r>
        <w:rPr>
          <w:b w:val="0"/>
          <w:bCs w:val="0"/>
        </w:rPr>
      </w:r>
    </w:p>
    <w:p>
      <w:pPr>
        <w:pStyle w:val="BodyText"/>
        <w:spacing w:line="237" w:lineRule="auto" w:before="102"/>
        <w:ind w:right="4" w:firstLine="420"/>
        <w:jc w:val="left"/>
      </w:pPr>
      <w:r>
        <w:rPr/>
        <w:t>①对于可抵扣暂时性差异、能够结转以后年度的可抵扣亏损和税款抵减，本公司以很可能取得用来抵</w:t>
      </w:r>
      <w:r>
        <w:rPr>
          <w:w w:val="100"/>
        </w:rPr>
        <w:t> </w:t>
      </w:r>
      <w:r>
        <w:rPr>
          <w:spacing w:val="-5"/>
        </w:rPr>
        <w:t>扣可抵扣暂时性差异、可抵扣亏损和税款抵减的未来应纳税所得额为限，确认由此产生的递延所得税资产。</w:t>
      </w:r>
      <w:r>
        <w:rPr>
          <w:spacing w:val="-4"/>
        </w:rPr>
        <w:t> </w:t>
      </w:r>
      <w:r>
        <w:rPr>
          <w:spacing w:val="-4"/>
        </w:rPr>
      </w:r>
      <w:r>
        <w:rPr/>
        <w:t>同时具有下列特征的交易中因资产或负债的初始确认所产生的递延所得税资产不予确认：</w:t>
      </w:r>
    </w:p>
    <w:p>
      <w:pPr>
        <w:pStyle w:val="BodyText"/>
        <w:spacing w:line="272" w:lineRule="exact" w:before="26"/>
        <w:ind w:left="573" w:right="2047"/>
        <w:jc w:val="left"/>
      </w:pPr>
      <w:r>
        <w:rPr>
          <w:rFonts w:ascii="宋体" w:hAnsi="宋体" w:cs="宋体" w:eastAsia="宋体" w:hint="default"/>
        </w:rPr>
        <w:t>a.</w:t>
      </w:r>
      <w:r>
        <w:rPr/>
        <w:t>该项交易不是企业合并；</w:t>
      </w:r>
      <w:r>
        <w:rPr>
          <w:w w:val="100"/>
        </w:rPr>
        <w:t> </w:t>
      </w:r>
      <w:r>
        <w:rPr>
          <w:rFonts w:ascii="宋体" w:hAnsi="宋体" w:cs="宋体" w:eastAsia="宋体" w:hint="default"/>
          <w:spacing w:val="-2"/>
        </w:rPr>
        <w:t>b.</w:t>
      </w:r>
      <w:r>
        <w:rPr>
          <w:spacing w:val="-2"/>
        </w:rPr>
        <w:t>交易发生时既不影响会计利润也不影响应纳税所得额。</w:t>
      </w:r>
    </w:p>
    <w:p>
      <w:pPr>
        <w:pStyle w:val="BodyText"/>
        <w:spacing w:line="272" w:lineRule="exact" w:before="1"/>
        <w:ind w:right="4" w:firstLine="420"/>
        <w:jc w:val="left"/>
      </w:pPr>
      <w:r>
        <w:rPr>
          <w:spacing w:val="-2"/>
        </w:rPr>
        <w:t>②本公司对与子公司、联营公司及合营企业投资相关的可抵扣暂时性差异，同时满足下列条件的，确</w:t>
      </w:r>
      <w:r>
        <w:rPr>
          <w:w w:val="100"/>
        </w:rPr>
        <w:t> </w:t>
      </w:r>
      <w:r>
        <w:rPr/>
        <w:t>认相应的递延所得税资产：</w:t>
      </w:r>
    </w:p>
    <w:p>
      <w:pPr>
        <w:pStyle w:val="BodyText"/>
        <w:spacing w:line="246" w:lineRule="exact"/>
        <w:ind w:left="573" w:right="4"/>
        <w:jc w:val="left"/>
      </w:pPr>
      <w:r>
        <w:rPr>
          <w:rFonts w:ascii="宋体" w:hAnsi="宋体" w:cs="宋体" w:eastAsia="宋体" w:hint="default"/>
        </w:rPr>
        <w:t>a.</w:t>
      </w:r>
      <w:r>
        <w:rPr/>
        <w:t>暂时性差异在可预见的未来可能转回；</w:t>
      </w:r>
    </w:p>
    <w:p>
      <w:pPr>
        <w:pStyle w:val="BodyText"/>
        <w:spacing w:line="272" w:lineRule="exact" w:before="27"/>
        <w:ind w:left="573" w:right="4"/>
        <w:jc w:val="left"/>
      </w:pPr>
      <w:r>
        <w:rPr>
          <w:rFonts w:ascii="宋体" w:hAnsi="宋体" w:cs="宋体" w:eastAsia="宋体" w:hint="default"/>
        </w:rPr>
        <w:t>b.</w:t>
      </w:r>
      <w:r>
        <w:rPr>
          <w:rFonts w:ascii="宋体" w:hAnsi="宋体" w:cs="宋体" w:eastAsia="宋体" w:hint="default"/>
          <w:spacing w:val="-1"/>
        </w:rPr>
        <w:t> </w:t>
      </w:r>
      <w:r>
        <w:rPr/>
        <w:t>未来很可能获得用来抵扣暂时性差异的应纳税所得额。</w:t>
      </w:r>
      <w:r>
        <w:rPr>
          <w:w w:val="100"/>
        </w:rPr>
        <w:t> </w:t>
      </w:r>
      <w:r>
        <w:rPr>
          <w:spacing w:val="-2"/>
        </w:rPr>
        <w:t>本公司对于能够结转以后年度的可抵扣亏损和税款抵减，以很可能获得用来抵扣可抵扣亏损和税款抵</w:t>
      </w:r>
    </w:p>
    <w:p>
      <w:pPr>
        <w:spacing w:after="0" w:line="272" w:lineRule="exact"/>
        <w:jc w:val="left"/>
        <w:sectPr>
          <w:pgSz w:w="11910" w:h="16840"/>
          <w:pgMar w:header="884" w:footer="979" w:top="1100" w:bottom="1160" w:left="980" w:right="92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75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3" w:lineRule="exact" w:before="36"/>
        <w:ind w:right="142"/>
        <w:jc w:val="left"/>
      </w:pPr>
      <w:r>
        <w:rPr/>
        <w:t>减的未来应纳税所得额为限，确认相应的递延所得税资产。</w:t>
      </w:r>
    </w:p>
    <w:p>
      <w:pPr>
        <w:pStyle w:val="BodyText"/>
        <w:spacing w:line="237" w:lineRule="auto"/>
        <w:ind w:right="146" w:firstLine="420"/>
        <w:jc w:val="both"/>
      </w:pPr>
      <w:r>
        <w:rPr>
          <w:spacing w:val="-2"/>
        </w:rPr>
        <w:t>③于资产负债表日，本公司对递延所得税资产的账面价值进行复核。如果未来期间很可能无法获得足</w:t>
      </w:r>
      <w:r>
        <w:rPr>
          <w:w w:val="100"/>
        </w:rPr>
        <w:t> </w:t>
      </w:r>
      <w:r>
        <w:rPr>
          <w:spacing w:val="-2"/>
        </w:rPr>
        <w:t>够的应纳税所得额用以抵扣递延所得税资产的利益，减记递延所得税资产的账面价值。在很可能获得足够</w:t>
      </w:r>
      <w:r>
        <w:rPr>
          <w:spacing w:val="-43"/>
        </w:rPr>
        <w:t> </w:t>
      </w:r>
      <w:r>
        <w:rPr>
          <w:spacing w:val="-43"/>
        </w:rPr>
      </w:r>
      <w:r>
        <w:rPr/>
        <w:t>的应纳税所得额时，减记的金额予以转回。</w:t>
      </w:r>
    </w:p>
    <w:p>
      <w:pPr>
        <w:spacing w:line="326" w:lineRule="auto" w:before="97"/>
        <w:ind w:left="573" w:right="14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递延所得税负债按各种应纳税暂时性差异确认，同时具有下列特征的交易中因资产或负债的初始确认</w:t>
      </w:r>
    </w:p>
    <w:p>
      <w:pPr>
        <w:pStyle w:val="BodyText"/>
        <w:spacing w:line="195" w:lineRule="exact"/>
        <w:ind w:right="142"/>
        <w:jc w:val="left"/>
      </w:pPr>
      <w:r>
        <w:rPr/>
        <w:t>所产生的递延所得税负债不予确认：</w:t>
      </w:r>
    </w:p>
    <w:p>
      <w:pPr>
        <w:pStyle w:val="BodyText"/>
        <w:spacing w:line="272" w:lineRule="exact" w:before="27"/>
        <w:ind w:left="573" w:right="5093"/>
        <w:jc w:val="left"/>
      </w:pPr>
      <w:r>
        <w:rPr>
          <w:spacing w:val="-2"/>
        </w:rPr>
        <w:t>①应纳税暂时性差异是在以下交易中产生的：</w:t>
      </w:r>
      <w:r>
        <w:rPr>
          <w:spacing w:val="-65"/>
        </w:rPr>
        <w:t> </w:t>
      </w:r>
      <w:r>
        <w:rPr>
          <w:spacing w:val="-65"/>
        </w:rPr>
      </w:r>
      <w:r>
        <w:rPr>
          <w:rFonts w:ascii="宋体" w:hAnsi="宋体" w:cs="宋体" w:eastAsia="宋体" w:hint="default"/>
        </w:rPr>
        <w:t>a.</w:t>
      </w:r>
      <w:r>
        <w:rPr/>
        <w:t>商誉的初始确认；</w:t>
      </w:r>
    </w:p>
    <w:p>
      <w:pPr>
        <w:pStyle w:val="BodyText"/>
        <w:spacing w:line="272" w:lineRule="exact" w:before="1"/>
        <w:ind w:right="146" w:firstLine="420"/>
        <w:jc w:val="both"/>
      </w:pPr>
      <w:r>
        <w:rPr>
          <w:rFonts w:ascii="宋体" w:hAnsi="宋体" w:cs="宋体" w:eastAsia="宋体" w:hint="default"/>
          <w:spacing w:val="-2"/>
        </w:rPr>
        <w:t>b.</w:t>
      </w:r>
      <w:r>
        <w:rPr>
          <w:spacing w:val="-2"/>
        </w:rPr>
        <w:t>具有以下特征的交易中产生的资产或负债的初始确认：该交易不是企业合并，并且交易发生时既不</w:t>
      </w:r>
      <w:r>
        <w:rPr>
          <w:w w:val="100"/>
        </w:rPr>
        <w:t> </w:t>
      </w:r>
      <w:r>
        <w:rPr/>
        <w:t>影响会计利润也不影响应纳税所得额或可抵扣亏损。</w:t>
      </w:r>
    </w:p>
    <w:p>
      <w:pPr>
        <w:pStyle w:val="BodyText"/>
        <w:spacing w:line="272" w:lineRule="exact" w:before="2"/>
        <w:ind w:right="146" w:firstLine="420"/>
        <w:jc w:val="both"/>
      </w:pPr>
      <w:r>
        <w:rPr>
          <w:spacing w:val="-2"/>
        </w:rPr>
        <w:t>②对于与子公司、合营企业及联营企业投资相关的应纳税暂时性差异，该暂时性差异转回的时间能够</w:t>
      </w:r>
      <w:r>
        <w:rPr>
          <w:w w:val="100"/>
        </w:rPr>
        <w:t> </w:t>
      </w:r>
      <w:r>
        <w:rPr/>
        <w:t>控制并且该暂时性差异在可预见的未来很可能不会转回。</w:t>
      </w:r>
    </w:p>
    <w:p>
      <w:pPr>
        <w:pStyle w:val="Heading5"/>
        <w:spacing w:line="240" w:lineRule="auto" w:before="70"/>
        <w:ind w:right="142"/>
        <w:jc w:val="left"/>
        <w:rPr>
          <w:b w:val="0"/>
          <w:bCs w:val="0"/>
        </w:rPr>
      </w:pPr>
      <w:r>
        <w:rPr>
          <w:rFonts w:ascii="宋体" w:hAnsi="宋体" w:cs="宋体" w:eastAsia="宋体" w:hint="default"/>
        </w:rPr>
        <w:t>28</w:t>
      </w:r>
      <w:r>
        <w:rPr/>
        <w:t>、经营租赁、融资租赁</w:t>
      </w:r>
      <w:r>
        <w:rPr>
          <w:b w:val="0"/>
          <w:bCs w:val="0"/>
        </w:rPr>
      </w:r>
    </w:p>
    <w:p>
      <w:pPr>
        <w:spacing w:line="240" w:lineRule="auto" w:before="7"/>
        <w:rPr>
          <w:rFonts w:ascii="宋体" w:hAnsi="宋体" w:cs="宋体" w:eastAsia="宋体" w:hint="default"/>
          <w:b/>
          <w:bCs/>
          <w:sz w:val="17"/>
          <w:szCs w:val="17"/>
        </w:rPr>
      </w:pPr>
    </w:p>
    <w:p>
      <w:pPr>
        <w:pStyle w:val="Heading5"/>
        <w:spacing w:line="240" w:lineRule="auto"/>
        <w:ind w:right="142"/>
        <w:jc w:val="left"/>
        <w:rPr>
          <w:b w:val="0"/>
          <w:bCs w:val="0"/>
        </w:rPr>
      </w:pPr>
      <w:r>
        <w:rPr>
          <w:rFonts w:ascii="宋体" w:hAnsi="宋体" w:cs="宋体" w:eastAsia="宋体" w:hint="default"/>
        </w:rPr>
        <w:t>29</w:t>
      </w:r>
      <w:r>
        <w:rPr/>
        <w:t>、持有待售资产</w:t>
      </w:r>
      <w:r>
        <w:rPr>
          <w:b w:val="0"/>
          <w:bCs w:val="0"/>
        </w:rPr>
      </w:r>
    </w:p>
    <w:p>
      <w:pPr>
        <w:spacing w:line="240" w:lineRule="auto" w:before="7"/>
        <w:rPr>
          <w:rFonts w:ascii="宋体" w:hAnsi="宋体" w:cs="宋体" w:eastAsia="宋体" w:hint="default"/>
          <w:b/>
          <w:bCs/>
          <w:sz w:val="17"/>
          <w:szCs w:val="17"/>
        </w:rPr>
      </w:pPr>
    </w:p>
    <w:p>
      <w:pPr>
        <w:pStyle w:val="Heading5"/>
        <w:spacing w:line="240" w:lineRule="auto"/>
        <w:ind w:right="142"/>
        <w:jc w:val="left"/>
        <w:rPr>
          <w:b w:val="0"/>
          <w:bCs w:val="0"/>
        </w:rPr>
      </w:pPr>
      <w:r>
        <w:rPr>
          <w:rFonts w:ascii="宋体" w:hAnsi="宋体" w:cs="宋体" w:eastAsia="宋体" w:hint="default"/>
        </w:rPr>
        <w:t>30</w:t>
      </w:r>
      <w:r>
        <w:rPr/>
        <w:t>、资产证券化业务</w:t>
      </w:r>
      <w:r>
        <w:rPr>
          <w:b w:val="0"/>
          <w:bCs w:val="0"/>
        </w:rPr>
      </w:r>
    </w:p>
    <w:p>
      <w:pPr>
        <w:spacing w:line="240" w:lineRule="auto" w:before="7"/>
        <w:rPr>
          <w:rFonts w:ascii="宋体" w:hAnsi="宋体" w:cs="宋体" w:eastAsia="宋体" w:hint="default"/>
          <w:b/>
          <w:bCs/>
          <w:sz w:val="17"/>
          <w:szCs w:val="17"/>
        </w:rPr>
      </w:pPr>
    </w:p>
    <w:p>
      <w:pPr>
        <w:pStyle w:val="Heading5"/>
        <w:spacing w:line="240" w:lineRule="auto"/>
        <w:ind w:right="142"/>
        <w:jc w:val="left"/>
        <w:rPr>
          <w:b w:val="0"/>
          <w:bCs w:val="0"/>
        </w:rPr>
      </w:pPr>
      <w:r>
        <w:rPr>
          <w:rFonts w:ascii="宋体" w:hAnsi="宋体" w:cs="宋体" w:eastAsia="宋体" w:hint="default"/>
        </w:rPr>
        <w:t>31</w:t>
      </w:r>
      <w:r>
        <w:rPr/>
        <w:t>、套期会计</w:t>
      </w:r>
      <w:r>
        <w:rPr>
          <w:b w:val="0"/>
          <w:bCs w:val="0"/>
        </w:rPr>
      </w:r>
    </w:p>
    <w:p>
      <w:pPr>
        <w:spacing w:line="460" w:lineRule="atLeast" w:before="44"/>
        <w:ind w:left="152" w:right="5093" w:firstLine="0"/>
        <w:jc w:val="left"/>
        <w:rPr>
          <w:rFonts w:ascii="宋体" w:hAnsi="宋体" w:cs="宋体" w:eastAsia="宋体" w:hint="default"/>
          <w:sz w:val="21"/>
          <w:szCs w:val="21"/>
        </w:rPr>
      </w:pPr>
      <w:r>
        <w:rPr>
          <w:rFonts w:ascii="宋体" w:hAnsi="宋体" w:cs="宋体" w:eastAsia="宋体"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本报告期主要会计政策、会计估计是否变更</w:t>
      </w:r>
    </w:p>
    <w:p>
      <w:pPr>
        <w:pStyle w:val="BodyText"/>
        <w:spacing w:line="274" w:lineRule="exact" w:before="23"/>
        <w:ind w:right="3151"/>
        <w:jc w:val="left"/>
      </w:pPr>
      <w:r>
        <w:rPr/>
        <w:t>□ 是 √ 否</w:t>
      </w:r>
      <w:r>
        <w:rPr>
          <w:spacing w:val="-104"/>
        </w:rPr>
        <w:t> </w:t>
      </w:r>
      <w:r>
        <w:rPr>
          <w:spacing w:val="-104"/>
        </w:rPr>
      </w:r>
      <w:r>
        <w:rPr>
          <w:spacing w:val="-2"/>
        </w:rPr>
        <w:t>本报告期内，公司未发生重大会计政策、会计估计变更事项。</w:t>
      </w:r>
    </w:p>
    <w:p>
      <w:pPr>
        <w:spacing w:line="326" w:lineRule="auto" w:before="69"/>
        <w:ind w:left="152" w:right="60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本报告期主要会计政策是否变更</w:t>
      </w:r>
    </w:p>
    <w:p>
      <w:pPr>
        <w:pStyle w:val="BodyText"/>
        <w:spacing w:line="195" w:lineRule="exact"/>
        <w:ind w:right="142"/>
        <w:jc w:val="left"/>
      </w:pPr>
      <w:r>
        <w:rPr/>
        <w:t>□ 是 √</w:t>
      </w:r>
      <w:r>
        <w:rPr>
          <w:spacing w:val="1"/>
        </w:rPr>
        <w:t> </w:t>
      </w:r>
      <w:r>
        <w:rPr/>
        <w:t>否</w:t>
      </w:r>
    </w:p>
    <w:p>
      <w:pPr>
        <w:pStyle w:val="BodyText"/>
        <w:spacing w:line="274" w:lineRule="exact"/>
        <w:ind w:right="142"/>
        <w:jc w:val="left"/>
      </w:pPr>
      <w:r>
        <w:rPr/>
        <w:t>本报告期内，公司未发生重大会计政策变更事项。</w:t>
      </w:r>
    </w:p>
    <w:p>
      <w:pPr>
        <w:spacing w:line="326" w:lineRule="auto" w:before="94"/>
        <w:ind w:left="152" w:right="60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本报告期主要会计估计是否变更</w:t>
      </w:r>
    </w:p>
    <w:p>
      <w:pPr>
        <w:pStyle w:val="BodyText"/>
        <w:spacing w:line="196" w:lineRule="exact"/>
        <w:ind w:right="142"/>
        <w:jc w:val="left"/>
      </w:pPr>
      <w:r>
        <w:rPr/>
        <w:t>□ 是 √</w:t>
      </w:r>
      <w:r>
        <w:rPr>
          <w:spacing w:val="1"/>
        </w:rPr>
        <w:t> </w:t>
      </w:r>
      <w:r>
        <w:rPr/>
        <w:t>否</w:t>
      </w:r>
    </w:p>
    <w:p>
      <w:pPr>
        <w:spacing w:line="324" w:lineRule="auto" w:before="0"/>
        <w:ind w:left="152" w:right="3151" w:firstLine="420"/>
        <w:jc w:val="left"/>
        <w:rPr>
          <w:rFonts w:ascii="宋体" w:hAnsi="宋体" w:cs="宋体" w:eastAsia="宋体" w:hint="default"/>
          <w:sz w:val="21"/>
          <w:szCs w:val="21"/>
        </w:rPr>
      </w:pPr>
      <w:r>
        <w:rPr>
          <w:rFonts w:ascii="宋体" w:hAnsi="宋体" w:cs="宋体" w:eastAsia="宋体" w:hint="default"/>
          <w:spacing w:val="-2"/>
          <w:sz w:val="21"/>
          <w:szCs w:val="21"/>
        </w:rPr>
        <w:t>本报告期内，公司未发生重大会计估计变更事项。</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BodyText"/>
        <w:spacing w:line="273" w:lineRule="exact" w:before="107"/>
        <w:ind w:right="142"/>
        <w:jc w:val="left"/>
      </w:pPr>
      <w:r>
        <w:rPr/>
        <w:t>本报告期是否发现前期会计差错</w:t>
      </w:r>
    </w:p>
    <w:p>
      <w:pPr>
        <w:pStyle w:val="BodyText"/>
        <w:spacing w:line="240" w:lineRule="auto"/>
        <w:ind w:right="5093"/>
        <w:jc w:val="left"/>
      </w:pPr>
      <w:r>
        <w:rPr/>
        <w:t>□ 是 √ 否</w:t>
      </w:r>
      <w:r>
        <w:rPr>
          <w:spacing w:val="-104"/>
        </w:rPr>
        <w:t> </w:t>
      </w:r>
      <w:r>
        <w:rPr>
          <w:spacing w:val="-104"/>
        </w:rPr>
      </w:r>
      <w:r>
        <w:rPr>
          <w:spacing w:val="-2"/>
        </w:rPr>
        <w:t>本报告期内，公司未发现重大前期会计差错事项。</w:t>
      </w:r>
    </w:p>
    <w:p>
      <w:pPr>
        <w:spacing w:line="326" w:lineRule="auto" w:before="94"/>
        <w:ind w:left="152" w:right="509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本报告期是否发现采用追溯重述法的前期会计差错</w:t>
      </w:r>
    </w:p>
    <w:p>
      <w:pPr>
        <w:pStyle w:val="BodyText"/>
        <w:spacing w:line="195" w:lineRule="exact"/>
        <w:ind w:right="142"/>
        <w:jc w:val="left"/>
      </w:pPr>
      <w:r>
        <w:rPr/>
        <w:t>□ 是 √</w:t>
      </w:r>
      <w:r>
        <w:rPr>
          <w:spacing w:val="1"/>
        </w:rPr>
        <w:t> </w:t>
      </w:r>
      <w:r>
        <w:rPr/>
        <w:t>否</w:t>
      </w:r>
    </w:p>
    <w:p>
      <w:pPr>
        <w:pStyle w:val="BodyText"/>
        <w:spacing w:line="274" w:lineRule="exact"/>
        <w:ind w:right="142"/>
        <w:jc w:val="left"/>
      </w:pPr>
      <w:r>
        <w:rPr/>
        <w:t>本报告期未发现采用追溯重述法的前期会计差错</w:t>
      </w:r>
    </w:p>
    <w:p>
      <w:pPr>
        <w:spacing w:line="326" w:lineRule="auto" w:before="94"/>
        <w:ind w:left="152" w:right="509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本报告期是否发现采用未来适用法的前期会计差错</w:t>
      </w:r>
    </w:p>
    <w:p>
      <w:pPr>
        <w:pStyle w:val="BodyText"/>
        <w:spacing w:line="198" w:lineRule="exact"/>
        <w:ind w:right="142"/>
        <w:jc w:val="left"/>
      </w:pPr>
      <w:r>
        <w:rPr/>
        <w:t>□ 是 √</w:t>
      </w:r>
      <w:r>
        <w:rPr>
          <w:spacing w:val="1"/>
        </w:rPr>
        <w:t> </w:t>
      </w:r>
      <w:r>
        <w:rPr/>
        <w:t>否</w:t>
      </w:r>
    </w:p>
    <w:p>
      <w:pPr>
        <w:spacing w:after="0" w:line="198" w:lineRule="exact"/>
        <w:jc w:val="left"/>
        <w:sectPr>
          <w:pgSz w:w="11910" w:h="16840"/>
          <w:pgMar w:header="884" w:footer="979" w:top="110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77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left="752" w:right="825"/>
        <w:jc w:val="left"/>
        <w:rPr>
          <w:b w:val="0"/>
          <w:bCs w:val="0"/>
        </w:rPr>
      </w:pPr>
      <w:r>
        <w:rPr>
          <w:rFonts w:ascii="宋体" w:hAnsi="宋体" w:cs="宋体" w:eastAsia="宋体" w:hint="default"/>
        </w:rPr>
        <w:t>34</w:t>
      </w:r>
      <w:r>
        <w:rPr/>
        <w:t>、其他主要会计政策、会计估计和财务报表编制方法</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left="752" w:right="825"/>
        <w:jc w:val="left"/>
        <w:rPr>
          <w:b w:val="0"/>
          <w:bCs w:val="0"/>
        </w:rPr>
      </w:pPr>
      <w:r>
        <w:rPr/>
        <w:t>五、税项</w:t>
      </w:r>
      <w:r>
        <w:rPr>
          <w:b w:val="0"/>
          <w:bCs w:val="0"/>
        </w:rPr>
      </w:r>
    </w:p>
    <w:p>
      <w:pPr>
        <w:pStyle w:val="Heading5"/>
        <w:spacing w:line="240" w:lineRule="auto" w:before="203"/>
        <w:ind w:left="752" w:right="825"/>
        <w:jc w:val="left"/>
        <w:rPr>
          <w:b w:val="0"/>
          <w:bCs w:val="0"/>
        </w:rPr>
      </w:pPr>
      <w:r>
        <w:rPr>
          <w:rFonts w:ascii="宋体" w:hAnsi="宋体" w:cs="宋体" w:eastAsia="宋体" w:hint="default"/>
        </w:rPr>
        <w:t>1</w:t>
      </w:r>
      <w:r>
        <w:rPr/>
        <w:t>、公司主要税种和税率</w:t>
      </w:r>
      <w:r>
        <w:rPr>
          <w:b w:val="0"/>
          <w:bCs w:val="0"/>
        </w:rPr>
      </w:r>
    </w:p>
    <w:p>
      <w:pPr>
        <w:spacing w:line="240" w:lineRule="auto" w:before="6"/>
        <w:rPr>
          <w:rFonts w:ascii="宋体" w:hAnsi="宋体" w:cs="宋体" w:eastAsia="宋体" w:hint="default"/>
          <w:b/>
          <w:bCs/>
          <w:sz w:val="16"/>
          <w:szCs w:val="16"/>
        </w:rPr>
      </w:pPr>
    </w:p>
    <w:tbl>
      <w:tblPr>
        <w:tblW w:w="0" w:type="auto"/>
        <w:jc w:val="left"/>
        <w:tblInd w:w="748" w:type="dxa"/>
        <w:tblLayout w:type="fixed"/>
        <w:tblCellMar>
          <w:top w:w="0" w:type="dxa"/>
          <w:left w:w="0" w:type="dxa"/>
          <w:bottom w:w="0" w:type="dxa"/>
          <w:right w:w="0" w:type="dxa"/>
        </w:tblCellMar>
        <w:tblLook w:val="01E0"/>
      </w:tblPr>
      <w:tblGrid>
        <w:gridCol w:w="3517"/>
        <w:gridCol w:w="3024"/>
        <w:gridCol w:w="3027"/>
      </w:tblGrid>
      <w:tr>
        <w:trPr>
          <w:trHeight w:val="28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42"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3" w:space="0" w:color="D2D2D2"/>
              <w:right w:val="single" w:sz="4" w:space="0" w:color="000000"/>
            </w:tcBorders>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商品销售收入或研发、技术服务</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p>
        </w:tc>
      </w:tr>
      <w:tr>
        <w:trPr>
          <w:trHeight w:val="27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24" w:type="dxa"/>
            <w:vMerge/>
            <w:tcBorders>
              <w:left w:val="single" w:sz="13"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42"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3"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实际缴纳的流转税额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w:t>
            </w:r>
          </w:p>
        </w:tc>
      </w:tr>
    </w:tbl>
    <w:p>
      <w:pPr>
        <w:pStyle w:val="BodyText"/>
        <w:spacing w:line="241" w:lineRule="exact"/>
        <w:ind w:left="752" w:right="825"/>
        <w:jc w:val="left"/>
      </w:pPr>
      <w:r>
        <w:rPr/>
        <w:t>各分公司、分厂执行的所得税税率</w:t>
      </w:r>
    </w:p>
    <w:p>
      <w:pPr>
        <w:pStyle w:val="BodyText"/>
        <w:spacing w:line="240" w:lineRule="auto" w:before="116"/>
        <w:ind w:left="1173" w:right="825"/>
        <w:jc w:val="left"/>
      </w:pPr>
      <w:r>
        <w:rPr/>
        <w:t>公司子公司企业所得税税率均为</w:t>
      </w:r>
      <w:r>
        <w:rPr>
          <w:rFonts w:ascii="宋体" w:hAnsi="宋体" w:cs="宋体" w:eastAsia="宋体" w:hint="default"/>
        </w:rPr>
        <w:t>25%</w:t>
      </w:r>
      <w:r>
        <w:rPr/>
        <w:t>。</w:t>
      </w:r>
    </w:p>
    <w:p>
      <w:pPr>
        <w:pStyle w:val="BodyText"/>
        <w:spacing w:line="237" w:lineRule="auto" w:before="121"/>
        <w:ind w:left="752" w:right="825" w:firstLine="420"/>
        <w:jc w:val="left"/>
      </w:pPr>
      <w:r>
        <w:rPr/>
        <w:t>根据财政部 国家税务总局印发的《财政部国家税务总局关于在北京等</w:t>
      </w:r>
      <w:r>
        <w:rPr>
          <w:rFonts w:ascii="宋体" w:hAnsi="宋体" w:cs="宋体" w:eastAsia="宋体" w:hint="default"/>
        </w:rPr>
        <w:t>8</w:t>
      </w:r>
      <w:r>
        <w:rPr>
          <w:rFonts w:ascii="宋体" w:hAnsi="宋体" w:cs="宋体" w:eastAsia="宋体" w:hint="default"/>
          <w:spacing w:val="-6"/>
        </w:rPr>
        <w:t> </w:t>
      </w:r>
      <w:r>
        <w:rPr/>
        <w:t>省市开展交通运输业和部分</w:t>
      </w:r>
      <w:r>
        <w:rPr>
          <w:w w:val="100"/>
        </w:rPr>
        <w:t> </w:t>
      </w:r>
      <w:r>
        <w:rPr/>
        <w:t>现代服务业营业税改征增值税试点的通知》（财税〔</w:t>
      </w:r>
      <w:r>
        <w:rPr>
          <w:rFonts w:ascii="宋体" w:hAnsi="宋体" w:cs="宋体" w:eastAsia="宋体" w:hint="default"/>
        </w:rPr>
        <w:t>2012</w:t>
      </w:r>
      <w:r>
        <w:rPr/>
        <w:t>〕</w:t>
      </w:r>
      <w:r>
        <w:rPr>
          <w:rFonts w:ascii="宋体" w:hAnsi="宋体" w:cs="宋体" w:eastAsia="宋体" w:hint="default"/>
        </w:rPr>
        <w:t>71 </w:t>
      </w:r>
      <w:r>
        <w:rPr/>
        <w:t>号），北京市于</w:t>
      </w:r>
      <w:r>
        <w:rPr>
          <w:rFonts w:ascii="宋体" w:hAnsi="宋体" w:cs="宋体" w:eastAsia="宋体" w:hint="default"/>
        </w:rPr>
        <w:t>2012 </w:t>
      </w:r>
      <w:r>
        <w:rPr/>
        <w:t>年</w:t>
      </w:r>
      <w:r>
        <w:rPr>
          <w:rFonts w:ascii="宋体" w:hAnsi="宋体" w:cs="宋体" w:eastAsia="宋体" w:hint="default"/>
        </w:rPr>
        <w:t>9 </w:t>
      </w:r>
      <w:r>
        <w:rPr/>
        <w:t>月</w:t>
      </w:r>
      <w:r>
        <w:rPr>
          <w:rFonts w:ascii="宋体" w:hAnsi="宋体" w:cs="宋体" w:eastAsia="宋体" w:hint="default"/>
        </w:rPr>
        <w:t>1</w:t>
      </w:r>
      <w:r>
        <w:rPr>
          <w:rFonts w:ascii="宋体" w:hAnsi="宋体" w:cs="宋体" w:eastAsia="宋体" w:hint="default"/>
          <w:spacing w:val="-31"/>
        </w:rPr>
        <w:t> </w:t>
      </w:r>
      <w:r>
        <w:rPr/>
        <w:t>日开始执行</w:t>
      </w:r>
      <w:r>
        <w:rPr>
          <w:w w:val="100"/>
        </w:rPr>
        <w:t> </w:t>
      </w:r>
      <w:r>
        <w:rPr>
          <w:spacing w:val="-2"/>
        </w:rPr>
        <w:t>营业税改增值税事项。公司所属全资子公司北京荣科爱信科技有限公司研发、技术服务业务由原来缴纳营</w:t>
      </w:r>
      <w:r>
        <w:rPr>
          <w:spacing w:val="-44"/>
        </w:rPr>
        <w:t> </w:t>
      </w:r>
      <w:r>
        <w:rPr>
          <w:spacing w:val="-44"/>
        </w:rPr>
      </w:r>
      <w:r>
        <w:rPr/>
        <w:t>业税（税率为</w:t>
      </w:r>
      <w:r>
        <w:rPr>
          <w:rFonts w:ascii="宋体" w:hAnsi="宋体" w:cs="宋体" w:eastAsia="宋体" w:hint="default"/>
        </w:rPr>
        <w:t>5%</w:t>
      </w:r>
      <w:r>
        <w:rPr/>
        <w:t>）改为增值税，增值税税率为</w:t>
      </w:r>
      <w:r>
        <w:rPr>
          <w:rFonts w:ascii="宋体" w:hAnsi="宋体" w:cs="宋体" w:eastAsia="宋体" w:hint="default"/>
        </w:rPr>
        <w:t>6%</w:t>
      </w:r>
      <w:r>
        <w:rPr/>
        <w:t>。</w:t>
      </w:r>
    </w:p>
    <w:p>
      <w:pPr>
        <w:pStyle w:val="Heading5"/>
        <w:spacing w:line="240" w:lineRule="auto" w:before="95"/>
        <w:ind w:left="752" w:right="825"/>
        <w:jc w:val="left"/>
        <w:rPr>
          <w:b w:val="0"/>
          <w:bCs w:val="0"/>
        </w:rPr>
      </w:pPr>
      <w:r>
        <w:rPr>
          <w:rFonts w:ascii="宋体" w:hAnsi="宋体" w:cs="宋体" w:eastAsia="宋体" w:hint="default"/>
        </w:rPr>
        <w:t>2</w:t>
      </w:r>
      <w:r>
        <w:rPr/>
        <w:t>、税收优惠及批文</w:t>
      </w:r>
      <w:r>
        <w:rPr>
          <w:b w:val="0"/>
          <w:bCs w:val="0"/>
        </w:rPr>
      </w:r>
    </w:p>
    <w:p>
      <w:pPr>
        <w:spacing w:line="240" w:lineRule="auto" w:before="0"/>
        <w:rPr>
          <w:rFonts w:ascii="宋体" w:hAnsi="宋体" w:cs="宋体" w:eastAsia="宋体" w:hint="default"/>
          <w:b/>
          <w:bCs/>
          <w:sz w:val="14"/>
          <w:szCs w:val="14"/>
        </w:rPr>
      </w:pPr>
    </w:p>
    <w:p>
      <w:pPr>
        <w:pStyle w:val="BodyText"/>
        <w:spacing w:line="237" w:lineRule="auto"/>
        <w:ind w:left="752" w:right="832" w:firstLine="211"/>
        <w:jc w:val="both"/>
      </w:pPr>
      <w:r>
        <w:rPr/>
        <w:t>（</w:t>
      </w:r>
      <w:r>
        <w:rPr>
          <w:rFonts w:ascii="宋体" w:hAnsi="宋体" w:cs="宋体" w:eastAsia="宋体" w:hint="default"/>
        </w:rPr>
        <w:t>1</w:t>
      </w:r>
      <w:r>
        <w:rPr/>
        <w:t>）根据财政部、国家税务总局</w:t>
      </w:r>
      <w:r>
        <w:rPr>
          <w:spacing w:val="68"/>
        </w:rPr>
        <w:t> </w:t>
      </w:r>
      <w:r>
        <w:rPr/>
        <w:t>财税</w:t>
      </w:r>
      <w:r>
        <w:rPr>
          <w:rFonts w:ascii="宋体" w:hAnsi="宋体" w:cs="宋体" w:eastAsia="宋体" w:hint="default"/>
        </w:rPr>
        <w:t>[2011]100</w:t>
      </w:r>
      <w:r>
        <w:rPr/>
        <w:t>号《关于软件产品增值税政策的通知》的规定，增值</w:t>
      </w:r>
      <w:r>
        <w:rPr>
          <w:w w:val="100"/>
        </w:rPr>
        <w:t> </w:t>
      </w:r>
      <w:r>
        <w:rPr/>
        <w:t>税一般纳税人销售其自行开发生产的软件产品，按</w:t>
      </w:r>
      <w:r>
        <w:rPr>
          <w:rFonts w:ascii="宋体" w:hAnsi="宋体" w:cs="宋体" w:eastAsia="宋体" w:hint="default"/>
        </w:rPr>
        <w:t>17%</w:t>
      </w:r>
      <w:r>
        <w:rPr/>
        <w:t>的法定税率征收增值税后，对其增值税实际税负超</w:t>
      </w:r>
      <w:r>
        <w:rPr>
          <w:spacing w:val="-25"/>
        </w:rPr>
        <w:t> </w:t>
      </w:r>
      <w:r>
        <w:rPr>
          <w:spacing w:val="-25"/>
        </w:rPr>
      </w:r>
      <w:r>
        <w:rPr/>
        <w:t>过</w:t>
      </w:r>
      <w:r>
        <w:rPr>
          <w:rFonts w:ascii="宋体" w:hAnsi="宋体" w:cs="宋体" w:eastAsia="宋体" w:hint="default"/>
        </w:rPr>
        <w:t>3%</w:t>
      </w:r>
      <w:r>
        <w:rPr/>
        <w:t>的部分实行即征即退政策。</w:t>
      </w:r>
    </w:p>
    <w:p>
      <w:pPr>
        <w:pStyle w:val="BodyText"/>
        <w:spacing w:line="237" w:lineRule="auto"/>
        <w:ind w:left="752" w:right="807" w:firstLine="211"/>
        <w:jc w:val="both"/>
      </w:pPr>
      <w:r>
        <w:rPr>
          <w:spacing w:val="-2"/>
        </w:rPr>
        <w:t>（</w:t>
      </w:r>
      <w:r>
        <w:rPr>
          <w:rFonts w:ascii="宋体" w:hAnsi="宋体" w:cs="宋体" w:eastAsia="宋体" w:hint="default"/>
          <w:spacing w:val="-2"/>
        </w:rPr>
        <w:t>2</w:t>
      </w:r>
      <w:r>
        <w:rPr>
          <w:spacing w:val="-2"/>
        </w:rPr>
        <w:t>）根据财政部、国家税务总局财税字</w:t>
      </w:r>
      <w:r>
        <w:rPr>
          <w:rFonts w:ascii="宋体" w:hAnsi="宋体" w:cs="宋体" w:eastAsia="宋体" w:hint="default"/>
          <w:spacing w:val="-2"/>
        </w:rPr>
        <w:t>[1999]273</w:t>
      </w:r>
      <w:r>
        <w:rPr>
          <w:spacing w:val="-2"/>
        </w:rPr>
        <w:t>号《关于贯彻〈中共中央国务院关于加强技术创新，</w:t>
      </w:r>
      <w:r>
        <w:rPr>
          <w:w w:val="100"/>
        </w:rPr>
        <w:t> </w:t>
      </w:r>
      <w:r>
        <w:rPr/>
        <w:t>发展高科技，实现产业化的决定〉有关税收问题的通知》及国家税务总局国税函</w:t>
      </w:r>
      <w:r>
        <w:rPr>
          <w:rFonts w:ascii="宋体" w:hAnsi="宋体" w:cs="宋体" w:eastAsia="宋体" w:hint="default"/>
        </w:rPr>
        <w:t>[2004]825</w:t>
      </w:r>
      <w:r>
        <w:rPr/>
        <w:t>号《关于取消</w:t>
      </w:r>
      <w:r>
        <w:rPr>
          <w:spacing w:val="-22"/>
        </w:rPr>
        <w:t> </w:t>
      </w:r>
      <w:r>
        <w:rPr>
          <w:spacing w:val="-22"/>
        </w:rPr>
      </w:r>
      <w:r>
        <w:rPr>
          <w:spacing w:val="-2"/>
        </w:rPr>
        <w:t>“单位和个人从事技术转让、技术开发业务免征营业税审批”后有关税收管理问题的通知》的规定，单位</w:t>
      </w:r>
      <w:r>
        <w:rPr>
          <w:spacing w:val="-43"/>
        </w:rPr>
        <w:t> </w:t>
      </w:r>
      <w:r>
        <w:rPr>
          <w:spacing w:val="-43"/>
        </w:rPr>
      </w:r>
      <w:r>
        <w:rPr>
          <w:spacing w:val="-2"/>
        </w:rPr>
        <w:t>和个人从事技术转让、技术开发业务免征营业税。公司技术转让、技术开发业务经审批免征营业税及相关</w:t>
      </w:r>
      <w:r>
        <w:rPr>
          <w:spacing w:val="-44"/>
        </w:rPr>
        <w:t> </w:t>
      </w:r>
      <w:r>
        <w:rPr>
          <w:spacing w:val="-44"/>
        </w:rPr>
      </w:r>
      <w:r>
        <w:rPr/>
        <w:t>附加税费。</w:t>
      </w:r>
    </w:p>
    <w:p>
      <w:pPr>
        <w:pStyle w:val="BodyText"/>
        <w:spacing w:line="237" w:lineRule="auto" w:before="1"/>
        <w:ind w:left="752" w:right="826" w:firstLine="211"/>
        <w:jc w:val="both"/>
      </w:pPr>
      <w:r>
        <w:rPr/>
        <w:t>（</w:t>
      </w:r>
      <w:r>
        <w:rPr>
          <w:rFonts w:ascii="宋体" w:hAnsi="宋体" w:cs="宋体" w:eastAsia="宋体" w:hint="default"/>
        </w:rPr>
        <w:t>3</w:t>
      </w:r>
      <w:r>
        <w:rPr/>
        <w:t>）本公司经辽宁省科学技术厅、辽宁省财政厅、辽宁省国家税务局和辽宁省地方税务局联合审查，</w:t>
      </w:r>
      <w:r>
        <w:rPr>
          <w:w w:val="100"/>
        </w:rPr>
        <w:t> </w:t>
      </w:r>
      <w:r>
        <w:rPr>
          <w:spacing w:val="-2"/>
        </w:rPr>
        <w:t>通过高新技术企业复审，于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日取得以上部门联合重新颁发的《高新技术企业证书》，有效期</w:t>
      </w:r>
      <w:r>
        <w:rPr>
          <w:spacing w:val="-38"/>
        </w:rPr>
        <w:t> </w:t>
      </w:r>
      <w:r>
        <w:rPr>
          <w:spacing w:val="-38"/>
        </w:rPr>
      </w:r>
      <w:r>
        <w:rPr/>
        <w:t>为</w:t>
      </w:r>
      <w:r>
        <w:rPr>
          <w:rFonts w:ascii="宋体" w:hAnsi="宋体" w:cs="宋体" w:eastAsia="宋体" w:hint="default"/>
        </w:rPr>
        <w:t>2011</w:t>
      </w:r>
      <w:r>
        <w:rPr/>
        <w:t>年</w:t>
      </w:r>
      <w:r>
        <w:rPr>
          <w:rFonts w:ascii="宋体" w:hAnsi="宋体" w:cs="宋体" w:eastAsia="宋体" w:hint="default"/>
        </w:rPr>
        <w:t>1</w:t>
      </w:r>
      <w:r>
        <w:rPr/>
        <w:t>月至</w:t>
      </w:r>
      <w:r>
        <w:rPr>
          <w:rFonts w:ascii="宋体" w:hAnsi="宋体" w:cs="宋体" w:eastAsia="宋体" w:hint="default"/>
        </w:rPr>
        <w:t>2013</w:t>
      </w:r>
      <w:r>
        <w:rPr/>
        <w:t>年</w:t>
      </w:r>
      <w:r>
        <w:rPr>
          <w:rFonts w:ascii="宋体" w:hAnsi="宋体" w:cs="宋体" w:eastAsia="宋体" w:hint="default"/>
        </w:rPr>
        <w:t>12</w:t>
      </w:r>
      <w:r>
        <w:rPr/>
        <w:t>月，并已报备，本公司依法享有自</w:t>
      </w:r>
      <w:r>
        <w:rPr>
          <w:rFonts w:ascii="宋体" w:hAnsi="宋体" w:cs="宋体" w:eastAsia="宋体" w:hint="default"/>
        </w:rPr>
        <w:t>2011</w:t>
      </w:r>
      <w:r>
        <w:rPr/>
        <w:t>年</w:t>
      </w:r>
      <w:r>
        <w:rPr>
          <w:rFonts w:ascii="宋体" w:hAnsi="宋体" w:cs="宋体" w:eastAsia="宋体" w:hint="default"/>
        </w:rPr>
        <w:t>1</w:t>
      </w:r>
      <w:r>
        <w:rPr/>
        <w:t>月起至</w:t>
      </w:r>
      <w:r>
        <w:rPr>
          <w:rFonts w:ascii="宋体" w:hAnsi="宋体" w:cs="宋体" w:eastAsia="宋体" w:hint="default"/>
        </w:rPr>
        <w:t>2013</w:t>
      </w:r>
      <w:r>
        <w:rPr/>
        <w:t>年</w:t>
      </w:r>
      <w:r>
        <w:rPr>
          <w:rFonts w:ascii="宋体" w:hAnsi="宋体" w:cs="宋体" w:eastAsia="宋体" w:hint="default"/>
        </w:rPr>
        <w:t>12</w:t>
      </w:r>
      <w:r>
        <w:rPr/>
        <w:t>月止按</w:t>
      </w:r>
      <w:r>
        <w:rPr>
          <w:rFonts w:ascii="宋体" w:hAnsi="宋体" w:cs="宋体" w:eastAsia="宋体" w:hint="default"/>
        </w:rPr>
        <w:t>15%</w:t>
      </w:r>
      <w:r>
        <w:rPr/>
        <w:t>的税率缴纳</w:t>
      </w:r>
      <w:r>
        <w:rPr>
          <w:spacing w:val="-29"/>
        </w:rPr>
        <w:t> </w:t>
      </w:r>
      <w:r>
        <w:rPr>
          <w:spacing w:val="-29"/>
        </w:rPr>
      </w:r>
      <w:r>
        <w:rPr/>
        <w:t>企业所得税的税收优惠政策。</w:t>
      </w:r>
    </w:p>
    <w:p>
      <w:pPr>
        <w:pStyle w:val="Heading5"/>
        <w:spacing w:line="240" w:lineRule="auto" w:before="92"/>
        <w:ind w:left="752" w:right="825"/>
        <w:jc w:val="left"/>
        <w:rPr>
          <w:b w:val="0"/>
          <w:bCs w:val="0"/>
        </w:rPr>
      </w:pPr>
      <w:r>
        <w:rPr>
          <w:rFonts w:ascii="宋体" w:hAnsi="宋体" w:cs="宋体" w:eastAsia="宋体" w:hint="default"/>
        </w:rPr>
        <w:t>3</w:t>
      </w:r>
      <w:r>
        <w:rPr/>
        <w:t>、其他说明</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left="752" w:right="825"/>
        <w:jc w:val="left"/>
        <w:rPr>
          <w:b w:val="0"/>
          <w:bCs w:val="0"/>
        </w:rPr>
      </w:pPr>
      <w:r>
        <w:rPr/>
        <w:t>六、企业合并及合并财务报表</w:t>
      </w:r>
      <w:r>
        <w:rPr>
          <w:b w:val="0"/>
          <w:bCs w:val="0"/>
        </w:rPr>
      </w:r>
    </w:p>
    <w:p>
      <w:pPr>
        <w:pStyle w:val="Heading5"/>
        <w:spacing w:line="240" w:lineRule="auto" w:before="201"/>
        <w:ind w:left="752" w:right="825"/>
        <w:jc w:val="left"/>
        <w:rPr>
          <w:b w:val="0"/>
          <w:bCs w:val="0"/>
        </w:rPr>
      </w:pPr>
      <w:r>
        <w:rPr>
          <w:rFonts w:ascii="宋体" w:hAnsi="宋体" w:cs="宋体" w:eastAsia="宋体" w:hint="default"/>
        </w:rPr>
        <w:t>1</w:t>
      </w:r>
      <w:r>
        <w:rPr/>
        <w:t>、子公司情况</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left="752" w:right="825"/>
        <w:jc w:val="left"/>
        <w:rPr>
          <w:b w:val="0"/>
          <w:bCs w:val="0"/>
        </w:rPr>
      </w:pPr>
      <w:r>
        <w:rPr/>
        <w:t>（</w:t>
      </w:r>
      <w:r>
        <w:rPr>
          <w:rFonts w:ascii="宋体" w:hAnsi="宋体" w:cs="宋体" w:eastAsia="宋体" w:hint="default"/>
        </w:rPr>
        <w:t>1</w:t>
      </w:r>
      <w:r>
        <w:rPr/>
        <w:t>）通过设立或投资等方式取得的子公司</w:t>
      </w:r>
      <w:r>
        <w:rPr>
          <w:b w:val="0"/>
          <w:bCs w:val="0"/>
        </w:rPr>
      </w:r>
    </w:p>
    <w:p>
      <w:pPr>
        <w:pStyle w:val="BodyText"/>
        <w:spacing w:line="240" w:lineRule="auto" w:before="99"/>
        <w:ind w:left="0" w:right="1040"/>
        <w:jc w:val="right"/>
      </w:pPr>
      <w:r>
        <w:rPr/>
        <w:t>单位：</w:t>
      </w:r>
      <w:r>
        <w:rPr>
          <w:spacing w:val="1"/>
        </w:rPr>
        <w:t> </w:t>
      </w:r>
      <w:r>
        <w:rPr/>
        <w:t>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338"/>
        <w:gridCol w:w="734"/>
        <w:gridCol w:w="526"/>
        <w:gridCol w:w="523"/>
        <w:gridCol w:w="841"/>
        <w:gridCol w:w="684"/>
        <w:gridCol w:w="984"/>
        <w:gridCol w:w="776"/>
        <w:gridCol w:w="787"/>
        <w:gridCol w:w="840"/>
        <w:gridCol w:w="685"/>
        <w:gridCol w:w="823"/>
        <w:gridCol w:w="684"/>
        <w:gridCol w:w="759"/>
      </w:tblGrid>
      <w:tr>
        <w:trPr>
          <w:trHeight w:val="2460" w:hRule="exact"/>
        </w:trPr>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454" w:right="344"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53" w:right="4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51" w:right="43"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47" w:right="41"/>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310" w:right="95" w:hanging="209"/>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27" w:right="122"/>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70" w:right="62" w:hanging="104"/>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投资额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67" w:right="62" w:hanging="1"/>
              <w:jc w:val="center"/>
              <w:rPr>
                <w:rFonts w:ascii="宋体" w:hAnsi="宋体" w:cs="宋体" w:eastAsia="宋体" w:hint="default"/>
                <w:sz w:val="21"/>
                <w:szCs w:val="21"/>
              </w:rPr>
            </w:pPr>
            <w:r>
              <w:rPr>
                <w:rFonts w:ascii="宋体" w:hAnsi="宋体" w:cs="宋体" w:eastAsia="宋体" w:hint="default"/>
                <w:sz w:val="21"/>
                <w:szCs w:val="21"/>
              </w:rPr>
              <w:t>实质上</w:t>
            </w:r>
            <w:r>
              <w:rPr>
                <w:rFonts w:ascii="宋体" w:hAnsi="宋体" w:cs="宋体" w:eastAsia="宋体" w:hint="default"/>
                <w:w w:val="100"/>
                <w:sz w:val="21"/>
                <w:szCs w:val="21"/>
              </w:rPr>
              <w:t> </w:t>
            </w:r>
            <w:r>
              <w:rPr>
                <w:rFonts w:ascii="宋体" w:hAnsi="宋体" w:cs="宋体" w:eastAsia="宋体" w:hint="default"/>
                <w:sz w:val="21"/>
                <w:szCs w:val="21"/>
              </w:rPr>
              <w:t>构成对</w:t>
            </w:r>
            <w:r>
              <w:rPr>
                <w:rFonts w:ascii="宋体" w:hAnsi="宋体" w:cs="宋体" w:eastAsia="宋体" w:hint="default"/>
                <w:w w:val="100"/>
                <w:sz w:val="21"/>
                <w:szCs w:val="21"/>
              </w:rPr>
              <w:t> </w:t>
            </w: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净投资</w:t>
            </w:r>
            <w:r>
              <w:rPr>
                <w:rFonts w:ascii="宋体" w:hAnsi="宋体" w:cs="宋体" w:eastAsia="宋体" w:hint="default"/>
                <w:w w:val="100"/>
                <w:sz w:val="21"/>
                <w:szCs w:val="21"/>
              </w:rPr>
              <w:t> </w:t>
            </w:r>
            <w:r>
              <w:rPr>
                <w:rFonts w:ascii="宋体" w:hAnsi="宋体" w:cs="宋体" w:eastAsia="宋体" w:hint="default"/>
                <w:sz w:val="21"/>
                <w:szCs w:val="21"/>
              </w:rPr>
              <w:t>的其他</w:t>
            </w:r>
            <w:r>
              <w:rPr>
                <w:rFonts w:ascii="宋体" w:hAnsi="宋体" w:cs="宋体" w:eastAsia="宋体" w:hint="default"/>
                <w:w w:val="100"/>
                <w:sz w:val="21"/>
                <w:szCs w:val="21"/>
              </w:rPr>
              <w:t> </w:t>
            </w:r>
            <w:r>
              <w:rPr>
                <w:rFonts w:ascii="宋体" w:hAnsi="宋体" w:cs="宋体" w:eastAsia="宋体" w:hint="default"/>
                <w:sz w:val="21"/>
                <w:szCs w:val="21"/>
              </w:rPr>
              <w:t>项目余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27" w:right="67"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47" w:right="43" w:firstLine="52"/>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27" w:right="12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91" w:right="86"/>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东权益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27" w:right="0"/>
              <w:jc w:val="both"/>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37" w:lineRule="auto"/>
              <w:ind w:left="127" w:right="122"/>
              <w:jc w:val="both"/>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59" w:right="0"/>
              <w:jc w:val="both"/>
              <w:rPr>
                <w:rFonts w:ascii="宋体" w:hAnsi="宋体" w:cs="宋体" w:eastAsia="宋体" w:hint="default"/>
                <w:sz w:val="21"/>
                <w:szCs w:val="21"/>
              </w:rPr>
            </w:pPr>
            <w:r>
              <w:rPr>
                <w:rFonts w:ascii="宋体" w:hAnsi="宋体" w:cs="宋体" w:eastAsia="宋体" w:hint="default"/>
                <w:sz w:val="21"/>
                <w:szCs w:val="21"/>
              </w:rPr>
              <w:t>从母公</w:t>
            </w:r>
          </w:p>
          <w:p>
            <w:pPr>
              <w:pStyle w:val="TableParagraph"/>
              <w:spacing w:line="237" w:lineRule="auto"/>
              <w:ind w:left="59" w:right="53"/>
              <w:jc w:val="both"/>
              <w:rPr>
                <w:rFonts w:ascii="宋体" w:hAnsi="宋体" w:cs="宋体" w:eastAsia="宋体" w:hint="default"/>
                <w:sz w:val="21"/>
                <w:szCs w:val="21"/>
              </w:rPr>
            </w:pPr>
            <w:r>
              <w:rPr>
                <w:rFonts w:ascii="宋体" w:hAnsi="宋体" w:cs="宋体" w:eastAsia="宋体" w:hint="default"/>
                <w:sz w:val="21"/>
                <w:szCs w:val="21"/>
              </w:rPr>
              <w:t>司所有</w:t>
            </w:r>
            <w:r>
              <w:rPr>
                <w:rFonts w:ascii="宋体" w:hAnsi="宋体" w:cs="宋体" w:eastAsia="宋体" w:hint="default"/>
                <w:spacing w:val="-102"/>
                <w:sz w:val="21"/>
                <w:szCs w:val="21"/>
              </w:rPr>
              <w:t> </w:t>
            </w:r>
            <w:r>
              <w:rPr>
                <w:rFonts w:ascii="宋体" w:hAnsi="宋体" w:cs="宋体" w:eastAsia="宋体" w:hint="default"/>
                <w:sz w:val="21"/>
                <w:szCs w:val="21"/>
              </w:rPr>
              <w:t>者权益</w:t>
            </w:r>
            <w:r>
              <w:rPr>
                <w:rFonts w:ascii="宋体" w:hAnsi="宋体" w:cs="宋体" w:eastAsia="宋体" w:hint="default"/>
                <w:spacing w:val="-102"/>
                <w:sz w:val="21"/>
                <w:szCs w:val="21"/>
              </w:rPr>
              <w:t> </w:t>
            </w:r>
            <w:r>
              <w:rPr>
                <w:rFonts w:ascii="宋体" w:hAnsi="宋体" w:cs="宋体" w:eastAsia="宋体" w:hint="default"/>
                <w:sz w:val="21"/>
                <w:szCs w:val="21"/>
              </w:rPr>
              <w:t>冲减子</w:t>
            </w:r>
            <w:r>
              <w:rPr>
                <w:rFonts w:ascii="宋体" w:hAnsi="宋体" w:cs="宋体" w:eastAsia="宋体" w:hint="default"/>
                <w:spacing w:val="-102"/>
                <w:sz w:val="21"/>
                <w:szCs w:val="21"/>
              </w:rPr>
              <w:t> </w:t>
            </w:r>
            <w:r>
              <w:rPr>
                <w:rFonts w:ascii="宋体" w:hAnsi="宋体" w:cs="宋体" w:eastAsia="宋体" w:hint="default"/>
                <w:sz w:val="21"/>
                <w:szCs w:val="21"/>
              </w:rPr>
              <w:t>公司少</w:t>
            </w:r>
            <w:r>
              <w:rPr>
                <w:rFonts w:ascii="宋体" w:hAnsi="宋体" w:cs="宋体" w:eastAsia="宋体" w:hint="default"/>
                <w:spacing w:val="-102"/>
                <w:sz w:val="21"/>
                <w:szCs w:val="21"/>
              </w:rPr>
              <w:t> </w:t>
            </w:r>
            <w:r>
              <w:rPr>
                <w:rFonts w:ascii="宋体" w:hAnsi="宋体" w:cs="宋体" w:eastAsia="宋体" w:hint="default"/>
                <w:sz w:val="21"/>
                <w:szCs w:val="21"/>
              </w:rPr>
              <w:t>数股东</w:t>
            </w:r>
            <w:r>
              <w:rPr>
                <w:rFonts w:ascii="宋体" w:hAnsi="宋体" w:cs="宋体" w:eastAsia="宋体" w:hint="default"/>
                <w:spacing w:val="-102"/>
                <w:sz w:val="21"/>
                <w:szCs w:val="21"/>
              </w:rPr>
              <w:t> </w:t>
            </w:r>
            <w:r>
              <w:rPr>
                <w:rFonts w:ascii="宋体" w:hAnsi="宋体" w:cs="宋体" w:eastAsia="宋体" w:hint="default"/>
                <w:sz w:val="21"/>
                <w:szCs w:val="21"/>
              </w:rPr>
              <w:t>分担的</w:t>
            </w:r>
            <w:r>
              <w:rPr>
                <w:rFonts w:ascii="宋体" w:hAnsi="宋体" w:cs="宋体" w:eastAsia="宋体" w:hint="default"/>
                <w:spacing w:val="-102"/>
                <w:sz w:val="21"/>
                <w:szCs w:val="21"/>
              </w:rPr>
              <w:t> </w:t>
            </w:r>
            <w:r>
              <w:rPr>
                <w:rFonts w:ascii="宋体" w:hAnsi="宋体" w:cs="宋体" w:eastAsia="宋体" w:hint="default"/>
                <w:sz w:val="21"/>
                <w:szCs w:val="21"/>
              </w:rPr>
              <w:t>本期亏</w:t>
            </w:r>
            <w:r>
              <w:rPr>
                <w:rFonts w:ascii="宋体" w:hAnsi="宋体" w:cs="宋体" w:eastAsia="宋体" w:hint="default"/>
                <w:spacing w:val="-102"/>
                <w:sz w:val="21"/>
                <w:szCs w:val="21"/>
              </w:rPr>
              <w:t> </w:t>
            </w:r>
            <w:r>
              <w:rPr>
                <w:rFonts w:ascii="宋体" w:hAnsi="宋体" w:cs="宋体" w:eastAsia="宋体" w:hint="default"/>
                <w:sz w:val="21"/>
                <w:szCs w:val="21"/>
              </w:rPr>
              <w:t>损超过</w:t>
            </w:r>
          </w:p>
        </w:tc>
      </w:tr>
    </w:tbl>
    <w:p>
      <w:pPr>
        <w:spacing w:after="0" w:line="237" w:lineRule="auto"/>
        <w:jc w:val="both"/>
        <w:rPr>
          <w:rFonts w:ascii="宋体" w:hAnsi="宋体" w:cs="宋体" w:eastAsia="宋体" w:hint="default"/>
          <w:sz w:val="21"/>
          <w:szCs w:val="21"/>
        </w:rPr>
        <w:sectPr>
          <w:pgSz w:w="11910" w:h="16840"/>
          <w:pgMar w:header="884" w:footer="979" w:top="1100" w:bottom="1160" w:left="380" w:right="300"/>
        </w:sectPr>
      </w:pPr>
    </w:p>
    <w:p>
      <w:pPr>
        <w:spacing w:line="240" w:lineRule="auto" w:before="6"/>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280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1340"/>
        <w:gridCol w:w="734"/>
        <w:gridCol w:w="526"/>
        <w:gridCol w:w="523"/>
        <w:gridCol w:w="841"/>
        <w:gridCol w:w="684"/>
        <w:gridCol w:w="984"/>
        <w:gridCol w:w="776"/>
        <w:gridCol w:w="787"/>
        <w:gridCol w:w="840"/>
        <w:gridCol w:w="685"/>
        <w:gridCol w:w="823"/>
        <w:gridCol w:w="684"/>
        <w:gridCol w:w="759"/>
      </w:tblGrid>
      <w:tr>
        <w:trPr>
          <w:trHeight w:val="2460"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9" w:right="0"/>
              <w:jc w:val="both"/>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37" w:lineRule="auto" w:before="2"/>
              <w:ind w:left="59" w:right="53"/>
              <w:jc w:val="both"/>
              <w:rPr>
                <w:rFonts w:ascii="宋体" w:hAnsi="宋体" w:cs="宋体" w:eastAsia="宋体" w:hint="default"/>
                <w:sz w:val="21"/>
                <w:szCs w:val="21"/>
              </w:rPr>
            </w:pPr>
            <w:r>
              <w:rPr>
                <w:rFonts w:ascii="宋体" w:hAnsi="宋体" w:cs="宋体" w:eastAsia="宋体" w:hint="default"/>
                <w:sz w:val="21"/>
                <w:szCs w:val="21"/>
              </w:rPr>
              <w:t>东在该</w:t>
            </w:r>
            <w:r>
              <w:rPr>
                <w:rFonts w:ascii="宋体" w:hAnsi="宋体" w:cs="宋体" w:eastAsia="宋体" w:hint="default"/>
                <w:spacing w:val="-102"/>
                <w:sz w:val="21"/>
                <w:szCs w:val="21"/>
              </w:rPr>
              <w:t> </w:t>
            </w: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年初所</w:t>
            </w:r>
            <w:r>
              <w:rPr>
                <w:rFonts w:ascii="宋体" w:hAnsi="宋体" w:cs="宋体" w:eastAsia="宋体" w:hint="default"/>
                <w:spacing w:val="-102"/>
                <w:sz w:val="21"/>
                <w:szCs w:val="21"/>
              </w:rPr>
              <w:t> </w:t>
            </w:r>
            <w:r>
              <w:rPr>
                <w:rFonts w:ascii="宋体" w:hAnsi="宋体" w:cs="宋体" w:eastAsia="宋体" w:hint="default"/>
                <w:sz w:val="21"/>
                <w:szCs w:val="21"/>
              </w:rPr>
              <w:t>有者权</w:t>
            </w:r>
            <w:r>
              <w:rPr>
                <w:rFonts w:ascii="宋体" w:hAnsi="宋体" w:cs="宋体" w:eastAsia="宋体" w:hint="default"/>
                <w:spacing w:val="-102"/>
                <w:sz w:val="21"/>
                <w:szCs w:val="21"/>
              </w:rPr>
              <w:t> </w:t>
            </w:r>
            <w:r>
              <w:rPr>
                <w:rFonts w:ascii="宋体" w:hAnsi="宋体" w:cs="宋体" w:eastAsia="宋体" w:hint="default"/>
                <w:sz w:val="21"/>
                <w:szCs w:val="21"/>
              </w:rPr>
              <w:t>益中所</w:t>
            </w:r>
            <w:r>
              <w:rPr>
                <w:rFonts w:ascii="宋体" w:hAnsi="宋体" w:cs="宋体" w:eastAsia="宋体" w:hint="default"/>
                <w:spacing w:val="-102"/>
                <w:sz w:val="21"/>
                <w:szCs w:val="21"/>
              </w:rPr>
              <w:t> </w:t>
            </w:r>
            <w:r>
              <w:rPr>
                <w:rFonts w:ascii="宋体" w:hAnsi="宋体" w:cs="宋体" w:eastAsia="宋体" w:hint="default"/>
                <w:sz w:val="21"/>
                <w:szCs w:val="21"/>
              </w:rPr>
              <w:t>享有份</w:t>
            </w:r>
            <w:r>
              <w:rPr>
                <w:rFonts w:ascii="宋体" w:hAnsi="宋体" w:cs="宋体" w:eastAsia="宋体" w:hint="default"/>
                <w:spacing w:val="-102"/>
                <w:sz w:val="21"/>
                <w:szCs w:val="21"/>
              </w:rPr>
              <w:t> </w:t>
            </w:r>
            <w:r>
              <w:rPr>
                <w:rFonts w:ascii="宋体" w:hAnsi="宋体" w:cs="宋体" w:eastAsia="宋体" w:hint="default"/>
                <w:sz w:val="21"/>
                <w:szCs w:val="21"/>
              </w:rPr>
              <w:t>额后的</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64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26" w:right="39"/>
              <w:jc w:val="left"/>
              <w:rPr>
                <w:rFonts w:ascii="宋体" w:hAnsi="宋体" w:cs="宋体" w:eastAsia="宋体" w:hint="default"/>
                <w:sz w:val="21"/>
                <w:szCs w:val="21"/>
              </w:rPr>
            </w:pPr>
            <w:r>
              <w:rPr>
                <w:rFonts w:ascii="宋体" w:hAnsi="宋体" w:cs="宋体" w:eastAsia="宋体" w:hint="default"/>
                <w:sz w:val="21"/>
                <w:szCs w:val="21"/>
              </w:rPr>
              <w:t>沈阳荣科全濠</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24" w:right="65"/>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子公司</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43"/>
              <w:jc w:val="center"/>
              <w:rPr>
                <w:rFonts w:ascii="宋体" w:hAnsi="宋体" w:cs="宋体" w:eastAsia="宋体" w:hint="default"/>
                <w:sz w:val="21"/>
                <w:szCs w:val="21"/>
              </w:rPr>
            </w:pPr>
            <w:r>
              <w:rPr>
                <w:rFonts w:ascii="宋体" w:hAnsi="宋体" w:cs="宋体" w:eastAsia="宋体" w:hint="default"/>
                <w:sz w:val="21"/>
                <w:szCs w:val="21"/>
              </w:rPr>
              <w:t>沈阳</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23" w:right="65"/>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47"/>
              <w:jc w:val="center"/>
              <w:rPr>
                <w:rFonts w:ascii="宋体" w:hAnsi="宋体" w:cs="宋体" w:eastAsia="宋体" w:hint="default"/>
                <w:sz w:val="21"/>
                <w:szCs w:val="21"/>
              </w:rPr>
            </w:pPr>
            <w:r>
              <w:rPr>
                <w:rFonts w:ascii="宋体"/>
                <w:sz w:val="21"/>
              </w:rPr>
              <w:t>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计算</w:t>
            </w:r>
          </w:p>
          <w:p>
            <w:pPr>
              <w:pStyle w:val="TableParagraph"/>
              <w:spacing w:line="237" w:lineRule="auto"/>
              <w:ind w:left="23" w:right="227"/>
              <w:jc w:val="both"/>
              <w:rPr>
                <w:rFonts w:ascii="宋体" w:hAnsi="宋体" w:cs="宋体" w:eastAsia="宋体" w:hint="default"/>
                <w:sz w:val="21"/>
                <w:szCs w:val="21"/>
              </w:rPr>
            </w:pPr>
            <w:r>
              <w:rPr>
                <w:rFonts w:ascii="宋体" w:hAnsi="宋体" w:cs="宋体" w:eastAsia="宋体" w:hint="default"/>
                <w:sz w:val="21"/>
                <w:szCs w:val="21"/>
              </w:rPr>
              <w:t>机软</w:t>
            </w:r>
            <w:r>
              <w:rPr>
                <w:rFonts w:ascii="宋体" w:hAnsi="宋体" w:cs="宋体" w:eastAsia="宋体" w:hint="default"/>
                <w:spacing w:val="-103"/>
                <w:sz w:val="21"/>
                <w:szCs w:val="21"/>
              </w:rPr>
              <w:t> </w:t>
            </w:r>
            <w:r>
              <w:rPr>
                <w:rFonts w:ascii="宋体" w:hAnsi="宋体" w:cs="宋体" w:eastAsia="宋体" w:hint="default"/>
                <w:sz w:val="21"/>
                <w:szCs w:val="21"/>
              </w:rPr>
              <w:t>硬件</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350.00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70%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70%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sz w:val="21"/>
              </w:rPr>
              <w:t>146.53</w:t>
            </w:r>
          </w:p>
        </w:tc>
        <w:tc>
          <w:tcPr>
            <w:tcW w:w="684"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26" w:right="39"/>
              <w:jc w:val="left"/>
              <w:rPr>
                <w:rFonts w:ascii="宋体" w:hAnsi="宋体" w:cs="宋体" w:eastAsia="宋体" w:hint="default"/>
                <w:sz w:val="21"/>
                <w:szCs w:val="21"/>
              </w:rPr>
            </w:pPr>
            <w:r>
              <w:rPr>
                <w:rFonts w:ascii="宋体" w:hAnsi="宋体" w:cs="宋体" w:eastAsia="宋体" w:hint="default"/>
                <w:sz w:val="21"/>
                <w:szCs w:val="21"/>
              </w:rPr>
              <w:t>辽宁荣科金融</w:t>
            </w:r>
            <w:r>
              <w:rPr>
                <w:rFonts w:ascii="宋体" w:hAnsi="宋体" w:cs="宋体" w:eastAsia="宋体" w:hint="default"/>
                <w:w w:val="100"/>
                <w:sz w:val="21"/>
                <w:szCs w:val="21"/>
              </w:rPr>
              <w:t> </w:t>
            </w:r>
            <w:r>
              <w:rPr>
                <w:rFonts w:ascii="宋体" w:hAnsi="宋体" w:cs="宋体" w:eastAsia="宋体" w:hint="default"/>
                <w:sz w:val="21"/>
                <w:szCs w:val="21"/>
              </w:rPr>
              <w:t>服务有限公司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24" w:right="65"/>
              <w:jc w:val="left"/>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子公司</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43"/>
              <w:jc w:val="center"/>
              <w:rPr>
                <w:rFonts w:ascii="宋体" w:hAnsi="宋体" w:cs="宋体" w:eastAsia="宋体" w:hint="default"/>
                <w:sz w:val="21"/>
                <w:szCs w:val="21"/>
              </w:rPr>
            </w:pPr>
            <w:r>
              <w:rPr>
                <w:rFonts w:ascii="宋体" w:hAnsi="宋体" w:cs="宋体" w:eastAsia="宋体" w:hint="default"/>
                <w:sz w:val="21"/>
                <w:szCs w:val="21"/>
              </w:rPr>
              <w:t>铁岭</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23" w:right="65"/>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44"/>
              <w:jc w:val="center"/>
              <w:rPr>
                <w:rFonts w:ascii="宋体" w:hAnsi="宋体" w:cs="宋体" w:eastAsia="宋体" w:hint="default"/>
                <w:sz w:val="21"/>
                <w:szCs w:val="21"/>
              </w:rPr>
            </w:pPr>
            <w:r>
              <w:rPr>
                <w:rFonts w:ascii="宋体"/>
                <w:sz w:val="21"/>
              </w:rPr>
              <w:t>3000.00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w:t>
            </w:r>
          </w:p>
          <w:p>
            <w:pPr>
              <w:pStyle w:val="TableParagraph"/>
              <w:spacing w:line="237" w:lineRule="auto"/>
              <w:ind w:left="23" w:right="17"/>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pacing w:val="-103"/>
                <w:sz w:val="21"/>
                <w:szCs w:val="21"/>
              </w:rPr>
              <w:t> </w:t>
            </w:r>
            <w:r>
              <w:rPr>
                <w:rFonts w:ascii="宋体" w:hAnsi="宋体" w:cs="宋体" w:eastAsia="宋体" w:hint="default"/>
                <w:sz w:val="21"/>
                <w:szCs w:val="21"/>
              </w:rPr>
              <w:t>咨询</w:t>
            </w:r>
            <w:r>
              <w:rPr>
                <w:rFonts w:ascii="宋体" w:hAnsi="宋体" w:cs="宋体" w:eastAsia="宋体" w:hint="default"/>
                <w:spacing w:val="-103"/>
                <w:sz w:val="21"/>
                <w:szCs w:val="21"/>
              </w:rPr>
              <w:t> </w:t>
            </w:r>
            <w:r>
              <w:rPr>
                <w:rFonts w:ascii="宋体" w:hAnsi="宋体" w:cs="宋体" w:eastAsia="宋体" w:hint="default"/>
                <w:sz w:val="21"/>
                <w:szCs w:val="21"/>
              </w:rPr>
              <w:t>业务，</w:t>
            </w:r>
            <w:r>
              <w:rPr>
                <w:rFonts w:ascii="宋体" w:hAnsi="宋体" w:cs="宋体" w:eastAsia="宋体" w:hint="default"/>
                <w:w w:val="100"/>
                <w:sz w:val="21"/>
                <w:szCs w:val="21"/>
              </w:rPr>
              <w:t> </w:t>
            </w:r>
            <w:r>
              <w:rPr>
                <w:rFonts w:ascii="宋体" w:hAnsi="宋体" w:cs="宋体" w:eastAsia="宋体" w:hint="default"/>
                <w:sz w:val="21"/>
                <w:szCs w:val="21"/>
              </w:rPr>
              <w:t>计算</w:t>
            </w:r>
            <w:r>
              <w:rPr>
                <w:rFonts w:ascii="宋体" w:hAnsi="宋体" w:cs="宋体" w:eastAsia="宋体" w:hint="default"/>
                <w:spacing w:val="-103"/>
                <w:sz w:val="21"/>
                <w:szCs w:val="21"/>
              </w:rPr>
              <w:t> </w:t>
            </w:r>
            <w:r>
              <w:rPr>
                <w:rFonts w:ascii="宋体" w:hAnsi="宋体" w:cs="宋体" w:eastAsia="宋体" w:hint="default"/>
                <w:sz w:val="21"/>
                <w:szCs w:val="21"/>
              </w:rPr>
              <w:t>机软</w:t>
            </w:r>
            <w:r>
              <w:rPr>
                <w:rFonts w:ascii="宋体" w:hAnsi="宋体" w:cs="宋体" w:eastAsia="宋体" w:hint="default"/>
                <w:spacing w:val="-103"/>
                <w:sz w:val="21"/>
                <w:szCs w:val="21"/>
              </w:rPr>
              <w:t> </w:t>
            </w:r>
            <w:r>
              <w:rPr>
                <w:rFonts w:ascii="宋体" w:hAnsi="宋体" w:cs="宋体" w:eastAsia="宋体" w:hint="default"/>
                <w:sz w:val="21"/>
                <w:szCs w:val="21"/>
              </w:rPr>
              <w:t>硬件</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9"/>
              <w:jc w:val="right"/>
              <w:rPr>
                <w:rFonts w:ascii="宋体" w:hAnsi="宋体" w:cs="宋体" w:eastAsia="宋体" w:hint="default"/>
                <w:sz w:val="21"/>
                <w:szCs w:val="21"/>
              </w:rPr>
            </w:pPr>
            <w:r>
              <w:rPr>
                <w:rFonts w:ascii="宋体"/>
                <w:spacing w:val="-1"/>
                <w:sz w:val="21"/>
              </w:rPr>
              <w:t>3,000.00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7"/>
              <w:jc w:val="right"/>
              <w:rPr>
                <w:rFonts w:ascii="宋体" w:hAnsi="宋体" w:cs="宋体" w:eastAsia="宋体" w:hint="default"/>
                <w:sz w:val="21"/>
                <w:szCs w:val="21"/>
              </w:rPr>
            </w:pPr>
            <w:r>
              <w:rPr>
                <w:rFonts w:ascii="宋体"/>
                <w:sz w:val="21"/>
              </w:rPr>
              <w:t>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7"/>
              <w:jc w:val="right"/>
              <w:rPr>
                <w:rFonts w:ascii="宋体" w:hAnsi="宋体" w:cs="宋体" w:eastAsia="宋体" w:hint="default"/>
                <w:sz w:val="21"/>
                <w:szCs w:val="21"/>
              </w:rPr>
            </w:pPr>
            <w:r>
              <w:rPr>
                <w:rFonts w:ascii="宋体"/>
                <w:sz w:val="21"/>
              </w:rPr>
              <w:t>100%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2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北京荣科爱信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全资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
              <w:jc w:val="center"/>
              <w:rPr>
                <w:rFonts w:ascii="宋体" w:hAnsi="宋体" w:cs="宋体" w:eastAsia="宋体" w:hint="default"/>
                <w:sz w:val="21"/>
                <w:szCs w:val="21"/>
              </w:rPr>
            </w:pPr>
            <w:r>
              <w:rPr>
                <w:rFonts w:ascii="宋体" w:hAnsi="宋体" w:cs="宋体" w:eastAsia="宋体" w:hint="default"/>
                <w:sz w:val="21"/>
                <w:szCs w:val="21"/>
              </w:rPr>
              <w:t>北京</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7"/>
              <w:jc w:val="center"/>
              <w:rPr>
                <w:rFonts w:ascii="宋体" w:hAnsi="宋体" w:cs="宋体" w:eastAsia="宋体" w:hint="default"/>
                <w:sz w:val="21"/>
                <w:szCs w:val="21"/>
              </w:rPr>
            </w:pPr>
            <w:r>
              <w:rPr>
                <w:rFonts w:ascii="宋体"/>
                <w:sz w:val="21"/>
              </w:rPr>
              <w:t>100.00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推广</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2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r>
    </w:tbl>
    <w:p>
      <w:pPr>
        <w:pStyle w:val="Heading5"/>
        <w:spacing w:line="326" w:lineRule="auto" w:before="64"/>
        <w:ind w:left="752" w:right="6764"/>
        <w:jc w:val="left"/>
        <w:rPr>
          <w:rFonts w:ascii="宋体" w:hAnsi="宋体" w:cs="宋体" w:eastAsia="宋体" w:hint="default"/>
          <w:b w:val="0"/>
          <w:bCs w:val="0"/>
        </w:rPr>
      </w:pPr>
      <w:r>
        <w:rPr/>
        <w:t>（</w:t>
      </w:r>
      <w:r>
        <w:rPr>
          <w:rFonts w:ascii="宋体" w:hAnsi="宋体" w:cs="宋体" w:eastAsia="宋体" w:hint="default"/>
        </w:rPr>
        <w:t>2</w:t>
      </w:r>
      <w:r>
        <w:rPr/>
        <w:t>）同一控制下企业合并取得的子公司</w:t>
      </w:r>
      <w:r>
        <w:rPr>
          <w:w w:val="100"/>
        </w:rPr>
        <w:t> </w:t>
      </w:r>
      <w:r>
        <w:rPr>
          <w:rFonts w:ascii="宋体" w:hAnsi="宋体" w:cs="宋体" w:eastAsia="宋体" w:hint="default"/>
          <w:b w:val="0"/>
          <w:bCs w:val="0"/>
        </w:rPr>
        <w:t>无</w:t>
      </w:r>
    </w:p>
    <w:p>
      <w:pPr>
        <w:pStyle w:val="Heading5"/>
        <w:spacing w:line="326" w:lineRule="auto" w:before="19"/>
        <w:ind w:left="752" w:right="6553"/>
        <w:jc w:val="left"/>
        <w:rPr>
          <w:rFonts w:ascii="宋体" w:hAnsi="宋体" w:cs="宋体" w:eastAsia="宋体" w:hint="default"/>
          <w:b w:val="0"/>
          <w:bCs w:val="0"/>
        </w:rPr>
      </w:pPr>
      <w:r>
        <w:rPr/>
        <w:t>（</w:t>
      </w:r>
      <w:r>
        <w:rPr>
          <w:rFonts w:ascii="宋体" w:hAnsi="宋体" w:cs="宋体" w:eastAsia="宋体" w:hint="default"/>
        </w:rPr>
        <w:t>3</w:t>
      </w:r>
      <w:r>
        <w:rPr/>
        <w:t>）非同一控制下企业合并取得的子公司</w:t>
      </w:r>
      <w:r>
        <w:rPr>
          <w:w w:val="100"/>
        </w:rPr>
        <w:t> </w:t>
      </w:r>
      <w:r>
        <w:rPr>
          <w:rFonts w:ascii="宋体" w:hAnsi="宋体" w:cs="宋体" w:eastAsia="宋体" w:hint="default"/>
          <w:b w:val="0"/>
          <w:bCs w:val="0"/>
        </w:rPr>
        <w:t>无</w:t>
      </w:r>
    </w:p>
    <w:p>
      <w:pPr>
        <w:pStyle w:val="Heading5"/>
        <w:spacing w:line="398" w:lineRule="auto" w:before="16"/>
        <w:ind w:left="752" w:right="3884"/>
        <w:jc w:val="left"/>
        <w:rPr>
          <w:rFonts w:ascii="宋体" w:hAnsi="宋体" w:cs="宋体" w:eastAsia="宋体" w:hint="default"/>
          <w:b w:val="0"/>
          <w:bCs w:val="0"/>
        </w:rPr>
      </w:pPr>
      <w:r>
        <w:rPr>
          <w:rFonts w:ascii="宋体" w:hAnsi="宋体" w:cs="宋体" w:eastAsia="宋体" w:hint="default"/>
          <w:spacing w:val="-1"/>
        </w:rPr>
        <w:t>2</w:t>
      </w:r>
      <w:r>
        <w:rPr>
          <w:spacing w:val="-1"/>
        </w:rPr>
        <w:t>、特殊目的主体或通过受托经营或承租等方式形成控制权的经营实体</w:t>
      </w:r>
      <w:r>
        <w:rPr>
          <w:spacing w:val="-76"/>
        </w:rPr>
        <w:t> </w:t>
      </w:r>
      <w:r>
        <w:rPr>
          <w:spacing w:val="-76"/>
        </w:rPr>
      </w:r>
      <w:r>
        <w:rPr>
          <w:rFonts w:ascii="宋体" w:hAnsi="宋体" w:cs="宋体" w:eastAsia="宋体" w:hint="default"/>
          <w:b w:val="0"/>
          <w:bCs w:val="0"/>
        </w:rPr>
        <w:t>无</w:t>
      </w:r>
    </w:p>
    <w:p>
      <w:pPr>
        <w:pStyle w:val="Heading5"/>
        <w:spacing w:line="232" w:lineRule="exact"/>
        <w:ind w:left="752" w:right="825"/>
        <w:jc w:val="left"/>
        <w:rPr>
          <w:b w:val="0"/>
          <w:bCs w:val="0"/>
        </w:rPr>
      </w:pPr>
      <w:r>
        <w:rPr>
          <w:rFonts w:ascii="宋体" w:hAnsi="宋体" w:cs="宋体" w:eastAsia="宋体" w:hint="default"/>
        </w:rPr>
        <w:t>3</w:t>
      </w:r>
      <w:r>
        <w:rPr/>
        <w:t>、合并范围发生变更的说明</w:t>
      </w:r>
      <w:r>
        <w:rPr>
          <w:b w:val="0"/>
          <w:bCs w:val="0"/>
        </w:rPr>
      </w:r>
    </w:p>
    <w:p>
      <w:pPr>
        <w:spacing w:line="240" w:lineRule="auto" w:before="11"/>
        <w:rPr>
          <w:rFonts w:ascii="宋体" w:hAnsi="宋体" w:cs="宋体" w:eastAsia="宋体" w:hint="default"/>
          <w:b/>
          <w:bCs/>
          <w:sz w:val="13"/>
          <w:szCs w:val="13"/>
        </w:rPr>
      </w:pPr>
    </w:p>
    <w:p>
      <w:pPr>
        <w:spacing w:line="321" w:lineRule="auto" w:before="0"/>
        <w:ind w:left="752" w:right="2100"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、报告期内新纳入合并范围的主体和报告期内不再纳入合并范围的主体</w:t>
      </w:r>
      <w:r>
        <w:rPr>
          <w:rFonts w:ascii="宋体" w:hAnsi="宋体" w:cs="宋体" w:eastAsia="宋体" w:hint="default"/>
          <w:spacing w:val="-1"/>
          <w:sz w:val="21"/>
          <w:szCs w:val="21"/>
        </w:rPr>
      </w:r>
    </w:p>
    <w:p>
      <w:pPr>
        <w:pStyle w:val="Heading5"/>
        <w:spacing w:line="321" w:lineRule="auto" w:before="109"/>
        <w:ind w:left="752" w:right="6764"/>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5</w:t>
      </w:r>
      <w:r>
        <w:rPr/>
        <w:t>、报告期内发生的同一控制下企业合并</w:t>
      </w:r>
      <w:r>
        <w:rPr>
          <w:b w:val="0"/>
          <w:bCs w:val="0"/>
        </w:rPr>
      </w:r>
    </w:p>
    <w:p>
      <w:pPr>
        <w:pStyle w:val="Heading5"/>
        <w:spacing w:line="321" w:lineRule="auto" w:before="112"/>
        <w:ind w:left="752" w:right="6553"/>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6</w:t>
      </w:r>
      <w:r>
        <w:rPr/>
        <w:t>、报告期内发生的非同一控制下企业合并</w:t>
      </w:r>
      <w:r>
        <w:rPr>
          <w:b w:val="0"/>
          <w:bCs w:val="0"/>
        </w:rPr>
      </w:r>
    </w:p>
    <w:p>
      <w:pPr>
        <w:pStyle w:val="Heading5"/>
        <w:spacing w:line="324" w:lineRule="auto" w:before="109"/>
        <w:ind w:left="752" w:right="5773"/>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spacing w:val="-1"/>
        </w:rPr>
        <w:t>7</w:t>
      </w:r>
      <w:r>
        <w:rPr>
          <w:spacing w:val="-1"/>
        </w:rPr>
        <w:t>、报告期内出售丧失控制权的股权而减少子公司</w:t>
      </w:r>
      <w:r>
        <w:rPr>
          <w:b w:val="0"/>
          <w:bCs w:val="0"/>
          <w:spacing w:val="-1"/>
        </w:rPr>
      </w:r>
    </w:p>
    <w:p>
      <w:pPr>
        <w:pStyle w:val="BodyText"/>
        <w:spacing w:line="240" w:lineRule="auto" w:before="107"/>
        <w:ind w:left="752" w:right="825"/>
        <w:jc w:val="left"/>
      </w:pPr>
      <w:r>
        <w:rPr>
          <w:w w:val="100"/>
        </w:rPr>
        <w:t>无</w:t>
      </w:r>
    </w:p>
    <w:p>
      <w:pPr>
        <w:spacing w:after="0" w:line="240" w:lineRule="auto"/>
        <w:jc w:val="left"/>
        <w:sectPr>
          <w:pgSz w:w="11910" w:h="16840"/>
          <w:pgMar w:header="884" w:footer="979" w:top="1100" w:bottom="1160" w:left="380" w:right="30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82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right="5868"/>
        <w:jc w:val="left"/>
        <w:rPr>
          <w:b w:val="0"/>
          <w:bCs w:val="0"/>
        </w:rPr>
      </w:pPr>
      <w:r>
        <w:rPr>
          <w:rFonts w:ascii="宋体" w:hAnsi="宋体" w:cs="宋体" w:eastAsia="宋体" w:hint="default"/>
        </w:rPr>
        <w:t>8</w:t>
      </w:r>
      <w:r>
        <w:rPr/>
        <w:t>、报告期内发生的反向购买</w:t>
      </w:r>
      <w:r>
        <w:rPr>
          <w:b w:val="0"/>
          <w:bCs w:val="0"/>
        </w:rPr>
      </w:r>
    </w:p>
    <w:p>
      <w:pPr>
        <w:spacing w:line="240" w:lineRule="auto" w:before="11"/>
        <w:rPr>
          <w:rFonts w:ascii="宋体" w:hAnsi="宋体" w:cs="宋体" w:eastAsia="宋体" w:hint="default"/>
          <w:b/>
          <w:bCs/>
          <w:sz w:val="13"/>
          <w:szCs w:val="13"/>
        </w:rPr>
      </w:pPr>
    </w:p>
    <w:p>
      <w:pPr>
        <w:pStyle w:val="Heading5"/>
        <w:spacing w:line="321" w:lineRule="auto"/>
        <w:ind w:right="7238"/>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9</w:t>
      </w:r>
      <w:r>
        <w:rPr/>
        <w:t>、本报告期发生的吸收合并</w:t>
      </w:r>
      <w:r>
        <w:rPr>
          <w:b w:val="0"/>
          <w:bCs w:val="0"/>
        </w:rPr>
      </w:r>
    </w:p>
    <w:p>
      <w:pPr>
        <w:pStyle w:val="Heading5"/>
        <w:spacing w:line="321" w:lineRule="auto" w:before="109"/>
        <w:ind w:right="5868"/>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10</w:t>
      </w:r>
      <w:r>
        <w:rPr/>
        <w:t>、境外经营实体主要报表项目的折算汇率</w:t>
      </w:r>
      <w:r>
        <w:rPr>
          <w:b w:val="0"/>
          <w:bCs w:val="0"/>
        </w:rPr>
      </w:r>
    </w:p>
    <w:p>
      <w:pPr>
        <w:spacing w:line="400" w:lineRule="auto" w:before="112"/>
        <w:ind w:left="152" w:right="6501" w:firstLine="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43"/>
        <w:ind w:left="0" w:right="2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625"/>
        <w:gridCol w:w="1327"/>
        <w:gridCol w:w="929"/>
        <w:gridCol w:w="1596"/>
      </w:tblGrid>
      <w:tr>
        <w:trPr>
          <w:trHeight w:val="14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3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2"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14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4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14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4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143"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68"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145"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28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 w:right="0"/>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 w:right="0"/>
              <w:jc w:val="center"/>
              <w:rPr>
                <w:rFonts w:ascii="宋体" w:hAnsi="宋体" w:cs="宋体" w:eastAsia="宋体" w:hint="default"/>
                <w:sz w:val="21"/>
                <w:szCs w:val="21"/>
              </w:rPr>
            </w:pPr>
            <w:r>
              <w:rPr>
                <w:rFonts w:ascii="宋体"/>
                <w:sz w:val="21"/>
              </w:rPr>
              <w:t>--</w:t>
            </w:r>
          </w:p>
        </w:tc>
        <w:tc>
          <w:tcPr>
            <w:tcW w:w="1625" w:type="dxa"/>
            <w:tcBorders>
              <w:top w:val="single" w:sz="4" w:space="0" w:color="000000"/>
              <w:left w:val="single" w:sz="12" w:space="0" w:color="D2D2D2"/>
              <w:bottom w:val="single" w:sz="4" w:space="0" w:color="000000"/>
              <w:right w:val="single" w:sz="13" w:space="0" w:color="D2D2D2"/>
            </w:tcBorders>
          </w:tcPr>
          <w:p>
            <w:pPr>
              <w:pStyle w:val="TableParagraph"/>
              <w:spacing w:line="242" w:lineRule="exact"/>
              <w:ind w:right="5"/>
              <w:jc w:val="right"/>
              <w:rPr>
                <w:rFonts w:ascii="宋体" w:hAnsi="宋体" w:cs="宋体" w:eastAsia="宋体" w:hint="default"/>
                <w:sz w:val="21"/>
                <w:szCs w:val="21"/>
              </w:rPr>
            </w:pPr>
            <w:r>
              <w:rPr>
                <w:rFonts w:ascii="宋体"/>
                <w:spacing w:val="-1"/>
                <w:sz w:val="21"/>
              </w:rPr>
              <w:t>97,047.36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 w:right="0"/>
              <w:jc w:val="center"/>
              <w:rPr>
                <w:rFonts w:ascii="宋体" w:hAnsi="宋体" w:cs="宋体" w:eastAsia="宋体" w:hint="default"/>
                <w:sz w:val="21"/>
                <w:szCs w:val="21"/>
              </w:rPr>
            </w:pPr>
            <w:r>
              <w:rPr>
                <w:rFonts w:ascii="宋体"/>
                <w:sz w:val="21"/>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2" w:lineRule="exact"/>
              <w:ind w:right="17"/>
              <w:jc w:val="right"/>
              <w:rPr>
                <w:rFonts w:ascii="宋体" w:hAnsi="宋体" w:cs="宋体" w:eastAsia="宋体" w:hint="default"/>
                <w:sz w:val="21"/>
                <w:szCs w:val="21"/>
              </w:rPr>
            </w:pPr>
            <w:r>
              <w:rPr>
                <w:rFonts w:ascii="宋体"/>
                <w:spacing w:val="-1"/>
                <w:sz w:val="21"/>
              </w:rPr>
              <w:t>93,562.69</w:t>
            </w:r>
          </w:p>
        </w:tc>
      </w:tr>
      <w:tr>
        <w:trPr>
          <w:trHeight w:val="28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625" w:type="dxa"/>
            <w:tcBorders>
              <w:top w:val="single" w:sz="4" w:space="0" w:color="000000"/>
              <w:left w:val="single" w:sz="12" w:space="0" w:color="D2D2D2"/>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97,047.36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93,562.69</w:t>
            </w:r>
          </w:p>
        </w:tc>
      </w:tr>
      <w:tr>
        <w:trPr>
          <w:trHeight w:val="28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625" w:type="dxa"/>
            <w:tcBorders>
              <w:top w:val="single" w:sz="4" w:space="0" w:color="000000"/>
              <w:left w:val="single" w:sz="12" w:space="0" w:color="D2D2D2"/>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213,241,285.23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109,358,713.32</w:t>
            </w:r>
          </w:p>
        </w:tc>
      </w:tr>
      <w:tr>
        <w:trPr>
          <w:trHeight w:val="28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 w:right="0"/>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 w:right="0"/>
              <w:jc w:val="center"/>
              <w:rPr>
                <w:rFonts w:ascii="宋体" w:hAnsi="宋体" w:cs="宋体" w:eastAsia="宋体" w:hint="default"/>
                <w:sz w:val="21"/>
                <w:szCs w:val="21"/>
              </w:rPr>
            </w:pPr>
            <w:r>
              <w:rPr>
                <w:rFonts w:ascii="宋体"/>
                <w:sz w:val="21"/>
              </w:rPr>
              <w:t>--</w:t>
            </w:r>
          </w:p>
        </w:tc>
        <w:tc>
          <w:tcPr>
            <w:tcW w:w="1625" w:type="dxa"/>
            <w:tcBorders>
              <w:top w:val="single" w:sz="4" w:space="0" w:color="000000"/>
              <w:left w:val="single" w:sz="12" w:space="0" w:color="D2D2D2"/>
              <w:bottom w:val="single" w:sz="4" w:space="0" w:color="000000"/>
              <w:right w:val="single" w:sz="13" w:space="0" w:color="D2D2D2"/>
            </w:tcBorders>
          </w:tcPr>
          <w:p>
            <w:pPr>
              <w:pStyle w:val="TableParagraph"/>
              <w:spacing w:line="242" w:lineRule="exact"/>
              <w:ind w:right="5"/>
              <w:jc w:val="right"/>
              <w:rPr>
                <w:rFonts w:ascii="宋体" w:hAnsi="宋体" w:cs="宋体" w:eastAsia="宋体" w:hint="default"/>
                <w:sz w:val="21"/>
                <w:szCs w:val="21"/>
              </w:rPr>
            </w:pPr>
            <w:r>
              <w:rPr>
                <w:rFonts w:ascii="宋体"/>
                <w:spacing w:val="-1"/>
                <w:sz w:val="21"/>
              </w:rPr>
              <w:t>211,855,725.26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 w:right="0"/>
              <w:jc w:val="center"/>
              <w:rPr>
                <w:rFonts w:ascii="宋体" w:hAnsi="宋体" w:cs="宋体" w:eastAsia="宋体" w:hint="default"/>
                <w:sz w:val="21"/>
                <w:szCs w:val="21"/>
              </w:rPr>
            </w:pPr>
            <w:r>
              <w:rPr>
                <w:rFonts w:ascii="宋体"/>
                <w:sz w:val="21"/>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2" w:lineRule="exact"/>
              <w:ind w:right="17"/>
              <w:jc w:val="right"/>
              <w:rPr>
                <w:rFonts w:ascii="宋体" w:hAnsi="宋体" w:cs="宋体" w:eastAsia="宋体" w:hint="default"/>
                <w:sz w:val="21"/>
                <w:szCs w:val="21"/>
              </w:rPr>
            </w:pPr>
            <w:r>
              <w:rPr>
                <w:rFonts w:ascii="宋体"/>
                <w:spacing w:val="-1"/>
                <w:sz w:val="21"/>
              </w:rPr>
              <w:t>108,286,173.17</w:t>
            </w:r>
          </w:p>
        </w:tc>
      </w:tr>
      <w:tr>
        <w:trPr>
          <w:trHeight w:val="28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sz w:val="21"/>
              </w:rPr>
              <w:t>220,437.51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6.2855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1,385,559.97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sz w:val="21"/>
              </w:rPr>
              <w:t>170,220.15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sz w:val="21"/>
              </w:rPr>
              <w:t>6.3009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1,072,540.15</w:t>
            </w:r>
          </w:p>
        </w:tc>
      </w:tr>
      <w:tr>
        <w:trPr>
          <w:trHeight w:val="28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51,299,094.59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12,229,277.00</w:t>
            </w:r>
          </w:p>
        </w:tc>
      </w:tr>
      <w:tr>
        <w:trPr>
          <w:trHeight w:val="28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51,299,094.59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12,229,277.00</w:t>
            </w:r>
          </w:p>
        </w:tc>
      </w:tr>
      <w:tr>
        <w:trPr>
          <w:trHeight w:val="28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264,637,427.18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121,681,553.01</w:t>
            </w:r>
          </w:p>
        </w:tc>
      </w:tr>
    </w:tbl>
    <w:p>
      <w:pPr>
        <w:pStyle w:val="BodyText"/>
        <w:spacing w:line="241" w:lineRule="exact"/>
        <w:ind w:right="0"/>
        <w:jc w:val="left"/>
      </w:pPr>
      <w:r>
        <w:rPr/>
        <w:t>如有因抵押、质押或冻结等对使用有限制、存放在境外、有潜在回收风险的款项应单独说明</w:t>
      </w:r>
    </w:p>
    <w:p>
      <w:pPr>
        <w:pStyle w:val="BodyText"/>
        <w:spacing w:line="237" w:lineRule="auto" w:before="119"/>
        <w:ind w:right="246" w:firstLine="420"/>
        <w:jc w:val="both"/>
      </w:pPr>
      <w:r>
        <w:rPr>
          <w:spacing w:val="-2"/>
        </w:rPr>
        <w:t>本报告期末其他货币资金余额为银行承兑票据保证金存款及三个月内到期的保函保证金存款，其中因</w:t>
      </w:r>
      <w:r>
        <w:rPr>
          <w:w w:val="100"/>
        </w:rPr>
        <w:t> </w:t>
      </w:r>
      <w:r>
        <w:rPr/>
        <w:t>冻结受限的银行承兑票据保证金存款为</w:t>
      </w:r>
      <w:r>
        <w:rPr>
          <w:rFonts w:ascii="宋体" w:hAnsi="宋体" w:cs="宋体" w:eastAsia="宋体" w:hint="default"/>
        </w:rPr>
        <w:t>49,514,484.59</w:t>
      </w:r>
      <w:r>
        <w:rPr/>
        <w:t>元，除上述受限款项外，无其他因抵押或冻结等对</w:t>
      </w:r>
      <w:r>
        <w:rPr>
          <w:spacing w:val="-27"/>
        </w:rPr>
        <w:t> </w:t>
      </w:r>
      <w:r>
        <w:rPr>
          <w:spacing w:val="-27"/>
        </w:rPr>
      </w:r>
      <w:r>
        <w:rPr/>
        <w:t>使用有限制、有潜在回收风险的款项。</w:t>
      </w:r>
    </w:p>
    <w:p>
      <w:pPr>
        <w:pStyle w:val="Heading5"/>
        <w:spacing w:line="398" w:lineRule="auto" w:before="95"/>
        <w:ind w:right="8082"/>
        <w:jc w:val="left"/>
        <w:rPr>
          <w:rFonts w:ascii="宋体" w:hAnsi="宋体" w:cs="宋体" w:eastAsia="宋体" w:hint="default"/>
          <w:b w:val="0"/>
          <w:bCs w:val="0"/>
        </w:rPr>
      </w:pPr>
      <w:r>
        <w:rPr>
          <w:rFonts w:ascii="宋体" w:hAnsi="宋体" w:cs="宋体" w:eastAsia="宋体" w:hint="default"/>
        </w:rPr>
        <w:t>2</w:t>
      </w:r>
      <w:r>
        <w:rPr/>
        <w:t>、交易性金融资产</w:t>
      </w:r>
      <w:r>
        <w:rPr>
          <w:spacing w:val="-103"/>
        </w:rPr>
        <w:t> </w:t>
      </w:r>
      <w:r>
        <w:rPr>
          <w:rFonts w:ascii="宋体" w:hAnsi="宋体" w:cs="宋体" w:eastAsia="宋体" w:hint="default"/>
          <w:b w:val="0"/>
          <w:bCs w:val="0"/>
        </w:rPr>
        <w:t>无</w:t>
      </w:r>
    </w:p>
    <w:p>
      <w:pPr>
        <w:pStyle w:val="Heading5"/>
        <w:spacing w:line="229" w:lineRule="exact"/>
        <w:ind w:right="5868"/>
        <w:jc w:val="left"/>
        <w:rPr>
          <w:b w:val="0"/>
          <w:bCs w:val="0"/>
        </w:rPr>
      </w:pPr>
      <w:r>
        <w:rPr>
          <w:rFonts w:ascii="宋体" w:hAnsi="宋体" w:cs="宋体" w:eastAsia="宋体" w:hint="default"/>
        </w:rPr>
        <w:t>3</w:t>
      </w:r>
      <w:r>
        <w:rPr/>
        <w:t>、应收票据</w:t>
      </w:r>
      <w:r>
        <w:rPr>
          <w:b w:val="0"/>
          <w:bCs w:val="0"/>
        </w:rPr>
      </w:r>
    </w:p>
    <w:p>
      <w:pPr>
        <w:spacing w:line="240" w:lineRule="auto" w:before="1"/>
        <w:rPr>
          <w:rFonts w:ascii="宋体" w:hAnsi="宋体" w:cs="宋体" w:eastAsia="宋体" w:hint="default"/>
          <w:b/>
          <w:bCs/>
          <w:sz w:val="15"/>
          <w:szCs w:val="15"/>
        </w:rPr>
      </w:pPr>
    </w:p>
    <w:p>
      <w:pPr>
        <w:pStyle w:val="Heading5"/>
        <w:spacing w:line="240" w:lineRule="auto" w:before="36"/>
        <w:ind w:right="5868"/>
        <w:jc w:val="left"/>
        <w:rPr>
          <w:b w:val="0"/>
          <w:bCs w:val="0"/>
        </w:rPr>
      </w:pPr>
      <w:r>
        <w:rPr/>
        <w:t>（</w:t>
      </w:r>
      <w:r>
        <w:rPr>
          <w:rFonts w:ascii="宋体" w:hAnsi="宋体" w:cs="宋体" w:eastAsia="宋体" w:hint="default"/>
        </w:rPr>
        <w:t>1</w:t>
      </w:r>
      <w:r>
        <w:rPr/>
        <w:t>）应收票据的分类</w:t>
      </w:r>
      <w:r>
        <w:rPr>
          <w:b w:val="0"/>
          <w:bCs w:val="0"/>
        </w:rPr>
      </w:r>
    </w:p>
    <w:p>
      <w:pPr>
        <w:pStyle w:val="BodyText"/>
        <w:spacing w:line="240" w:lineRule="auto" w:before="97"/>
        <w:ind w:left="0" w:right="24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3121"/>
      </w:tblGrid>
      <w:tr>
        <w:trPr>
          <w:trHeight w:val="28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2,042,171.00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1,408,671.00</w:t>
            </w:r>
          </w:p>
        </w:tc>
      </w:tr>
      <w:tr>
        <w:trPr>
          <w:trHeight w:val="28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2,042,171.00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1,408,671.00</w:t>
            </w:r>
          </w:p>
        </w:tc>
      </w:tr>
    </w:tbl>
    <w:p>
      <w:pPr>
        <w:pStyle w:val="Heading5"/>
        <w:spacing w:line="324" w:lineRule="auto" w:before="64"/>
        <w:ind w:right="6817"/>
        <w:jc w:val="left"/>
        <w:rPr>
          <w:rFonts w:ascii="宋体" w:hAnsi="宋体" w:cs="宋体" w:eastAsia="宋体" w:hint="default"/>
          <w:b w:val="0"/>
          <w:bCs w:val="0"/>
        </w:rPr>
      </w:pPr>
      <w:r>
        <w:rPr/>
        <w:t>（</w:t>
      </w:r>
      <w:r>
        <w:rPr>
          <w:rFonts w:ascii="宋体" w:hAnsi="宋体" w:cs="宋体" w:eastAsia="宋体" w:hint="default"/>
        </w:rPr>
        <w:t>2</w:t>
      </w:r>
      <w:r>
        <w:rPr/>
        <w:t>）期末已质押的应收票据情况</w:t>
      </w:r>
      <w:r>
        <w:rPr>
          <w:w w:val="100"/>
        </w:rPr>
        <w:t> </w:t>
      </w:r>
      <w:r>
        <w:rPr>
          <w:rFonts w:ascii="宋体" w:hAnsi="宋体" w:cs="宋体" w:eastAsia="宋体" w:hint="default"/>
          <w:b w:val="0"/>
          <w:bCs w:val="0"/>
        </w:rPr>
        <w:t>无</w:t>
      </w:r>
    </w:p>
    <w:p>
      <w:pPr>
        <w:pStyle w:val="Heading5"/>
        <w:spacing w:line="272" w:lineRule="exact" w:before="53"/>
        <w:ind w:right="0"/>
        <w:jc w:val="left"/>
        <w:rPr>
          <w:b w:val="0"/>
          <w:bCs w:val="0"/>
        </w:rPr>
      </w:pPr>
      <w:r>
        <w:rPr/>
        <w:t>（</w:t>
      </w:r>
      <w:r>
        <w:rPr>
          <w:rFonts w:ascii="宋体" w:hAnsi="宋体" w:cs="宋体" w:eastAsia="宋体" w:hint="default"/>
        </w:rPr>
        <w:t>3</w:t>
      </w:r>
      <w:r>
        <w:rPr/>
        <w:t>）因出票人无力履约而将票据转为应收账款的票据，以及期末公司已经背书给他方但尚未到期的票据</w:t>
      </w:r>
      <w:r>
        <w:rPr>
          <w:spacing w:val="-66"/>
        </w:rPr>
        <w:t> </w:t>
      </w:r>
      <w:r>
        <w:rPr>
          <w:spacing w:val="-66"/>
        </w:rPr>
      </w:r>
      <w:r>
        <w:rPr/>
        <w:t>情况</w:t>
      </w:r>
      <w:r>
        <w:rPr>
          <w:b w:val="0"/>
          <w:bCs w:val="0"/>
        </w:rPr>
      </w:r>
    </w:p>
    <w:p>
      <w:pPr>
        <w:spacing w:line="321" w:lineRule="auto" w:before="72"/>
        <w:ind w:left="152" w:right="8714"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sz w:val="21"/>
          <w:szCs w:val="21"/>
        </w:rPr>
      </w:r>
    </w:p>
    <w:p>
      <w:pPr>
        <w:pStyle w:val="BodyText"/>
        <w:spacing w:line="240" w:lineRule="auto" w:before="110"/>
        <w:ind w:right="5868"/>
        <w:jc w:val="left"/>
      </w:pPr>
      <w:r>
        <w:rPr>
          <w:w w:val="100"/>
        </w:rPr>
        <w:t>无</w:t>
      </w:r>
    </w:p>
    <w:p>
      <w:pPr>
        <w:spacing w:after="0" w:line="240" w:lineRule="auto"/>
        <w:jc w:val="left"/>
        <w:sectPr>
          <w:pgSz w:w="11910" w:h="16840"/>
          <w:pgMar w:header="884" w:footer="979" w:top="1100" w:bottom="1160" w:left="980" w:right="880"/>
        </w:sectPr>
      </w:pPr>
    </w:p>
    <w:p>
      <w:pPr>
        <w:spacing w:line="240" w:lineRule="auto" w:before="2"/>
        <w:rPr>
          <w:rFonts w:ascii="宋体" w:hAnsi="宋体" w:cs="宋体" w:eastAsia="宋体" w:hint="default"/>
          <w:sz w:val="20"/>
          <w:szCs w:val="20"/>
        </w:rPr>
      </w:pPr>
    </w:p>
    <w:p>
      <w:pPr>
        <w:pStyle w:val="Heading5"/>
        <w:spacing w:line="240" w:lineRule="auto" w:before="36"/>
        <w:ind w:left="552" w:right="0"/>
        <w:jc w:val="left"/>
        <w:rPr>
          <w:b w:val="0"/>
          <w:bCs w:val="0"/>
        </w:rPr>
      </w:pPr>
      <w:r>
        <w:rPr>
          <w:rFonts w:ascii="宋体" w:hAnsi="宋体" w:cs="宋体" w:eastAsia="宋体" w:hint="default"/>
        </w:rPr>
        <w:t>5</w:t>
      </w:r>
      <w:r>
        <w:rPr/>
        <w:t>、应收利息</w:t>
      </w:r>
      <w:r>
        <w:rPr>
          <w:b w:val="0"/>
          <w:bCs w:val="0"/>
        </w:rPr>
      </w:r>
    </w:p>
    <w:p>
      <w:pPr>
        <w:spacing w:line="240" w:lineRule="auto" w:before="11"/>
        <w:rPr>
          <w:rFonts w:ascii="宋体" w:hAnsi="宋体" w:cs="宋体" w:eastAsia="宋体" w:hint="default"/>
          <w:b/>
          <w:bCs/>
          <w:sz w:val="13"/>
          <w:szCs w:val="13"/>
        </w:rPr>
      </w:pPr>
    </w:p>
    <w:p>
      <w:pPr>
        <w:spacing w:line="321" w:lineRule="auto" w:before="0"/>
        <w:ind w:left="552" w:right="9014"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pStyle w:val="Heading5"/>
        <w:spacing w:line="240" w:lineRule="auto" w:before="36"/>
        <w:ind w:left="552" w:right="0"/>
        <w:jc w:val="left"/>
        <w:rPr>
          <w:b w:val="0"/>
          <w:bCs w:val="0"/>
        </w:rPr>
      </w:pPr>
      <w:r>
        <w:rPr/>
        <w:t>（</w:t>
      </w:r>
      <w:r>
        <w:rPr>
          <w:rFonts w:ascii="宋体" w:hAnsi="宋体" w:cs="宋体" w:eastAsia="宋体" w:hint="default"/>
        </w:rPr>
        <w:t>1</w:t>
      </w:r>
      <w:r>
        <w:rPr/>
        <w:t>）应收账款按种类披露</w:t>
      </w:r>
      <w:r>
        <w:rPr>
          <w:b w:val="0"/>
          <w:bCs w:val="0"/>
        </w:rPr>
      </w:r>
    </w:p>
    <w:p>
      <w:pPr>
        <w:pStyle w:val="BodyText"/>
        <w:spacing w:line="240" w:lineRule="auto" w:before="99"/>
        <w:ind w:left="0" w:right="5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66"/>
        <w:gridCol w:w="1574"/>
        <w:gridCol w:w="742"/>
        <w:gridCol w:w="1474"/>
        <w:gridCol w:w="732"/>
        <w:gridCol w:w="1574"/>
        <w:gridCol w:w="929"/>
        <w:gridCol w:w="1375"/>
        <w:gridCol w:w="734"/>
      </w:tblGrid>
      <w:tr>
        <w:trPr>
          <w:trHeight w:val="283" w:hRule="exact"/>
        </w:trPr>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52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2" w:hRule="exact"/>
        </w:trPr>
        <w:tc>
          <w:tcPr>
            <w:tcW w:w="1366" w:type="dxa"/>
            <w:vMerge/>
            <w:tcBorders>
              <w:left w:val="single" w:sz="4" w:space="0" w:color="000000"/>
              <w:right w:val="single" w:sz="4" w:space="0" w:color="000000"/>
            </w:tcBorders>
            <w:shd w:val="clear" w:color="auto" w:fill="D2D2D2"/>
          </w:tcPr>
          <w:p>
            <w:pPr/>
          </w:p>
        </w:tc>
        <w:tc>
          <w:tcPr>
            <w:tcW w:w="23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6" w:hRule="exact"/>
        </w:trPr>
        <w:tc>
          <w:tcPr>
            <w:tcW w:w="1366" w:type="dxa"/>
            <w:vMerge/>
            <w:tcBorders>
              <w:left w:val="single" w:sz="4" w:space="0" w:color="000000"/>
              <w:bottom w:val="single" w:sz="4" w:space="0" w:color="000000"/>
              <w:right w:val="single" w:sz="4" w:space="0" w:color="000000"/>
            </w:tcBorders>
            <w:shd w:val="clear" w:color="auto" w:fill="D2D2D2"/>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1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1" w:right="0"/>
              <w:jc w:val="left"/>
              <w:rPr>
                <w:rFonts w:ascii="宋体" w:hAnsi="宋体" w:cs="宋体" w:eastAsia="宋体" w:hint="default"/>
                <w:sz w:val="21"/>
                <w:szCs w:val="21"/>
              </w:rPr>
            </w:pPr>
            <w:r>
              <w:rPr>
                <w:rFonts w:ascii="宋体"/>
                <w:sz w:val="21"/>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03" w:right="0"/>
              <w:jc w:val="left"/>
              <w:rPr>
                <w:rFonts w:ascii="宋体" w:hAnsi="宋体" w:cs="宋体" w:eastAsia="宋体" w:hint="default"/>
                <w:sz w:val="21"/>
                <w:szCs w:val="21"/>
              </w:rPr>
            </w:pPr>
            <w:r>
              <w:rPr>
                <w:rFonts w:ascii="宋体"/>
                <w:sz w:val="21"/>
              </w:rPr>
              <w:t>(%)</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06" w:right="0"/>
              <w:jc w:val="left"/>
              <w:rPr>
                <w:rFonts w:ascii="宋体" w:hAnsi="宋体" w:cs="宋体" w:eastAsia="宋体" w:hint="default"/>
                <w:sz w:val="21"/>
                <w:szCs w:val="21"/>
              </w:rPr>
            </w:pPr>
            <w:r>
              <w:rPr>
                <w:rFonts w:ascii="宋体"/>
                <w:sz w:val="21"/>
              </w:rPr>
              <w:t>(%)</w:t>
            </w:r>
          </w:p>
        </w:tc>
      </w:tr>
      <w:tr>
        <w:trPr>
          <w:trHeight w:val="281" w:hRule="exact"/>
        </w:trPr>
        <w:tc>
          <w:tcPr>
            <w:tcW w:w="1050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按账龄段组合</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的应收账款</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center"/>
              <w:rPr>
                <w:rFonts w:ascii="宋体" w:hAnsi="宋体" w:cs="宋体" w:eastAsia="宋体" w:hint="default"/>
                <w:sz w:val="21"/>
                <w:szCs w:val="21"/>
              </w:rPr>
            </w:pPr>
            <w:r>
              <w:rPr>
                <w:rFonts w:ascii="宋体"/>
                <w:sz w:val="21"/>
              </w:rPr>
              <w:t>135,664,812.24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100%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3,374,854.31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2.49%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58,792,971.76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0"/>
              <w:jc w:val="center"/>
              <w:rPr>
                <w:rFonts w:ascii="宋体" w:hAnsi="宋体" w:cs="宋体" w:eastAsia="宋体" w:hint="default"/>
                <w:sz w:val="21"/>
                <w:szCs w:val="21"/>
              </w:rPr>
            </w:pPr>
            <w:r>
              <w:rPr>
                <w:rFonts w:ascii="宋体"/>
                <w:sz w:val="21"/>
              </w:rPr>
              <w:t>1,415,855.56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2.41%</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center"/>
              <w:rPr>
                <w:rFonts w:ascii="宋体" w:hAnsi="宋体" w:cs="宋体" w:eastAsia="宋体" w:hint="default"/>
                <w:sz w:val="21"/>
                <w:szCs w:val="21"/>
              </w:rPr>
            </w:pPr>
            <w:r>
              <w:rPr>
                <w:rFonts w:ascii="宋体"/>
                <w:sz w:val="21"/>
              </w:rPr>
              <w:t>135,664,812.24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100%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3,374,854.31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2.49%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58,792,971.76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sz w:val="21"/>
              </w:rPr>
              <w:t>1,415,855.56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2.41%</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4" w:type="dxa"/>
            <w:tcBorders>
              <w:top w:val="single" w:sz="4" w:space="0" w:color="000000"/>
              <w:left w:val="single" w:sz="4" w:space="0" w:color="000000"/>
              <w:bottom w:val="single" w:sz="4" w:space="0" w:color="000000"/>
              <w:right w:val="single" w:sz="14" w:space="0" w:color="D2D2D2"/>
            </w:tcBorders>
          </w:tcPr>
          <w:p>
            <w:pPr>
              <w:pStyle w:val="TableParagraph"/>
              <w:spacing w:line="241" w:lineRule="exact"/>
              <w:ind w:left="66" w:right="0"/>
              <w:jc w:val="center"/>
              <w:rPr>
                <w:rFonts w:ascii="宋体" w:hAnsi="宋体" w:cs="宋体" w:eastAsia="宋体" w:hint="default"/>
                <w:sz w:val="21"/>
                <w:szCs w:val="21"/>
              </w:rPr>
            </w:pPr>
            <w:r>
              <w:rPr>
                <w:rFonts w:ascii="宋体"/>
                <w:sz w:val="21"/>
              </w:rPr>
              <w:t>135,664,812.24</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3,374,854.31</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58,792,971.76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375" w:type="dxa"/>
            <w:tcBorders>
              <w:top w:val="single" w:sz="4" w:space="0" w:color="000000"/>
              <w:left w:val="single" w:sz="12" w:space="0" w:color="D2D2D2"/>
              <w:bottom w:val="single" w:sz="4" w:space="0" w:color="000000"/>
              <w:right w:val="single" w:sz="13" w:space="0" w:color="D2D2D2"/>
            </w:tcBorders>
          </w:tcPr>
          <w:p>
            <w:pPr>
              <w:pStyle w:val="TableParagraph"/>
              <w:spacing w:line="241" w:lineRule="exact"/>
              <w:ind w:left="66" w:right="0"/>
              <w:jc w:val="center"/>
              <w:rPr>
                <w:rFonts w:ascii="宋体" w:hAnsi="宋体" w:cs="宋体" w:eastAsia="宋体" w:hint="default"/>
                <w:sz w:val="21"/>
                <w:szCs w:val="21"/>
              </w:rPr>
            </w:pPr>
            <w:r>
              <w:rPr>
                <w:rFonts w:ascii="宋体"/>
                <w:sz w:val="21"/>
              </w:rPr>
              <w:t>1,415,855.56</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9" w:lineRule="exact"/>
        <w:ind w:left="552" w:right="0"/>
        <w:jc w:val="left"/>
      </w:pPr>
      <w:r>
        <w:rPr/>
        <w:t>应收账款种类的说明</w:t>
      </w:r>
    </w:p>
    <w:p>
      <w:pPr>
        <w:pStyle w:val="BodyText"/>
        <w:spacing w:line="237" w:lineRule="auto"/>
        <w:ind w:left="973" w:right="0"/>
        <w:jc w:val="left"/>
      </w:pPr>
      <w:r>
        <w:rPr>
          <w:rFonts w:ascii="宋体" w:hAnsi="宋体" w:cs="宋体" w:eastAsia="宋体" w:hint="default"/>
        </w:rPr>
        <w:t>1.</w:t>
      </w:r>
      <w:r>
        <w:rPr/>
        <w:t>单项金额重大并单项计提坏账准备的应收款项</w:t>
      </w:r>
      <w:r>
        <w:rPr>
          <w:w w:val="100"/>
        </w:rPr>
        <w:t> </w:t>
      </w:r>
      <w:r>
        <w:rPr/>
        <w:t>单项金额重大的判断依据或金额标准：</w:t>
      </w:r>
      <w:r>
        <w:rPr>
          <w:rFonts w:ascii="宋体" w:hAnsi="宋体" w:cs="宋体" w:eastAsia="宋体" w:hint="default"/>
        </w:rPr>
        <w:t>100</w:t>
      </w:r>
      <w:r>
        <w:rPr/>
        <w:t>万元以上应收账款确定为单项金额重大。</w:t>
      </w:r>
      <w:r>
        <w:rPr>
          <w:w w:val="100"/>
        </w:rPr>
        <w:t> </w:t>
      </w:r>
      <w:r>
        <w:rPr>
          <w:rFonts w:ascii="宋体" w:hAnsi="宋体" w:cs="宋体" w:eastAsia="宋体" w:hint="default"/>
        </w:rPr>
        <w:t>2</w:t>
      </w:r>
      <w:r>
        <w:rPr/>
        <w:t>．按组合计提坏账准备的应收款项</w:t>
      </w:r>
      <w:r>
        <w:rPr>
          <w:w w:val="100"/>
        </w:rPr>
        <w:t> </w:t>
      </w:r>
      <w:r>
        <w:rPr>
          <w:spacing w:val="-2"/>
        </w:rPr>
        <w:t>本公司将相同账龄的应收款项作为具有类似信用风险特征的组合，确定组合的依据及坏账准备的计提</w:t>
      </w:r>
    </w:p>
    <w:p>
      <w:pPr>
        <w:pStyle w:val="BodyText"/>
        <w:spacing w:line="271" w:lineRule="exact"/>
        <w:ind w:left="552" w:right="0"/>
        <w:jc w:val="left"/>
      </w:pPr>
      <w:r>
        <w:rPr/>
        <w:t>方法如下：</w:t>
      </w:r>
    </w:p>
    <w:p>
      <w:pPr>
        <w:pStyle w:val="BodyText"/>
        <w:spacing w:line="272" w:lineRule="exact" w:before="27"/>
        <w:ind w:left="973" w:right="0"/>
        <w:jc w:val="left"/>
      </w:pPr>
      <w:r>
        <w:rPr/>
        <w:t>（</w:t>
      </w:r>
      <w:r>
        <w:rPr>
          <w:rFonts w:ascii="宋体" w:hAnsi="宋体" w:cs="宋体" w:eastAsia="宋体" w:hint="default"/>
        </w:rPr>
        <w:t>1</w:t>
      </w:r>
      <w:r>
        <w:rPr/>
        <w:t>）对单项金额重大单独测试未发生减值的应收款项，本公司以账龄作为信用风险特征组合。</w:t>
      </w:r>
      <w:r>
        <w:rPr>
          <w:w w:val="100"/>
        </w:rPr>
        <w:t> </w:t>
      </w:r>
      <w:r>
        <w:rPr>
          <w:spacing w:val="-2"/>
        </w:rPr>
        <w:t>根据以前年度按账龄划分的各段应收款项实际损失率作为基础，结合现时情况确定本年各账龄段应收</w:t>
      </w:r>
    </w:p>
    <w:p>
      <w:pPr>
        <w:pStyle w:val="BodyText"/>
        <w:spacing w:line="247" w:lineRule="exact"/>
        <w:ind w:left="552" w:right="0"/>
        <w:jc w:val="left"/>
      </w:pPr>
      <w:r>
        <w:rPr/>
        <w:t>款项组合计提坏账准备的比例，据此计算本年应计提的坏账准备。</w:t>
      </w:r>
    </w:p>
    <w:p>
      <w:pPr>
        <w:pStyle w:val="BodyText"/>
        <w:spacing w:line="240" w:lineRule="auto"/>
        <w:ind w:left="1184" w:right="0" w:hanging="212"/>
        <w:jc w:val="left"/>
      </w:pPr>
      <w:r>
        <w:rPr>
          <w:spacing w:val="-2"/>
        </w:rPr>
        <w:t>（</w:t>
      </w:r>
      <w:r>
        <w:rPr>
          <w:rFonts w:ascii="宋体" w:hAnsi="宋体" w:cs="宋体" w:eastAsia="宋体" w:hint="default"/>
          <w:spacing w:val="-2"/>
        </w:rPr>
        <w:t>2</w:t>
      </w:r>
      <w:r>
        <w:rPr>
          <w:spacing w:val="-2"/>
        </w:rPr>
        <w:t>）对单项金额不重大的应收款项本公司以账龄作为信用风险特征组合。</w:t>
      </w:r>
      <w:r>
        <w:rPr>
          <w:spacing w:val="-45"/>
        </w:rPr>
        <w:t> </w:t>
      </w:r>
      <w:r>
        <w:rPr>
          <w:spacing w:val="-45"/>
        </w:rPr>
      </w:r>
      <w:r>
        <w:rPr/>
        <w:t>按账龄作为信用风险特征组合计提坏账准备的计提方法：账龄分析法</w:t>
      </w:r>
    </w:p>
    <w:p>
      <w:pPr>
        <w:pStyle w:val="BodyText"/>
        <w:spacing w:line="240" w:lineRule="auto" w:before="116"/>
        <w:ind w:left="973" w:right="0"/>
        <w:jc w:val="left"/>
      </w:pPr>
      <w:r>
        <w:rPr>
          <w:rFonts w:ascii="宋体" w:hAnsi="宋体" w:cs="宋体" w:eastAsia="宋体" w:hint="default"/>
        </w:rPr>
        <w:t>3</w:t>
      </w:r>
      <w:r>
        <w:rPr/>
        <w:t>．单项金额不重大但单项计提坏账准备的应收款项</w:t>
      </w:r>
      <w:r>
        <w:rPr>
          <w:w w:val="100"/>
        </w:rPr>
        <w:t> </w:t>
      </w:r>
      <w:r>
        <w:rPr>
          <w:spacing w:val="-2"/>
        </w:rPr>
        <w:t>单项金额不重大但已有客观证据表明其发生了减值的应收款项，按账龄分析法计提的坏账准备不能反</w:t>
      </w:r>
    </w:p>
    <w:p>
      <w:pPr>
        <w:pStyle w:val="BodyText"/>
        <w:spacing w:line="272" w:lineRule="exact" w:before="24"/>
        <w:ind w:left="552" w:right="0"/>
        <w:jc w:val="left"/>
      </w:pPr>
      <w:r>
        <w:rPr>
          <w:spacing w:val="-5"/>
        </w:rPr>
        <w:t>映实际情况，本公司单独进行减值测试，根据其未来现金流量现值低于其账面价值的差额，确认减值损失，</w:t>
      </w:r>
      <w:r>
        <w:rPr>
          <w:spacing w:val="-4"/>
        </w:rPr>
        <w:t> </w:t>
      </w:r>
      <w:r>
        <w:rPr>
          <w:spacing w:val="-4"/>
        </w:rPr>
      </w:r>
      <w:r>
        <w:rPr/>
        <w:t>并据此计提相应的坏账准备。</w:t>
      </w:r>
    </w:p>
    <w:p>
      <w:pPr>
        <w:spacing w:line="240" w:lineRule="auto" w:before="1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4" w:footer="979" w:top="1100" w:bottom="1160" w:left="580" w:right="580"/>
        </w:sectPr>
      </w:pPr>
    </w:p>
    <w:p>
      <w:pPr>
        <w:pStyle w:val="BodyText"/>
        <w:spacing w:line="274" w:lineRule="exact" w:before="36"/>
        <w:ind w:left="552" w:right="0"/>
        <w:jc w:val="left"/>
      </w:pPr>
      <w:r>
        <w:rPr>
          <w:spacing w:val="-2"/>
        </w:rPr>
        <w:t>期末单项金额重大并单项计提坏账准备的应收账款</w:t>
      </w:r>
    </w:p>
    <w:p>
      <w:pPr>
        <w:pStyle w:val="BodyText"/>
        <w:spacing w:line="272" w:lineRule="exact" w:before="27"/>
        <w:ind w:left="552" w:right="0"/>
        <w:jc w:val="left"/>
      </w:pPr>
      <w:r>
        <w:rPr/>
        <w:t>□ 适用 √ 不适用</w:t>
      </w:r>
      <w:r>
        <w:rPr>
          <w:spacing w:val="-104"/>
        </w:rPr>
        <w:t> </w:t>
      </w:r>
      <w:r>
        <w:rPr>
          <w:spacing w:val="-104"/>
        </w:rPr>
      </w:r>
      <w:r>
        <w:rPr>
          <w:spacing w:val="-2"/>
        </w:rPr>
        <w:t>组合中，按账龄分析法计提坏账准备的应收账款</w:t>
      </w:r>
    </w:p>
    <w:p>
      <w:pPr>
        <w:pStyle w:val="BodyText"/>
        <w:spacing w:line="249" w:lineRule="exact"/>
        <w:ind w:left="552" w:right="0"/>
        <w:jc w:val="left"/>
      </w:pPr>
      <w:r>
        <w:rPr/>
        <w:t>√ 适用 □</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left="552" w:right="0"/>
        <w:jc w:val="left"/>
      </w:pPr>
      <w:r>
        <w:rPr/>
        <w:t>单位：</w:t>
      </w:r>
      <w:r>
        <w:rPr>
          <w:spacing w:val="2"/>
        </w:rPr>
        <w:t> </w:t>
      </w:r>
      <w:r>
        <w:rPr/>
        <w:t>元</w:t>
      </w:r>
    </w:p>
    <w:p>
      <w:pPr>
        <w:spacing w:after="0" w:line="240" w:lineRule="auto"/>
        <w:jc w:val="left"/>
        <w:sectPr>
          <w:type w:val="continuous"/>
          <w:pgSz w:w="11910" w:h="16840"/>
          <w:pgMar w:top="1100" w:bottom="1160" w:left="580" w:right="580"/>
          <w:cols w:num="2" w:equalWidth="0">
            <w:col w:w="5179" w:space="3516"/>
            <w:col w:w="2055"/>
          </w:cols>
        </w:sectPr>
      </w:pPr>
    </w:p>
    <w:p>
      <w:pPr>
        <w:spacing w:line="240" w:lineRule="auto" w:before="7"/>
        <w:rPr>
          <w:rFonts w:ascii="宋体" w:hAnsi="宋体" w:cs="宋体" w:eastAsia="宋体" w:hint="default"/>
          <w:sz w:val="2"/>
          <w:szCs w:val="2"/>
        </w:rPr>
      </w:pPr>
      <w:r>
        <w:rPr/>
        <w:pict>
          <v:group style="position:absolute;margin-left:54.84pt;margin-top:28.299982pt;width:485.65pt;height:40.15pt;mso-position-horizontal-relative:page;mso-position-vertical-relative:page;z-index:284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312" w:type="dxa"/>
        <w:tblLayout w:type="fixed"/>
        <w:tblCellMar>
          <w:top w:w="0" w:type="dxa"/>
          <w:left w:w="0" w:type="dxa"/>
          <w:bottom w:w="0" w:type="dxa"/>
          <w:right w:w="0" w:type="dxa"/>
        </w:tblCellMar>
        <w:tblLook w:val="01E0"/>
      </w:tblPr>
      <w:tblGrid>
        <w:gridCol w:w="1330"/>
        <w:gridCol w:w="1594"/>
        <w:gridCol w:w="929"/>
        <w:gridCol w:w="1728"/>
        <w:gridCol w:w="1838"/>
        <w:gridCol w:w="929"/>
        <w:gridCol w:w="1762"/>
      </w:tblGrid>
      <w:tr>
        <w:trPr>
          <w:trHeight w:val="282" w:hRule="exact"/>
        </w:trPr>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2" w:hRule="exact"/>
        </w:trPr>
        <w:tc>
          <w:tcPr>
            <w:tcW w:w="1330"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8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4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45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330"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62" w:type="dxa"/>
            <w:vMerge/>
            <w:tcBorders>
              <w:left w:val="single" w:sz="4" w:space="0" w:color="000000"/>
              <w:bottom w:val="single" w:sz="4" w:space="0" w:color="000000"/>
              <w:right w:val="single" w:sz="4" w:space="0" w:color="000000"/>
            </w:tcBorders>
            <w:shd w:val="clear" w:color="auto" w:fill="D2D2D2"/>
          </w:tcPr>
          <w:p>
            <w:pPr/>
          </w:p>
        </w:tc>
      </w:tr>
      <w:tr>
        <w:trPr>
          <w:trHeight w:val="282" w:hRule="exact"/>
        </w:trPr>
        <w:tc>
          <w:tcPr>
            <w:tcW w:w="1011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r>
        <w:trPr>
          <w:trHeight w:val="28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 w:right="0"/>
              <w:jc w:val="center"/>
              <w:rPr>
                <w:rFonts w:ascii="宋体" w:hAnsi="宋体" w:cs="宋体" w:eastAsia="宋体" w:hint="default"/>
                <w:sz w:val="21"/>
                <w:szCs w:val="21"/>
              </w:rPr>
            </w:pPr>
            <w:r>
              <w:rPr>
                <w:rFonts w:ascii="宋体"/>
                <w:sz w:val="21"/>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 w:right="0"/>
              <w:jc w:val="center"/>
              <w:rPr>
                <w:rFonts w:ascii="宋体" w:hAnsi="宋体" w:cs="宋体" w:eastAsia="宋体" w:hint="default"/>
                <w:sz w:val="21"/>
                <w:szCs w:val="21"/>
              </w:rPr>
            </w:pPr>
            <w:r>
              <w:rPr>
                <w:rFonts w:ascii="宋体"/>
                <w:sz w:val="21"/>
              </w:rPr>
              <w:t>--</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 w:right="0"/>
              <w:jc w:val="center"/>
              <w:rPr>
                <w:rFonts w:ascii="宋体" w:hAnsi="宋体" w:cs="宋体" w:eastAsia="宋体" w:hint="default"/>
                <w:sz w:val="21"/>
                <w:szCs w:val="21"/>
              </w:rPr>
            </w:pPr>
            <w:r>
              <w:rPr>
                <w:rFonts w:ascii="宋体"/>
                <w:sz w:val="21"/>
              </w:rPr>
              <w:t>--</w:t>
            </w: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119,686,618.54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88.22%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2,393,732.37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51,168,101.06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87.03%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1,023,362.02</w:t>
            </w:r>
          </w:p>
        </w:tc>
      </w:tr>
      <w:tr>
        <w:trPr>
          <w:trHeight w:val="28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119,686,618.54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88.22%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2,393,732.37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51,168,101.06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87.03%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1,023,362.02</w:t>
            </w: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15,249,344.70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11.24%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762,467.24</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7,579,870.70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12.89%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378,993.54</w:t>
            </w: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728,849.00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218,654.70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45,000.00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13,500.00</w:t>
            </w:r>
          </w:p>
        </w:tc>
      </w:tr>
      <w:tr>
        <w:trPr>
          <w:trHeight w:val="28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135,664,812.24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3,374,854.31</w:t>
            </w:r>
          </w:p>
        </w:tc>
        <w:tc>
          <w:tcPr>
            <w:tcW w:w="1838"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58,792,971.76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1,415,855.56</w:t>
            </w:r>
          </w:p>
        </w:tc>
      </w:tr>
    </w:tbl>
    <w:p>
      <w:pPr>
        <w:pStyle w:val="BodyText"/>
        <w:spacing w:line="240" w:lineRule="exact"/>
        <w:ind w:left="552" w:right="0"/>
        <w:jc w:val="left"/>
      </w:pPr>
      <w:r>
        <w:rPr/>
        <w:t>组合中，采用余额百分比法计提坏账准备的应收账款</w:t>
      </w:r>
    </w:p>
    <w:p>
      <w:pPr>
        <w:pStyle w:val="BodyText"/>
        <w:spacing w:line="274" w:lineRule="exact"/>
        <w:ind w:left="552" w:right="0"/>
        <w:jc w:val="left"/>
      </w:pPr>
      <w:r>
        <w:rPr/>
        <w:t>□ 适用 √</w:t>
      </w:r>
      <w:r>
        <w:rPr>
          <w:spacing w:val="1"/>
        </w:rPr>
        <w:t> </w:t>
      </w:r>
      <w:r>
        <w:rPr/>
        <w:t>不适用</w:t>
      </w:r>
    </w:p>
    <w:p>
      <w:pPr>
        <w:spacing w:after="0" w:line="274" w:lineRule="exact"/>
        <w:jc w:val="left"/>
        <w:sectPr>
          <w:type w:val="continuous"/>
          <w:pgSz w:w="11910" w:h="16840"/>
          <w:pgMar w:top="1100" w:bottom="1160" w:left="580" w:right="580"/>
        </w:sectPr>
      </w:pP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4" w:footer="979" w:top="1100" w:bottom="1160" w:left="740" w:right="720"/>
        </w:sectPr>
      </w:pPr>
    </w:p>
    <w:p>
      <w:pPr>
        <w:pStyle w:val="BodyText"/>
        <w:spacing w:line="273" w:lineRule="exact" w:before="36"/>
        <w:ind w:left="392" w:right="836"/>
        <w:jc w:val="left"/>
      </w:pPr>
      <w:r>
        <w:rPr/>
        <w:t>组合中，采用其他方法计提坏账准备的应收账款</w:t>
      </w:r>
    </w:p>
    <w:p>
      <w:pPr>
        <w:pStyle w:val="BodyText"/>
        <w:spacing w:line="240" w:lineRule="auto"/>
        <w:ind w:left="392" w:right="836"/>
        <w:jc w:val="left"/>
      </w:pPr>
      <w:r>
        <w:rPr/>
        <w:t>□ 适用 √ 不适用</w:t>
      </w:r>
      <w:r>
        <w:rPr>
          <w:spacing w:val="-104"/>
        </w:rPr>
        <w:t> </w:t>
      </w:r>
      <w:r>
        <w:rPr>
          <w:spacing w:val="-104"/>
        </w:rPr>
      </w:r>
      <w:r>
        <w:rPr>
          <w:spacing w:val="-2"/>
        </w:rPr>
        <w:t>期末单项金额虽不重大但单项计提坏账准备的应收账款</w:t>
      </w:r>
    </w:p>
    <w:p>
      <w:pPr>
        <w:pStyle w:val="BodyText"/>
        <w:spacing w:line="271" w:lineRule="exact"/>
        <w:ind w:left="392" w:right="836"/>
        <w:jc w:val="left"/>
      </w:pPr>
      <w:r>
        <w:rPr/>
        <w:t>□ 适用 √</w:t>
      </w:r>
      <w:r>
        <w:rPr>
          <w:spacing w:val="1"/>
        </w:rPr>
        <w:t> </w:t>
      </w:r>
      <w:r>
        <w:rPr/>
        <w:t>不适用</w:t>
      </w:r>
    </w:p>
    <w:p>
      <w:pPr>
        <w:pStyle w:val="Heading5"/>
        <w:spacing w:line="326" w:lineRule="auto" w:before="97"/>
        <w:ind w:left="392" w:right="3521"/>
        <w:jc w:val="left"/>
        <w:rPr>
          <w:rFonts w:ascii="宋体" w:hAnsi="宋体" w:cs="宋体" w:eastAsia="宋体" w:hint="default"/>
          <w:b w:val="0"/>
          <w:bCs w:val="0"/>
        </w:rPr>
      </w:pPr>
      <w:r>
        <w:rPr>
          <w:spacing w:val="-1"/>
        </w:rPr>
        <w:t>（</w:t>
      </w:r>
      <w:r>
        <w:rPr>
          <w:rFonts w:ascii="宋体" w:hAnsi="宋体" w:cs="宋体" w:eastAsia="宋体" w:hint="default"/>
          <w:spacing w:val="-1"/>
        </w:rPr>
        <w:t>2</w:t>
      </w:r>
      <w:r>
        <w:rPr>
          <w:spacing w:val="-1"/>
        </w:rPr>
        <w:t>）本报告期转回或收回的应收账款情况</w:t>
      </w:r>
      <w:r>
        <w:rPr>
          <w:spacing w:val="-87"/>
        </w:rPr>
        <w:t> </w:t>
      </w:r>
      <w:r>
        <w:rPr>
          <w:spacing w:val="-87"/>
        </w:rPr>
      </w:r>
      <w:r>
        <w:rPr>
          <w:rFonts w:ascii="宋体" w:hAnsi="宋体" w:cs="宋体" w:eastAsia="宋体" w:hint="default"/>
          <w:b w:val="0"/>
          <w:bCs w:val="0"/>
        </w:rPr>
        <w:t>无</w:t>
      </w:r>
    </w:p>
    <w:p>
      <w:pPr>
        <w:pStyle w:val="Heading5"/>
        <w:spacing w:line="326" w:lineRule="auto" w:before="19"/>
        <w:ind w:left="392" w:right="3731"/>
        <w:jc w:val="left"/>
        <w:rPr>
          <w:rFonts w:ascii="宋体" w:hAnsi="宋体" w:cs="宋体" w:eastAsia="宋体" w:hint="default"/>
          <w:b w:val="0"/>
          <w:bCs w:val="0"/>
        </w:rPr>
      </w:pPr>
      <w:r>
        <w:rPr>
          <w:spacing w:val="-1"/>
        </w:rPr>
        <w:t>（</w:t>
      </w:r>
      <w:r>
        <w:rPr>
          <w:rFonts w:ascii="宋体" w:hAnsi="宋体" w:cs="宋体" w:eastAsia="宋体" w:hint="default"/>
          <w:spacing w:val="-1"/>
        </w:rPr>
        <w:t>3</w:t>
      </w:r>
      <w:r>
        <w:rPr>
          <w:spacing w:val="-1"/>
        </w:rPr>
        <w:t>）本报告期实际核销的应收账款情况</w:t>
      </w:r>
      <w:r>
        <w:rPr>
          <w:spacing w:val="-88"/>
        </w:rPr>
        <w:t> </w:t>
      </w:r>
      <w:r>
        <w:rPr>
          <w:spacing w:val="-88"/>
        </w:rPr>
      </w:r>
      <w:r>
        <w:rPr>
          <w:rFonts w:ascii="宋体" w:hAnsi="宋体" w:cs="宋体" w:eastAsia="宋体" w:hint="default"/>
          <w:b w:val="0"/>
          <w:bCs w:val="0"/>
        </w:rPr>
        <w:t>无</w:t>
      </w:r>
    </w:p>
    <w:p>
      <w:pPr>
        <w:pStyle w:val="Heading5"/>
        <w:spacing w:line="326" w:lineRule="auto" w:before="19"/>
        <w:ind w:left="392" w:right="-13"/>
        <w:jc w:val="left"/>
        <w:rPr>
          <w:rFonts w:ascii="宋体" w:hAnsi="宋体" w:cs="宋体" w:eastAsia="宋体" w:hint="default"/>
          <w:b w:val="0"/>
          <w:bCs w:val="0"/>
        </w:rPr>
      </w:pPr>
      <w:r>
        <w:rPr/>
        <w:t>（</w:t>
      </w:r>
      <w:r>
        <w:rPr>
          <w:rFonts w:ascii="宋体" w:hAnsi="宋体" w:cs="宋体" w:eastAsia="宋体" w:hint="default"/>
        </w:rPr>
        <w:t>4</w:t>
      </w:r>
      <w:r>
        <w:rPr/>
        <w:t>）本报告期应收账款中持有公司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w w:val="100"/>
        </w:rPr>
        <w:t> </w:t>
      </w:r>
      <w:r>
        <w:rPr>
          <w:rFonts w:ascii="宋体" w:hAnsi="宋体" w:cs="宋体" w:eastAsia="宋体" w:hint="default"/>
          <w:b w:val="0"/>
          <w:bCs w:val="0"/>
        </w:rPr>
        <w:t>无</w:t>
      </w:r>
    </w:p>
    <w:p>
      <w:pPr>
        <w:pStyle w:val="Heading5"/>
        <w:spacing w:line="240" w:lineRule="auto" w:before="22"/>
        <w:ind w:left="392" w:right="836"/>
        <w:jc w:val="left"/>
        <w:rPr>
          <w:b w:val="0"/>
          <w:bCs w:val="0"/>
        </w:rPr>
      </w:pPr>
      <w:r>
        <w:rPr/>
        <w:t>（</w:t>
      </w:r>
      <w:r>
        <w:rPr>
          <w:rFonts w:ascii="宋体" w:hAnsi="宋体" w:cs="宋体" w:eastAsia="宋体" w:hint="default"/>
        </w:rPr>
        <w:t>5</w:t>
      </w:r>
      <w:r>
        <w:rPr/>
        <w:t>）应收账款中金额前五名单位情况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69"/>
        <w:ind w:left="392" w:right="0"/>
        <w:jc w:val="left"/>
      </w:pPr>
      <w:r>
        <w:rPr/>
        <w:t>单位：</w:t>
      </w:r>
      <w:r>
        <w:rPr>
          <w:spacing w:val="2"/>
        </w:rPr>
        <w:t> </w:t>
      </w:r>
      <w:r>
        <w:rPr/>
        <w:t>元</w:t>
      </w:r>
    </w:p>
    <w:p>
      <w:pPr>
        <w:spacing w:after="0" w:line="240" w:lineRule="auto"/>
        <w:jc w:val="left"/>
        <w:sectPr>
          <w:type w:val="continuous"/>
          <w:pgSz w:w="11910" w:h="16840"/>
          <w:pgMar w:top="1100" w:bottom="1160" w:left="740" w:right="720"/>
          <w:cols w:num="2" w:equalWidth="0">
            <w:col w:w="7986" w:space="709"/>
            <w:col w:w="1755"/>
          </w:cols>
        </w:sectPr>
      </w:pPr>
    </w:p>
    <w:p>
      <w:pPr>
        <w:spacing w:line="240" w:lineRule="auto" w:before="4"/>
        <w:rPr>
          <w:rFonts w:ascii="宋体" w:hAnsi="宋体" w:cs="宋体" w:eastAsia="宋体" w:hint="default"/>
          <w:sz w:val="2"/>
          <w:szCs w:val="2"/>
        </w:rPr>
      </w:pPr>
      <w:r>
        <w:rPr/>
        <w:pict>
          <v:group style="position:absolute;margin-left:54.84pt;margin-top:28.299982pt;width:485.65pt;height:40.15pt;mso-position-horizontal-relative:page;mso-position-vertical-relative:page;z-index:287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303" w:type="dxa"/>
        <w:tblLayout w:type="fixed"/>
        <w:tblCellMar>
          <w:top w:w="0" w:type="dxa"/>
          <w:left w:w="0" w:type="dxa"/>
          <w:bottom w:w="0" w:type="dxa"/>
          <w:right w:w="0" w:type="dxa"/>
        </w:tblCellMar>
        <w:tblLook w:val="01E0"/>
      </w:tblPr>
      <w:tblGrid>
        <w:gridCol w:w="2278"/>
        <w:gridCol w:w="1786"/>
        <w:gridCol w:w="1913"/>
        <w:gridCol w:w="1916"/>
        <w:gridCol w:w="1913"/>
      </w:tblGrid>
      <w:tr>
        <w:trPr>
          <w:trHeight w:val="55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71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铁岭市商业银行股份有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16,388,600.00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12.08%</w:t>
            </w:r>
          </w:p>
        </w:tc>
      </w:tr>
      <w:tr>
        <w:trPr>
          <w:trHeight w:val="28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10,043,227.80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7.40%</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中国联合网络通信有限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公司抚顺市分公司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9,009,415.00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6.64%</w:t>
            </w:r>
          </w:p>
        </w:tc>
      </w:tr>
      <w:tr>
        <w:trPr>
          <w:trHeight w:val="28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辽阳市第二人民医院</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4.11%</w:t>
            </w:r>
          </w:p>
        </w:tc>
      </w:tr>
      <w:tr>
        <w:trPr>
          <w:trHeight w:val="55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中国石油天然气股份有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限公司抚顺石化分公司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3,914,570.00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z w:val="21"/>
              </w:rPr>
              <w:t>2.89%</w:t>
            </w:r>
          </w:p>
        </w:tc>
      </w:tr>
      <w:tr>
        <w:trPr>
          <w:trHeight w:val="28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44,935,812.80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33.12%</w:t>
            </w:r>
          </w:p>
        </w:tc>
      </w:tr>
    </w:tbl>
    <w:p>
      <w:pPr>
        <w:pStyle w:val="Heading5"/>
        <w:spacing w:line="324" w:lineRule="auto" w:before="64"/>
        <w:ind w:left="392" w:right="7609"/>
        <w:jc w:val="left"/>
        <w:rPr>
          <w:rFonts w:ascii="宋体" w:hAnsi="宋体" w:cs="宋体" w:eastAsia="宋体" w:hint="default"/>
          <w:b w:val="0"/>
          <w:bCs w:val="0"/>
        </w:rPr>
      </w:pPr>
      <w:r>
        <w:rPr/>
        <w:t>（</w:t>
      </w:r>
      <w:r>
        <w:rPr>
          <w:rFonts w:ascii="宋体" w:hAnsi="宋体" w:cs="宋体" w:eastAsia="宋体" w:hint="default"/>
        </w:rPr>
        <w:t>6</w:t>
      </w:r>
      <w:r>
        <w:rPr/>
        <w:t>）应收关联方账款情况</w:t>
      </w:r>
      <w:r>
        <w:rPr>
          <w:w w:val="100"/>
        </w:rPr>
        <w:t> </w:t>
      </w:r>
      <w:r>
        <w:rPr>
          <w:rFonts w:ascii="宋体" w:hAnsi="宋体" w:cs="宋体" w:eastAsia="宋体" w:hint="default"/>
          <w:b w:val="0"/>
          <w:bCs w:val="0"/>
        </w:rPr>
        <w:t>无</w:t>
      </w:r>
    </w:p>
    <w:p>
      <w:pPr>
        <w:pStyle w:val="Heading5"/>
        <w:spacing w:line="326" w:lineRule="auto" w:before="23"/>
        <w:ind w:left="392" w:right="7187"/>
        <w:jc w:val="left"/>
        <w:rPr>
          <w:rFonts w:ascii="宋体" w:hAnsi="宋体" w:cs="宋体" w:eastAsia="宋体" w:hint="default"/>
          <w:b w:val="0"/>
          <w:bCs w:val="0"/>
        </w:rPr>
      </w:pPr>
      <w:r>
        <w:rPr/>
        <w:t>（</w:t>
      </w:r>
      <w:r>
        <w:rPr>
          <w:rFonts w:ascii="宋体" w:hAnsi="宋体" w:cs="宋体" w:eastAsia="宋体" w:hint="default"/>
        </w:rPr>
        <w:t>7</w:t>
      </w:r>
      <w:r>
        <w:rPr/>
        <w:t>）终止确认的应收款项情况</w:t>
      </w:r>
      <w:r>
        <w:rPr>
          <w:w w:val="100"/>
        </w:rPr>
        <w:t> </w:t>
      </w:r>
      <w:r>
        <w:rPr>
          <w:rFonts w:ascii="宋体" w:hAnsi="宋体" w:cs="宋体" w:eastAsia="宋体" w:hint="default"/>
          <w:b w:val="0"/>
          <w:bCs w:val="0"/>
        </w:rPr>
        <w:t>无</w:t>
      </w:r>
    </w:p>
    <w:p>
      <w:pPr>
        <w:pStyle w:val="Heading5"/>
        <w:spacing w:line="326" w:lineRule="auto" w:before="19"/>
        <w:ind w:left="392" w:right="2625"/>
        <w:jc w:val="left"/>
        <w:rPr>
          <w:rFonts w:ascii="宋体" w:hAnsi="宋体" w:cs="宋体" w:eastAsia="宋体" w:hint="default"/>
          <w:b w:val="0"/>
          <w:bCs w:val="0"/>
        </w:rPr>
      </w:pPr>
      <w:r>
        <w:rPr>
          <w:spacing w:val="-1"/>
        </w:rPr>
        <w:t>（</w:t>
      </w:r>
      <w:r>
        <w:rPr>
          <w:rFonts w:ascii="宋体" w:hAnsi="宋体" w:cs="宋体" w:eastAsia="宋体" w:hint="default"/>
          <w:spacing w:val="-1"/>
        </w:rPr>
        <w:t>8</w:t>
      </w:r>
      <w:r>
        <w:rPr>
          <w:spacing w:val="-1"/>
        </w:rPr>
        <w:t>）以应收款项为标的进行证券化的，列示继续涉入形成的资产、负债的金额</w:t>
      </w:r>
      <w:r>
        <w:rPr>
          <w:spacing w:val="-77"/>
        </w:rPr>
        <w:t> </w:t>
      </w:r>
      <w:r>
        <w:rPr>
          <w:spacing w:val="-77"/>
        </w:rPr>
      </w:r>
      <w:r>
        <w:rPr>
          <w:rFonts w:ascii="宋体" w:hAnsi="宋体" w:cs="宋体" w:eastAsia="宋体" w:hint="default"/>
          <w:b w:val="0"/>
          <w:bCs w:val="0"/>
        </w:rPr>
        <w:t>无</w:t>
      </w:r>
    </w:p>
    <w:p>
      <w:pPr>
        <w:pStyle w:val="Heading5"/>
        <w:spacing w:line="240" w:lineRule="auto" w:before="16"/>
        <w:ind w:left="392" w:right="7609"/>
        <w:jc w:val="left"/>
        <w:rPr>
          <w:b w:val="0"/>
          <w:bCs w:val="0"/>
        </w:rPr>
      </w:pPr>
      <w:r>
        <w:rPr>
          <w:rFonts w:ascii="宋体" w:hAnsi="宋体" w:cs="宋体" w:eastAsia="宋体" w:hint="default"/>
        </w:rPr>
        <w:t>7</w:t>
      </w:r>
      <w:r>
        <w:rPr/>
        <w:t>、其他应收款</w:t>
      </w:r>
      <w:r>
        <w:rPr>
          <w:b w:val="0"/>
          <w:bCs w:val="0"/>
        </w:rPr>
      </w:r>
    </w:p>
    <w:p>
      <w:pPr>
        <w:spacing w:line="240" w:lineRule="auto" w:before="2"/>
        <w:rPr>
          <w:rFonts w:ascii="宋体" w:hAnsi="宋体" w:cs="宋体" w:eastAsia="宋体" w:hint="default"/>
          <w:b/>
          <w:bCs/>
          <w:sz w:val="15"/>
          <w:szCs w:val="15"/>
        </w:rPr>
      </w:pPr>
    </w:p>
    <w:p>
      <w:pPr>
        <w:pStyle w:val="Heading5"/>
        <w:spacing w:line="240" w:lineRule="auto" w:before="36"/>
        <w:ind w:left="392" w:right="7187"/>
        <w:jc w:val="left"/>
        <w:rPr>
          <w:b w:val="0"/>
          <w:bCs w:val="0"/>
        </w:rPr>
      </w:pPr>
      <w:r>
        <w:rPr/>
        <w:t>（</w:t>
      </w:r>
      <w:r>
        <w:rPr>
          <w:rFonts w:ascii="宋体" w:hAnsi="宋体" w:cs="宋体" w:eastAsia="宋体" w:hint="default"/>
        </w:rPr>
        <w:t>1</w:t>
      </w:r>
      <w:r>
        <w:rPr/>
        <w:t>）其他应收款按种类披露</w:t>
      </w:r>
      <w:r>
        <w:rPr>
          <w:b w:val="0"/>
          <w:bCs w:val="0"/>
        </w:rPr>
      </w:r>
    </w:p>
    <w:p>
      <w:pPr>
        <w:pStyle w:val="BodyText"/>
        <w:spacing w:line="240" w:lineRule="auto" w:before="99"/>
        <w:ind w:left="0" w:right="40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47"/>
        <w:gridCol w:w="1354"/>
        <w:gridCol w:w="792"/>
        <w:gridCol w:w="1202"/>
        <w:gridCol w:w="795"/>
        <w:gridCol w:w="1517"/>
        <w:gridCol w:w="927"/>
        <w:gridCol w:w="1188"/>
        <w:gridCol w:w="792"/>
      </w:tblGrid>
      <w:tr>
        <w:trPr>
          <w:trHeight w:val="283" w:hRule="exact"/>
        </w:trPr>
        <w:tc>
          <w:tcPr>
            <w:tcW w:w="16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1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2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1" w:hRule="exact"/>
        </w:trPr>
        <w:tc>
          <w:tcPr>
            <w:tcW w:w="1647" w:type="dxa"/>
            <w:vMerge/>
            <w:tcBorders>
              <w:left w:val="single" w:sz="4" w:space="0" w:color="000000"/>
              <w:right w:val="single" w:sz="4" w:space="0" w:color="000000"/>
            </w:tcBorders>
            <w:shd w:val="clear" w:color="auto" w:fill="D2D2D2"/>
          </w:tcPr>
          <w:p>
            <w:pPr/>
          </w:p>
        </w:tc>
        <w:tc>
          <w:tcPr>
            <w:tcW w:w="21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647" w:type="dxa"/>
            <w:vMerge/>
            <w:tcBorders>
              <w:left w:val="single" w:sz="4" w:space="0" w:color="000000"/>
              <w:bottom w:val="single" w:sz="4" w:space="0" w:color="000000"/>
              <w:right w:val="single" w:sz="4" w:space="0" w:color="000000"/>
            </w:tcBorders>
            <w:shd w:val="clear" w:color="auto" w:fill="D2D2D2"/>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r>
      <w:tr>
        <w:trPr>
          <w:trHeight w:val="283" w:hRule="exact"/>
        </w:trPr>
        <w:tc>
          <w:tcPr>
            <w:tcW w:w="1021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554"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按账龄段组合的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 w:right="0"/>
              <w:jc w:val="center"/>
              <w:rPr>
                <w:rFonts w:ascii="宋体" w:hAnsi="宋体" w:cs="宋体" w:eastAsia="宋体" w:hint="default"/>
                <w:sz w:val="21"/>
                <w:szCs w:val="21"/>
              </w:rPr>
            </w:pPr>
            <w:r>
              <w:rPr>
                <w:rFonts w:ascii="宋体"/>
                <w:sz w:val="21"/>
              </w:rPr>
              <w:t>9,223,892.64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sz w:val="21"/>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sz w:val="21"/>
              </w:rPr>
              <w:t>843,396.55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9.14%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9,419,292.47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z w:val="21"/>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center"/>
              <w:rPr>
                <w:rFonts w:ascii="宋体" w:hAnsi="宋体" w:cs="宋体" w:eastAsia="宋体" w:hint="default"/>
                <w:sz w:val="21"/>
                <w:szCs w:val="21"/>
              </w:rPr>
            </w:pPr>
            <w:r>
              <w:rPr>
                <w:rFonts w:ascii="宋体"/>
                <w:sz w:val="21"/>
              </w:rPr>
              <w:t>524,393.64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z w:val="21"/>
              </w:rPr>
              <w:t>5.57%</w:t>
            </w:r>
          </w:p>
        </w:tc>
      </w:tr>
      <w:tr>
        <w:trPr>
          <w:trHeight w:val="281"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9,223,892.64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843,396.55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9.14%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9,419,292.47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524,393.64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5.57%</w:t>
            </w:r>
          </w:p>
        </w:tc>
      </w:tr>
      <w:tr>
        <w:trPr>
          <w:trHeight w:val="283"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9,223,892.64</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02"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843,396.55</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9,419,292.47</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88"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524,393.64</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r>
    </w:tbl>
    <w:p>
      <w:pPr>
        <w:pStyle w:val="BodyText"/>
        <w:spacing w:line="240" w:lineRule="exact"/>
        <w:ind w:left="392" w:right="7609"/>
        <w:jc w:val="left"/>
      </w:pPr>
      <w:r>
        <w:rPr/>
        <w:t>其他应收款种类的说明</w:t>
      </w:r>
    </w:p>
    <w:p>
      <w:pPr>
        <w:pStyle w:val="BodyText"/>
        <w:spacing w:line="272" w:lineRule="exact" w:before="27"/>
        <w:ind w:left="813" w:right="1745"/>
        <w:jc w:val="left"/>
      </w:pPr>
      <w:r>
        <w:rPr>
          <w:rFonts w:ascii="宋体" w:hAnsi="宋体" w:cs="宋体" w:eastAsia="宋体" w:hint="default"/>
        </w:rPr>
        <w:t>1.</w:t>
      </w:r>
      <w:r>
        <w:rPr/>
        <w:t>单项金额重大并单项计提坏账准备的应收款项</w:t>
      </w:r>
      <w:r>
        <w:rPr>
          <w:w w:val="100"/>
        </w:rPr>
        <w:t> </w:t>
      </w:r>
      <w:r>
        <w:rPr/>
        <w:t>单项金额重大的判断依据或金额标准：</w:t>
      </w:r>
      <w:r>
        <w:rPr>
          <w:spacing w:val="-7"/>
        </w:rPr>
        <w:t> </w:t>
      </w:r>
      <w:r>
        <w:rPr>
          <w:rFonts w:ascii="宋体" w:hAnsi="宋体" w:cs="宋体" w:eastAsia="宋体" w:hint="default"/>
        </w:rPr>
        <w:t>50</w:t>
      </w:r>
      <w:r>
        <w:rPr/>
        <w:t>万元以上其他应收款确定为单项金额重大。</w:t>
      </w:r>
    </w:p>
    <w:p>
      <w:pPr>
        <w:spacing w:after="0" w:line="272" w:lineRule="exact"/>
        <w:jc w:val="left"/>
        <w:sectPr>
          <w:type w:val="continuous"/>
          <w:pgSz w:w="11910" w:h="16840"/>
          <w:pgMar w:top="1100" w:bottom="1160" w:left="740" w:right="720"/>
        </w:sectPr>
      </w:pPr>
    </w:p>
    <w:p>
      <w:pPr>
        <w:spacing w:line="240" w:lineRule="auto" w:before="2"/>
        <w:rPr>
          <w:rFonts w:ascii="宋体" w:hAnsi="宋体" w:cs="宋体" w:eastAsia="宋体" w:hint="default"/>
          <w:sz w:val="20"/>
          <w:szCs w:val="20"/>
        </w:rPr>
      </w:pPr>
    </w:p>
    <w:p>
      <w:pPr>
        <w:pStyle w:val="BodyText"/>
        <w:spacing w:line="237" w:lineRule="auto" w:before="38"/>
        <w:ind w:right="424" w:firstLine="420"/>
        <w:jc w:val="both"/>
      </w:pPr>
      <w:r>
        <w:rPr>
          <w:spacing w:val="-2"/>
        </w:rPr>
        <w:t>单项金额重大并单项计提坏账准备的计提方法：对于单项金额重大的应收款项，单独进行减值测试。</w:t>
      </w:r>
      <w:r>
        <w:rPr>
          <w:w w:val="100"/>
        </w:rPr>
        <w:t> </w:t>
      </w:r>
      <w:r>
        <w:rPr>
          <w:spacing w:val="-2"/>
        </w:rPr>
        <w:t>有客观证据表明其发生了减值的，根据其未来现金流量现值低于其账面价值的差额，确认减值损失，并据</w:t>
      </w:r>
      <w:r>
        <w:rPr>
          <w:spacing w:val="-42"/>
        </w:rPr>
        <w:t> </w:t>
      </w:r>
      <w:r>
        <w:rPr>
          <w:spacing w:val="-42"/>
        </w:rPr>
      </w:r>
      <w:r>
        <w:rPr/>
        <w:t>此计提相应的坏账准备。</w:t>
      </w:r>
    </w:p>
    <w:p>
      <w:pPr>
        <w:pStyle w:val="BodyText"/>
        <w:spacing w:line="274" w:lineRule="exact" w:before="22"/>
        <w:ind w:left="573" w:right="0"/>
        <w:jc w:val="left"/>
      </w:pPr>
      <w:r>
        <w:rPr>
          <w:rFonts w:ascii="宋体" w:hAnsi="宋体" w:cs="宋体" w:eastAsia="宋体" w:hint="default"/>
        </w:rPr>
        <w:t>2</w:t>
      </w:r>
      <w:r>
        <w:rPr/>
        <w:t>．按组合计提坏账准备的应收款项</w:t>
      </w:r>
      <w:r>
        <w:rPr>
          <w:w w:val="100"/>
        </w:rPr>
        <w:t> </w:t>
      </w:r>
      <w:r>
        <w:rPr>
          <w:spacing w:val="-2"/>
        </w:rPr>
        <w:t>本公司将相同账龄的应收款项作为具有类似信用风险特征的组合，确定组合的依据及坏账准备的计提</w:t>
      </w:r>
    </w:p>
    <w:p>
      <w:pPr>
        <w:pStyle w:val="BodyText"/>
        <w:spacing w:line="245" w:lineRule="exact"/>
        <w:ind w:right="0"/>
        <w:jc w:val="left"/>
      </w:pPr>
      <w:r>
        <w:rPr/>
        <w:t>方法如下：</w:t>
      </w:r>
    </w:p>
    <w:p>
      <w:pPr>
        <w:pStyle w:val="BodyText"/>
        <w:spacing w:line="272" w:lineRule="exact" w:before="27"/>
        <w:ind w:left="573" w:right="0"/>
        <w:jc w:val="left"/>
      </w:pPr>
      <w:r>
        <w:rPr/>
        <w:t>（</w:t>
      </w:r>
      <w:r>
        <w:rPr>
          <w:rFonts w:ascii="宋体" w:hAnsi="宋体" w:cs="宋体" w:eastAsia="宋体" w:hint="default"/>
        </w:rPr>
        <w:t>1</w:t>
      </w:r>
      <w:r>
        <w:rPr/>
        <w:t>）对单项金额重大单独测试未发生减值的应收款项，本公司以账龄作为信用风险特征组合。</w:t>
      </w:r>
      <w:r>
        <w:rPr>
          <w:w w:val="100"/>
        </w:rPr>
        <w:t> </w:t>
      </w:r>
      <w:r>
        <w:rPr>
          <w:spacing w:val="-2"/>
        </w:rPr>
        <w:t>根据以前年度按账龄划分的各段应收款项实际损失率作为基础，结合现时情况确定本年各账龄段应收</w:t>
      </w:r>
    </w:p>
    <w:p>
      <w:pPr>
        <w:pStyle w:val="BodyText"/>
        <w:spacing w:line="247" w:lineRule="exact"/>
        <w:ind w:right="0"/>
        <w:jc w:val="left"/>
      </w:pPr>
      <w:r>
        <w:rPr/>
        <w:t>款项组合计提坏账准备的比例，据此计算本年应计提的坏账准备。</w:t>
      </w:r>
    </w:p>
    <w:p>
      <w:pPr>
        <w:pStyle w:val="BodyText"/>
        <w:spacing w:line="240" w:lineRule="auto"/>
        <w:ind w:right="0" w:firstLine="420"/>
        <w:jc w:val="left"/>
      </w:pPr>
      <w:r>
        <w:rPr>
          <w:spacing w:val="-2"/>
        </w:rPr>
        <w:t>（</w:t>
      </w:r>
      <w:r>
        <w:rPr>
          <w:rFonts w:ascii="宋体" w:hAnsi="宋体" w:cs="宋体" w:eastAsia="宋体" w:hint="default"/>
          <w:spacing w:val="-2"/>
        </w:rPr>
        <w:t>2</w:t>
      </w:r>
      <w:r>
        <w:rPr>
          <w:spacing w:val="-2"/>
        </w:rPr>
        <w:t>）对单项金额不重大的应收款项本公司以账龄作为信用风险特征组合。</w:t>
      </w:r>
      <w:r>
        <w:rPr>
          <w:w w:val="100"/>
        </w:rPr>
        <w:t> </w:t>
      </w:r>
      <w:r>
        <w:rPr/>
        <w:t>按账龄作为信用风险特征组合计提坏账准备的计提方法：账龄分析法</w:t>
      </w:r>
    </w:p>
    <w:p>
      <w:pPr>
        <w:pStyle w:val="BodyText"/>
        <w:spacing w:line="237" w:lineRule="auto"/>
        <w:ind w:right="0" w:firstLine="422"/>
        <w:jc w:val="left"/>
      </w:pPr>
      <w:r>
        <w:rPr>
          <w:rFonts w:ascii="宋体" w:hAnsi="宋体" w:cs="宋体" w:eastAsia="宋体" w:hint="default"/>
        </w:rPr>
        <w:t>3</w:t>
      </w:r>
      <w:r>
        <w:rPr/>
        <w:t>．单项金额不重大但单项计提坏账准备的应收款项</w:t>
      </w:r>
      <w:r>
        <w:rPr>
          <w:w w:val="100"/>
        </w:rPr>
        <w:t> </w:t>
      </w:r>
      <w:r>
        <w:rPr>
          <w:spacing w:val="-2"/>
        </w:rPr>
        <w:t>单项金额不重大但已有客观证据表明其发生了减值的应收款项，按账龄分析法计提的坏账准备不能反映实</w:t>
      </w:r>
      <w:r>
        <w:rPr>
          <w:spacing w:val="-43"/>
        </w:rPr>
        <w:t> </w:t>
      </w:r>
      <w:r>
        <w:rPr>
          <w:spacing w:val="-43"/>
        </w:rPr>
      </w:r>
      <w:r>
        <w:rPr>
          <w:spacing w:val="-2"/>
        </w:rPr>
        <w:t>际情况，本公司单独进行减值测试，根据其未来现金流量现值低于其账面价值的差额，确认减值损失，并</w:t>
      </w:r>
      <w:r>
        <w:rPr>
          <w:spacing w:val="-47"/>
        </w:rPr>
        <w:t> </w:t>
      </w:r>
      <w:r>
        <w:rPr>
          <w:spacing w:val="-47"/>
        </w:rPr>
      </w:r>
      <w:r>
        <w:rPr/>
        <w:t>据此计提相应的坏账准备。</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4" w:footer="979" w:top="1100" w:bottom="1160" w:left="980" w:right="680"/>
        </w:sectPr>
      </w:pPr>
    </w:p>
    <w:p>
      <w:pPr>
        <w:pStyle w:val="BodyText"/>
        <w:spacing w:line="273" w:lineRule="exact" w:before="36"/>
        <w:ind w:right="0"/>
        <w:jc w:val="left"/>
      </w:pPr>
      <w:r>
        <w:rPr>
          <w:spacing w:val="-2"/>
        </w:rPr>
        <w:t>期末单项金额重大并单项计提坏账准备的其他应收款</w:t>
      </w:r>
    </w:p>
    <w:p>
      <w:pPr>
        <w:pStyle w:val="BodyText"/>
        <w:spacing w:line="240" w:lineRule="auto"/>
        <w:ind w:right="0"/>
        <w:jc w:val="left"/>
      </w:pPr>
      <w:r>
        <w:rPr/>
        <w:t>□ 适用 √ 不适用</w:t>
      </w:r>
      <w:r>
        <w:rPr>
          <w:spacing w:val="-104"/>
        </w:rPr>
        <w:t> </w:t>
      </w:r>
      <w:r>
        <w:rPr>
          <w:spacing w:val="-104"/>
        </w:rPr>
      </w:r>
      <w:r>
        <w:rPr>
          <w:spacing w:val="-2"/>
        </w:rPr>
        <w:t>组合中，采用账龄分析法计提坏账准备的其他应收款</w:t>
      </w:r>
    </w:p>
    <w:p>
      <w:pPr>
        <w:pStyle w:val="BodyText"/>
        <w:spacing w:line="271" w:lineRule="exact"/>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160" w:left="980" w:right="680"/>
          <w:cols w:num="2" w:equalWidth="0">
            <w:col w:w="4988" w:space="3707"/>
            <w:col w:w="1555"/>
          </w:cols>
        </w:sectPr>
      </w:pPr>
    </w:p>
    <w:p>
      <w:pPr>
        <w:spacing w:line="240" w:lineRule="auto" w:before="4"/>
        <w:rPr>
          <w:rFonts w:ascii="宋体" w:hAnsi="宋体" w:cs="宋体" w:eastAsia="宋体" w:hint="default"/>
          <w:sz w:val="2"/>
          <w:szCs w:val="2"/>
        </w:rPr>
      </w:pPr>
      <w:r>
        <w:rPr/>
        <w:pict>
          <v:group style="position:absolute;margin-left:54.84pt;margin-top:28.299982pt;width:485.65pt;height:40.15pt;mso-position-horizontal-relative:page;mso-position-vertical-relative:page;z-index:289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848"/>
        <w:gridCol w:w="1841"/>
        <w:gridCol w:w="826"/>
        <w:gridCol w:w="1450"/>
        <w:gridCol w:w="1447"/>
        <w:gridCol w:w="884"/>
        <w:gridCol w:w="1668"/>
      </w:tblGrid>
      <w:tr>
        <w:trPr>
          <w:trHeight w:val="283"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1" w:hRule="exact"/>
        </w:trPr>
        <w:tc>
          <w:tcPr>
            <w:tcW w:w="1848" w:type="dxa"/>
            <w:vMerge/>
            <w:tcBorders>
              <w:left w:val="single" w:sz="4" w:space="0" w:color="000000"/>
              <w:right w:val="single" w:sz="4" w:space="0" w:color="000000"/>
            </w:tcBorders>
            <w:shd w:val="clear" w:color="auto" w:fill="D2D2D2"/>
          </w:tcPr>
          <w:p>
            <w:pPr/>
          </w:p>
        </w:tc>
        <w:tc>
          <w:tcPr>
            <w:tcW w:w="26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4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450" w:type="dxa"/>
            <w:vMerge/>
            <w:tcBorders>
              <w:left w:val="single" w:sz="4" w:space="0" w:color="000000"/>
              <w:bottom w:val="single" w:sz="4" w:space="0" w:color="000000"/>
              <w:right w:val="single" w:sz="4" w:space="0" w:color="000000"/>
            </w:tcBorders>
            <w:shd w:val="clear" w:color="auto" w:fill="D2D2D2"/>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284" w:hRule="exact"/>
        </w:trPr>
        <w:tc>
          <w:tcPr>
            <w:tcW w:w="996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28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5,262,102.64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57.05%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105,242.05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8,169,032.47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86.73%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161,880.64</w:t>
            </w: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5,262,102.64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57.05%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105,242.05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8,169,032.47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86.73%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161,880.64</w:t>
            </w:r>
          </w:p>
        </w:tc>
      </w:tr>
      <w:tr>
        <w:trPr>
          <w:trHeight w:val="28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2,761,530.00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29.94%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138,076.50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50,260.00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z w:val="21"/>
              </w:rPr>
              <w:t>0.53%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2,513.00</w:t>
            </w: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260.00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78.00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12.74%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360,000.00</w:t>
            </w:r>
          </w:p>
        </w:tc>
      </w:tr>
      <w:tr>
        <w:trPr>
          <w:trHeight w:val="28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1,200,000.00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13.01%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w:t>
            </w:r>
          </w:p>
        </w:tc>
        <w:tc>
          <w:tcPr>
            <w:tcW w:w="144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9,223,892.64</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843,396.55</w:t>
            </w:r>
          </w:p>
        </w:tc>
        <w:tc>
          <w:tcPr>
            <w:tcW w:w="1447" w:type="dxa"/>
            <w:tcBorders>
              <w:top w:val="single" w:sz="4" w:space="0" w:color="000000"/>
              <w:left w:val="single" w:sz="4" w:space="0" w:color="000000"/>
              <w:bottom w:val="single" w:sz="4" w:space="0" w:color="000000"/>
              <w:right w:val="single" w:sz="13" w:space="0" w:color="D2D2D2"/>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9,419,292.47</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sz w:val="21"/>
              </w:rPr>
              <w:t>--</w:t>
            </w:r>
          </w:p>
        </w:tc>
        <w:tc>
          <w:tcPr>
            <w:tcW w:w="1668" w:type="dxa"/>
            <w:tcBorders>
              <w:top w:val="single" w:sz="4" w:space="0" w:color="000000"/>
              <w:left w:val="single" w:sz="10"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524,393.64</w:t>
            </w: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组合中，采用余额百分比法计提坏账准备的其他应收款</w:t>
      </w:r>
    </w:p>
    <w:p>
      <w:pPr>
        <w:pStyle w:val="BodyText"/>
        <w:spacing w:line="240" w:lineRule="auto"/>
        <w:ind w:right="3753"/>
        <w:jc w:val="left"/>
      </w:pPr>
      <w:r>
        <w:rPr/>
        <w:t>□ 适用 √ 不适用</w:t>
      </w:r>
      <w:r>
        <w:rPr>
          <w:spacing w:val="-104"/>
        </w:rPr>
        <w:t> </w:t>
      </w:r>
      <w:r>
        <w:rPr>
          <w:spacing w:val="-104"/>
        </w:rPr>
      </w:r>
      <w:r>
        <w:rPr>
          <w:spacing w:val="-2"/>
        </w:rPr>
        <w:t>组合中，采用其他方法计提坏账准备的其他应收款</w:t>
      </w:r>
    </w:p>
    <w:p>
      <w:pPr>
        <w:pStyle w:val="BodyText"/>
        <w:spacing w:line="274" w:lineRule="exact" w:before="23"/>
        <w:ind w:right="3753"/>
        <w:jc w:val="left"/>
      </w:pPr>
      <w:r>
        <w:rPr/>
        <w:t>□ 适用 √ 不适用</w:t>
      </w:r>
      <w:r>
        <w:rPr>
          <w:spacing w:val="-104"/>
        </w:rPr>
        <w:t> </w:t>
      </w:r>
      <w:r>
        <w:rPr>
          <w:spacing w:val="-104"/>
        </w:rPr>
      </w:r>
      <w:r>
        <w:rPr>
          <w:spacing w:val="-2"/>
        </w:rPr>
        <w:t>期末单项金额虽不重大但单项计提坏账准备的其他应收款</w:t>
      </w:r>
    </w:p>
    <w:p>
      <w:pPr>
        <w:pStyle w:val="BodyText"/>
        <w:spacing w:line="246" w:lineRule="exact"/>
        <w:ind w:right="0"/>
        <w:jc w:val="left"/>
      </w:pPr>
      <w:r>
        <w:rPr/>
        <w:t>□ 适用 √</w:t>
      </w:r>
      <w:r>
        <w:rPr>
          <w:spacing w:val="1"/>
        </w:rPr>
        <w:t> </w:t>
      </w:r>
      <w:r>
        <w:rPr/>
        <w:t>不适用</w:t>
      </w:r>
    </w:p>
    <w:p>
      <w:pPr>
        <w:pStyle w:val="Heading5"/>
        <w:spacing w:line="324" w:lineRule="auto" w:before="97"/>
        <w:ind w:right="5963"/>
        <w:jc w:val="left"/>
        <w:rPr>
          <w:rFonts w:ascii="宋体" w:hAnsi="宋体" w:cs="宋体" w:eastAsia="宋体" w:hint="default"/>
          <w:b w:val="0"/>
          <w:bCs w:val="0"/>
        </w:rPr>
      </w:pPr>
      <w:r>
        <w:rPr/>
        <w:t>（</w:t>
      </w:r>
      <w:r>
        <w:rPr>
          <w:rFonts w:ascii="宋体" w:hAnsi="宋体" w:cs="宋体" w:eastAsia="宋体" w:hint="default"/>
        </w:rPr>
        <w:t>2</w:t>
      </w:r>
      <w:r>
        <w:rPr/>
        <w:t>）本报告期转回或收回的其他应收款情况</w:t>
      </w:r>
      <w:r>
        <w:rPr>
          <w:w w:val="100"/>
        </w:rPr>
        <w:t> </w:t>
      </w:r>
      <w:r>
        <w:rPr>
          <w:rFonts w:ascii="宋体" w:hAnsi="宋体" w:cs="宋体" w:eastAsia="宋体" w:hint="default"/>
          <w:b w:val="0"/>
          <w:bCs w:val="0"/>
        </w:rPr>
        <w:t>无</w:t>
      </w:r>
    </w:p>
    <w:p>
      <w:pPr>
        <w:pStyle w:val="Heading5"/>
        <w:spacing w:line="326" w:lineRule="auto" w:before="23"/>
        <w:ind w:right="6173"/>
        <w:jc w:val="left"/>
        <w:rPr>
          <w:rFonts w:ascii="宋体" w:hAnsi="宋体" w:cs="宋体" w:eastAsia="宋体" w:hint="default"/>
          <w:b w:val="0"/>
          <w:bCs w:val="0"/>
        </w:rPr>
      </w:pPr>
      <w:r>
        <w:rPr/>
        <w:t>（</w:t>
      </w:r>
      <w:r>
        <w:rPr>
          <w:rFonts w:ascii="宋体" w:hAnsi="宋体" w:cs="宋体" w:eastAsia="宋体" w:hint="default"/>
        </w:rPr>
        <w:t>3</w:t>
      </w:r>
      <w:r>
        <w:rPr/>
        <w:t>）本报告期实际核销的其他应收款情况</w:t>
      </w:r>
      <w:r>
        <w:rPr>
          <w:w w:val="100"/>
        </w:rPr>
        <w:t> </w:t>
      </w:r>
      <w:r>
        <w:rPr>
          <w:rFonts w:ascii="宋体" w:hAnsi="宋体" w:cs="宋体" w:eastAsia="宋体" w:hint="default"/>
          <w:b w:val="0"/>
          <w:bCs w:val="0"/>
        </w:rPr>
        <w:t>无</w:t>
      </w:r>
    </w:p>
    <w:p>
      <w:pPr>
        <w:pStyle w:val="Heading5"/>
        <w:spacing w:line="326" w:lineRule="auto" w:before="19"/>
        <w:ind w:right="2277"/>
        <w:jc w:val="left"/>
        <w:rPr>
          <w:rFonts w:ascii="宋体" w:hAnsi="宋体" w:cs="宋体" w:eastAsia="宋体" w:hint="default"/>
          <w:b w:val="0"/>
          <w:bCs w:val="0"/>
        </w:rPr>
      </w:pPr>
      <w:r>
        <w:rPr/>
        <w:t>（</w:t>
      </w:r>
      <w:r>
        <w:rPr>
          <w:rFonts w:ascii="宋体" w:hAnsi="宋体" w:cs="宋体" w:eastAsia="宋体" w:hint="default"/>
        </w:rPr>
        <w:t>4</w:t>
      </w:r>
      <w:r>
        <w:rPr/>
        <w:t>）本报告期其他应收款中持有公司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w w:val="100"/>
        </w:rPr>
        <w:t> </w:t>
      </w:r>
      <w:r>
        <w:rPr>
          <w:rFonts w:ascii="宋体" w:hAnsi="宋体" w:cs="宋体" w:eastAsia="宋体" w:hint="default"/>
          <w:b w:val="0"/>
          <w:bCs w:val="0"/>
        </w:rPr>
        <w:t>无</w:t>
      </w:r>
    </w:p>
    <w:p>
      <w:pPr>
        <w:pStyle w:val="Heading5"/>
        <w:spacing w:line="326" w:lineRule="auto" w:before="19"/>
        <w:ind w:right="6173"/>
        <w:jc w:val="left"/>
        <w:rPr>
          <w:rFonts w:ascii="宋体" w:hAnsi="宋体" w:cs="宋体" w:eastAsia="宋体" w:hint="default"/>
          <w:b w:val="0"/>
          <w:bCs w:val="0"/>
        </w:rPr>
      </w:pPr>
      <w:r>
        <w:rPr/>
        <w:t>（</w:t>
      </w:r>
      <w:r>
        <w:rPr>
          <w:rFonts w:ascii="宋体" w:hAnsi="宋体" w:cs="宋体" w:eastAsia="宋体" w:hint="default"/>
        </w:rPr>
        <w:t>5</w:t>
      </w:r>
      <w:r>
        <w:rPr/>
        <w:t>）金额较大的其他应收款的性质或内容</w:t>
      </w:r>
      <w:r>
        <w:rPr>
          <w:w w:val="100"/>
        </w:rPr>
        <w:t> </w:t>
      </w:r>
      <w:r>
        <w:rPr>
          <w:rFonts w:ascii="宋体" w:hAnsi="宋体" w:cs="宋体" w:eastAsia="宋体" w:hint="default"/>
          <w:b w:val="0"/>
          <w:bCs w:val="0"/>
        </w:rPr>
        <w:t>无</w:t>
      </w:r>
    </w:p>
    <w:p>
      <w:pPr>
        <w:spacing w:after="0" w:line="326" w:lineRule="auto"/>
        <w:jc w:val="left"/>
        <w:rPr>
          <w:rFonts w:ascii="宋体" w:hAnsi="宋体" w:cs="宋体" w:eastAsia="宋体" w:hint="default"/>
        </w:rPr>
        <w:sectPr>
          <w:type w:val="continuous"/>
          <w:pgSz w:w="11910" w:h="16840"/>
          <w:pgMar w:top="1100" w:bottom="1160" w:left="980" w:right="680"/>
        </w:sectPr>
      </w:pPr>
    </w:p>
    <w:p>
      <w:pPr>
        <w:spacing w:line="240" w:lineRule="auto" w:before="12"/>
        <w:rPr>
          <w:rFonts w:ascii="宋体" w:hAnsi="宋体" w:cs="宋体" w:eastAsia="宋体" w:hint="default"/>
          <w:sz w:val="19"/>
          <w:szCs w:val="19"/>
        </w:rPr>
      </w:pPr>
      <w:r>
        <w:rPr/>
        <w:pict>
          <v:group style="position:absolute;margin-left:54.84pt;margin-top:28.299982pt;width:485.65pt;height:40.15pt;mso-position-horizontal-relative:page;mso-position-vertical-relative:page;z-index:292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right="5868"/>
        <w:jc w:val="left"/>
        <w:rPr>
          <w:b w:val="0"/>
          <w:bCs w:val="0"/>
        </w:rPr>
      </w:pPr>
      <w:r>
        <w:rPr/>
        <w:t>（</w:t>
      </w:r>
      <w:r>
        <w:rPr>
          <w:rFonts w:ascii="宋体" w:hAnsi="宋体" w:cs="宋体" w:eastAsia="宋体" w:hint="default"/>
        </w:rPr>
        <w:t>6</w:t>
      </w:r>
      <w:r>
        <w:rPr/>
        <w:t>）其他应收款金额前五名单位情况</w:t>
      </w:r>
      <w:r>
        <w:rPr>
          <w:b w:val="0"/>
          <w:bCs w:val="0"/>
        </w:rPr>
      </w:r>
    </w:p>
    <w:p>
      <w:pPr>
        <w:pStyle w:val="BodyText"/>
        <w:spacing w:line="240" w:lineRule="auto" w:before="99"/>
        <w:ind w:left="0" w:right="24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2110"/>
      </w:tblGrid>
      <w:tr>
        <w:trPr>
          <w:trHeight w:val="55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占其他应收款总额的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沈阳铁路</w:t>
            </w:r>
            <w:r>
              <w:rPr>
                <w:rFonts w:ascii="宋体" w:hAnsi="宋体" w:cs="宋体" w:eastAsia="宋体" w:hint="default"/>
                <w:spacing w:val="-60"/>
                <w:sz w:val="21"/>
                <w:szCs w:val="21"/>
              </w:rPr>
              <w:t> </w:t>
            </w:r>
            <w:r>
              <w:rPr>
                <w:rFonts w:ascii="宋体" w:hAnsi="宋体" w:cs="宋体" w:eastAsia="宋体" w:hint="default"/>
                <w:spacing w:val="16"/>
                <w:sz w:val="21"/>
                <w:szCs w:val="21"/>
              </w:rPr>
              <w:t>机械学校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基建办公室</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14.31%</w:t>
            </w: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辽宁东方</w:t>
            </w:r>
            <w:r>
              <w:rPr>
                <w:rFonts w:ascii="宋体" w:hAnsi="宋体" w:cs="宋体" w:eastAsia="宋体" w:hint="default"/>
                <w:spacing w:val="-60"/>
                <w:sz w:val="21"/>
                <w:szCs w:val="21"/>
              </w:rPr>
              <w:t> </w:t>
            </w:r>
            <w:r>
              <w:rPr>
                <w:rFonts w:ascii="宋体" w:hAnsi="宋体" w:cs="宋体" w:eastAsia="宋体" w:hint="default"/>
                <w:spacing w:val="16"/>
                <w:sz w:val="21"/>
                <w:szCs w:val="21"/>
              </w:rPr>
              <w:t>瑞德建筑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装饰工程有限公司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提供装修服务商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13.01%</w:t>
            </w: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沈阳市政</w:t>
            </w:r>
            <w:r>
              <w:rPr>
                <w:rFonts w:ascii="宋体" w:hAnsi="宋体" w:cs="宋体" w:eastAsia="宋体" w:hint="default"/>
                <w:spacing w:val="-60"/>
                <w:sz w:val="21"/>
                <w:szCs w:val="21"/>
              </w:rPr>
              <w:t> </w:t>
            </w:r>
            <w:r>
              <w:rPr>
                <w:rFonts w:ascii="宋体" w:hAnsi="宋体" w:cs="宋体" w:eastAsia="宋体" w:hint="default"/>
                <w:spacing w:val="16"/>
                <w:sz w:val="21"/>
                <w:szCs w:val="21"/>
              </w:rPr>
              <w:t>府采购中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579,140.00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6.28%</w:t>
            </w:r>
          </w:p>
        </w:tc>
      </w:tr>
      <w:tr>
        <w:trPr>
          <w:trHeight w:val="55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中邮通信</w:t>
            </w:r>
            <w:r>
              <w:rPr>
                <w:rFonts w:ascii="宋体" w:hAnsi="宋体" w:cs="宋体" w:eastAsia="宋体" w:hint="default"/>
                <w:spacing w:val="-60"/>
                <w:sz w:val="21"/>
                <w:szCs w:val="21"/>
              </w:rPr>
              <w:t> </w:t>
            </w:r>
            <w:r>
              <w:rPr>
                <w:rFonts w:ascii="宋体" w:hAnsi="宋体" w:cs="宋体" w:eastAsia="宋体" w:hint="default"/>
                <w:spacing w:val="16"/>
                <w:sz w:val="21"/>
                <w:szCs w:val="21"/>
              </w:rPr>
              <w:t>设备沈阳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523,000.00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5.67%</w:t>
            </w: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铁岭市商</w:t>
            </w:r>
            <w:r>
              <w:rPr>
                <w:rFonts w:ascii="宋体" w:hAnsi="宋体" w:cs="宋体" w:eastAsia="宋体" w:hint="default"/>
                <w:spacing w:val="-60"/>
                <w:sz w:val="21"/>
                <w:szCs w:val="21"/>
              </w:rPr>
              <w:t> </w:t>
            </w:r>
            <w:r>
              <w:rPr>
                <w:rFonts w:ascii="宋体" w:hAnsi="宋体" w:cs="宋体" w:eastAsia="宋体" w:hint="default"/>
                <w:spacing w:val="16"/>
                <w:sz w:val="21"/>
                <w:szCs w:val="21"/>
              </w:rPr>
              <w:t>业银行股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466,880.00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5.06%</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3" w:right="0"/>
              <w:jc w:val="center"/>
              <w:rPr>
                <w:rFonts w:ascii="宋体" w:hAnsi="宋体" w:cs="宋体" w:eastAsia="宋体" w:hint="default"/>
                <w:sz w:val="21"/>
                <w:szCs w:val="21"/>
              </w:rPr>
            </w:pPr>
            <w:r>
              <w:rPr>
                <w:rFonts w:ascii="宋体"/>
                <w:w w:val="100"/>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sz w:val="21"/>
              </w:rPr>
              <w:t>4,089,020.00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2110" w:type="dxa"/>
            <w:tcBorders>
              <w:top w:val="single" w:sz="4" w:space="0" w:color="000000"/>
              <w:left w:val="single" w:sz="13" w:space="0" w:color="D2D2D2"/>
              <w:bottom w:val="single" w:sz="4" w:space="0" w:color="000000"/>
              <w:right w:val="single" w:sz="4" w:space="0" w:color="000000"/>
            </w:tcBorders>
          </w:tcPr>
          <w:p>
            <w:pPr>
              <w:pStyle w:val="TableParagraph"/>
              <w:spacing w:line="243" w:lineRule="exact"/>
              <w:ind w:right="6"/>
              <w:jc w:val="center"/>
              <w:rPr>
                <w:rFonts w:ascii="宋体" w:hAnsi="宋体" w:cs="宋体" w:eastAsia="宋体" w:hint="default"/>
                <w:sz w:val="21"/>
                <w:szCs w:val="21"/>
              </w:rPr>
            </w:pPr>
            <w:r>
              <w:rPr>
                <w:rFonts w:ascii="宋体"/>
                <w:sz w:val="21"/>
              </w:rPr>
              <w:t>44.33%</w:t>
            </w:r>
          </w:p>
        </w:tc>
      </w:tr>
    </w:tbl>
    <w:p>
      <w:pPr>
        <w:pStyle w:val="Heading5"/>
        <w:spacing w:line="326" w:lineRule="auto" w:before="64"/>
        <w:ind w:right="7027"/>
        <w:jc w:val="left"/>
        <w:rPr>
          <w:rFonts w:ascii="宋体" w:hAnsi="宋体" w:cs="宋体" w:eastAsia="宋体" w:hint="default"/>
          <w:b w:val="0"/>
          <w:bCs w:val="0"/>
        </w:rPr>
      </w:pPr>
      <w:r>
        <w:rPr/>
        <w:t>（</w:t>
      </w:r>
      <w:r>
        <w:rPr>
          <w:rFonts w:ascii="宋体" w:hAnsi="宋体" w:cs="宋体" w:eastAsia="宋体" w:hint="default"/>
        </w:rPr>
        <w:t>7</w:t>
      </w:r>
      <w:r>
        <w:rPr/>
        <w:t>）其他应收关联方账款情况</w:t>
      </w:r>
      <w:r>
        <w:rPr>
          <w:w w:val="100"/>
        </w:rPr>
        <w:t> </w:t>
      </w:r>
      <w:r>
        <w:rPr>
          <w:rFonts w:ascii="宋体" w:hAnsi="宋体" w:cs="宋体" w:eastAsia="宋体" w:hint="default"/>
          <w:b w:val="0"/>
          <w:bCs w:val="0"/>
        </w:rPr>
        <w:t>无</w:t>
      </w:r>
    </w:p>
    <w:p>
      <w:pPr>
        <w:pStyle w:val="Heading5"/>
        <w:spacing w:line="326" w:lineRule="auto" w:before="19"/>
        <w:ind w:right="6501"/>
        <w:jc w:val="left"/>
        <w:rPr>
          <w:rFonts w:ascii="宋体" w:hAnsi="宋体" w:cs="宋体" w:eastAsia="宋体" w:hint="default"/>
          <w:b w:val="0"/>
          <w:bCs w:val="0"/>
        </w:rPr>
      </w:pPr>
      <w:r>
        <w:rPr>
          <w:spacing w:val="-1"/>
        </w:rPr>
        <w:t>（</w:t>
      </w:r>
      <w:r>
        <w:rPr>
          <w:rFonts w:ascii="宋体" w:hAnsi="宋体" w:cs="宋体" w:eastAsia="宋体" w:hint="default"/>
          <w:spacing w:val="-1"/>
        </w:rPr>
        <w:t>8</w:t>
      </w:r>
      <w:r>
        <w:rPr>
          <w:spacing w:val="-1"/>
        </w:rPr>
        <w:t>）终止确认的其他应收款项情况</w:t>
      </w:r>
      <w:r>
        <w:rPr>
          <w:spacing w:val="-91"/>
        </w:rPr>
        <w:t> </w:t>
      </w:r>
      <w:r>
        <w:rPr>
          <w:spacing w:val="-91"/>
        </w:rPr>
      </w:r>
      <w:r>
        <w:rPr>
          <w:rFonts w:ascii="宋体" w:hAnsi="宋体" w:cs="宋体" w:eastAsia="宋体" w:hint="default"/>
          <w:b w:val="0"/>
          <w:bCs w:val="0"/>
        </w:rPr>
        <w:t>无</w:t>
      </w:r>
    </w:p>
    <w:p>
      <w:pPr>
        <w:pStyle w:val="Heading5"/>
        <w:spacing w:line="326" w:lineRule="auto" w:before="21"/>
        <w:ind w:right="2255"/>
        <w:jc w:val="left"/>
        <w:rPr>
          <w:rFonts w:ascii="宋体" w:hAnsi="宋体" w:cs="宋体" w:eastAsia="宋体" w:hint="default"/>
          <w:b w:val="0"/>
          <w:bCs w:val="0"/>
        </w:rPr>
      </w:pPr>
      <w:r>
        <w:rPr>
          <w:spacing w:val="-1"/>
        </w:rPr>
        <w:t>（</w:t>
      </w:r>
      <w:r>
        <w:rPr>
          <w:rFonts w:ascii="宋体" w:hAnsi="宋体" w:cs="宋体" w:eastAsia="宋体" w:hint="default"/>
          <w:spacing w:val="-1"/>
        </w:rPr>
        <w:t>9</w:t>
      </w:r>
      <w:r>
        <w:rPr>
          <w:spacing w:val="-1"/>
        </w:rPr>
        <w:t>）以其他应收款为标的进行证券化的，列示继续涉入形成的资产、负债的金额</w:t>
      </w:r>
      <w:r>
        <w:rPr>
          <w:spacing w:val="-75"/>
        </w:rPr>
        <w:t> </w:t>
      </w:r>
      <w:r>
        <w:rPr>
          <w:spacing w:val="-75"/>
        </w:rPr>
      </w:r>
      <w:r>
        <w:rPr>
          <w:rFonts w:ascii="宋体" w:hAnsi="宋体" w:cs="宋体" w:eastAsia="宋体" w:hint="default"/>
          <w:b w:val="0"/>
          <w:bCs w:val="0"/>
        </w:rPr>
        <w:t>无</w:t>
      </w:r>
    </w:p>
    <w:p>
      <w:pPr>
        <w:pStyle w:val="Heading5"/>
        <w:spacing w:line="240" w:lineRule="auto" w:before="17"/>
        <w:ind w:right="5868"/>
        <w:jc w:val="left"/>
        <w:rPr>
          <w:b w:val="0"/>
          <w:bCs w:val="0"/>
        </w:rPr>
      </w:pPr>
      <w:r>
        <w:rPr>
          <w:rFonts w:ascii="宋体" w:hAnsi="宋体" w:cs="宋体" w:eastAsia="宋体" w:hint="default"/>
        </w:rPr>
        <w:t>8</w:t>
      </w:r>
      <w:r>
        <w:rPr/>
        <w:t>、预付款项</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right="5868"/>
        <w:jc w:val="left"/>
        <w:rPr>
          <w:b w:val="0"/>
          <w:bCs w:val="0"/>
        </w:rPr>
      </w:pPr>
      <w:r>
        <w:rPr/>
        <w:t>（</w:t>
      </w:r>
      <w:r>
        <w:rPr>
          <w:rFonts w:ascii="宋体" w:hAnsi="宋体" w:cs="宋体" w:eastAsia="宋体" w:hint="default"/>
        </w:rPr>
        <w:t>1</w:t>
      </w:r>
      <w:r>
        <w:rPr/>
        <w:t>）预付款项按账龄列示</w:t>
      </w:r>
      <w:r>
        <w:rPr>
          <w:b w:val="0"/>
          <w:bCs w:val="0"/>
        </w:rPr>
      </w:r>
    </w:p>
    <w:p>
      <w:pPr>
        <w:pStyle w:val="BodyText"/>
        <w:spacing w:line="240" w:lineRule="auto" w:before="99"/>
        <w:ind w:left="0" w:right="354"/>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71"/>
        <w:gridCol w:w="3056"/>
        <w:gridCol w:w="1061"/>
      </w:tblGrid>
      <w:tr>
        <w:trPr>
          <w:trHeight w:val="144"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37"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69"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3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3056"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14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305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28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16,906,189.09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sz w:val="21"/>
              </w:rPr>
              <w:t>100%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2,987,347.22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100%</w:t>
            </w:r>
          </w:p>
        </w:tc>
      </w:tr>
      <w:tr>
        <w:trPr>
          <w:trHeight w:val="28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16,906,189.09</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23"/>
              <w:jc w:val="right"/>
              <w:rPr>
                <w:rFonts w:ascii="宋体" w:hAnsi="宋体" w:cs="宋体" w:eastAsia="宋体" w:hint="default"/>
                <w:sz w:val="21"/>
                <w:szCs w:val="21"/>
              </w:rPr>
            </w:pPr>
            <w:r>
              <w:rPr>
                <w:rFonts w:ascii="宋体"/>
                <w:sz w:val="21"/>
              </w:rPr>
              <w:t>--</w:t>
            </w:r>
          </w:p>
        </w:tc>
        <w:tc>
          <w:tcPr>
            <w:tcW w:w="3056" w:type="dxa"/>
            <w:tcBorders>
              <w:top w:val="single" w:sz="4" w:space="0" w:color="000000"/>
              <w:left w:val="single" w:sz="12" w:space="0" w:color="D2D2D2"/>
              <w:bottom w:val="single" w:sz="4" w:space="0" w:color="000000"/>
              <w:right w:val="single" w:sz="13" w:space="0" w:color="D2D2D2"/>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2,987,347.22</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19"/>
              <w:jc w:val="right"/>
              <w:rPr>
                <w:rFonts w:ascii="宋体" w:hAnsi="宋体" w:cs="宋体" w:eastAsia="宋体" w:hint="default"/>
                <w:sz w:val="21"/>
                <w:szCs w:val="21"/>
              </w:rPr>
            </w:pPr>
            <w:r>
              <w:rPr>
                <w:rFonts w:ascii="宋体"/>
                <w:sz w:val="21"/>
              </w:rPr>
              <w:t>--</w:t>
            </w:r>
          </w:p>
        </w:tc>
      </w:tr>
    </w:tbl>
    <w:p>
      <w:pPr>
        <w:pStyle w:val="BodyText"/>
        <w:spacing w:line="240" w:lineRule="exact"/>
        <w:ind w:right="5868"/>
        <w:jc w:val="left"/>
      </w:pPr>
      <w:r>
        <w:rPr/>
        <w:t>预付款项账龄的说明</w:t>
      </w:r>
    </w:p>
    <w:p>
      <w:pPr>
        <w:pStyle w:val="BodyText"/>
        <w:spacing w:line="274" w:lineRule="exact"/>
        <w:ind w:right="0"/>
        <w:jc w:val="left"/>
      </w:pPr>
      <w:r>
        <w:rPr/>
        <w:t>按预付款项的发生年限进行分析，本年度无账龄超过一年以上的款项。</w:t>
      </w:r>
    </w:p>
    <w:p>
      <w:pPr>
        <w:spacing w:line="240" w:lineRule="auto" w:before="9"/>
        <w:rPr>
          <w:rFonts w:ascii="宋体" w:hAnsi="宋体" w:cs="宋体" w:eastAsia="宋体" w:hint="default"/>
          <w:sz w:val="22"/>
          <w:szCs w:val="22"/>
        </w:rPr>
      </w:pPr>
    </w:p>
    <w:p>
      <w:pPr>
        <w:pStyle w:val="Heading5"/>
        <w:spacing w:line="240" w:lineRule="auto"/>
        <w:ind w:right="5868"/>
        <w:jc w:val="left"/>
        <w:rPr>
          <w:b w:val="0"/>
          <w:bCs w:val="0"/>
        </w:rPr>
      </w:pPr>
      <w:r>
        <w:rPr/>
        <w:t>（</w:t>
      </w:r>
      <w:r>
        <w:rPr>
          <w:rFonts w:ascii="宋体" w:hAnsi="宋体" w:cs="宋体" w:eastAsia="宋体" w:hint="default"/>
        </w:rPr>
        <w:t>2</w:t>
      </w:r>
      <w:r>
        <w:rPr/>
        <w:t>）预付款项金额前五名单位情况</w:t>
      </w:r>
      <w:r>
        <w:rPr>
          <w:b w:val="0"/>
          <w:bCs w:val="0"/>
        </w:rPr>
      </w:r>
    </w:p>
    <w:p>
      <w:pPr>
        <w:spacing w:line="240" w:lineRule="auto" w:before="1"/>
        <w:rPr>
          <w:rFonts w:ascii="宋体" w:hAnsi="宋体" w:cs="宋体" w:eastAsia="宋体" w:hint="default"/>
          <w:b/>
          <w:bCs/>
          <w:sz w:val="20"/>
          <w:szCs w:val="20"/>
        </w:rPr>
      </w:pPr>
    </w:p>
    <w:p>
      <w:pPr>
        <w:pStyle w:val="BodyText"/>
        <w:spacing w:line="240" w:lineRule="auto" w:before="36"/>
        <w:ind w:left="0" w:right="460"/>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28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国际商业机器（中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2,270,000.00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北京网信未来信息</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北京融鑫顺通电子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1,610,000.00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沈阳山盟建设集团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982,950.00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55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北京中青旅创格科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974,852.00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7,757,802.00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884" w:footer="979" w:top="1100" w:bottom="1160" w:left="980" w:right="8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94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501" w:lineRule="auto" w:before="36"/>
        <w:ind w:left="392" w:right="2217"/>
        <w:jc w:val="left"/>
        <w:rPr>
          <w:rFonts w:ascii="宋体" w:hAnsi="宋体" w:cs="宋体" w:eastAsia="宋体" w:hint="default"/>
          <w:b w:val="0"/>
          <w:bCs w:val="0"/>
        </w:rPr>
      </w:pPr>
      <w:r>
        <w:rPr/>
        <w:t>（</w:t>
      </w:r>
      <w:r>
        <w:rPr>
          <w:rFonts w:ascii="宋体" w:hAnsi="宋体" w:cs="宋体" w:eastAsia="宋体" w:hint="default"/>
        </w:rPr>
        <w:t>3</w:t>
      </w:r>
      <w:r>
        <w:rPr/>
        <w:t>）本报告期预付款项中持有本公司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w w:val="100"/>
        </w:rPr>
        <w:t> </w:t>
      </w:r>
      <w:r>
        <w:rPr>
          <w:rFonts w:ascii="宋体" w:hAnsi="宋体" w:cs="宋体" w:eastAsia="宋体" w:hint="default"/>
          <w:b w:val="0"/>
          <w:bCs w:val="0"/>
        </w:rPr>
        <w:t>无</w:t>
      </w:r>
    </w:p>
    <w:p>
      <w:pPr>
        <w:pStyle w:val="Heading5"/>
        <w:spacing w:line="240" w:lineRule="auto" w:before="67"/>
        <w:ind w:left="392" w:right="2217"/>
        <w:jc w:val="left"/>
        <w:rPr>
          <w:b w:val="0"/>
          <w:bCs w:val="0"/>
        </w:rPr>
      </w:pPr>
      <w:r>
        <w:rPr/>
        <w:t>（</w:t>
      </w:r>
      <w:r>
        <w:rPr>
          <w:rFonts w:ascii="宋体" w:hAnsi="宋体" w:cs="宋体" w:eastAsia="宋体" w:hint="default"/>
        </w:rPr>
        <w:t>4</w:t>
      </w:r>
      <w:r>
        <w:rPr/>
        <w:t>）预付款项的说明</w:t>
      </w:r>
      <w:r>
        <w:rPr>
          <w:b w:val="0"/>
          <w:bCs w:val="0"/>
        </w:rPr>
      </w:r>
    </w:p>
    <w:p>
      <w:pPr>
        <w:spacing w:line="240" w:lineRule="auto" w:before="11"/>
        <w:rPr>
          <w:rFonts w:ascii="宋体" w:hAnsi="宋体" w:cs="宋体" w:eastAsia="宋体" w:hint="default"/>
          <w:b/>
          <w:bCs/>
          <w:sz w:val="22"/>
          <w:szCs w:val="22"/>
        </w:rPr>
      </w:pPr>
    </w:p>
    <w:p>
      <w:pPr>
        <w:spacing w:line="321" w:lineRule="auto" w:before="0"/>
        <w:ind w:left="392" w:right="9276"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pStyle w:val="Heading5"/>
        <w:spacing w:line="240" w:lineRule="auto" w:before="36"/>
        <w:ind w:left="392" w:right="2217"/>
        <w:jc w:val="left"/>
        <w:rPr>
          <w:b w:val="0"/>
          <w:bCs w:val="0"/>
        </w:rPr>
      </w:pPr>
      <w:r>
        <w:rPr/>
        <w:t>（</w:t>
      </w:r>
      <w:r>
        <w:rPr>
          <w:rFonts w:ascii="宋体" w:hAnsi="宋体" w:cs="宋体" w:eastAsia="宋体" w:hint="default"/>
        </w:rPr>
        <w:t>1</w:t>
      </w:r>
      <w:r>
        <w:rPr/>
        <w:t>）存货分类</w:t>
      </w:r>
      <w:r>
        <w:rPr>
          <w:b w:val="0"/>
          <w:bCs w:val="0"/>
        </w:rPr>
      </w:r>
    </w:p>
    <w:p>
      <w:pPr>
        <w:pStyle w:val="BodyText"/>
        <w:spacing w:line="240" w:lineRule="auto" w:before="99"/>
        <w:ind w:left="0" w:right="38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00"/>
        <w:gridCol w:w="1459"/>
        <w:gridCol w:w="1195"/>
        <w:gridCol w:w="1522"/>
        <w:gridCol w:w="1471"/>
        <w:gridCol w:w="1328"/>
        <w:gridCol w:w="1613"/>
      </w:tblGrid>
      <w:tr>
        <w:trPr>
          <w:trHeight w:val="147"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1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32" w:hRule="exact"/>
        </w:trPr>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76" w:type="dxa"/>
            <w:gridSpan w:val="3"/>
            <w:vMerge/>
            <w:tcBorders>
              <w:left w:val="single" w:sz="4" w:space="0" w:color="000000"/>
              <w:bottom w:val="single" w:sz="4" w:space="0" w:color="000000"/>
              <w:right w:val="single" w:sz="4" w:space="0" w:color="000000"/>
            </w:tcBorders>
            <w:shd w:val="clear" w:color="auto" w:fill="D2D2D2"/>
          </w:tcPr>
          <w:p>
            <w:pPr/>
          </w:p>
        </w:tc>
        <w:tc>
          <w:tcPr>
            <w:tcW w:w="4412" w:type="dxa"/>
            <w:gridSpan w:val="3"/>
            <w:vMerge/>
            <w:tcBorders>
              <w:left w:val="single" w:sz="4" w:space="0" w:color="000000"/>
              <w:bottom w:val="single" w:sz="4" w:space="0" w:color="000000"/>
              <w:right w:val="single" w:sz="4" w:space="0" w:color="000000"/>
            </w:tcBorders>
            <w:shd w:val="clear" w:color="auto" w:fill="D2D2D2"/>
          </w:tcPr>
          <w:p>
            <w:pPr/>
          </w:p>
        </w:tc>
      </w:tr>
      <w:tr>
        <w:trPr>
          <w:trHeight w:val="14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3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17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2"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33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1"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3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3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13"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38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4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shd w:val="clear" w:color="auto" w:fill="D2D2D2"/>
          </w:tcPr>
          <w:p>
            <w:pPr/>
          </w:p>
        </w:tc>
        <w:tc>
          <w:tcPr>
            <w:tcW w:w="1471"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613" w:type="dxa"/>
            <w:vMerge/>
            <w:tcBorders>
              <w:left w:val="single" w:sz="4" w:space="0" w:color="000000"/>
              <w:bottom w:val="single" w:sz="4" w:space="0" w:color="000000"/>
              <w:right w:val="single" w:sz="4" w:space="0" w:color="000000"/>
            </w:tcBorders>
            <w:shd w:val="clear" w:color="auto" w:fill="D2D2D2"/>
          </w:tcPr>
          <w:p>
            <w:pPr/>
          </w:p>
        </w:tc>
      </w:tr>
      <w:tr>
        <w:trPr>
          <w:trHeight w:val="28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3,931,877.60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3,931,877.60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3,589,607.65</w:t>
            </w:r>
          </w:p>
        </w:tc>
        <w:tc>
          <w:tcPr>
            <w:tcW w:w="132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3,589,607.65</w:t>
            </w:r>
          </w:p>
        </w:tc>
      </w:tr>
      <w:tr>
        <w:trPr>
          <w:trHeight w:val="28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20,279,802.44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20,279,802.44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9,293,814.61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9,293,814.61</w:t>
            </w:r>
          </w:p>
        </w:tc>
      </w:tr>
      <w:tr>
        <w:trPr>
          <w:trHeight w:val="28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60,847.70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60,847.70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69,580.87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69,580.87</w:t>
            </w:r>
          </w:p>
        </w:tc>
      </w:tr>
      <w:tr>
        <w:trPr>
          <w:trHeight w:val="28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24,272,527.74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24,272,527.74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12,953,003.13</w:t>
            </w:r>
          </w:p>
        </w:tc>
        <w:tc>
          <w:tcPr>
            <w:tcW w:w="132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12,953,003.13</w:t>
            </w:r>
          </w:p>
        </w:tc>
      </w:tr>
    </w:tbl>
    <w:p>
      <w:pPr>
        <w:pStyle w:val="Heading5"/>
        <w:spacing w:line="324" w:lineRule="auto" w:before="64"/>
        <w:ind w:left="392" w:right="8222"/>
        <w:jc w:val="left"/>
        <w:rPr>
          <w:b w:val="0"/>
          <w:bCs w:val="0"/>
        </w:rPr>
      </w:pPr>
      <w:r>
        <w:rPr/>
        <w:t>（</w:t>
      </w:r>
      <w:r>
        <w:rPr>
          <w:rFonts w:ascii="宋体" w:hAnsi="宋体" w:cs="宋体" w:eastAsia="宋体" w:hint="default"/>
        </w:rPr>
        <w:t>2</w:t>
      </w:r>
      <w:r>
        <w:rPr/>
        <w:t>）存货跌价准备</w:t>
      </w:r>
      <w:r>
        <w:rPr>
          <w:w w:val="100"/>
        </w:rPr>
        <w:t> </w:t>
      </w: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10</w:t>
      </w:r>
      <w:r>
        <w:rPr/>
        <w:t>、其他流动资产</w:t>
      </w:r>
      <w:r>
        <w:rPr>
          <w:b w:val="0"/>
          <w:bCs w:val="0"/>
        </w:rPr>
      </w:r>
    </w:p>
    <w:p>
      <w:pPr>
        <w:pStyle w:val="BodyText"/>
        <w:spacing w:line="240" w:lineRule="auto" w:before="107"/>
        <w:ind w:left="0" w:right="388"/>
        <w:jc w:val="right"/>
      </w:pPr>
      <w:r>
        <w:rPr/>
        <w:t>单位：</w:t>
      </w:r>
      <w:r>
        <w:rPr>
          <w:spacing w:val="2"/>
        </w:rPr>
        <w:t> </w:t>
      </w:r>
      <w:r>
        <w:rPr/>
        <w:t>元</w:t>
      </w:r>
    </w:p>
    <w:p>
      <w:pPr>
        <w:spacing w:line="240" w:lineRule="auto" w:before="5"/>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3675"/>
        <w:gridCol w:w="2921"/>
        <w:gridCol w:w="3380"/>
      </w:tblGrid>
      <w:tr>
        <w:trPr>
          <w:trHeight w:val="282"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right="1618"/>
              <w:jc w:val="right"/>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待摊物业费</w:t>
            </w:r>
          </w:p>
        </w:tc>
        <w:tc>
          <w:tcPr>
            <w:tcW w:w="2921"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36,067.82</w:t>
            </w:r>
          </w:p>
        </w:tc>
      </w:tr>
      <w:tr>
        <w:trPr>
          <w:trHeight w:val="281"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待摊网络专线费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79,831.15</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82,500.00</w:t>
            </w:r>
          </w:p>
        </w:tc>
      </w:tr>
      <w:tr>
        <w:trPr>
          <w:trHeight w:val="283"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618"/>
              <w:jc w:val="righ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79,831.15</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118,567.82</w:t>
            </w:r>
          </w:p>
        </w:tc>
      </w:tr>
    </w:tbl>
    <w:p>
      <w:pPr>
        <w:pStyle w:val="Heading5"/>
        <w:spacing w:line="398" w:lineRule="auto" w:before="62"/>
        <w:ind w:left="392" w:right="7905"/>
        <w:jc w:val="left"/>
        <w:rPr>
          <w:rFonts w:ascii="宋体" w:hAnsi="宋体" w:cs="宋体" w:eastAsia="宋体" w:hint="default"/>
          <w:b w:val="0"/>
          <w:bCs w:val="0"/>
        </w:rPr>
      </w:pPr>
      <w:r>
        <w:rPr>
          <w:rFonts w:ascii="宋体" w:hAnsi="宋体" w:cs="宋体" w:eastAsia="宋体" w:hint="default"/>
        </w:rPr>
        <w:t>11</w:t>
      </w:r>
      <w:r>
        <w:rPr/>
        <w:t>、可供出售金融资产</w:t>
      </w:r>
      <w:r>
        <w:rPr>
          <w:spacing w:val="-103"/>
        </w:rPr>
        <w:t> </w:t>
      </w:r>
      <w:r>
        <w:rPr>
          <w:rFonts w:ascii="宋体" w:hAnsi="宋体" w:cs="宋体" w:eastAsia="宋体" w:hint="default"/>
          <w:b w:val="0"/>
          <w:bCs w:val="0"/>
        </w:rPr>
        <w:t>无</w:t>
      </w:r>
    </w:p>
    <w:p>
      <w:pPr>
        <w:pStyle w:val="Heading5"/>
        <w:spacing w:line="231" w:lineRule="exact"/>
        <w:ind w:left="392" w:right="2217"/>
        <w:jc w:val="left"/>
        <w:rPr>
          <w:b w:val="0"/>
          <w:bCs w:val="0"/>
        </w:rPr>
      </w:pPr>
      <w:r>
        <w:rPr>
          <w:rFonts w:ascii="宋体" w:hAnsi="宋体" w:cs="宋体" w:eastAsia="宋体" w:hint="default"/>
        </w:rPr>
        <w:t>12</w:t>
      </w:r>
      <w:r>
        <w:rPr/>
        <w:t>、持有至到期投资</w:t>
      </w:r>
      <w:r>
        <w:rPr>
          <w:b w:val="0"/>
          <w:bCs w:val="0"/>
        </w:rPr>
      </w:r>
    </w:p>
    <w:p>
      <w:pPr>
        <w:spacing w:line="240" w:lineRule="auto" w:before="11"/>
        <w:rPr>
          <w:rFonts w:ascii="宋体" w:hAnsi="宋体" w:cs="宋体" w:eastAsia="宋体" w:hint="default"/>
          <w:b/>
          <w:bCs/>
          <w:sz w:val="13"/>
          <w:szCs w:val="13"/>
        </w:rPr>
      </w:pPr>
    </w:p>
    <w:p>
      <w:pPr>
        <w:pStyle w:val="Heading5"/>
        <w:spacing w:line="321" w:lineRule="auto"/>
        <w:ind w:left="392" w:right="8537"/>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13</w:t>
      </w:r>
      <w:r>
        <w:rPr/>
        <w:t>、长期应收款</w:t>
      </w:r>
      <w:r>
        <w:rPr>
          <w:b w:val="0"/>
          <w:bCs w:val="0"/>
        </w:rPr>
      </w:r>
    </w:p>
    <w:p>
      <w:pPr>
        <w:pStyle w:val="Heading5"/>
        <w:spacing w:line="321" w:lineRule="auto" w:before="112"/>
        <w:ind w:left="392" w:right="6640"/>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14</w:t>
      </w:r>
      <w:r>
        <w:rPr/>
        <w:t>、对合营企业投资和联营企业投资</w:t>
      </w:r>
      <w:r>
        <w:rPr>
          <w:b w:val="0"/>
          <w:bCs w:val="0"/>
        </w:rPr>
      </w:r>
    </w:p>
    <w:p>
      <w:pPr>
        <w:pStyle w:val="Heading5"/>
        <w:spacing w:line="321" w:lineRule="auto" w:before="109"/>
        <w:ind w:left="392" w:right="8327"/>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15</w:t>
      </w:r>
      <w:r>
        <w:rPr/>
        <w:t>、长期股权投资</w:t>
      </w:r>
      <w:r>
        <w:rPr>
          <w:b w:val="0"/>
          <w:bCs w:val="0"/>
        </w:rPr>
      </w:r>
    </w:p>
    <w:p>
      <w:pPr>
        <w:pStyle w:val="Heading5"/>
        <w:spacing w:line="321" w:lineRule="auto" w:before="109"/>
        <w:ind w:left="392" w:right="8327"/>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16</w:t>
      </w:r>
      <w:r>
        <w:rPr/>
        <w:t>、投资性房地产</w:t>
      </w:r>
      <w:r>
        <w:rPr>
          <w:b w:val="0"/>
          <w:bCs w:val="0"/>
        </w:rPr>
      </w:r>
    </w:p>
    <w:p>
      <w:pPr>
        <w:spacing w:line="321" w:lineRule="auto" w:before="109"/>
        <w:ind w:left="392" w:right="8748"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、固定资产</w:t>
      </w:r>
      <w:r>
        <w:rPr>
          <w:rFonts w:ascii="宋体" w:hAnsi="宋体" w:cs="宋体" w:eastAsia="宋体" w:hint="default"/>
          <w:sz w:val="21"/>
          <w:szCs w:val="21"/>
        </w:rPr>
      </w:r>
    </w:p>
    <w:p>
      <w:pPr>
        <w:pStyle w:val="Heading5"/>
        <w:spacing w:line="240" w:lineRule="auto" w:before="160"/>
        <w:ind w:left="392" w:right="2217"/>
        <w:jc w:val="left"/>
        <w:rPr>
          <w:b w:val="0"/>
          <w:bCs w:val="0"/>
        </w:rPr>
      </w:pPr>
      <w:r>
        <w:rPr/>
        <w:t>（</w:t>
      </w:r>
      <w:r>
        <w:rPr>
          <w:rFonts w:ascii="宋体" w:hAnsi="宋体" w:cs="宋体" w:eastAsia="宋体" w:hint="default"/>
        </w:rPr>
        <w:t>1</w:t>
      </w:r>
      <w:r>
        <w:rPr/>
        <w:t>）固定资产情况</w:t>
      </w:r>
      <w:r>
        <w:rPr>
          <w:b w:val="0"/>
          <w:bCs w:val="0"/>
        </w:rPr>
      </w:r>
    </w:p>
    <w:p>
      <w:pPr>
        <w:spacing w:after="0" w:line="240" w:lineRule="auto"/>
        <w:jc w:val="left"/>
        <w:sectPr>
          <w:pgSz w:w="11910" w:h="16840"/>
          <w:pgMar w:header="884" w:footer="979" w:top="1100" w:bottom="1160" w:left="740" w:right="740"/>
        </w:sectPr>
      </w:pPr>
    </w:p>
    <w:p>
      <w:pPr>
        <w:spacing w:line="240" w:lineRule="auto" w:before="2"/>
        <w:rPr>
          <w:rFonts w:ascii="宋体" w:hAnsi="宋体" w:cs="宋体" w:eastAsia="宋体" w:hint="default"/>
          <w:b/>
          <w:bCs/>
          <w:sz w:val="20"/>
          <w:szCs w:val="20"/>
        </w:rPr>
      </w:pPr>
      <w:r>
        <w:rPr/>
        <w:pict>
          <v:group style="position:absolute;margin-left:54.84pt;margin-top:28.299982pt;width:485.65pt;height:40.15pt;mso-position-horizontal-relative:page;mso-position-vertical-relative:page;z-index:296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40" w:lineRule="auto" w:before="36"/>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29"/>
        <w:gridCol w:w="1460"/>
        <w:gridCol w:w="1330"/>
        <w:gridCol w:w="1594"/>
        <w:gridCol w:w="1594"/>
        <w:gridCol w:w="146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39,919,403.64</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2" w:right="0"/>
              <w:jc w:val="left"/>
              <w:rPr>
                <w:rFonts w:ascii="宋体" w:hAnsi="宋体" w:cs="宋体" w:eastAsia="宋体" w:hint="default"/>
                <w:sz w:val="21"/>
                <w:szCs w:val="21"/>
              </w:rPr>
            </w:pPr>
            <w:r>
              <w:rPr>
                <w:rFonts w:ascii="宋体"/>
                <w:sz w:val="21"/>
              </w:rPr>
              <w:t>3,797,359.01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1,690,000.00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42,026,762.65</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31,468,958.00</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2" w:right="0"/>
              <w:jc w:val="left"/>
              <w:rPr>
                <w:rFonts w:ascii="宋体" w:hAnsi="宋体" w:cs="宋体" w:eastAsia="宋体" w:hint="default"/>
                <w:sz w:val="21"/>
                <w:szCs w:val="21"/>
              </w:rPr>
            </w:pPr>
            <w:r>
              <w:rPr>
                <w:rFonts w:ascii="宋体"/>
                <w:sz w:val="21"/>
              </w:rPr>
              <w:t>1,222,650.00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32,691,608.00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1,216,615.41</w:t>
            </w:r>
          </w:p>
        </w:tc>
        <w:tc>
          <w:tcPr>
            <w:tcW w:w="2924"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1,216,615.41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1,472,179.00</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2" w:right="0"/>
              <w:jc w:val="left"/>
              <w:rPr>
                <w:rFonts w:ascii="宋体" w:hAnsi="宋体" w:cs="宋体" w:eastAsia="宋体" w:hint="default"/>
                <w:sz w:val="21"/>
                <w:szCs w:val="21"/>
              </w:rPr>
            </w:pPr>
            <w:r>
              <w:rPr>
                <w:rFonts w:ascii="宋体"/>
                <w:sz w:val="21"/>
              </w:rPr>
              <w:t>2,289,256.00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750,000.00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3,011,435.00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5,452,604.89</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1" w:right="0"/>
              <w:jc w:val="left"/>
              <w:rPr>
                <w:rFonts w:ascii="宋体" w:hAnsi="宋体" w:cs="宋体" w:eastAsia="宋体" w:hint="default"/>
                <w:sz w:val="21"/>
                <w:szCs w:val="21"/>
              </w:rPr>
            </w:pPr>
            <w:r>
              <w:rPr>
                <w:rFonts w:ascii="宋体"/>
                <w:sz w:val="21"/>
              </w:rPr>
              <w:t>285,453.01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4,798,057.90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309,046.34</w:t>
            </w:r>
          </w:p>
        </w:tc>
        <w:tc>
          <w:tcPr>
            <w:tcW w:w="2924"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309,046.34</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本期期末余额</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3,657,231.87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3,325,412.90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1,293,875.00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5,688,769.77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767,635.24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768,092.89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1,535,728.13</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88,652.56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115,335.12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203,987.68</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662,051.40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624,085.11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400,875.00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885,261.51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2,090,553.05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1,759,304.62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893,000.00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2,956,857.67</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48,339.62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58,595.16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106,934.78</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sz w:val="21"/>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本期期末余额</w:t>
            </w:r>
          </w:p>
        </w:tc>
      </w:tr>
      <w:tr>
        <w:trPr>
          <w:trHeight w:val="142" w:hRule="exact"/>
        </w:trPr>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三、固定资产账面净值</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0" w:type="dxa"/>
            <w:vMerge w:val="restart"/>
            <w:tcBorders>
              <w:top w:val="single" w:sz="4" w:space="0" w:color="000000"/>
              <w:left w:val="single" w:sz="10" w:space="0" w:color="D2D2D2"/>
              <w:right w:val="single" w:sz="14" w:space="0" w:color="D2D2D2"/>
            </w:tcBorders>
          </w:tcPr>
          <w:p>
            <w:pPr>
              <w:pStyle w:val="TableParagraph"/>
              <w:spacing w:line="240" w:lineRule="auto" w:before="102"/>
              <w:ind w:left="55" w:right="0"/>
              <w:jc w:val="left"/>
              <w:rPr>
                <w:rFonts w:ascii="宋体" w:hAnsi="宋体" w:cs="宋体" w:eastAsia="宋体" w:hint="default"/>
                <w:sz w:val="21"/>
                <w:szCs w:val="21"/>
              </w:rPr>
            </w:pPr>
            <w:r>
              <w:rPr>
                <w:rFonts w:ascii="宋体"/>
                <w:sz w:val="21"/>
              </w:rPr>
              <w:t>36,262,171.77</w:t>
            </w:r>
          </w:p>
        </w:tc>
        <w:tc>
          <w:tcPr>
            <w:tcW w:w="451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10" w:space="0" w:color="D2D2D2"/>
              <w:right w:val="single" w:sz="4" w:space="0" w:color="000000"/>
            </w:tcBorders>
          </w:tcPr>
          <w:p>
            <w:pPr>
              <w:pStyle w:val="TableParagraph"/>
              <w:spacing w:line="240" w:lineRule="auto" w:before="102"/>
              <w:ind w:left="55" w:right="0"/>
              <w:jc w:val="left"/>
              <w:rPr>
                <w:rFonts w:ascii="宋体" w:hAnsi="宋体" w:cs="宋体" w:eastAsia="宋体" w:hint="default"/>
                <w:sz w:val="21"/>
                <w:szCs w:val="21"/>
              </w:rPr>
            </w:pPr>
            <w:r>
              <w:rPr>
                <w:rFonts w:ascii="宋体"/>
                <w:sz w:val="21"/>
              </w:rPr>
              <w:t>36,337,992.88</w:t>
            </w:r>
          </w:p>
        </w:tc>
      </w:tr>
      <w:tr>
        <w:trPr>
          <w:trHeight w:val="413"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10" w:space="0" w:color="D2D2D2"/>
              <w:bottom w:val="single" w:sz="4" w:space="0" w:color="000000"/>
              <w:right w:val="single" w:sz="14" w:space="0" w:color="D2D2D2"/>
            </w:tcBorders>
          </w:tcPr>
          <w:p>
            <w:pPr/>
          </w:p>
        </w:tc>
        <w:tc>
          <w:tcPr>
            <w:tcW w:w="4518" w:type="dxa"/>
            <w:gridSpan w:val="3"/>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vMerge/>
            <w:tcBorders>
              <w:left w:val="single" w:sz="10" w:space="0" w:color="D2D2D2"/>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30,701,322.76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31,155,879.87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1,127,962.85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1,012,627.73</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810,127.60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2,126,173.49</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60" w:type="dxa"/>
            <w:tcBorders>
              <w:top w:val="single" w:sz="4" w:space="0" w:color="000000"/>
              <w:left w:val="single" w:sz="4" w:space="0" w:color="000000"/>
              <w:bottom w:val="single" w:sz="4" w:space="0" w:color="000000"/>
              <w:right w:val="single" w:sz="14" w:space="0" w:color="D2D2D2"/>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3,362,051.84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1,841,200.23</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60" w:type="dxa"/>
            <w:tcBorders>
              <w:top w:val="single" w:sz="4" w:space="0" w:color="000000"/>
              <w:left w:val="single" w:sz="4" w:space="0" w:color="000000"/>
              <w:bottom w:val="single" w:sz="4" w:space="0" w:color="000000"/>
              <w:right w:val="single" w:sz="14" w:space="0" w:color="D2D2D2"/>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260,706.72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202,111.56</w:t>
            </w:r>
          </w:p>
        </w:tc>
      </w:tr>
      <w:tr>
        <w:trPr>
          <w:trHeight w:val="142" w:hRule="exact"/>
        </w:trPr>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五、固定资产账面价值</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0" w:type="dxa"/>
            <w:vMerge w:val="restart"/>
            <w:tcBorders>
              <w:top w:val="single" w:sz="4" w:space="0" w:color="000000"/>
              <w:left w:val="single" w:sz="10" w:space="0" w:color="D2D2D2"/>
              <w:right w:val="single" w:sz="14" w:space="0" w:color="D2D2D2"/>
            </w:tcBorders>
          </w:tcPr>
          <w:p>
            <w:pPr>
              <w:pStyle w:val="TableParagraph"/>
              <w:spacing w:line="240" w:lineRule="auto" w:before="103"/>
              <w:ind w:left="55" w:right="0"/>
              <w:jc w:val="left"/>
              <w:rPr>
                <w:rFonts w:ascii="宋体" w:hAnsi="宋体" w:cs="宋体" w:eastAsia="宋体" w:hint="default"/>
                <w:sz w:val="21"/>
                <w:szCs w:val="21"/>
              </w:rPr>
            </w:pPr>
            <w:r>
              <w:rPr>
                <w:rFonts w:ascii="宋体"/>
                <w:sz w:val="21"/>
              </w:rPr>
              <w:t>36,262,171.77</w:t>
            </w:r>
          </w:p>
        </w:tc>
        <w:tc>
          <w:tcPr>
            <w:tcW w:w="451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10" w:space="0" w:color="D2D2D2"/>
              <w:right w:val="single" w:sz="4" w:space="0" w:color="000000"/>
            </w:tcBorders>
          </w:tcPr>
          <w:p>
            <w:pPr>
              <w:pStyle w:val="TableParagraph"/>
              <w:spacing w:line="240" w:lineRule="auto" w:before="103"/>
              <w:ind w:left="55" w:right="0"/>
              <w:jc w:val="left"/>
              <w:rPr>
                <w:rFonts w:ascii="宋体" w:hAnsi="宋体" w:cs="宋体" w:eastAsia="宋体" w:hint="default"/>
                <w:sz w:val="21"/>
                <w:szCs w:val="21"/>
              </w:rPr>
            </w:pPr>
            <w:r>
              <w:rPr>
                <w:rFonts w:ascii="宋体"/>
                <w:sz w:val="21"/>
              </w:rPr>
              <w:t>36,337,992.88</w:t>
            </w:r>
          </w:p>
        </w:tc>
      </w:tr>
      <w:tr>
        <w:trPr>
          <w:trHeight w:val="274" w:hRule="exact"/>
        </w:trPr>
        <w:tc>
          <w:tcPr>
            <w:tcW w:w="2129" w:type="dxa"/>
            <w:vMerge/>
            <w:tcBorders>
              <w:left w:val="single" w:sz="4" w:space="0" w:color="000000"/>
              <w:right w:val="single" w:sz="4" w:space="0" w:color="000000"/>
            </w:tcBorders>
            <w:shd w:val="clear" w:color="auto" w:fill="D2D2D2"/>
          </w:tcPr>
          <w:p>
            <w:pPr/>
          </w:p>
        </w:tc>
        <w:tc>
          <w:tcPr>
            <w:tcW w:w="1460" w:type="dxa"/>
            <w:vMerge/>
            <w:tcBorders>
              <w:left w:val="single" w:sz="10" w:space="0" w:color="D2D2D2"/>
              <w:right w:val="single" w:sz="14" w:space="0" w:color="D2D2D2"/>
            </w:tcBorders>
          </w:tcPr>
          <w:p>
            <w:pPr/>
          </w:p>
        </w:tc>
        <w:tc>
          <w:tcPr>
            <w:tcW w:w="451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vMerge/>
            <w:tcBorders>
              <w:left w:val="single" w:sz="10" w:space="0" w:color="D2D2D2"/>
              <w:right w:val="single" w:sz="4" w:space="0" w:color="000000"/>
            </w:tcBorders>
          </w:tcPr>
          <w:p>
            <w:pPr/>
          </w:p>
        </w:tc>
      </w:tr>
      <w:tr>
        <w:trPr>
          <w:trHeight w:val="142"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10" w:space="0" w:color="D2D2D2"/>
              <w:bottom w:val="single" w:sz="4" w:space="0" w:color="000000"/>
              <w:right w:val="single" w:sz="14" w:space="0" w:color="D2D2D2"/>
            </w:tcBorders>
          </w:tcPr>
          <w:p>
            <w:pPr/>
          </w:p>
        </w:tc>
        <w:tc>
          <w:tcPr>
            <w:tcW w:w="451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10" w:space="0" w:color="D2D2D2"/>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30,701,322.76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31,155,879.87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1,127,962.85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1,012,627.73</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810,127.60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2,126,173.49</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60" w:type="dxa"/>
            <w:tcBorders>
              <w:top w:val="single" w:sz="4" w:space="0" w:color="000000"/>
              <w:left w:val="single" w:sz="4" w:space="0" w:color="000000"/>
              <w:bottom w:val="single" w:sz="4" w:space="0" w:color="000000"/>
              <w:right w:val="single" w:sz="14" w:space="0" w:color="D2D2D2"/>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3,362,051.84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1,841,200.23</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60" w:type="dxa"/>
            <w:tcBorders>
              <w:top w:val="single" w:sz="4" w:space="0" w:color="000000"/>
              <w:left w:val="single" w:sz="4" w:space="0" w:color="000000"/>
              <w:bottom w:val="single" w:sz="4" w:space="0" w:color="000000"/>
              <w:right w:val="single" w:sz="14" w:space="0" w:color="D2D2D2"/>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260,706.72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202,111.56</w:t>
            </w:r>
          </w:p>
        </w:tc>
      </w:tr>
    </w:tbl>
    <w:p>
      <w:pPr>
        <w:pStyle w:val="BodyText"/>
        <w:spacing w:line="241" w:lineRule="exact"/>
        <w:ind w:right="142"/>
        <w:jc w:val="left"/>
      </w:pPr>
      <w:r>
        <w:rPr/>
        <w:t>本期折旧额</w:t>
      </w:r>
      <w:r>
        <w:rPr>
          <w:spacing w:val="-53"/>
        </w:rPr>
        <w:t> </w:t>
      </w:r>
      <w:r>
        <w:rPr>
          <w:rFonts w:ascii="宋体" w:hAnsi="宋体" w:cs="宋体" w:eastAsia="宋体" w:hint="default"/>
        </w:rPr>
        <w:t>3,325,412.90</w:t>
      </w:r>
      <w:r>
        <w:rPr>
          <w:rFonts w:ascii="宋体" w:hAnsi="宋体" w:cs="宋体" w:eastAsia="宋体" w:hint="default"/>
          <w:spacing w:val="-56"/>
        </w:rPr>
        <w:t> </w:t>
      </w:r>
      <w:r>
        <w:rPr/>
        <w:t>元；本期由在建工程转入固定资产原价为</w:t>
      </w:r>
      <w:r>
        <w:rPr>
          <w:spacing w:val="-53"/>
        </w:rPr>
        <w:t> </w:t>
      </w:r>
      <w:r>
        <w:rPr>
          <w:rFonts w:ascii="宋体" w:hAnsi="宋体" w:cs="宋体" w:eastAsia="宋体" w:hint="default"/>
        </w:rPr>
        <w:t>0.00</w:t>
      </w:r>
      <w:r>
        <w:rPr>
          <w:rFonts w:ascii="宋体" w:hAnsi="宋体" w:cs="宋体" w:eastAsia="宋体" w:hint="default"/>
          <w:spacing w:val="-54"/>
        </w:rPr>
        <w:t> </w:t>
      </w:r>
      <w:r>
        <w:rPr>
          <w:spacing w:val="-3"/>
        </w:rPr>
        <w:t>元。</w:t>
      </w:r>
      <w:r>
        <w:rPr/>
      </w:r>
    </w:p>
    <w:p>
      <w:pPr>
        <w:pStyle w:val="Heading5"/>
        <w:spacing w:line="326" w:lineRule="auto" w:before="94"/>
        <w:ind w:right="6927"/>
        <w:jc w:val="left"/>
        <w:rPr>
          <w:rFonts w:ascii="宋体" w:hAnsi="宋体" w:cs="宋体" w:eastAsia="宋体" w:hint="default"/>
          <w:b w:val="0"/>
          <w:bCs w:val="0"/>
        </w:rPr>
      </w:pPr>
      <w:r>
        <w:rPr/>
        <w:t>（</w:t>
      </w:r>
      <w:r>
        <w:rPr>
          <w:rFonts w:ascii="宋体" w:hAnsi="宋体" w:cs="宋体" w:eastAsia="宋体" w:hint="default"/>
        </w:rPr>
        <w:t>2</w:t>
      </w:r>
      <w:r>
        <w:rPr/>
        <w:t>）暂时闲置的固定资产情况</w:t>
      </w:r>
      <w:r>
        <w:rPr>
          <w:w w:val="100"/>
        </w:rPr>
        <w:t> </w:t>
      </w:r>
      <w:r>
        <w:rPr>
          <w:rFonts w:ascii="宋体" w:hAnsi="宋体" w:cs="宋体" w:eastAsia="宋体" w:hint="default"/>
          <w:b w:val="0"/>
          <w:bCs w:val="0"/>
        </w:rPr>
        <w:t>无</w:t>
      </w:r>
    </w:p>
    <w:p>
      <w:pPr>
        <w:pStyle w:val="Heading5"/>
        <w:spacing w:line="326" w:lineRule="auto" w:before="21"/>
        <w:ind w:right="6506"/>
        <w:jc w:val="left"/>
        <w:rPr>
          <w:rFonts w:ascii="宋体" w:hAnsi="宋体" w:cs="宋体" w:eastAsia="宋体" w:hint="default"/>
          <w:b w:val="0"/>
          <w:bCs w:val="0"/>
        </w:rPr>
      </w:pPr>
      <w:r>
        <w:rPr>
          <w:spacing w:val="-1"/>
        </w:rPr>
        <w:t>（</w:t>
      </w:r>
      <w:r>
        <w:rPr>
          <w:rFonts w:ascii="宋体" w:hAnsi="宋体" w:cs="宋体" w:eastAsia="宋体" w:hint="default"/>
          <w:spacing w:val="-1"/>
        </w:rPr>
        <w:t>3</w:t>
      </w:r>
      <w:r>
        <w:rPr>
          <w:spacing w:val="-1"/>
        </w:rPr>
        <w:t>）通过融资租赁租入的固定资产</w:t>
      </w:r>
      <w:r>
        <w:rPr>
          <w:spacing w:val="-91"/>
        </w:rPr>
        <w:t> </w:t>
      </w:r>
      <w:r>
        <w:rPr>
          <w:spacing w:val="-91"/>
        </w:rPr>
      </w:r>
      <w:r>
        <w:rPr>
          <w:rFonts w:ascii="宋体" w:hAnsi="宋体" w:cs="宋体" w:eastAsia="宋体" w:hint="default"/>
          <w:b w:val="0"/>
          <w:bCs w:val="0"/>
        </w:rPr>
        <w:t>无</w:t>
      </w:r>
    </w:p>
    <w:p>
      <w:pPr>
        <w:pStyle w:val="Heading5"/>
        <w:spacing w:line="326" w:lineRule="auto" w:before="19"/>
        <w:ind w:right="6506"/>
        <w:jc w:val="left"/>
        <w:rPr>
          <w:rFonts w:ascii="宋体" w:hAnsi="宋体" w:cs="宋体" w:eastAsia="宋体" w:hint="default"/>
          <w:b w:val="0"/>
          <w:bCs w:val="0"/>
        </w:rPr>
      </w:pPr>
      <w:r>
        <w:rPr>
          <w:spacing w:val="-1"/>
        </w:rPr>
        <w:t>（</w:t>
      </w:r>
      <w:r>
        <w:rPr>
          <w:rFonts w:ascii="宋体" w:hAnsi="宋体" w:cs="宋体" w:eastAsia="宋体" w:hint="default"/>
          <w:spacing w:val="-1"/>
        </w:rPr>
        <w:t>4</w:t>
      </w:r>
      <w:r>
        <w:rPr>
          <w:spacing w:val="-1"/>
        </w:rPr>
        <w:t>）通过经营租赁租出的固定资产</w:t>
      </w:r>
      <w:r>
        <w:rPr>
          <w:spacing w:val="-91"/>
        </w:rPr>
        <w:t> </w:t>
      </w:r>
      <w:r>
        <w:rPr>
          <w:spacing w:val="-91"/>
        </w:rPr>
      </w:r>
      <w:r>
        <w:rPr>
          <w:rFonts w:ascii="宋体" w:hAnsi="宋体" w:cs="宋体" w:eastAsia="宋体" w:hint="default"/>
          <w:b w:val="0"/>
          <w:bCs w:val="0"/>
        </w:rPr>
        <w:t>无</w:t>
      </w:r>
    </w:p>
    <w:p>
      <w:pPr>
        <w:pStyle w:val="Heading5"/>
        <w:spacing w:line="326" w:lineRule="auto" w:before="19"/>
        <w:ind w:right="6506"/>
        <w:jc w:val="left"/>
        <w:rPr>
          <w:rFonts w:ascii="宋体" w:hAnsi="宋体" w:cs="宋体" w:eastAsia="宋体" w:hint="default"/>
          <w:b w:val="0"/>
          <w:bCs w:val="0"/>
        </w:rPr>
      </w:pPr>
      <w:r>
        <w:rPr/>
        <w:t>（</w:t>
      </w:r>
      <w:r>
        <w:rPr>
          <w:rFonts w:ascii="宋体" w:hAnsi="宋体" w:cs="宋体" w:eastAsia="宋体" w:hint="default"/>
        </w:rPr>
        <w:t>5</w:t>
      </w:r>
      <w:r>
        <w:rPr/>
        <w:t>）期末持有待售的固定资产情况</w:t>
      </w:r>
      <w:r>
        <w:rPr>
          <w:w w:val="100"/>
        </w:rPr>
        <w:t> </w:t>
      </w:r>
      <w:r>
        <w:rPr>
          <w:rFonts w:ascii="宋体" w:hAnsi="宋体" w:cs="宋体" w:eastAsia="宋体" w:hint="default"/>
          <w:b w:val="0"/>
          <w:bCs w:val="0"/>
        </w:rPr>
        <w:t>无</w:t>
      </w:r>
    </w:p>
    <w:p>
      <w:pPr>
        <w:pStyle w:val="Heading5"/>
        <w:spacing w:line="240" w:lineRule="auto" w:before="21"/>
        <w:ind w:right="142"/>
        <w:jc w:val="left"/>
        <w:rPr>
          <w:b w:val="0"/>
          <w:bCs w:val="0"/>
        </w:rPr>
      </w:pPr>
      <w:r>
        <w:rPr/>
        <w:t>（</w:t>
      </w:r>
      <w:r>
        <w:rPr>
          <w:rFonts w:ascii="宋体" w:hAnsi="宋体" w:cs="宋体" w:eastAsia="宋体" w:hint="default"/>
        </w:rPr>
        <w:t>6</w:t>
      </w:r>
      <w:r>
        <w:rPr/>
        <w:t>）未办妥产权证书的固定资产情况</w:t>
      </w:r>
      <w:r>
        <w:rPr>
          <w:b w:val="0"/>
          <w:bCs w:val="0"/>
        </w:rPr>
      </w:r>
    </w:p>
    <w:p>
      <w:pPr>
        <w:spacing w:line="240" w:lineRule="auto" w:before="2"/>
        <w:rPr>
          <w:rFonts w:ascii="宋体" w:hAnsi="宋体" w:cs="宋体" w:eastAsia="宋体" w:hint="default"/>
          <w:b/>
          <w:bCs/>
          <w:sz w:val="10"/>
          <w:szCs w:val="10"/>
        </w:rPr>
      </w:pPr>
    </w:p>
    <w:tbl>
      <w:tblPr>
        <w:tblW w:w="0" w:type="auto"/>
        <w:jc w:val="left"/>
        <w:tblInd w:w="120" w:type="dxa"/>
        <w:tblLayout w:type="fixed"/>
        <w:tblCellMar>
          <w:top w:w="0" w:type="dxa"/>
          <w:left w:w="0" w:type="dxa"/>
          <w:bottom w:w="0" w:type="dxa"/>
          <w:right w:w="0" w:type="dxa"/>
        </w:tblCellMar>
        <w:tblLook w:val="01E0"/>
      </w:tblPr>
      <w:tblGrid>
        <w:gridCol w:w="3449"/>
        <w:gridCol w:w="3017"/>
        <w:gridCol w:w="3231"/>
      </w:tblGrid>
      <w:tr>
        <w:trPr>
          <w:trHeight w:val="282" w:hRule="exact"/>
        </w:trPr>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554" w:hRule="exact"/>
        </w:trPr>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辽宁荣科金融服务有限公司如意大厦</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3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r>
    </w:tbl>
    <w:p>
      <w:pPr>
        <w:pStyle w:val="BodyText"/>
        <w:spacing w:line="241" w:lineRule="exact"/>
        <w:ind w:right="142"/>
        <w:jc w:val="left"/>
      </w:pPr>
      <w:r>
        <w:rPr/>
        <w:t>固定资产说明</w:t>
      </w:r>
    </w:p>
    <w:p>
      <w:pPr>
        <w:pStyle w:val="BodyText"/>
        <w:spacing w:line="274" w:lineRule="exact"/>
        <w:ind w:right="142"/>
        <w:jc w:val="left"/>
      </w:pPr>
      <w:r>
        <w:rPr/>
        <w:t>截止本报告批准报出日，如意大厦房产权属证明仍在办理中；</w:t>
      </w:r>
    </w:p>
    <w:p>
      <w:pPr>
        <w:spacing w:after="0" w:line="274" w:lineRule="exact"/>
        <w:jc w:val="left"/>
        <w:sectPr>
          <w:pgSz w:w="11910" w:h="16840"/>
          <w:pgMar w:header="884" w:footer="979" w:top="110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299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right="142"/>
        <w:jc w:val="left"/>
        <w:rPr>
          <w:b w:val="0"/>
          <w:bCs w:val="0"/>
        </w:rPr>
      </w:pPr>
      <w:r>
        <w:rPr>
          <w:rFonts w:ascii="宋体" w:hAnsi="宋体" w:cs="宋体" w:eastAsia="宋体" w:hint="default"/>
        </w:rPr>
        <w:t>18</w:t>
      </w:r>
      <w:r>
        <w:rPr/>
        <w:t>、在建工程</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right="142"/>
        <w:jc w:val="left"/>
        <w:rPr>
          <w:b w:val="0"/>
          <w:bCs w:val="0"/>
        </w:rPr>
      </w:pPr>
      <w:r>
        <w:rPr/>
        <w:t>（</w:t>
      </w:r>
      <w:r>
        <w:rPr>
          <w:rFonts w:ascii="宋体" w:hAnsi="宋体" w:cs="宋体" w:eastAsia="宋体" w:hint="default"/>
        </w:rPr>
        <w:t>1</w:t>
      </w:r>
      <w:r>
        <w:rPr/>
        <w:t>）在建工程情况</w:t>
      </w:r>
      <w:r>
        <w:rPr>
          <w:b w:val="0"/>
          <w:bCs w:val="0"/>
        </w:rPr>
      </w:r>
    </w:p>
    <w:p>
      <w:pPr>
        <w:pStyle w:val="BodyText"/>
        <w:spacing w:line="240" w:lineRule="auto" w:before="99"/>
        <w:ind w:left="0" w:right="360"/>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00"/>
        <w:gridCol w:w="1539"/>
        <w:gridCol w:w="1063"/>
        <w:gridCol w:w="1666"/>
        <w:gridCol w:w="998"/>
        <w:gridCol w:w="961"/>
        <w:gridCol w:w="1171"/>
      </w:tblGrid>
      <w:tr>
        <w:trPr>
          <w:trHeight w:val="281" w:hRule="exact"/>
        </w:trPr>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3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2300" w:type="dxa"/>
            <w:vMerge/>
            <w:tcBorders>
              <w:left w:val="single" w:sz="4" w:space="0" w:color="000000"/>
              <w:bottom w:val="single" w:sz="4" w:space="0" w:color="000000"/>
              <w:right w:val="single" w:sz="4" w:space="0" w:color="000000"/>
            </w:tcBorders>
            <w:shd w:val="clear" w:color="auto" w:fill="D2D2D2"/>
          </w:tcPr>
          <w:p>
            <w:pP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数据中心</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服务能力提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升及市场拓展项目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10,293,661.63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10,293,661.63</w:t>
            </w:r>
          </w:p>
        </w:tc>
        <w:tc>
          <w:tcPr>
            <w:tcW w:w="998"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社保医疗行业信息化解</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决方案研发升级项目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3,514,871.82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3,514,871.82</w:t>
            </w:r>
          </w:p>
        </w:tc>
        <w:tc>
          <w:tcPr>
            <w:tcW w:w="998"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外包服务基地建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设项目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5,975,630.28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5,975,630.28</w:t>
            </w:r>
          </w:p>
        </w:tc>
        <w:tc>
          <w:tcPr>
            <w:tcW w:w="998"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19,784,163.73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19,784,163.73</w:t>
            </w:r>
          </w:p>
        </w:tc>
        <w:tc>
          <w:tcPr>
            <w:tcW w:w="998"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240" w:lineRule="auto"/>
        <w:ind w:left="140" w:right="0"/>
        <w:jc w:val="left"/>
        <w:rPr>
          <w:b w:val="0"/>
          <w:bCs w:val="0"/>
        </w:rPr>
      </w:pPr>
      <w:r>
        <w:rPr/>
        <w:pict>
          <v:group style="position:absolute;margin-left:70.199997pt;margin-top:-32.896343pt;width:701.65pt;height:40.15pt;mso-position-horizontal-relative:page;mso-position-vertical-relative:paragraph;z-index:-647776" coordorigin="1404,-658" coordsize="14033,803">
            <v:group style="position:absolute;left:1411;top:-72;width:14019;height:2" coordorigin="1411,-72" coordsize="14019,2">
              <v:shape style="position:absolute;left:1411;top:-72;width:14019;height:2" coordorigin="1411,-72" coordsize="14019,0" path="m1411,-72l15430,-72e" filled="false" stroked="true" strokeweight=".72pt" strokecolor="#000000">
                <v:path arrowok="t"/>
              </v:shape>
              <v:shape style="position:absolute;left:1446;top:-658;width:2160;height:803" type="#_x0000_t75" stroked="false">
                <v:imagedata r:id="rId7" o:title=""/>
              </v:shape>
              <v:shape style="position:absolute;left:13459;top:-340;width:1945;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年年度报告全文</w:t>
                      </w:r>
                    </w:p>
                  </w:txbxContent>
                </v:textbox>
                <w10:wrap type="none"/>
              </v:shape>
            </v:group>
            <w10:wrap type="none"/>
          </v:group>
        </w:pict>
      </w:r>
      <w:r>
        <w:rPr/>
        <w:t>（</w:t>
      </w:r>
      <w:r>
        <w:rPr>
          <w:rFonts w:ascii="宋体" w:hAnsi="宋体" w:cs="宋体" w:eastAsia="宋体" w:hint="default"/>
        </w:rPr>
        <w:t>2</w:t>
      </w:r>
      <w:r>
        <w:rPr/>
        <w:t>）重大在建工程项目变动情况</w:t>
      </w:r>
      <w:r>
        <w:rPr>
          <w:b w:val="0"/>
          <w:bCs w:val="0"/>
        </w:rPr>
      </w:r>
    </w:p>
    <w:p>
      <w:pPr>
        <w:pStyle w:val="BodyText"/>
        <w:spacing w:line="240" w:lineRule="auto" w:before="97"/>
        <w:ind w:left="0" w:right="75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88"/>
        <w:gridCol w:w="1680"/>
        <w:gridCol w:w="841"/>
        <w:gridCol w:w="1423"/>
        <w:gridCol w:w="910"/>
        <w:gridCol w:w="605"/>
        <w:gridCol w:w="1383"/>
        <w:gridCol w:w="907"/>
        <w:gridCol w:w="1172"/>
        <w:gridCol w:w="912"/>
        <w:gridCol w:w="1166"/>
        <w:gridCol w:w="912"/>
        <w:gridCol w:w="1424"/>
      </w:tblGrid>
      <w:tr>
        <w:trPr>
          <w:trHeight w:val="828"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30"/>
              <w:ind w:left="240" w:right="26" w:hanging="212"/>
              <w:jc w:val="left"/>
              <w:rPr>
                <w:rFonts w:ascii="宋体" w:hAnsi="宋体" w:cs="宋体" w:eastAsia="宋体" w:hint="default"/>
                <w:sz w:val="21"/>
                <w:szCs w:val="21"/>
              </w:rPr>
            </w:pPr>
            <w:r>
              <w:rPr>
                <w:rFonts w:ascii="宋体" w:hAnsi="宋体" w:cs="宋体" w:eastAsia="宋体" w:hint="default"/>
                <w:sz w:val="21"/>
                <w:szCs w:val="21"/>
              </w:rPr>
              <w:t>转入固定</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30"/>
              <w:ind w:left="86" w:right="84"/>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30"/>
              <w:ind w:left="211" w:right="53" w:hanging="156"/>
              <w:jc w:val="left"/>
              <w:rPr>
                <w:rFonts w:ascii="宋体" w:hAnsi="宋体" w:cs="宋体" w:eastAsia="宋体" w:hint="default"/>
                <w:sz w:val="21"/>
                <w:szCs w:val="21"/>
              </w:rPr>
            </w:pPr>
            <w:r>
              <w:rPr>
                <w:rFonts w:ascii="宋体" w:hAnsi="宋体" w:cs="宋体" w:eastAsia="宋体" w:hint="default"/>
                <w:sz w:val="21"/>
                <w:szCs w:val="21"/>
              </w:rPr>
              <w:t>工程投入占预</w:t>
            </w:r>
            <w:r>
              <w:rPr>
                <w:rFonts w:ascii="宋体" w:hAnsi="宋体" w:cs="宋体" w:eastAsia="宋体" w:hint="default"/>
                <w:w w:val="100"/>
                <w:sz w:val="21"/>
                <w:szCs w:val="21"/>
              </w:rPr>
              <w:t> </w:t>
            </w:r>
            <w:r>
              <w:rPr>
                <w:rFonts w:ascii="宋体" w:hAnsi="宋体" w:cs="宋体" w:eastAsia="宋体" w:hint="default"/>
                <w:sz w:val="21"/>
                <w:szCs w:val="21"/>
              </w:rPr>
              <w:t>算比例</w:t>
            </w:r>
            <w:r>
              <w:rPr>
                <w:rFonts w:ascii="宋体" w:hAnsi="宋体" w:cs="宋体" w:eastAsia="宋体" w:hint="default"/>
                <w:sz w:val="21"/>
                <w:szCs w:val="21"/>
              </w:rPr>
              <w:t>(%)</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1"/>
                <w:sz w:val="21"/>
                <w:szCs w:val="21"/>
              </w:rPr>
              <w:t>工程进度</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30"/>
              <w:ind w:left="160" w:right="51" w:hanging="106"/>
              <w:jc w:val="left"/>
              <w:rPr>
                <w:rFonts w:ascii="宋体" w:hAnsi="宋体" w:cs="宋体" w:eastAsia="宋体" w:hint="default"/>
                <w:sz w:val="21"/>
                <w:szCs w:val="21"/>
              </w:rPr>
            </w:pPr>
            <w:r>
              <w:rPr>
                <w:rFonts w:ascii="宋体" w:hAnsi="宋体" w:cs="宋体" w:eastAsia="宋体" w:hint="default"/>
                <w:sz w:val="21"/>
                <w:szCs w:val="21"/>
              </w:rPr>
              <w:t>利息资本化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累计金额</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其中：本</w:t>
            </w:r>
          </w:p>
          <w:p>
            <w:pPr>
              <w:pStyle w:val="TableParagraph"/>
              <w:spacing w:line="272" w:lineRule="exact" w:before="27"/>
              <w:ind w:left="28" w:right="29"/>
              <w:jc w:val="left"/>
              <w:rPr>
                <w:rFonts w:ascii="宋体" w:hAnsi="宋体" w:cs="宋体" w:eastAsia="宋体" w:hint="default"/>
                <w:sz w:val="21"/>
                <w:szCs w:val="21"/>
              </w:rPr>
            </w:pPr>
            <w:r>
              <w:rPr>
                <w:rFonts w:ascii="宋体" w:hAnsi="宋体" w:cs="宋体" w:eastAsia="宋体" w:hint="default"/>
                <w:sz w:val="21"/>
                <w:szCs w:val="21"/>
              </w:rPr>
              <w:t>期利息资</w:t>
            </w:r>
            <w:r>
              <w:rPr>
                <w:rFonts w:ascii="宋体" w:hAnsi="宋体" w:cs="宋体" w:eastAsia="宋体" w:hint="default"/>
                <w:w w:val="100"/>
                <w:sz w:val="21"/>
                <w:szCs w:val="21"/>
              </w:rPr>
              <w:t> </w:t>
            </w:r>
            <w:r>
              <w:rPr>
                <w:rFonts w:ascii="宋体" w:hAnsi="宋体" w:cs="宋体" w:eastAsia="宋体" w:hint="default"/>
                <w:sz w:val="21"/>
                <w:szCs w:val="21"/>
              </w:rPr>
              <w:t>本化金额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30"/>
              <w:ind w:left="103" w:right="50" w:hanging="53"/>
              <w:jc w:val="left"/>
              <w:rPr>
                <w:rFonts w:ascii="宋体" w:hAnsi="宋体" w:cs="宋体" w:eastAsia="宋体" w:hint="default"/>
                <w:sz w:val="21"/>
                <w:szCs w:val="21"/>
              </w:rPr>
            </w:pPr>
            <w:r>
              <w:rPr>
                <w:rFonts w:ascii="宋体" w:hAnsi="宋体" w:cs="宋体" w:eastAsia="宋体" w:hint="default"/>
                <w:sz w:val="21"/>
                <w:szCs w:val="21"/>
              </w:rPr>
              <w:t>本期利息资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本化率</w:t>
            </w:r>
            <w:r>
              <w:rPr>
                <w:rFonts w:ascii="宋体" w:hAnsi="宋体" w:cs="宋体" w:eastAsia="宋体" w:hint="default"/>
                <w:sz w:val="21"/>
                <w:szCs w:val="21"/>
              </w:rPr>
              <w:t>(%)</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826"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数据中心</w:t>
            </w:r>
            <w:r>
              <w:rPr>
                <w:rFonts w:ascii="宋体" w:hAnsi="宋体" w:cs="宋体" w:eastAsia="宋体" w:hint="default"/>
                <w:spacing w:val="-49"/>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p>
            <w:pPr>
              <w:pStyle w:val="TableParagraph"/>
              <w:spacing w:line="240" w:lineRule="auto"/>
              <w:ind w:left="23" w:right="99"/>
              <w:jc w:val="left"/>
              <w:rPr>
                <w:rFonts w:ascii="宋体" w:hAnsi="宋体" w:cs="宋体" w:eastAsia="宋体" w:hint="default"/>
                <w:sz w:val="21"/>
                <w:szCs w:val="21"/>
              </w:rPr>
            </w:pPr>
            <w:r>
              <w:rPr>
                <w:rFonts w:ascii="宋体" w:hAnsi="宋体" w:cs="宋体" w:eastAsia="宋体" w:hint="default"/>
                <w:sz w:val="21"/>
                <w:szCs w:val="21"/>
              </w:rPr>
              <w:t>服务运营、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营销平台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18,155,000.00</w:t>
            </w:r>
          </w:p>
        </w:tc>
        <w:tc>
          <w:tcPr>
            <w:tcW w:w="84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10,293,661.63</w:t>
            </w:r>
          </w:p>
        </w:tc>
        <w:tc>
          <w:tcPr>
            <w:tcW w:w="9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56.70%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56.70%</w:t>
            </w:r>
          </w:p>
        </w:tc>
        <w:tc>
          <w:tcPr>
            <w:tcW w:w="117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募集资金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10,293,661.63</w:t>
            </w:r>
          </w:p>
        </w:tc>
      </w:tr>
      <w:tr>
        <w:trPr>
          <w:trHeight w:val="110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社保医疗行</w:t>
            </w:r>
          </w:p>
          <w:p>
            <w:pPr>
              <w:pStyle w:val="TableParagraph"/>
              <w:spacing w:line="237" w:lineRule="auto" w:before="2"/>
              <w:ind w:left="23" w:right="99"/>
              <w:jc w:val="both"/>
              <w:rPr>
                <w:rFonts w:ascii="宋体" w:hAnsi="宋体" w:cs="宋体" w:eastAsia="宋体" w:hint="default"/>
                <w:sz w:val="21"/>
                <w:szCs w:val="21"/>
              </w:rPr>
            </w:pPr>
            <w:r>
              <w:rPr>
                <w:rFonts w:ascii="宋体" w:hAnsi="宋体" w:cs="宋体" w:eastAsia="宋体" w:hint="default"/>
                <w:sz w:val="21"/>
                <w:szCs w:val="21"/>
              </w:rPr>
              <w:t>业信息化解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决方案研发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升级项目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4,990,000.00</w:t>
            </w:r>
          </w:p>
        </w:tc>
        <w:tc>
          <w:tcPr>
            <w:tcW w:w="84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3,514,871.82</w:t>
            </w:r>
          </w:p>
        </w:tc>
        <w:tc>
          <w:tcPr>
            <w:tcW w:w="9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70.44%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70.44%</w:t>
            </w:r>
          </w:p>
        </w:tc>
        <w:tc>
          <w:tcPr>
            <w:tcW w:w="117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募集资金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3,514,871.82</w:t>
            </w:r>
          </w:p>
        </w:tc>
      </w:tr>
      <w:tr>
        <w:trPr>
          <w:trHeight w:val="82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64"/>
                <w:sz w:val="21"/>
                <w:szCs w:val="21"/>
              </w:rPr>
              <w:t> </w:t>
            </w:r>
            <w:r>
              <w:rPr>
                <w:rFonts w:ascii="宋体" w:hAnsi="宋体" w:cs="宋体" w:eastAsia="宋体" w:hint="default"/>
                <w:sz w:val="21"/>
                <w:szCs w:val="21"/>
              </w:rPr>
              <w:t>IT</w:t>
            </w:r>
            <w:r>
              <w:rPr>
                <w:rFonts w:ascii="宋体" w:hAnsi="宋体" w:cs="宋体" w:eastAsia="宋体" w:hint="default"/>
                <w:spacing w:val="-64"/>
                <w:sz w:val="21"/>
                <w:szCs w:val="21"/>
              </w:rPr>
              <w:t> </w:t>
            </w:r>
            <w:r>
              <w:rPr>
                <w:rFonts w:ascii="宋体" w:hAnsi="宋体" w:cs="宋体" w:eastAsia="宋体" w:hint="default"/>
                <w:sz w:val="21"/>
                <w:szCs w:val="21"/>
              </w:rPr>
              <w:t>外包</w:t>
            </w:r>
          </w:p>
          <w:p>
            <w:pPr>
              <w:pStyle w:val="TableParagraph"/>
              <w:spacing w:line="272" w:lineRule="exact" w:before="27"/>
              <w:ind w:left="23" w:right="99"/>
              <w:jc w:val="left"/>
              <w:rPr>
                <w:rFonts w:ascii="宋体" w:hAnsi="宋体" w:cs="宋体" w:eastAsia="宋体" w:hint="default"/>
                <w:sz w:val="21"/>
                <w:szCs w:val="21"/>
              </w:rPr>
            </w:pPr>
            <w:r>
              <w:rPr>
                <w:rFonts w:ascii="宋体" w:hAnsi="宋体" w:cs="宋体" w:eastAsia="宋体" w:hint="default"/>
                <w:sz w:val="21"/>
                <w:szCs w:val="21"/>
              </w:rPr>
              <w:t>服务基地建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设项目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11,840,000.00</w:t>
            </w:r>
          </w:p>
        </w:tc>
        <w:tc>
          <w:tcPr>
            <w:tcW w:w="84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5,975,630.28</w:t>
            </w:r>
          </w:p>
        </w:tc>
        <w:tc>
          <w:tcPr>
            <w:tcW w:w="9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50.47%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50.47%</w:t>
            </w:r>
          </w:p>
        </w:tc>
        <w:tc>
          <w:tcPr>
            <w:tcW w:w="117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募集资金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5,975,630.28</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34,985,000.00</w:t>
            </w:r>
          </w:p>
        </w:tc>
        <w:tc>
          <w:tcPr>
            <w:tcW w:w="84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19,784,163.73</w:t>
            </w:r>
          </w:p>
        </w:tc>
        <w:tc>
          <w:tcPr>
            <w:tcW w:w="9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172" w:type="dxa"/>
            <w:tcBorders>
              <w:top w:val="single" w:sz="4" w:space="0" w:color="000000"/>
              <w:left w:val="single" w:sz="12" w:space="0" w:color="D2D2D2"/>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19,784,163.73</w:t>
            </w:r>
          </w:p>
        </w:tc>
      </w:tr>
    </w:tbl>
    <w:p>
      <w:pPr>
        <w:pStyle w:val="BodyText"/>
        <w:spacing w:line="239" w:lineRule="exact"/>
        <w:ind w:left="140" w:right="0"/>
        <w:jc w:val="left"/>
      </w:pPr>
      <w:r>
        <w:rPr/>
        <w:t>在建工程项目变动情况的说明</w:t>
      </w:r>
    </w:p>
    <w:p>
      <w:pPr>
        <w:pStyle w:val="BodyText"/>
        <w:spacing w:line="273" w:lineRule="exact"/>
        <w:ind w:left="140" w:right="0"/>
        <w:jc w:val="left"/>
      </w:pPr>
      <w:r>
        <w:rPr/>
        <w:t>报告期末，在建工程较期初增加</w:t>
      </w:r>
      <w:r>
        <w:rPr>
          <w:rFonts w:ascii="宋体" w:hAnsi="宋体" w:cs="宋体" w:eastAsia="宋体" w:hint="default"/>
        </w:rPr>
        <w:t>1,978.42</w:t>
      </w:r>
      <w:r>
        <w:rPr/>
        <w:t>万元，主要是公司募集资金项目建设所致。</w:t>
      </w:r>
    </w:p>
    <w:p>
      <w:pPr>
        <w:pStyle w:val="Heading5"/>
        <w:spacing w:line="324" w:lineRule="auto" w:before="97"/>
        <w:ind w:left="140" w:right="12384"/>
        <w:jc w:val="left"/>
        <w:rPr>
          <w:rFonts w:ascii="宋体" w:hAnsi="宋体" w:cs="宋体" w:eastAsia="宋体" w:hint="default"/>
          <w:b w:val="0"/>
          <w:bCs w:val="0"/>
        </w:rPr>
      </w:pPr>
      <w:r>
        <w:rPr/>
        <w:t>（</w:t>
      </w:r>
      <w:r>
        <w:rPr>
          <w:rFonts w:ascii="宋体" w:hAnsi="宋体" w:cs="宋体" w:eastAsia="宋体" w:hint="default"/>
        </w:rPr>
        <w:t>3</w:t>
      </w:r>
      <w:r>
        <w:rPr/>
        <w:t>）在建工程减值准备</w:t>
      </w:r>
      <w:r>
        <w:rPr>
          <w:spacing w:val="-103"/>
        </w:rPr>
        <w:t> </w:t>
      </w:r>
      <w:r>
        <w:rPr>
          <w:rFonts w:ascii="宋体" w:hAnsi="宋体" w:cs="宋体" w:eastAsia="宋体" w:hint="default"/>
          <w:b w:val="0"/>
          <w:bCs w:val="0"/>
        </w:rPr>
        <w:t>无</w:t>
      </w:r>
    </w:p>
    <w:p>
      <w:pPr>
        <w:pStyle w:val="Heading5"/>
        <w:spacing w:line="326" w:lineRule="auto" w:before="23"/>
        <w:ind w:left="140" w:right="11176"/>
        <w:jc w:val="left"/>
        <w:rPr>
          <w:rFonts w:ascii="宋体" w:hAnsi="宋体" w:cs="宋体" w:eastAsia="宋体" w:hint="default"/>
          <w:b w:val="0"/>
          <w:bCs w:val="0"/>
        </w:rPr>
      </w:pPr>
      <w:r>
        <w:rPr>
          <w:spacing w:val="-1"/>
        </w:rPr>
        <w:t>（</w:t>
      </w:r>
      <w:r>
        <w:rPr>
          <w:rFonts w:ascii="宋体" w:hAnsi="宋体" w:cs="宋体" w:eastAsia="宋体" w:hint="default"/>
          <w:spacing w:val="-1"/>
        </w:rPr>
        <w:t>4</w:t>
      </w:r>
      <w:r>
        <w:rPr>
          <w:spacing w:val="-1"/>
        </w:rPr>
        <w:t>）重大在建工程的工程进度情况</w:t>
      </w:r>
      <w:r>
        <w:rPr>
          <w:spacing w:val="-91"/>
        </w:rPr>
        <w:t> </w:t>
      </w:r>
      <w:r>
        <w:rPr>
          <w:spacing w:val="-91"/>
        </w:rPr>
      </w:r>
      <w:r>
        <w:rPr>
          <w:rFonts w:ascii="宋体" w:hAnsi="宋体" w:cs="宋体" w:eastAsia="宋体" w:hint="default"/>
          <w:b w:val="0"/>
          <w:bCs w:val="0"/>
        </w:rPr>
        <w:t>无</w:t>
      </w:r>
    </w:p>
    <w:p>
      <w:pPr>
        <w:spacing w:line="326" w:lineRule="auto" w:before="19"/>
        <w:ind w:left="560" w:right="826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本报告期末在建工程无抵押、质押和担保情况。</w:t>
      </w:r>
    </w:p>
    <w:p>
      <w:pPr>
        <w:pStyle w:val="Heading5"/>
        <w:spacing w:line="400" w:lineRule="auto" w:before="17"/>
        <w:ind w:left="140" w:right="13332"/>
        <w:jc w:val="left"/>
        <w:rPr>
          <w:rFonts w:ascii="宋体" w:hAnsi="宋体" w:cs="宋体" w:eastAsia="宋体" w:hint="default"/>
          <w:b w:val="0"/>
          <w:bCs w:val="0"/>
        </w:rPr>
      </w:pPr>
      <w:r>
        <w:rPr>
          <w:rFonts w:ascii="宋体" w:hAnsi="宋体" w:cs="宋体" w:eastAsia="宋体" w:hint="default"/>
        </w:rPr>
        <w:t>19</w:t>
      </w:r>
      <w:r>
        <w:rPr/>
        <w:t>、工程物资</w:t>
      </w:r>
      <w:r>
        <w:rPr>
          <w:w w:val="100"/>
        </w:rPr>
        <w:t> </w:t>
      </w:r>
      <w:r>
        <w:rPr>
          <w:rFonts w:ascii="宋体" w:hAnsi="宋体" w:cs="宋体" w:eastAsia="宋体" w:hint="default"/>
          <w:b w:val="0"/>
          <w:bCs w:val="0"/>
        </w:rPr>
        <w:t>无</w:t>
      </w:r>
    </w:p>
    <w:p>
      <w:pPr>
        <w:pStyle w:val="Heading5"/>
        <w:spacing w:line="226" w:lineRule="exact"/>
        <w:ind w:left="140" w:right="0"/>
        <w:jc w:val="left"/>
        <w:rPr>
          <w:b w:val="0"/>
          <w:bCs w:val="0"/>
        </w:rPr>
      </w:pPr>
      <w:r>
        <w:rPr>
          <w:rFonts w:ascii="宋体" w:hAnsi="宋体" w:cs="宋体" w:eastAsia="宋体" w:hint="default"/>
        </w:rPr>
        <w:t>20</w:t>
      </w:r>
      <w:r>
        <w:rPr/>
        <w:t>、固定资产清理</w:t>
      </w:r>
      <w:r>
        <w:rPr>
          <w:b w:val="0"/>
          <w:bCs w:val="0"/>
        </w:rPr>
      </w:r>
    </w:p>
    <w:p>
      <w:pPr>
        <w:spacing w:line="240" w:lineRule="auto" w:before="11"/>
        <w:rPr>
          <w:rFonts w:ascii="宋体" w:hAnsi="宋体" w:cs="宋体" w:eastAsia="宋体" w:hint="default"/>
          <w:b/>
          <w:bCs/>
          <w:sz w:val="13"/>
          <w:szCs w:val="13"/>
        </w:rPr>
      </w:pPr>
    </w:p>
    <w:p>
      <w:pPr>
        <w:pStyle w:val="BodyText"/>
        <w:spacing w:line="240" w:lineRule="auto"/>
        <w:ind w:left="140" w:right="0"/>
        <w:jc w:val="left"/>
      </w:pPr>
      <w:r>
        <w:rPr>
          <w:w w:val="100"/>
        </w:rPr>
        <w:t>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76"/>
        <w:ind w:left="0" w:right="653" w:firstLine="0"/>
        <w:jc w:val="right"/>
        <w:rPr>
          <w:rFonts w:ascii="Times New Roman" w:hAnsi="Times New Roman" w:cs="Times New Roman" w:eastAsia="Times New Roman" w:hint="default"/>
          <w:sz w:val="18"/>
          <w:szCs w:val="18"/>
        </w:rPr>
      </w:pPr>
      <w:r>
        <w:rPr>
          <w:rFonts w:ascii="Times New Roman"/>
          <w:sz w:val="18"/>
        </w:rPr>
        <w:t>83</w:t>
      </w:r>
    </w:p>
    <w:p>
      <w:pPr>
        <w:spacing w:after="0"/>
        <w:jc w:val="right"/>
        <w:rPr>
          <w:rFonts w:ascii="Times New Roman" w:hAnsi="Times New Roman" w:cs="Times New Roman" w:eastAsia="Times New Roman" w:hint="default"/>
          <w:sz w:val="18"/>
          <w:szCs w:val="18"/>
        </w:rPr>
        <w:sectPr>
          <w:headerReference w:type="default" r:id="rId42"/>
          <w:footerReference w:type="default" r:id="rId43"/>
          <w:pgSz w:w="16840" w:h="11910" w:orient="landscape"/>
          <w:pgMar w:header="0" w:footer="0" w:top="480" w:bottom="280" w:left="1300" w:right="780"/>
        </w:sectPr>
      </w:pPr>
    </w:p>
    <w:p>
      <w:pPr>
        <w:spacing w:line="240" w:lineRule="auto" w:before="0"/>
        <w:rPr>
          <w:rFonts w:ascii="Times New Roman" w:hAnsi="Times New Roman" w:cs="Times New Roman" w:eastAsia="Times New Roman" w:hint="default"/>
          <w:sz w:val="20"/>
          <w:szCs w:val="20"/>
        </w:rPr>
      </w:pPr>
    </w:p>
    <w:p>
      <w:pPr>
        <w:pStyle w:val="Heading5"/>
        <w:spacing w:line="398" w:lineRule="auto" w:before="165"/>
        <w:ind w:right="7876"/>
        <w:jc w:val="left"/>
        <w:rPr>
          <w:rFonts w:ascii="宋体" w:hAnsi="宋体" w:cs="宋体" w:eastAsia="宋体" w:hint="default"/>
          <w:b w:val="0"/>
          <w:bCs w:val="0"/>
        </w:rPr>
      </w:pPr>
      <w:r>
        <w:rPr>
          <w:rFonts w:ascii="宋体" w:hAnsi="宋体" w:cs="宋体" w:eastAsia="宋体" w:hint="default"/>
        </w:rPr>
        <w:t>21</w:t>
      </w:r>
      <w:r>
        <w:rPr/>
        <w:t>、生产性生物资产</w:t>
      </w:r>
      <w:r>
        <w:rPr>
          <w:spacing w:val="-104"/>
        </w:rPr>
        <w:t> </w:t>
      </w:r>
      <w:r>
        <w:rPr>
          <w:rFonts w:ascii="宋体" w:hAnsi="宋体" w:cs="宋体" w:eastAsia="宋体" w:hint="default"/>
          <w:b w:val="0"/>
          <w:bCs w:val="0"/>
        </w:rPr>
        <w:t>无</w:t>
      </w:r>
    </w:p>
    <w:p>
      <w:pPr>
        <w:pStyle w:val="Heading5"/>
        <w:spacing w:line="231" w:lineRule="exact"/>
        <w:ind w:right="142"/>
        <w:jc w:val="left"/>
        <w:rPr>
          <w:b w:val="0"/>
          <w:bCs w:val="0"/>
        </w:rPr>
      </w:pPr>
      <w:r>
        <w:rPr>
          <w:rFonts w:ascii="宋体" w:hAnsi="宋体" w:cs="宋体" w:eastAsia="宋体" w:hint="default"/>
        </w:rPr>
        <w:t>22</w:t>
      </w:r>
      <w:r>
        <w:rPr/>
        <w:t>、油气资产</w:t>
      </w:r>
      <w:r>
        <w:rPr>
          <w:b w:val="0"/>
          <w:bCs w:val="0"/>
        </w:rPr>
      </w:r>
    </w:p>
    <w:p>
      <w:pPr>
        <w:spacing w:line="240" w:lineRule="auto" w:before="11"/>
        <w:rPr>
          <w:rFonts w:ascii="宋体" w:hAnsi="宋体" w:cs="宋体" w:eastAsia="宋体" w:hint="default"/>
          <w:b/>
          <w:bCs/>
          <w:sz w:val="13"/>
          <w:szCs w:val="13"/>
        </w:rPr>
      </w:pPr>
    </w:p>
    <w:p>
      <w:pPr>
        <w:spacing w:line="321" w:lineRule="auto" w:before="0"/>
        <w:ind w:left="152" w:right="8508"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9"/>
        <w:rPr>
          <w:rFonts w:ascii="宋体" w:hAnsi="宋体" w:cs="宋体" w:eastAsia="宋体" w:hint="default"/>
          <w:b/>
          <w:bCs/>
          <w:sz w:val="9"/>
          <w:szCs w:val="9"/>
        </w:rPr>
      </w:pPr>
    </w:p>
    <w:p>
      <w:pPr>
        <w:pStyle w:val="Heading5"/>
        <w:spacing w:line="240" w:lineRule="auto" w:before="36"/>
        <w:ind w:right="142"/>
        <w:jc w:val="left"/>
        <w:rPr>
          <w:b w:val="0"/>
          <w:bCs w:val="0"/>
        </w:rPr>
      </w:pPr>
      <w:r>
        <w:rPr/>
        <w:t>（</w:t>
      </w:r>
      <w:r>
        <w:rPr>
          <w:rFonts w:ascii="宋体" w:hAnsi="宋体" w:cs="宋体" w:eastAsia="宋体" w:hint="default"/>
        </w:rPr>
        <w:t>1</w:t>
      </w:r>
      <w:r>
        <w:rPr/>
        <w:t>）无形资产情况</w:t>
      </w:r>
      <w:r>
        <w:rPr>
          <w:b w:val="0"/>
          <w:bCs w:val="0"/>
        </w:rPr>
      </w:r>
    </w:p>
    <w:p>
      <w:pPr>
        <w:pStyle w:val="BodyText"/>
        <w:spacing w:line="240" w:lineRule="auto" w:before="97"/>
        <w:ind w:left="0" w:right="360"/>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28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1,626,358.95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1,626,358.95</w:t>
            </w:r>
          </w:p>
        </w:tc>
      </w:tr>
      <w:tr>
        <w:trPr>
          <w:trHeight w:val="28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1,626,358.95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1,626,358.95</w:t>
            </w:r>
          </w:p>
        </w:tc>
      </w:tr>
      <w:tr>
        <w:trPr>
          <w:trHeight w:val="28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81,905.98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81,905.98</w:t>
            </w:r>
          </w:p>
        </w:tc>
      </w:tr>
      <w:tr>
        <w:trPr>
          <w:trHeight w:val="28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81,905.98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81,905.98</w:t>
            </w:r>
          </w:p>
        </w:tc>
      </w:tr>
      <w:tr>
        <w:trPr>
          <w:trHeight w:val="55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三、无形资产账面净值</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1,544,452.97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1,544,452.97</w:t>
            </w:r>
          </w:p>
        </w:tc>
      </w:tr>
      <w:tr>
        <w:trPr>
          <w:trHeight w:val="28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1,544,452.97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1,544,452.97</w:t>
            </w:r>
          </w:p>
        </w:tc>
      </w:tr>
      <w:tr>
        <w:trPr>
          <w:trHeight w:val="28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1,544,452.97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1,544,452.97</w:t>
            </w:r>
          </w:p>
        </w:tc>
      </w:tr>
      <w:tr>
        <w:trPr>
          <w:trHeight w:val="28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1,544,452.97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1,544,452.97</w:t>
            </w:r>
          </w:p>
        </w:tc>
      </w:tr>
    </w:tbl>
    <w:p>
      <w:pPr>
        <w:pStyle w:val="BodyText"/>
        <w:spacing w:line="241" w:lineRule="exact"/>
        <w:ind w:right="142"/>
        <w:jc w:val="left"/>
      </w:pPr>
      <w:r>
        <w:rPr/>
        <w:t>本期摊销额</w:t>
      </w:r>
      <w:r>
        <w:rPr>
          <w:spacing w:val="-52"/>
        </w:rPr>
        <w:t> </w:t>
      </w:r>
      <w:r>
        <w:rPr>
          <w:rFonts w:ascii="宋体" w:hAnsi="宋体" w:cs="宋体" w:eastAsia="宋体" w:hint="default"/>
        </w:rPr>
        <w:t>81,905.98</w:t>
      </w:r>
      <w:r>
        <w:rPr>
          <w:rFonts w:ascii="宋体" w:hAnsi="宋体" w:cs="宋体" w:eastAsia="宋体" w:hint="default"/>
          <w:spacing w:val="-53"/>
        </w:rPr>
        <w:t> </w:t>
      </w:r>
      <w:r>
        <w:rPr>
          <w:spacing w:val="-3"/>
        </w:rPr>
        <w:t>元。</w:t>
      </w:r>
      <w:r>
        <w:rPr/>
      </w:r>
    </w:p>
    <w:p>
      <w:pPr>
        <w:pStyle w:val="Heading5"/>
        <w:spacing w:line="326" w:lineRule="auto" w:before="94"/>
        <w:ind w:right="7560"/>
        <w:jc w:val="left"/>
        <w:rPr>
          <w:rFonts w:ascii="宋体" w:hAnsi="宋体" w:cs="宋体" w:eastAsia="宋体" w:hint="default"/>
          <w:b w:val="0"/>
          <w:bCs w:val="0"/>
        </w:rPr>
      </w:pPr>
      <w:r>
        <w:rPr/>
        <w:t>（</w:t>
      </w:r>
      <w:r>
        <w:rPr>
          <w:rFonts w:ascii="宋体" w:hAnsi="宋体" w:cs="宋体" w:eastAsia="宋体" w:hint="default"/>
        </w:rPr>
        <w:t>2</w:t>
      </w:r>
      <w:r>
        <w:rPr/>
        <w:t>）公司开发项目支出</w:t>
      </w:r>
      <w:r>
        <w:rPr>
          <w:spacing w:val="-103"/>
        </w:rPr>
        <w:t> </w:t>
      </w:r>
      <w:r>
        <w:rPr>
          <w:rFonts w:ascii="宋体" w:hAnsi="宋体" w:cs="宋体" w:eastAsia="宋体" w:hint="default"/>
          <w:b w:val="0"/>
          <w:bCs w:val="0"/>
        </w:rPr>
        <w:t>无</w:t>
      </w:r>
    </w:p>
    <w:p>
      <w:pPr>
        <w:pStyle w:val="Heading5"/>
        <w:spacing w:line="398" w:lineRule="auto" w:before="19"/>
        <w:ind w:right="8930"/>
        <w:jc w:val="left"/>
        <w:rPr>
          <w:rFonts w:ascii="宋体" w:hAnsi="宋体" w:cs="宋体" w:eastAsia="宋体" w:hint="default"/>
          <w:b w:val="0"/>
          <w:bCs w:val="0"/>
        </w:rPr>
      </w:pPr>
      <w:r>
        <w:rPr>
          <w:rFonts w:ascii="宋体" w:hAnsi="宋体" w:cs="宋体" w:eastAsia="宋体" w:hint="default"/>
        </w:rPr>
        <w:t>24</w:t>
      </w:r>
      <w:r>
        <w:rPr/>
        <w:t>、商誉</w:t>
      </w:r>
      <w:r>
        <w:rPr>
          <w:w w:val="100"/>
        </w:rPr>
        <w:t> </w:t>
      </w:r>
      <w:r>
        <w:rPr>
          <w:rFonts w:ascii="宋体" w:hAnsi="宋体" w:cs="宋体" w:eastAsia="宋体" w:hint="default"/>
          <w:b w:val="0"/>
          <w:bCs w:val="0"/>
        </w:rPr>
        <w:t>无</w:t>
      </w:r>
    </w:p>
    <w:p>
      <w:pPr>
        <w:pStyle w:val="Heading5"/>
        <w:spacing w:line="229" w:lineRule="exact"/>
        <w:ind w:right="142"/>
        <w:jc w:val="left"/>
        <w:rPr>
          <w:b w:val="0"/>
          <w:bCs w:val="0"/>
        </w:rPr>
      </w:pPr>
      <w:r>
        <w:rPr>
          <w:rFonts w:ascii="宋体" w:hAnsi="宋体" w:cs="宋体" w:eastAsia="宋体" w:hint="default"/>
        </w:rPr>
        <w:t>25</w:t>
      </w:r>
      <w:r>
        <w:rPr/>
        <w:t>、长期待摊费用</w:t>
      </w:r>
      <w:r>
        <w:rPr>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55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其他减少的原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租赁资产装修</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638,752.97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393,349.75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245,403.22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141,666.66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50,000.04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91,666.62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780,419.63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443,349.79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337,069.84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9" w:lineRule="exact"/>
        <w:ind w:right="142"/>
        <w:jc w:val="left"/>
      </w:pPr>
      <w:r>
        <w:rPr/>
        <w:t>长期待摊费用的说明</w:t>
      </w:r>
    </w:p>
    <w:p>
      <w:pPr>
        <w:spacing w:line="321" w:lineRule="auto" w:before="0"/>
        <w:ind w:left="152" w:right="2399" w:firstLine="0"/>
        <w:jc w:val="left"/>
        <w:rPr>
          <w:rFonts w:ascii="宋体" w:hAnsi="宋体" w:cs="宋体" w:eastAsia="宋体" w:hint="default"/>
          <w:sz w:val="21"/>
          <w:szCs w:val="21"/>
        </w:rPr>
      </w:pPr>
      <w:r>
        <w:rPr>
          <w:rFonts w:ascii="宋体" w:hAnsi="宋体" w:cs="宋体" w:eastAsia="宋体" w:hint="default"/>
          <w:spacing w:val="-2"/>
          <w:sz w:val="21"/>
          <w:szCs w:val="21"/>
        </w:rPr>
        <w:t>本项目租赁资产装修费系公司无偿租用经营场所发生的改良支出。</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b/>
          <w:bCs/>
          <w:sz w:val="21"/>
          <w:szCs w:val="21"/>
        </w:rPr>
        <w:t>26</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footerReference w:type="default" r:id="rId44"/>
          <w:pgSz w:w="11910" w:h="16840"/>
          <w:pgMar w:footer="979" w:header="0" w:top="1100" w:bottom="1160" w:left="980" w:right="980"/>
          <w:pgNumType w:start="84"/>
        </w:sectPr>
      </w:pPr>
    </w:p>
    <w:p>
      <w:pPr>
        <w:spacing w:line="326" w:lineRule="auto" w:before="36"/>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）递延所得税资产和递延所得税负债不以抵销后的净额列示</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宋体" w:hAnsi="宋体" w:cs="宋体" w:eastAsia="宋体" w:hint="default"/>
          <w:sz w:val="21"/>
          <w:szCs w:val="21"/>
        </w:rPr>
        <w:t>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right="0"/>
        <w:jc w:val="left"/>
      </w:pPr>
      <w:r>
        <w:rPr/>
        <w:t>单位：</w:t>
      </w:r>
      <w:r>
        <w:rPr>
          <w:spacing w:val="2"/>
        </w:rPr>
        <w:t> </w:t>
      </w:r>
      <w:r>
        <w:rPr/>
        <w:t>元</w:t>
      </w:r>
    </w:p>
    <w:p>
      <w:pPr>
        <w:spacing w:after="0" w:line="240" w:lineRule="auto"/>
        <w:jc w:val="left"/>
        <w:sectPr>
          <w:type w:val="continuous"/>
          <w:pgSz w:w="11910" w:h="16840"/>
          <w:pgMar w:top="1100" w:bottom="1160" w:left="980" w:right="980"/>
          <w:cols w:num="2" w:equalWidth="0">
            <w:col w:w="5952" w:space="2742"/>
            <w:col w:w="1256"/>
          </w:cols>
        </w:sectPr>
      </w:pPr>
    </w:p>
    <w:p>
      <w:pPr>
        <w:spacing w:line="240" w:lineRule="auto" w:before="7"/>
        <w:rPr>
          <w:rFonts w:ascii="宋体" w:hAnsi="宋体" w:cs="宋体" w:eastAsia="宋体" w:hint="default"/>
          <w:sz w:val="2"/>
          <w:szCs w:val="2"/>
        </w:rPr>
      </w:pPr>
      <w:r>
        <w:rPr/>
        <w:pict>
          <v:group style="position:absolute;margin-left:54.84pt;margin-top:28.299982pt;width:485.65pt;height:40.15pt;mso-position-horizontal-relative:page;mso-position-vertical-relative:page;z-index:306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707"/>
        <w:gridCol w:w="2929"/>
        <w:gridCol w:w="2921"/>
      </w:tblGrid>
      <w:tr>
        <w:trPr>
          <w:trHeight w:val="288"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7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8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641,466.80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293,980.63</w:t>
            </w:r>
          </w:p>
        </w:tc>
      </w:tr>
      <w:tr>
        <w:trPr>
          <w:trHeight w:val="28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641,466.80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293,980.63</w:t>
            </w:r>
          </w:p>
        </w:tc>
      </w:tr>
      <w:tr>
        <w:trPr>
          <w:trHeight w:val="283"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spacing w:after="0" w:line="241" w:lineRule="exact"/>
        <w:jc w:val="left"/>
        <w:rPr>
          <w:rFonts w:ascii="宋体" w:hAnsi="宋体" w:cs="宋体" w:eastAsia="宋体" w:hint="default"/>
          <w:sz w:val="21"/>
          <w:szCs w:val="21"/>
        </w:rPr>
        <w:sectPr>
          <w:type w:val="continuous"/>
          <w:pgSz w:w="11910" w:h="16840"/>
          <w:pgMar w:top="1100" w:bottom="1160" w:left="980" w:right="980"/>
        </w:sectPr>
      </w:pPr>
    </w:p>
    <w:p>
      <w:pPr>
        <w:spacing w:line="240" w:lineRule="auto" w:before="2"/>
        <w:rPr>
          <w:rFonts w:ascii="宋体" w:hAnsi="宋体" w:cs="宋体" w:eastAsia="宋体" w:hint="default"/>
          <w:sz w:val="20"/>
          <w:szCs w:val="20"/>
        </w:rPr>
      </w:pPr>
    </w:p>
    <w:p>
      <w:pPr>
        <w:pStyle w:val="BodyText"/>
        <w:spacing w:line="273" w:lineRule="exact" w:before="36"/>
        <w:ind w:right="142"/>
        <w:jc w:val="left"/>
      </w:pPr>
      <w:r>
        <w:rPr/>
        <w:t>应纳税差异和可抵扣差异项目明细</w:t>
      </w:r>
    </w:p>
    <w:p>
      <w:pPr>
        <w:pStyle w:val="BodyText"/>
        <w:spacing w:line="273" w:lineRule="exact"/>
        <w:ind w:left="0" w:right="360"/>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283"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1"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3,374,854.31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1,415,855.56</w:t>
            </w:r>
          </w:p>
        </w:tc>
      </w:tr>
      <w:tr>
        <w:trPr>
          <w:trHeight w:val="28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843,396.55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524,393.64</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4,218,250.86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1,940,249.20</w:t>
            </w:r>
          </w:p>
        </w:tc>
      </w:tr>
    </w:tbl>
    <w:p>
      <w:pPr>
        <w:spacing w:after="0" w:line="241" w:lineRule="exact"/>
        <w:jc w:val="right"/>
        <w:rPr>
          <w:rFonts w:ascii="宋体" w:hAnsi="宋体" w:cs="宋体" w:eastAsia="宋体" w:hint="default"/>
          <w:sz w:val="21"/>
          <w:szCs w:val="21"/>
        </w:rPr>
        <w:sectPr>
          <w:pgSz w:w="11910" w:h="16840"/>
          <w:pgMar w:header="0" w:footer="979" w:top="1100" w:bottom="1160" w:left="980" w:right="980"/>
        </w:sectPr>
      </w:pPr>
    </w:p>
    <w:p>
      <w:pPr>
        <w:spacing w:line="343" w:lineRule="auto" w:before="64"/>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）递延所得税资产和递延所得税负债以抵销后的净额列示</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互抵后的递延所得税资产及负债的组成项目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160" w:left="980" w:right="980"/>
          <w:cols w:num="2" w:equalWidth="0">
            <w:col w:w="5741" w:space="2742"/>
            <w:col w:w="1467"/>
          </w:cols>
        </w:sectPr>
      </w:pPr>
    </w:p>
    <w:p>
      <w:pPr>
        <w:spacing w:line="240" w:lineRule="auto" w:before="6"/>
        <w:rPr>
          <w:rFonts w:ascii="宋体" w:hAnsi="宋体" w:cs="宋体" w:eastAsia="宋体" w:hint="default"/>
          <w:sz w:val="5"/>
          <w:szCs w:val="5"/>
        </w:rPr>
      </w:pPr>
      <w:r>
        <w:rPr/>
        <w:pict>
          <v:group style="position:absolute;margin-left:54.84pt;margin-top:28.299982pt;width:485.65pt;height:40.15pt;mso-position-horizontal-relative:page;mso-position-vertical-relative:page;z-index:308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1"/>
        <w:gridCol w:w="1625"/>
        <w:gridCol w:w="1628"/>
        <w:gridCol w:w="1628"/>
        <w:gridCol w:w="1630"/>
      </w:tblGrid>
      <w:tr>
        <w:trPr>
          <w:trHeight w:val="278"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7"/>
              <w:ind w:left="74" w:right="65"/>
              <w:jc w:val="center"/>
              <w:rPr>
                <w:rFonts w:ascii="宋体" w:hAnsi="宋体" w:cs="宋体" w:eastAsia="宋体" w:hint="default"/>
                <w:sz w:val="21"/>
                <w:szCs w:val="21"/>
              </w:rPr>
            </w:pPr>
            <w:r>
              <w:rPr>
                <w:rFonts w:ascii="宋体" w:hAnsi="宋体" w:cs="宋体" w:eastAsia="宋体" w:hint="default"/>
                <w:spacing w:val="-1"/>
                <w:sz w:val="21"/>
                <w:szCs w:val="21"/>
              </w:rPr>
              <w:t>报告期末互抵后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的递延所得税资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产或负债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7"/>
              <w:ind w:left="74" w:right="67"/>
              <w:jc w:val="both"/>
              <w:rPr>
                <w:rFonts w:ascii="宋体" w:hAnsi="宋体" w:cs="宋体" w:eastAsia="宋体" w:hint="default"/>
                <w:sz w:val="21"/>
                <w:szCs w:val="21"/>
              </w:rPr>
            </w:pPr>
            <w:r>
              <w:rPr>
                <w:rFonts w:ascii="宋体" w:hAnsi="宋体" w:cs="宋体" w:eastAsia="宋体" w:hint="default"/>
                <w:sz w:val="21"/>
                <w:szCs w:val="21"/>
              </w:rPr>
              <w:t>报告期末互抵后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的可抵扣或应纳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税暂时性差异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7"/>
              <w:ind w:left="74" w:right="68"/>
              <w:jc w:val="center"/>
              <w:rPr>
                <w:rFonts w:ascii="宋体" w:hAnsi="宋体" w:cs="宋体" w:eastAsia="宋体" w:hint="default"/>
                <w:sz w:val="21"/>
                <w:szCs w:val="21"/>
              </w:rPr>
            </w:pPr>
            <w:r>
              <w:rPr>
                <w:rFonts w:ascii="宋体" w:hAnsi="宋体" w:cs="宋体" w:eastAsia="宋体" w:hint="default"/>
                <w:spacing w:val="-1"/>
                <w:sz w:val="21"/>
                <w:szCs w:val="21"/>
              </w:rPr>
              <w:t>报告期初互抵后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的递延所得税资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产或负债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7"/>
              <w:ind w:left="74" w:right="69"/>
              <w:jc w:val="both"/>
              <w:rPr>
                <w:rFonts w:ascii="宋体" w:hAnsi="宋体" w:cs="宋体" w:eastAsia="宋体" w:hint="default"/>
                <w:sz w:val="21"/>
                <w:szCs w:val="21"/>
              </w:rPr>
            </w:pPr>
            <w:r>
              <w:rPr>
                <w:rFonts w:ascii="宋体" w:hAnsi="宋体" w:cs="宋体" w:eastAsia="宋体" w:hint="default"/>
                <w:sz w:val="21"/>
                <w:szCs w:val="21"/>
              </w:rPr>
              <w:t>报告期初互抵后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的可抵扣或应纳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税暂时性差异</w:t>
            </w:r>
          </w:p>
        </w:tc>
      </w:tr>
      <w:tr>
        <w:trPr>
          <w:trHeight w:val="353"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276"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left="537" w:right="0"/>
              <w:jc w:val="left"/>
              <w:rPr>
                <w:rFonts w:ascii="宋体" w:hAnsi="宋体" w:cs="宋体" w:eastAsia="宋体" w:hint="default"/>
                <w:sz w:val="21"/>
                <w:szCs w:val="21"/>
              </w:rPr>
            </w:pPr>
            <w:r>
              <w:rPr>
                <w:rFonts w:ascii="宋体"/>
                <w:sz w:val="21"/>
              </w:rPr>
              <w:t>641,466.80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6" w:right="0"/>
              <w:jc w:val="left"/>
              <w:rPr>
                <w:rFonts w:ascii="宋体" w:hAnsi="宋体" w:cs="宋体" w:eastAsia="宋体" w:hint="default"/>
                <w:sz w:val="21"/>
                <w:szCs w:val="21"/>
              </w:rPr>
            </w:pPr>
            <w:r>
              <w:rPr>
                <w:rFonts w:ascii="宋体"/>
                <w:sz w:val="21"/>
              </w:rPr>
              <w:t>4,218,250.86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44" w:right="0"/>
              <w:jc w:val="left"/>
              <w:rPr>
                <w:rFonts w:ascii="宋体" w:hAnsi="宋体" w:cs="宋体" w:eastAsia="宋体" w:hint="default"/>
                <w:sz w:val="21"/>
                <w:szCs w:val="21"/>
              </w:rPr>
            </w:pPr>
            <w:r>
              <w:rPr>
                <w:rFonts w:ascii="宋体"/>
                <w:sz w:val="21"/>
              </w:rPr>
              <w:t>293,980.63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5" w:right="0"/>
              <w:jc w:val="left"/>
              <w:rPr>
                <w:rFonts w:ascii="宋体" w:hAnsi="宋体" w:cs="宋体" w:eastAsia="宋体" w:hint="default"/>
                <w:sz w:val="21"/>
                <w:szCs w:val="21"/>
              </w:rPr>
            </w:pPr>
            <w:r>
              <w:rPr>
                <w:rFonts w:ascii="宋体"/>
                <w:sz w:val="21"/>
              </w:rPr>
              <w:t>1,940,249.20</w:t>
            </w:r>
          </w:p>
        </w:tc>
      </w:tr>
      <w:tr>
        <w:trPr>
          <w:trHeight w:val="36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62"/>
        <w:ind w:right="142"/>
        <w:jc w:val="left"/>
        <w:rPr>
          <w:b w:val="0"/>
          <w:bCs w:val="0"/>
        </w:rPr>
      </w:pPr>
      <w:r>
        <w:rPr>
          <w:rFonts w:ascii="宋体" w:hAnsi="宋体" w:cs="宋体" w:eastAsia="宋体" w:hint="default"/>
        </w:rPr>
        <w:t>27</w:t>
      </w:r>
      <w:r>
        <w:rPr/>
        <w:t>、资产减值准备明细</w:t>
      </w:r>
      <w:r>
        <w:rPr>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0" w:right="360"/>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14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10" w:space="0" w:color="D2D2D2"/>
              <w:right w:val="single" w:sz="10" w:space="0" w:color="D2D2D2"/>
            </w:tcBorders>
          </w:tcPr>
          <w:p>
            <w:pPr>
              <w:pStyle w:val="TableParagraph"/>
              <w:spacing w:line="241"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4"/>
                <w:w w:val="100"/>
                <w:sz w:val="21"/>
                <w:szCs w:val="21"/>
                <w:shd w:fill="D2D2D2" w:color="auto" w:val="clear"/>
              </w:rPr>
              <w:t> </w:t>
            </w:r>
            <w:r>
              <w:rPr>
                <w:rFonts w:ascii="宋体" w:hAnsi="宋体" w:cs="宋体" w:eastAsia="宋体" w:hint="default"/>
                <w:sz w:val="21"/>
                <w:szCs w:val="21"/>
                <w:shd w:fill="D2D2D2" w:color="auto" w:val="clear"/>
              </w:rPr>
              <w:t>期末账面余额</w:t>
            </w:r>
            <w:r>
              <w:rPr>
                <w:rFonts w:ascii="宋体" w:hAnsi="宋体" w:cs="宋体" w:eastAsia="宋体" w:hint="default"/>
                <w:sz w:val="21"/>
                <w:szCs w:val="21"/>
              </w:rPr>
            </w:r>
          </w:p>
        </w:tc>
      </w:tr>
      <w:tr>
        <w:trPr>
          <w:trHeight w:val="142"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52" w:type="dxa"/>
            <w:vMerge/>
            <w:tcBorders>
              <w:left w:val="single" w:sz="10" w:space="0" w:color="D2D2D2"/>
              <w:bottom w:val="nil" w:sz="6" w:space="0" w:color="auto"/>
              <w:right w:val="single" w:sz="10" w:space="0" w:color="D2D2D2"/>
            </w:tcBorders>
          </w:tcPr>
          <w:p>
            <w:pPr/>
          </w:p>
        </w:tc>
      </w:tr>
      <w:tr>
        <w:trPr>
          <w:trHeight w:val="144"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4"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1,940,249.20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2,278,001.66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4,218,250.86</w:t>
            </w:r>
          </w:p>
        </w:tc>
      </w:tr>
      <w:tr>
        <w:trPr>
          <w:trHeight w:val="28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1,940,249.20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2,278,001.66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4,218,250.86</w:t>
            </w:r>
          </w:p>
        </w:tc>
      </w:tr>
    </w:tbl>
    <w:p>
      <w:pPr>
        <w:pStyle w:val="Heading5"/>
        <w:spacing w:line="398" w:lineRule="auto" w:before="62"/>
        <w:ind w:right="7876"/>
        <w:jc w:val="left"/>
        <w:rPr>
          <w:rFonts w:ascii="宋体" w:hAnsi="宋体" w:cs="宋体" w:eastAsia="宋体" w:hint="default"/>
          <w:b w:val="0"/>
          <w:bCs w:val="0"/>
        </w:rPr>
      </w:pPr>
      <w:r>
        <w:rPr>
          <w:rFonts w:ascii="宋体" w:hAnsi="宋体" w:cs="宋体" w:eastAsia="宋体" w:hint="default"/>
        </w:rPr>
        <w:t>28</w:t>
      </w:r>
      <w:r>
        <w:rPr/>
        <w:t>、其他非流动资产</w:t>
      </w:r>
      <w:r>
        <w:rPr>
          <w:spacing w:val="-104"/>
        </w:rPr>
        <w:t> </w:t>
      </w:r>
      <w:r>
        <w:rPr>
          <w:rFonts w:ascii="宋体" w:hAnsi="宋体" w:cs="宋体" w:eastAsia="宋体" w:hint="default"/>
          <w:b w:val="0"/>
          <w:bCs w:val="0"/>
        </w:rPr>
        <w:t>无</w:t>
      </w:r>
    </w:p>
    <w:p>
      <w:pPr>
        <w:pStyle w:val="Heading5"/>
        <w:spacing w:line="231" w:lineRule="exact"/>
        <w:ind w:right="142"/>
        <w:jc w:val="left"/>
        <w:rPr>
          <w:b w:val="0"/>
          <w:bCs w:val="0"/>
        </w:rPr>
      </w:pPr>
      <w:r>
        <w:rPr>
          <w:rFonts w:ascii="宋体" w:hAnsi="宋体" w:cs="宋体" w:eastAsia="宋体" w:hint="default"/>
        </w:rPr>
        <w:t>29</w:t>
      </w:r>
      <w:r>
        <w:rPr/>
        <w:t>、短期借款</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right="142"/>
        <w:jc w:val="left"/>
        <w:rPr>
          <w:b w:val="0"/>
          <w:bCs w:val="0"/>
        </w:rPr>
      </w:pPr>
      <w:r>
        <w:rPr/>
        <w:t>（</w:t>
      </w:r>
      <w:r>
        <w:rPr>
          <w:rFonts w:ascii="宋体" w:hAnsi="宋体" w:cs="宋体" w:eastAsia="宋体" w:hint="default"/>
        </w:rPr>
        <w:t>1</w:t>
      </w:r>
      <w:r>
        <w:rPr/>
        <w:t>）短期借款分类</w:t>
      </w:r>
      <w:r>
        <w:rPr>
          <w:b w:val="0"/>
          <w:bCs w:val="0"/>
        </w:rPr>
      </w:r>
    </w:p>
    <w:p>
      <w:pPr>
        <w:pStyle w:val="BodyText"/>
        <w:spacing w:line="240" w:lineRule="auto" w:before="99"/>
        <w:ind w:left="0" w:right="360"/>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28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11,000,000.00</w:t>
            </w:r>
          </w:p>
        </w:tc>
      </w:tr>
      <w:tr>
        <w:trPr>
          <w:trHeight w:val="28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11,000,000.00</w:t>
            </w:r>
          </w:p>
        </w:tc>
      </w:tr>
    </w:tbl>
    <w:p>
      <w:pPr>
        <w:pStyle w:val="Heading5"/>
        <w:spacing w:line="326" w:lineRule="auto" w:before="64"/>
        <w:ind w:right="6506"/>
        <w:jc w:val="left"/>
        <w:rPr>
          <w:rFonts w:ascii="宋体" w:hAnsi="宋体" w:cs="宋体" w:eastAsia="宋体" w:hint="default"/>
          <w:b w:val="0"/>
          <w:bCs w:val="0"/>
        </w:rPr>
      </w:pPr>
      <w:r>
        <w:rPr>
          <w:spacing w:val="-1"/>
        </w:rPr>
        <w:t>（</w:t>
      </w:r>
      <w:r>
        <w:rPr>
          <w:rFonts w:ascii="宋体" w:hAnsi="宋体" w:cs="宋体" w:eastAsia="宋体" w:hint="default"/>
          <w:spacing w:val="-1"/>
        </w:rPr>
        <w:t>2</w:t>
      </w:r>
      <w:r>
        <w:rPr>
          <w:spacing w:val="-1"/>
        </w:rPr>
        <w:t>）已到期未偿还的短期借款情况</w:t>
      </w:r>
      <w:r>
        <w:rPr>
          <w:spacing w:val="-91"/>
        </w:rPr>
        <w:t> </w:t>
      </w:r>
      <w:r>
        <w:rPr>
          <w:spacing w:val="-91"/>
        </w:rPr>
      </w:r>
      <w:r>
        <w:rPr>
          <w:rFonts w:ascii="宋体" w:hAnsi="宋体" w:cs="宋体" w:eastAsia="宋体" w:hint="default"/>
          <w:b w:val="0"/>
          <w:bCs w:val="0"/>
        </w:rPr>
        <w:t>无</w:t>
      </w:r>
    </w:p>
    <w:p>
      <w:pPr>
        <w:pStyle w:val="Heading5"/>
        <w:spacing w:line="398" w:lineRule="auto" w:before="16"/>
        <w:ind w:right="7876"/>
        <w:jc w:val="left"/>
        <w:rPr>
          <w:rFonts w:ascii="宋体" w:hAnsi="宋体" w:cs="宋体" w:eastAsia="宋体" w:hint="default"/>
          <w:b w:val="0"/>
          <w:bCs w:val="0"/>
        </w:rPr>
      </w:pPr>
      <w:r>
        <w:rPr>
          <w:rFonts w:ascii="宋体" w:hAnsi="宋体" w:cs="宋体" w:eastAsia="宋体" w:hint="default"/>
        </w:rPr>
        <w:t>30</w:t>
      </w:r>
      <w:r>
        <w:rPr/>
        <w:t>、交易性金融负债</w:t>
      </w:r>
      <w:r>
        <w:rPr>
          <w:spacing w:val="-104"/>
        </w:rPr>
        <w:t> </w:t>
      </w:r>
      <w:r>
        <w:rPr>
          <w:rFonts w:ascii="宋体" w:hAnsi="宋体" w:cs="宋体" w:eastAsia="宋体" w:hint="default"/>
          <w:b w:val="0"/>
          <w:bCs w:val="0"/>
        </w:rPr>
        <w:t>无</w:t>
      </w:r>
    </w:p>
    <w:p>
      <w:pPr>
        <w:pStyle w:val="Heading5"/>
        <w:spacing w:line="231" w:lineRule="exact"/>
        <w:ind w:right="142"/>
        <w:jc w:val="left"/>
        <w:rPr>
          <w:b w:val="0"/>
          <w:bCs w:val="0"/>
        </w:rPr>
      </w:pPr>
      <w:r>
        <w:rPr>
          <w:rFonts w:ascii="宋体" w:hAnsi="宋体" w:cs="宋体" w:eastAsia="宋体" w:hint="default"/>
        </w:rPr>
        <w:t>31</w:t>
      </w:r>
      <w:r>
        <w:rPr/>
        <w:t>、应付票据</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36"/>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28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93,398,670.89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12,229,277.00</w:t>
            </w:r>
          </w:p>
        </w:tc>
      </w:tr>
      <w:tr>
        <w:trPr>
          <w:trHeight w:val="28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93,398,670.89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12,229,277.00</w:t>
            </w:r>
          </w:p>
        </w:tc>
      </w:tr>
    </w:tbl>
    <w:p>
      <w:pPr>
        <w:pStyle w:val="BodyText"/>
        <w:spacing w:line="241" w:lineRule="exact"/>
        <w:ind w:right="142"/>
        <w:jc w:val="left"/>
      </w:pPr>
      <w:r>
        <w:rPr/>
        <w:t>下一会计期间将到期的金额</w:t>
      </w:r>
      <w:r>
        <w:rPr>
          <w:spacing w:val="-53"/>
        </w:rPr>
        <w:t> </w:t>
      </w:r>
      <w:r>
        <w:rPr>
          <w:rFonts w:ascii="宋体" w:hAnsi="宋体" w:cs="宋体" w:eastAsia="宋体" w:hint="default"/>
        </w:rPr>
        <w:t>93,398,670.89</w:t>
      </w:r>
      <w:r>
        <w:rPr>
          <w:rFonts w:ascii="宋体" w:hAnsi="宋体" w:cs="宋体" w:eastAsia="宋体" w:hint="default"/>
          <w:spacing w:val="-52"/>
        </w:rPr>
        <w:t> </w:t>
      </w:r>
      <w:r>
        <w:rPr>
          <w:spacing w:val="-3"/>
        </w:rPr>
        <w:t>元。</w:t>
      </w:r>
      <w:r>
        <w:rPr/>
      </w:r>
    </w:p>
    <w:p>
      <w:pPr>
        <w:spacing w:after="0" w:line="241" w:lineRule="exact"/>
        <w:jc w:val="left"/>
        <w:sectPr>
          <w:type w:val="continuous"/>
          <w:pgSz w:w="11910" w:h="16840"/>
          <w:pgMar w:top="1100" w:bottom="1160" w:left="980" w:right="98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313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40" w:lineRule="auto" w:before="36"/>
        <w:ind w:right="142"/>
        <w:jc w:val="left"/>
      </w:pPr>
      <w:r>
        <w:rPr/>
        <w:t>应付票据的说明</w:t>
      </w:r>
    </w:p>
    <w:p>
      <w:pPr>
        <w:pStyle w:val="BodyText"/>
        <w:spacing w:line="240" w:lineRule="auto" w:before="116"/>
        <w:ind w:right="142" w:firstLine="420"/>
        <w:jc w:val="left"/>
      </w:pPr>
      <w:r>
        <w:rPr/>
        <w:t>本报告期末应付票据中的不带息银行承兑票据，均于</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19</w:t>
      </w:r>
      <w:r>
        <w:rPr/>
        <w:t>日前到期。截止本财务报告报出日</w:t>
      </w:r>
      <w:r>
        <w:rPr>
          <w:w w:val="100"/>
        </w:rPr>
        <w:t> </w:t>
      </w:r>
      <w:r>
        <w:rPr/>
        <w:t>已支付</w:t>
      </w:r>
      <w:r>
        <w:rPr>
          <w:rFonts w:ascii="宋体" w:hAnsi="宋体" w:cs="宋体" w:eastAsia="宋体" w:hint="default"/>
        </w:rPr>
        <w:t>61,483,934.39</w:t>
      </w:r>
      <w:r>
        <w:rPr/>
        <w:t>元。</w:t>
      </w:r>
    </w:p>
    <w:p>
      <w:pPr>
        <w:pStyle w:val="Heading5"/>
        <w:spacing w:line="240" w:lineRule="auto" w:before="92"/>
        <w:ind w:right="142"/>
        <w:jc w:val="left"/>
        <w:rPr>
          <w:b w:val="0"/>
          <w:bCs w:val="0"/>
        </w:rPr>
      </w:pPr>
      <w:r>
        <w:rPr>
          <w:rFonts w:ascii="宋体" w:hAnsi="宋体" w:cs="宋体" w:eastAsia="宋体" w:hint="default"/>
        </w:rPr>
        <w:t>32</w:t>
      </w:r>
      <w:r>
        <w:rPr/>
        <w:t>、应付账款</w:t>
      </w:r>
      <w:r>
        <w:rPr>
          <w:b w:val="0"/>
          <w:bCs w:val="0"/>
        </w:rPr>
      </w:r>
    </w:p>
    <w:p>
      <w:pPr>
        <w:spacing w:line="240" w:lineRule="auto" w:before="12"/>
        <w:rPr>
          <w:rFonts w:ascii="宋体" w:hAnsi="宋体" w:cs="宋体" w:eastAsia="宋体" w:hint="default"/>
          <w:b/>
          <w:bCs/>
          <w:sz w:val="17"/>
          <w:szCs w:val="17"/>
        </w:rPr>
      </w:pPr>
    </w:p>
    <w:p>
      <w:pPr>
        <w:pStyle w:val="Heading5"/>
        <w:spacing w:line="240" w:lineRule="auto"/>
        <w:ind w:right="142"/>
        <w:jc w:val="left"/>
        <w:rPr>
          <w:b w:val="0"/>
          <w:bCs w:val="0"/>
        </w:rPr>
      </w:pPr>
      <w:r>
        <w:rPr/>
        <w:t>（</w:t>
      </w:r>
      <w:r>
        <w:rPr>
          <w:rFonts w:ascii="宋体" w:hAnsi="宋体" w:cs="宋体" w:eastAsia="宋体" w:hint="default"/>
        </w:rPr>
        <w:t>1</w:t>
      </w:r>
      <w:r>
        <w:rPr/>
        <w:t>）应付账款情况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28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39,941,651.67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42,083,518.77</w:t>
            </w:r>
          </w:p>
        </w:tc>
      </w:tr>
      <w:tr>
        <w:trPr>
          <w:trHeight w:val="28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1,476,797.23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4,600,721.44</w:t>
            </w:r>
          </w:p>
        </w:tc>
      </w:tr>
      <w:tr>
        <w:trPr>
          <w:trHeight w:val="28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41,418,448.90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46,684,240.21</w:t>
            </w:r>
          </w:p>
        </w:tc>
      </w:tr>
    </w:tbl>
    <w:p>
      <w:pPr>
        <w:spacing w:line="240" w:lineRule="auto" w:before="7"/>
        <w:rPr>
          <w:rFonts w:ascii="宋体" w:hAnsi="宋体" w:cs="宋体" w:eastAsia="宋体" w:hint="default"/>
          <w:sz w:val="17"/>
          <w:szCs w:val="17"/>
        </w:rPr>
      </w:pPr>
    </w:p>
    <w:p>
      <w:pPr>
        <w:pStyle w:val="Heading5"/>
        <w:spacing w:line="240" w:lineRule="auto" w:before="36"/>
        <w:ind w:right="142"/>
        <w:jc w:val="left"/>
        <w:rPr>
          <w:b w:val="0"/>
          <w:bCs w:val="0"/>
        </w:rPr>
      </w:pPr>
      <w:r>
        <w:rPr/>
        <w:t>（</w:t>
      </w:r>
      <w:r>
        <w:rPr>
          <w:rFonts w:ascii="宋体" w:hAnsi="宋体" w:cs="宋体" w:eastAsia="宋体" w:hint="default"/>
        </w:rPr>
        <w:t>2</w:t>
      </w:r>
      <w:r>
        <w:rPr/>
        <w:t>）本报告期应付账款中应付持有公司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％）以上表决权股份的股东单位款项</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right="142"/>
        <w:jc w:val="left"/>
      </w:pPr>
      <w:r>
        <w:rPr>
          <w:w w:val="100"/>
        </w:rPr>
        <w:t>无</w:t>
      </w:r>
    </w:p>
    <w:p>
      <w:pPr>
        <w:pStyle w:val="Heading5"/>
        <w:spacing w:line="326" w:lineRule="auto" w:before="97"/>
        <w:ind w:right="5452"/>
        <w:jc w:val="left"/>
        <w:rPr>
          <w:rFonts w:ascii="宋体" w:hAnsi="宋体" w:cs="宋体" w:eastAsia="宋体" w:hint="default"/>
          <w:b w:val="0"/>
          <w:bCs w:val="0"/>
        </w:rPr>
      </w:pPr>
      <w:r>
        <w:rPr/>
        <w:t>（</w:t>
      </w:r>
      <w:r>
        <w:rPr>
          <w:rFonts w:ascii="宋体" w:hAnsi="宋体" w:cs="宋体" w:eastAsia="宋体" w:hint="default"/>
        </w:rPr>
        <w:t>3</w:t>
      </w:r>
      <w:r>
        <w:rPr/>
        <w:t>）账龄超过一年的大额应付账款情况的说明</w:t>
      </w:r>
      <w:r>
        <w:rPr>
          <w:w w:val="100"/>
        </w:rPr>
        <w:t> </w:t>
      </w:r>
      <w:r>
        <w:rPr>
          <w:rFonts w:ascii="宋体" w:hAnsi="宋体" w:cs="宋体" w:eastAsia="宋体" w:hint="default"/>
          <w:b w:val="0"/>
          <w:bCs w:val="0"/>
        </w:rPr>
        <w:t>无</w:t>
      </w:r>
    </w:p>
    <w:p>
      <w:pPr>
        <w:pStyle w:val="Heading5"/>
        <w:spacing w:line="240" w:lineRule="auto" w:before="16"/>
        <w:ind w:right="142"/>
        <w:jc w:val="left"/>
        <w:rPr>
          <w:b w:val="0"/>
          <w:bCs w:val="0"/>
        </w:rPr>
      </w:pPr>
      <w:r>
        <w:rPr>
          <w:rFonts w:ascii="宋体" w:hAnsi="宋体" w:cs="宋体" w:eastAsia="宋体" w:hint="default"/>
        </w:rPr>
        <w:t>33</w:t>
      </w:r>
      <w:r>
        <w:rPr/>
        <w:t>、预收账款</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right="142"/>
        <w:jc w:val="left"/>
        <w:rPr>
          <w:b w:val="0"/>
          <w:bCs w:val="0"/>
        </w:rPr>
      </w:pPr>
      <w:r>
        <w:rPr/>
        <w:t>（</w:t>
      </w:r>
      <w:r>
        <w:rPr>
          <w:rFonts w:ascii="宋体" w:hAnsi="宋体" w:cs="宋体" w:eastAsia="宋体" w:hint="default"/>
        </w:rPr>
        <w:t>1</w:t>
      </w:r>
      <w:r>
        <w:rPr/>
        <w:t>）预收账款情况</w:t>
      </w:r>
      <w:r>
        <w:rPr>
          <w:b w:val="0"/>
          <w:bCs w:val="0"/>
        </w:rPr>
      </w:r>
    </w:p>
    <w:p>
      <w:pPr>
        <w:pStyle w:val="BodyText"/>
        <w:spacing w:line="240" w:lineRule="auto" w:before="100"/>
        <w:ind w:left="0" w:right="360"/>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28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3,991,371.13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5,738,393.76</w:t>
            </w:r>
          </w:p>
        </w:tc>
      </w:tr>
      <w:tr>
        <w:trPr>
          <w:trHeight w:val="28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258,333.31</w:t>
            </w: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4,127,371.13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5,996,727.07</w:t>
            </w:r>
          </w:p>
        </w:tc>
      </w:tr>
    </w:tbl>
    <w:p>
      <w:pPr>
        <w:pStyle w:val="Heading5"/>
        <w:spacing w:line="326" w:lineRule="auto" w:before="64"/>
        <w:ind w:right="1764"/>
        <w:jc w:val="left"/>
        <w:rPr>
          <w:rFonts w:ascii="宋体" w:hAnsi="宋体" w:cs="宋体" w:eastAsia="宋体" w:hint="default"/>
          <w:b w:val="0"/>
          <w:bCs w:val="0"/>
        </w:rPr>
      </w:pPr>
      <w:r>
        <w:rPr/>
        <w:t>（</w:t>
      </w:r>
      <w:r>
        <w:rPr>
          <w:rFonts w:ascii="宋体" w:hAnsi="宋体" w:cs="宋体" w:eastAsia="宋体" w:hint="default"/>
        </w:rPr>
        <w:t>2</w:t>
      </w:r>
      <w:r>
        <w:rPr/>
        <w:t>）本报告期预收账款中预收持有公司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％）以上表决权股份的股东单位款项</w:t>
      </w:r>
      <w:r>
        <w:rPr>
          <w:w w:val="100"/>
        </w:rPr>
        <w:t> </w:t>
      </w:r>
      <w:r>
        <w:rPr>
          <w:rFonts w:ascii="宋体" w:hAnsi="宋体" w:cs="宋体" w:eastAsia="宋体" w:hint="default"/>
          <w:b w:val="0"/>
          <w:bCs w:val="0"/>
        </w:rPr>
        <w:t>无</w:t>
      </w:r>
    </w:p>
    <w:p>
      <w:pPr>
        <w:pStyle w:val="Heading5"/>
        <w:spacing w:line="326" w:lineRule="auto" w:before="19"/>
        <w:ind w:right="5452"/>
        <w:jc w:val="left"/>
        <w:rPr>
          <w:rFonts w:ascii="宋体" w:hAnsi="宋体" w:cs="宋体" w:eastAsia="宋体" w:hint="default"/>
          <w:b w:val="0"/>
          <w:bCs w:val="0"/>
        </w:rPr>
      </w:pPr>
      <w:r>
        <w:rPr/>
        <w:t>（</w:t>
      </w:r>
      <w:r>
        <w:rPr>
          <w:rFonts w:ascii="宋体" w:hAnsi="宋体" w:cs="宋体" w:eastAsia="宋体" w:hint="default"/>
        </w:rPr>
        <w:t>3</w:t>
      </w:r>
      <w:r>
        <w:rPr/>
        <w:t>）账龄超过一年的大额预收账款情况的说明</w:t>
      </w:r>
      <w:r>
        <w:rPr>
          <w:w w:val="100"/>
        </w:rPr>
        <w:t> </w:t>
      </w:r>
      <w:r>
        <w:rPr>
          <w:rFonts w:ascii="宋体" w:hAnsi="宋体" w:cs="宋体" w:eastAsia="宋体" w:hint="default"/>
          <w:b w:val="0"/>
          <w:bCs w:val="0"/>
        </w:rPr>
        <w:t>无</w:t>
      </w:r>
    </w:p>
    <w:p>
      <w:pPr>
        <w:pStyle w:val="Heading5"/>
        <w:spacing w:line="240" w:lineRule="auto" w:before="17"/>
        <w:ind w:right="142"/>
        <w:jc w:val="left"/>
        <w:rPr>
          <w:b w:val="0"/>
          <w:bCs w:val="0"/>
        </w:rPr>
      </w:pPr>
      <w:r>
        <w:rPr>
          <w:rFonts w:ascii="宋体" w:hAnsi="宋体" w:cs="宋体" w:eastAsia="宋体" w:hint="default"/>
        </w:rPr>
        <w:t>34</w:t>
      </w:r>
      <w:r>
        <w:rPr/>
        <w:t>、应付职工薪酬</w:t>
      </w:r>
      <w:r>
        <w:rPr>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0" w:right="360"/>
        <w:jc w:val="right"/>
      </w:pPr>
      <w:r>
        <w:rPr/>
        <w:pict>
          <v:shape style="position:absolute;margin-left:129.961929pt;margin-top:31.703669pt;width:99.45pt;height:12.05pt;mso-position-horizontal-relative:page;mso-position-vertical-relative:paragraph;z-index:-647704" type="#_x0000_t202" filled="false" stroked="false">
            <v:textbox inset="0,0,0,0">
              <w:txbxContent>
                <w:p>
                  <w:pPr>
                    <w:pStyle w:val="BodyText"/>
                    <w:spacing w:line="241" w:lineRule="exact"/>
                    <w:ind w:left="0" w:right="0"/>
                    <w:jc w:val="left"/>
                  </w:pPr>
                  <w:r>
                    <w:rPr>
                      <w:w w:val="100"/>
                    </w:rPr>
                    <w:t>、</w:t>
                  </w:r>
                </w:p>
              </w:txbxContent>
            </v:textbox>
            <w10:wrap type="none"/>
          </v:shape>
        </w:pict>
      </w:r>
      <w:r>
        <w:rPr/>
        <w:pict>
          <v:group style="position:absolute;margin-left:136.820007pt;margin-top:31.703669pt;width:92.55pt;height:6.85pt;mso-position-horizontal-relative:page;mso-position-vertical-relative:paragraph;z-index:-647656" coordorigin="2736,634" coordsize="1851,137">
            <v:shape style="position:absolute;left:2736;top:634;width:1851;height:137" coordorigin="2736,634" coordsize="1851,137" path="m2736,771l4587,771,4587,634,2736,634,2736,771xe" filled="true" fillcolor="#ffffff" stroked="false">
              <v:path arrowok="t"/>
              <v:fill type="solid"/>
            </v:shape>
            <w10:wrap type="none"/>
          </v:group>
        </w:pict>
      </w: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596"/>
        <w:gridCol w:w="329"/>
        <w:gridCol w:w="1534"/>
        <w:gridCol w:w="1992"/>
        <w:gridCol w:w="2259"/>
        <w:gridCol w:w="1860"/>
      </w:tblGrid>
      <w:tr>
        <w:trPr>
          <w:trHeight w:val="28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一、工资、奖金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津贴和补贴</w:t>
            </w:r>
          </w:p>
        </w:tc>
        <w:tc>
          <w:tcPr>
            <w:tcW w:w="329" w:type="dxa"/>
            <w:tcBorders>
              <w:top w:val="single" w:sz="4" w:space="0" w:color="000000"/>
              <w:left w:val="single" w:sz="10" w:space="0" w:color="D2D2D2"/>
              <w:bottom w:val="single" w:sz="4" w:space="0" w:color="000000"/>
              <w:right w:val="nil" w:sz="6" w:space="0" w:color="auto"/>
            </w:tcBorders>
          </w:tcPr>
          <w:p>
            <w:pPr/>
          </w:p>
        </w:tc>
        <w:tc>
          <w:tcPr>
            <w:tcW w:w="1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sz w:val="21"/>
              </w:rPr>
              <w:t>2,863,082.44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21,058,366.33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22,374,265.76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1,547,183.01</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863" w:type="dxa"/>
            <w:gridSpan w:val="2"/>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216,469.80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216,469.80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86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sz w:val="21"/>
              </w:rPr>
              <w:t>23,179.52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5,325,231.68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5,320,707.69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27,703.51</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医疗保险费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sz w:val="21"/>
              </w:rPr>
              <w:t>7,353.60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1,113,013.68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1,113,162.48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7,204.80</w:t>
            </w:r>
          </w:p>
        </w:tc>
      </w:tr>
      <w:tr>
        <w:trPr>
          <w:trHeight w:val="28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sz w:val="21"/>
              </w:rPr>
              <w:t>14,703.00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3,500,923.52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3,501,216.92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14,409.60</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0" w:right="0"/>
              <w:jc w:val="left"/>
              <w:rPr>
                <w:rFonts w:ascii="宋体" w:hAnsi="宋体" w:cs="宋体" w:eastAsia="宋体" w:hint="default"/>
                <w:sz w:val="21"/>
                <w:szCs w:val="21"/>
              </w:rPr>
            </w:pPr>
            <w:r>
              <w:rPr>
                <w:rFonts w:ascii="宋体"/>
                <w:sz w:val="21"/>
              </w:rPr>
              <w:t>735.15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340,952.60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340,967.27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720.48</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sz w:val="21"/>
              </w:rPr>
              <w:t>367.60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287,006.98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282,582.34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4,792.24</w:t>
            </w:r>
          </w:p>
        </w:tc>
      </w:tr>
      <w:tr>
        <w:trPr>
          <w:trHeight w:val="28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20.17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83,334.90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82,778.68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576.39</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863" w:type="dxa"/>
            <w:gridSpan w:val="2"/>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1,758,924.00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1,758,924.00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863" w:type="dxa"/>
            <w:gridSpan w:val="2"/>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56,704.00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56,704.00</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6"/>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318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595"/>
        <w:gridCol w:w="1863"/>
        <w:gridCol w:w="1992"/>
        <w:gridCol w:w="2259"/>
        <w:gridCol w:w="1860"/>
      </w:tblGrid>
      <w:tr>
        <w:trPr>
          <w:trHeight w:val="28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770,469.74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769,056.94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1,412.80</w:t>
            </w:r>
          </w:p>
        </w:tc>
      </w:tr>
      <w:tr>
        <w:trPr>
          <w:trHeight w:val="28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sz w:val="21"/>
              </w:rPr>
              <w:t>2,886,261.96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29,186,165.55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30,496,128.19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1,576,299.32</w:t>
            </w:r>
          </w:p>
        </w:tc>
      </w:tr>
    </w:tbl>
    <w:p>
      <w:pPr>
        <w:pStyle w:val="BodyText"/>
        <w:spacing w:line="240" w:lineRule="exact"/>
        <w:ind w:right="0"/>
        <w:jc w:val="left"/>
      </w:pPr>
      <w:r>
        <w:rPr/>
        <w:t>应付职工薪酬中属于拖欠性质的金额</w:t>
      </w:r>
      <w:r>
        <w:rPr>
          <w:spacing w:val="-42"/>
        </w:rPr>
        <w:t> </w:t>
      </w:r>
      <w:r>
        <w:rPr>
          <w:rFonts w:ascii="宋体" w:hAnsi="宋体" w:cs="宋体" w:eastAsia="宋体" w:hint="default"/>
        </w:rPr>
        <w:t>0.00</w:t>
      </w:r>
      <w:r>
        <w:rPr>
          <w:rFonts w:ascii="宋体" w:hAnsi="宋体" w:cs="宋体" w:eastAsia="宋体" w:hint="default"/>
          <w:spacing w:val="-43"/>
        </w:rPr>
        <w:t> </w:t>
      </w:r>
      <w:r>
        <w:rPr>
          <w:spacing w:val="-3"/>
        </w:rPr>
        <w:t>元。工会经费和职工教育经费金额</w:t>
      </w:r>
      <w:r>
        <w:rPr>
          <w:spacing w:val="-45"/>
        </w:rPr>
        <w:t> </w:t>
      </w:r>
      <w:r>
        <w:rPr>
          <w:rFonts w:ascii="宋体" w:hAnsi="宋体" w:cs="宋体" w:eastAsia="宋体" w:hint="default"/>
        </w:rPr>
        <w:t>1,412.80</w:t>
      </w:r>
      <w:r>
        <w:rPr>
          <w:rFonts w:ascii="宋体" w:hAnsi="宋体" w:cs="宋体" w:eastAsia="宋体" w:hint="default"/>
          <w:spacing w:val="-45"/>
        </w:rPr>
        <w:t> </w:t>
      </w:r>
      <w:r>
        <w:rPr>
          <w:spacing w:val="-3"/>
        </w:rPr>
        <w:t>元，非货币性福利</w:t>
      </w:r>
    </w:p>
    <w:p>
      <w:pPr>
        <w:pStyle w:val="BodyText"/>
        <w:spacing w:line="274" w:lineRule="exact"/>
        <w:ind w:right="142"/>
        <w:jc w:val="left"/>
      </w:pPr>
      <w:r>
        <w:rPr/>
        <w:t>金额</w:t>
      </w:r>
      <w:r>
        <w:rPr>
          <w:spacing w:val="-52"/>
        </w:rPr>
        <w:t> </w:t>
      </w:r>
      <w:r>
        <w:rPr>
          <w:rFonts w:ascii="宋体" w:hAnsi="宋体" w:cs="宋体" w:eastAsia="宋体" w:hint="default"/>
        </w:rPr>
        <w:t>0.00</w:t>
      </w:r>
      <w:r>
        <w:rPr>
          <w:rFonts w:ascii="宋体" w:hAnsi="宋体" w:cs="宋体" w:eastAsia="宋体" w:hint="default"/>
          <w:spacing w:val="-55"/>
        </w:rPr>
        <w:t> </w:t>
      </w:r>
      <w:r>
        <w:rPr/>
        <w:t>元，因解除劳动关系给予补偿</w:t>
      </w:r>
      <w:r>
        <w:rPr>
          <w:spacing w:val="-53"/>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340" w:lineRule="auto"/>
        <w:ind w:left="573" w:right="142" w:hanging="421"/>
        <w:jc w:val="left"/>
      </w:pPr>
      <w:r>
        <w:rPr/>
        <w:t>应付职工薪酬预计发放时间、金额等安排</w:t>
      </w:r>
      <w:r>
        <w:rPr>
          <w:w w:val="100"/>
        </w:rPr>
        <w:t> </w:t>
      </w:r>
      <w:r>
        <w:rPr>
          <w:spacing w:val="-2"/>
        </w:rPr>
        <w:t>本报告期末公司无拖欠职工薪酬等款项</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日余额已于</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11</w:t>
      </w:r>
      <w:r>
        <w:rPr>
          <w:spacing w:val="-2"/>
        </w:rPr>
        <w:t>日支付。</w:t>
      </w:r>
    </w:p>
    <w:p>
      <w:pPr>
        <w:pStyle w:val="Heading5"/>
        <w:spacing w:line="240" w:lineRule="auto" w:before="30"/>
        <w:ind w:right="142"/>
        <w:jc w:val="left"/>
        <w:rPr>
          <w:b w:val="0"/>
          <w:bCs w:val="0"/>
        </w:rPr>
      </w:pPr>
      <w:r>
        <w:rPr>
          <w:rFonts w:ascii="宋体" w:hAnsi="宋体" w:cs="宋体" w:eastAsia="宋体" w:hint="default"/>
        </w:rPr>
        <w:t>35</w:t>
      </w:r>
      <w:r>
        <w:rPr/>
        <w:t>、应交税费</w:t>
      </w:r>
      <w:r>
        <w:rPr>
          <w:b w:val="0"/>
          <w:bCs w:val="0"/>
        </w:rPr>
      </w:r>
    </w:p>
    <w:p>
      <w:pPr>
        <w:spacing w:line="240" w:lineRule="auto" w:before="11"/>
        <w:rPr>
          <w:rFonts w:ascii="宋体" w:hAnsi="宋体" w:cs="宋体" w:eastAsia="宋体" w:hint="default"/>
          <w:b/>
          <w:bCs/>
          <w:sz w:val="13"/>
          <w:szCs w:val="13"/>
        </w:rPr>
      </w:pPr>
    </w:p>
    <w:p>
      <w:pPr>
        <w:pStyle w:val="BodyText"/>
        <w:spacing w:line="240" w:lineRule="auto"/>
        <w:ind w:left="0" w:right="360"/>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28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3,927,429.27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3,111,729.87</w:t>
            </w:r>
          </w:p>
        </w:tc>
      </w:tr>
      <w:tr>
        <w:trPr>
          <w:trHeight w:val="28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611,569.65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648,870.51</w:t>
            </w:r>
          </w:p>
        </w:tc>
      </w:tr>
      <w:tr>
        <w:trPr>
          <w:trHeight w:val="28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2" w:lineRule="exact"/>
              <w:ind w:right="17"/>
              <w:jc w:val="right"/>
              <w:rPr>
                <w:rFonts w:ascii="宋体" w:hAnsi="宋体" w:cs="宋体" w:eastAsia="宋体" w:hint="default"/>
                <w:sz w:val="21"/>
                <w:szCs w:val="21"/>
              </w:rPr>
            </w:pPr>
            <w:r>
              <w:rPr>
                <w:rFonts w:ascii="宋体"/>
                <w:spacing w:val="-1"/>
                <w:sz w:val="21"/>
              </w:rPr>
              <w:t>5,657,599.42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7"/>
              <w:jc w:val="right"/>
              <w:rPr>
                <w:rFonts w:ascii="宋体" w:hAnsi="宋体" w:cs="宋体" w:eastAsia="宋体" w:hint="default"/>
                <w:sz w:val="21"/>
                <w:szCs w:val="21"/>
              </w:rPr>
            </w:pPr>
            <w:r>
              <w:rPr>
                <w:rFonts w:ascii="宋体"/>
                <w:spacing w:val="-1"/>
                <w:sz w:val="21"/>
              </w:rPr>
              <w:t>4,620,884.08</w:t>
            </w: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336,487.33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292,510.22</w:t>
            </w: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144,336.48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124,707.10</w:t>
            </w: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96,224.34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82,703.31</w:t>
            </w:r>
          </w:p>
        </w:tc>
      </w:tr>
      <w:tr>
        <w:trPr>
          <w:trHeight w:val="28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20,530.32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18,930.16</w:t>
            </w: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36,451.06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26,969.27</w:t>
            </w: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10,830,627.87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8,927,304.52</w:t>
            </w:r>
          </w:p>
        </w:tc>
      </w:tr>
    </w:tbl>
    <w:p>
      <w:pPr>
        <w:pStyle w:val="Heading5"/>
        <w:spacing w:line="240" w:lineRule="auto" w:before="62"/>
        <w:ind w:right="142"/>
        <w:jc w:val="left"/>
        <w:rPr>
          <w:b w:val="0"/>
          <w:bCs w:val="0"/>
        </w:rPr>
      </w:pPr>
      <w:r>
        <w:rPr>
          <w:rFonts w:ascii="宋体" w:hAnsi="宋体" w:cs="宋体" w:eastAsia="宋体" w:hint="default"/>
        </w:rPr>
        <w:t>36</w:t>
      </w:r>
      <w:r>
        <w:rPr/>
        <w:t>、应付利息</w:t>
      </w:r>
      <w:r>
        <w:rPr>
          <w:b w:val="0"/>
          <w:bCs w:val="0"/>
        </w:rPr>
      </w:r>
    </w:p>
    <w:p>
      <w:pPr>
        <w:spacing w:line="240" w:lineRule="auto" w:before="11"/>
        <w:rPr>
          <w:rFonts w:ascii="宋体" w:hAnsi="宋体" w:cs="宋体" w:eastAsia="宋体" w:hint="default"/>
          <w:b/>
          <w:bCs/>
          <w:sz w:val="13"/>
          <w:szCs w:val="13"/>
        </w:rPr>
      </w:pPr>
    </w:p>
    <w:p>
      <w:pPr>
        <w:spacing w:line="321" w:lineRule="auto" w:before="0"/>
        <w:ind w:left="152" w:right="8508"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、应付股利</w:t>
      </w:r>
      <w:r>
        <w:rPr>
          <w:rFonts w:ascii="宋体" w:hAnsi="宋体" w:cs="宋体" w:eastAsia="宋体" w:hint="default"/>
          <w:sz w:val="21"/>
          <w:szCs w:val="21"/>
        </w:rPr>
      </w:r>
    </w:p>
    <w:p>
      <w:pPr>
        <w:pStyle w:val="Heading5"/>
        <w:spacing w:line="321" w:lineRule="auto" w:before="112"/>
        <w:ind w:right="8297"/>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38</w:t>
      </w:r>
      <w:r>
        <w:rPr/>
        <w:t>、其他应付款</w:t>
      </w:r>
      <w:r>
        <w:rPr>
          <w:b w:val="0"/>
          <w:bCs w:val="0"/>
        </w:rPr>
      </w:r>
    </w:p>
    <w:p>
      <w:pPr>
        <w:spacing w:line="240" w:lineRule="auto" w:before="6"/>
        <w:rPr>
          <w:rFonts w:ascii="宋体" w:hAnsi="宋体" w:cs="宋体" w:eastAsia="宋体" w:hint="default"/>
          <w:b/>
          <w:bCs/>
          <w:sz w:val="9"/>
          <w:szCs w:val="9"/>
        </w:rPr>
      </w:pPr>
    </w:p>
    <w:p>
      <w:pPr>
        <w:pStyle w:val="Heading5"/>
        <w:spacing w:line="240" w:lineRule="auto" w:before="36"/>
        <w:ind w:right="142"/>
        <w:jc w:val="left"/>
        <w:rPr>
          <w:b w:val="0"/>
          <w:bCs w:val="0"/>
        </w:rPr>
      </w:pPr>
      <w:r>
        <w:rPr/>
        <w:t>（</w:t>
      </w:r>
      <w:r>
        <w:rPr>
          <w:rFonts w:ascii="宋体" w:hAnsi="宋体" w:cs="宋体" w:eastAsia="宋体" w:hint="default"/>
        </w:rPr>
        <w:t>1</w:t>
      </w:r>
      <w:r>
        <w:rPr/>
        <w:t>）其他应付款情况</w:t>
      </w:r>
      <w:r>
        <w:rPr>
          <w:b w:val="0"/>
          <w:bCs w:val="0"/>
        </w:rPr>
      </w:r>
    </w:p>
    <w:p>
      <w:pPr>
        <w:pStyle w:val="BodyText"/>
        <w:spacing w:line="240" w:lineRule="auto" w:before="99"/>
        <w:ind w:left="0" w:right="360"/>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897,088.79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808,374.66</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897,088.79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808,374.66</w:t>
            </w:r>
          </w:p>
        </w:tc>
      </w:tr>
    </w:tbl>
    <w:p>
      <w:pPr>
        <w:pStyle w:val="Heading5"/>
        <w:spacing w:line="326" w:lineRule="auto" w:before="65"/>
        <w:ind w:right="1553"/>
        <w:jc w:val="left"/>
        <w:rPr>
          <w:rFonts w:ascii="宋体" w:hAnsi="宋体" w:cs="宋体" w:eastAsia="宋体" w:hint="default"/>
          <w:b w:val="0"/>
          <w:bCs w:val="0"/>
        </w:rPr>
      </w:pPr>
      <w:r>
        <w:rPr/>
        <w:t>（</w:t>
      </w:r>
      <w:r>
        <w:rPr>
          <w:rFonts w:ascii="宋体" w:hAnsi="宋体" w:cs="宋体" w:eastAsia="宋体" w:hint="default"/>
        </w:rPr>
        <w:t>2</w:t>
      </w:r>
      <w:r>
        <w:rPr/>
        <w:t>）本报告期其他应付款中应付持有公司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％）以上表决权股份的股东单位款项</w:t>
      </w:r>
      <w:r>
        <w:rPr>
          <w:w w:val="100"/>
        </w:rPr>
        <w:t> </w:t>
      </w:r>
      <w:r>
        <w:rPr>
          <w:rFonts w:ascii="宋体" w:hAnsi="宋体" w:cs="宋体" w:eastAsia="宋体" w:hint="default"/>
          <w:b w:val="0"/>
          <w:bCs w:val="0"/>
        </w:rPr>
        <w:t>无</w:t>
      </w:r>
    </w:p>
    <w:p>
      <w:pPr>
        <w:pStyle w:val="Heading5"/>
        <w:spacing w:line="326" w:lineRule="auto" w:before="19"/>
        <w:ind w:right="5093"/>
        <w:jc w:val="left"/>
        <w:rPr>
          <w:rFonts w:ascii="宋体" w:hAnsi="宋体" w:cs="宋体" w:eastAsia="宋体" w:hint="default"/>
          <w:b w:val="0"/>
          <w:bCs w:val="0"/>
        </w:rPr>
      </w:pPr>
      <w:r>
        <w:rPr>
          <w:spacing w:val="-1"/>
        </w:rPr>
        <w:t>（</w:t>
      </w:r>
      <w:r>
        <w:rPr>
          <w:rFonts w:ascii="宋体" w:hAnsi="宋体" w:cs="宋体" w:eastAsia="宋体" w:hint="default"/>
          <w:spacing w:val="-1"/>
        </w:rPr>
        <w:t>3</w:t>
      </w:r>
      <w:r>
        <w:rPr>
          <w:spacing w:val="-1"/>
        </w:rPr>
        <w:t>）账龄超过一年的大额其他应付款情况的说明</w:t>
      </w:r>
      <w:r>
        <w:rPr>
          <w:spacing w:val="-86"/>
        </w:rPr>
        <w:t> </w:t>
      </w:r>
      <w:r>
        <w:rPr>
          <w:spacing w:val="-86"/>
        </w:rPr>
      </w:r>
      <w:r>
        <w:rPr>
          <w:rFonts w:ascii="宋体" w:hAnsi="宋体" w:cs="宋体" w:eastAsia="宋体" w:hint="default"/>
          <w:b w:val="0"/>
          <w:bCs w:val="0"/>
        </w:rPr>
        <w:t>无</w:t>
      </w:r>
    </w:p>
    <w:p>
      <w:pPr>
        <w:pStyle w:val="Heading5"/>
        <w:spacing w:line="326" w:lineRule="auto" w:before="19"/>
        <w:ind w:right="6295"/>
        <w:jc w:val="left"/>
        <w:rPr>
          <w:rFonts w:ascii="宋体" w:hAnsi="宋体" w:cs="宋体" w:eastAsia="宋体" w:hint="default"/>
          <w:b w:val="0"/>
          <w:bCs w:val="0"/>
        </w:rPr>
      </w:pPr>
      <w:r>
        <w:rPr/>
        <w:t>（</w:t>
      </w:r>
      <w:r>
        <w:rPr>
          <w:rFonts w:ascii="宋体" w:hAnsi="宋体" w:cs="宋体" w:eastAsia="宋体" w:hint="default"/>
        </w:rPr>
        <w:t>4</w:t>
      </w:r>
      <w:r>
        <w:rPr/>
        <w:t>）金额较大的其他应付款说明内容</w:t>
      </w:r>
      <w:r>
        <w:rPr>
          <w:w w:val="100"/>
        </w:rPr>
        <w:t> </w:t>
      </w:r>
      <w:r>
        <w:rPr>
          <w:rFonts w:ascii="宋体" w:hAnsi="宋体" w:cs="宋体" w:eastAsia="宋体" w:hint="default"/>
          <w:b w:val="0"/>
          <w:bCs w:val="0"/>
        </w:rPr>
        <w:t>无</w:t>
      </w:r>
    </w:p>
    <w:p>
      <w:pPr>
        <w:pStyle w:val="Heading5"/>
        <w:spacing w:line="398" w:lineRule="auto" w:before="19"/>
        <w:ind w:right="8508"/>
        <w:jc w:val="left"/>
        <w:rPr>
          <w:rFonts w:ascii="宋体" w:hAnsi="宋体" w:cs="宋体" w:eastAsia="宋体" w:hint="default"/>
          <w:b w:val="0"/>
          <w:bCs w:val="0"/>
        </w:rPr>
      </w:pPr>
      <w:r>
        <w:rPr>
          <w:rFonts w:ascii="宋体" w:hAnsi="宋体" w:cs="宋体" w:eastAsia="宋体" w:hint="default"/>
        </w:rPr>
        <w:t>39</w:t>
      </w:r>
      <w:r>
        <w:rPr/>
        <w:t>、预计负债</w:t>
      </w:r>
      <w:r>
        <w:rPr>
          <w:w w:val="100"/>
        </w:rPr>
        <w:t> </w:t>
      </w:r>
      <w:r>
        <w:rPr>
          <w:rFonts w:ascii="宋体" w:hAnsi="宋体" w:cs="宋体" w:eastAsia="宋体" w:hint="default"/>
          <w:b w:val="0"/>
          <w:bCs w:val="0"/>
        </w:rPr>
        <w:t>无</w:t>
      </w:r>
    </w:p>
    <w:p>
      <w:pPr>
        <w:spacing w:after="0" w:line="398" w:lineRule="auto"/>
        <w:jc w:val="left"/>
        <w:rPr>
          <w:rFonts w:ascii="宋体" w:hAnsi="宋体" w:cs="宋体" w:eastAsia="宋体" w:hint="default"/>
        </w:rPr>
        <w:sectPr>
          <w:pgSz w:w="11910" w:h="16840"/>
          <w:pgMar w:header="0" w:footer="979" w:top="1100" w:bottom="1160" w:left="980" w:right="980"/>
        </w:sectPr>
      </w:pPr>
    </w:p>
    <w:p>
      <w:pPr>
        <w:spacing w:line="240" w:lineRule="auto" w:before="2"/>
        <w:rPr>
          <w:rFonts w:ascii="宋体" w:hAnsi="宋体" w:cs="宋体" w:eastAsia="宋体" w:hint="default"/>
          <w:sz w:val="20"/>
          <w:szCs w:val="20"/>
        </w:rPr>
      </w:pPr>
    </w:p>
    <w:p>
      <w:pPr>
        <w:pStyle w:val="Heading5"/>
        <w:spacing w:line="240" w:lineRule="auto" w:before="36"/>
        <w:ind w:left="432" w:right="0"/>
        <w:jc w:val="left"/>
        <w:rPr>
          <w:b w:val="0"/>
          <w:bCs w:val="0"/>
        </w:rPr>
      </w:pPr>
      <w:r>
        <w:rPr>
          <w:rFonts w:ascii="宋体" w:hAnsi="宋体" w:cs="宋体" w:eastAsia="宋体" w:hint="default"/>
        </w:rPr>
        <w:t>40</w:t>
      </w:r>
      <w:r>
        <w:rPr/>
        <w:t>、一年内到期的非流动负债</w:t>
      </w:r>
      <w:r>
        <w:rPr>
          <w:b w:val="0"/>
          <w:bCs w:val="0"/>
        </w:rPr>
      </w:r>
    </w:p>
    <w:p>
      <w:pPr>
        <w:spacing w:line="240" w:lineRule="auto" w:before="12"/>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0" w:footer="979" w:top="1100" w:bottom="1160" w:left="700" w:right="700"/>
        </w:sectPr>
      </w:pPr>
    </w:p>
    <w:p>
      <w:pPr>
        <w:pStyle w:val="Heading5"/>
        <w:spacing w:line="326" w:lineRule="auto" w:before="36"/>
        <w:ind w:left="432" w:right="-2"/>
        <w:jc w:val="left"/>
        <w:rPr>
          <w:rFonts w:ascii="宋体" w:hAnsi="宋体" w:cs="宋体" w:eastAsia="宋体" w:hint="default"/>
          <w:b w:val="0"/>
          <w:bCs w:val="0"/>
        </w:rPr>
      </w:pPr>
      <w:r>
        <w:rPr>
          <w:spacing w:val="-1"/>
        </w:rPr>
        <w:t>（</w:t>
      </w:r>
      <w:r>
        <w:rPr>
          <w:rFonts w:ascii="宋体" w:hAnsi="宋体" w:cs="宋体" w:eastAsia="宋体" w:hint="default"/>
          <w:spacing w:val="-1"/>
        </w:rPr>
        <w:t>1</w:t>
      </w:r>
      <w:r>
        <w:rPr>
          <w:spacing w:val="-1"/>
        </w:rPr>
        <w:t>）一年内到期的非流动负债情况</w:t>
      </w:r>
      <w:r>
        <w:rPr>
          <w:spacing w:val="-91"/>
        </w:rPr>
        <w:t> </w:t>
      </w:r>
      <w:r>
        <w:rPr>
          <w:spacing w:val="-91"/>
        </w:rPr>
      </w:r>
      <w:r>
        <w:rPr>
          <w:rFonts w:ascii="宋体" w:hAnsi="宋体" w:cs="宋体" w:eastAsia="宋体" w:hint="default"/>
          <w:b w:val="0"/>
          <w:bCs w:val="0"/>
        </w:rPr>
        <w:t>无</w:t>
      </w:r>
    </w:p>
    <w:p>
      <w:pPr>
        <w:pStyle w:val="Heading5"/>
        <w:spacing w:line="240" w:lineRule="auto" w:before="21"/>
        <w:ind w:left="432" w:right="-2"/>
        <w:jc w:val="left"/>
        <w:rPr>
          <w:b w:val="0"/>
          <w:bCs w:val="0"/>
        </w:rPr>
      </w:pPr>
      <w:r>
        <w:rPr/>
        <w:t>（</w:t>
      </w:r>
      <w:r>
        <w:rPr>
          <w:rFonts w:ascii="宋体" w:hAnsi="宋体" w:cs="宋体" w:eastAsia="宋体" w:hint="default"/>
        </w:rPr>
        <w:t>2</w:t>
      </w:r>
      <w:r>
        <w:rPr/>
        <w:t>）一年内到期的长期借款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BodyText"/>
        <w:spacing w:line="240" w:lineRule="auto"/>
        <w:ind w:left="432" w:right="0"/>
        <w:jc w:val="left"/>
      </w:pPr>
      <w:r>
        <w:rPr/>
        <w:t>单位：</w:t>
      </w:r>
      <w:r>
        <w:rPr>
          <w:spacing w:val="2"/>
        </w:rPr>
        <w:t> </w:t>
      </w:r>
      <w:r>
        <w:rPr/>
        <w:t>元</w:t>
      </w:r>
    </w:p>
    <w:p>
      <w:pPr>
        <w:spacing w:after="0" w:line="240" w:lineRule="auto"/>
        <w:jc w:val="left"/>
        <w:sectPr>
          <w:type w:val="continuous"/>
          <w:pgSz w:w="11910" w:h="16840"/>
          <w:pgMar w:top="1100" w:bottom="1160" w:left="700" w:right="700"/>
          <w:cols w:num="2" w:equalWidth="0">
            <w:col w:w="3703" w:space="4781"/>
            <w:col w:w="2026"/>
          </w:cols>
        </w:sectPr>
      </w:pPr>
    </w:p>
    <w:p>
      <w:pPr>
        <w:spacing w:line="240" w:lineRule="auto" w:before="7"/>
        <w:rPr>
          <w:rFonts w:ascii="宋体" w:hAnsi="宋体" w:cs="宋体" w:eastAsia="宋体" w:hint="default"/>
          <w:sz w:val="2"/>
          <w:szCs w:val="2"/>
        </w:rPr>
      </w:pPr>
      <w:r>
        <w:rPr/>
        <w:pict>
          <v:group style="position:absolute;margin-left:54.84pt;margin-top:28.299982pt;width:485.65pt;height:40.15pt;mso-position-horizontal-relative:page;mso-position-vertical-relative:page;z-index:320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440" w:type="dxa"/>
        <w:tblLayout w:type="fixed"/>
        <w:tblCellMar>
          <w:top w:w="0" w:type="dxa"/>
          <w:left w:w="0" w:type="dxa"/>
          <w:bottom w:w="0" w:type="dxa"/>
          <w:right w:w="0" w:type="dxa"/>
        </w:tblCellMar>
        <w:tblLook w:val="01E0"/>
      </w:tblPr>
      <w:tblGrid>
        <w:gridCol w:w="3569"/>
        <w:gridCol w:w="2800"/>
        <w:gridCol w:w="3190"/>
      </w:tblGrid>
      <w:tr>
        <w:trPr>
          <w:trHeight w:val="28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8,000,000.00</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74" w:lineRule="exact"/>
        <w:ind w:left="432" w:right="0"/>
        <w:jc w:val="left"/>
      </w:pPr>
      <w:r>
        <w:rPr/>
        <w:t>金额前五名的一年内到期的长期借款</w:t>
      </w:r>
    </w:p>
    <w:p>
      <w:pPr>
        <w:pStyle w:val="BodyText"/>
        <w:spacing w:line="274" w:lineRule="exact"/>
        <w:ind w:left="0" w:right="640"/>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75"/>
        <w:gridCol w:w="1166"/>
        <w:gridCol w:w="1261"/>
        <w:gridCol w:w="919"/>
        <w:gridCol w:w="992"/>
        <w:gridCol w:w="994"/>
        <w:gridCol w:w="991"/>
        <w:gridCol w:w="1030"/>
        <w:gridCol w:w="1346"/>
      </w:tblGrid>
      <w:tr>
        <w:trPr>
          <w:trHeight w:val="283" w:hRule="exact"/>
        </w:trPr>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6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52"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47"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3"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1575"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本币金额</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554"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铁岭新星村镇银</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行股份有限公司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0"/>
                <w:sz w:val="21"/>
                <w:szCs w:val="21"/>
              </w:rPr>
              <w:t> </w:t>
            </w:r>
            <w:r>
              <w:rPr>
                <w:rFonts w:ascii="宋体" w:hAnsi="宋体" w:cs="宋体" w:eastAsia="宋体" w:hint="default"/>
                <w:sz w:val="21"/>
                <w:szCs w:val="21"/>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sz w:val="21"/>
                <w:szCs w:val="21"/>
              </w:rPr>
              <w:t>人民币元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8.96%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0"/>
              <w:jc w:val="center"/>
              <w:rPr>
                <w:rFonts w:ascii="宋体" w:hAnsi="宋体" w:cs="宋体" w:eastAsia="宋体" w:hint="default"/>
                <w:sz w:val="21"/>
                <w:szCs w:val="21"/>
              </w:rPr>
            </w:pPr>
            <w:r>
              <w:rPr>
                <w:rFonts w:ascii="宋体"/>
                <w:sz w:val="21"/>
              </w:rPr>
              <w:t>8,000,000.00</w:t>
            </w:r>
          </w:p>
        </w:tc>
      </w:tr>
      <w:tr>
        <w:trPr>
          <w:trHeight w:val="282" w:hRule="exact"/>
        </w:trPr>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 w:right="0"/>
              <w:jc w:val="center"/>
              <w:rPr>
                <w:rFonts w:ascii="宋体" w:hAnsi="宋体" w:cs="宋体" w:eastAsia="宋体" w:hint="default"/>
                <w:sz w:val="21"/>
                <w:szCs w:val="21"/>
              </w:rPr>
            </w:pPr>
            <w:r>
              <w:rPr>
                <w:rFonts w:ascii="宋体"/>
                <w:sz w:val="21"/>
              </w:rPr>
              <w:t>--</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91" w:type="dxa"/>
            <w:tcBorders>
              <w:top w:val="single" w:sz="4" w:space="0" w:color="000000"/>
              <w:left w:val="single" w:sz="12" w:space="0" w:color="D2D2D2"/>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z w:val="21"/>
              </w:rPr>
              <w:t>0.00</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4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8,000,000.00</w:t>
            </w:r>
          </w:p>
        </w:tc>
      </w:tr>
    </w:tbl>
    <w:p>
      <w:pPr>
        <w:pStyle w:val="BodyText"/>
        <w:spacing w:line="273" w:lineRule="exact" w:before="87"/>
        <w:ind w:left="432" w:right="0"/>
        <w:jc w:val="left"/>
      </w:pPr>
      <w:r>
        <w:rPr/>
        <w:t>一年内到期的长期借款说明</w:t>
      </w:r>
    </w:p>
    <w:p>
      <w:pPr>
        <w:pStyle w:val="BodyText"/>
        <w:spacing w:line="273" w:lineRule="exact"/>
        <w:ind w:left="853" w:right="0"/>
        <w:jc w:val="left"/>
      </w:pPr>
      <w:r>
        <w:rPr/>
        <w:t>该项借款已于</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11</w:t>
      </w:r>
      <w:r>
        <w:rPr>
          <w:rFonts w:ascii="宋体" w:hAnsi="宋体" w:cs="宋体" w:eastAsia="宋体" w:hint="default"/>
          <w:spacing w:val="-53"/>
        </w:rPr>
        <w:t> </w:t>
      </w:r>
      <w:r>
        <w:rPr/>
        <w:t>月</w:t>
      </w:r>
      <w:r>
        <w:rPr>
          <w:spacing w:val="-52"/>
        </w:rPr>
        <w:t> </w:t>
      </w:r>
      <w:r>
        <w:rPr>
          <w:rFonts w:ascii="宋体" w:hAnsi="宋体" w:cs="宋体" w:eastAsia="宋体" w:hint="default"/>
        </w:rPr>
        <w:t>22</w:t>
      </w:r>
      <w:r>
        <w:rPr>
          <w:rFonts w:ascii="宋体" w:hAnsi="宋体" w:cs="宋体" w:eastAsia="宋体" w:hint="default"/>
          <w:spacing w:val="-54"/>
        </w:rPr>
        <w:t> </w:t>
      </w:r>
      <w:r>
        <w:rPr/>
        <w:t>日全额偿还。</w:t>
      </w:r>
    </w:p>
    <w:p>
      <w:pPr>
        <w:pStyle w:val="Heading5"/>
        <w:spacing w:line="326" w:lineRule="auto" w:before="94"/>
        <w:ind w:left="432" w:right="7418"/>
        <w:jc w:val="left"/>
        <w:rPr>
          <w:rFonts w:ascii="宋体" w:hAnsi="宋体" w:cs="宋体" w:eastAsia="宋体" w:hint="default"/>
          <w:b w:val="0"/>
          <w:bCs w:val="0"/>
        </w:rPr>
      </w:pPr>
      <w:r>
        <w:rPr/>
        <w:t>（</w:t>
      </w:r>
      <w:r>
        <w:rPr>
          <w:rFonts w:ascii="宋体" w:hAnsi="宋体" w:cs="宋体" w:eastAsia="宋体" w:hint="default"/>
        </w:rPr>
        <w:t>3</w:t>
      </w:r>
      <w:r>
        <w:rPr/>
        <w:t>）一年内到期的应付债券</w:t>
      </w:r>
      <w:r>
        <w:rPr>
          <w:w w:val="100"/>
        </w:rPr>
        <w:t> </w:t>
      </w:r>
      <w:r>
        <w:rPr>
          <w:rFonts w:ascii="宋体" w:hAnsi="宋体" w:cs="宋体" w:eastAsia="宋体" w:hint="default"/>
          <w:b w:val="0"/>
          <w:bCs w:val="0"/>
        </w:rPr>
        <w:t>无</w:t>
      </w:r>
    </w:p>
    <w:p>
      <w:pPr>
        <w:pStyle w:val="Heading5"/>
        <w:spacing w:line="326" w:lineRule="auto" w:before="22"/>
        <w:ind w:left="432" w:right="7207"/>
        <w:jc w:val="left"/>
        <w:rPr>
          <w:rFonts w:ascii="宋体" w:hAnsi="宋体" w:cs="宋体" w:eastAsia="宋体" w:hint="default"/>
          <w:b w:val="0"/>
          <w:bCs w:val="0"/>
        </w:rPr>
      </w:pPr>
      <w:r>
        <w:rPr/>
        <w:t>（</w:t>
      </w:r>
      <w:r>
        <w:rPr>
          <w:rFonts w:ascii="宋体" w:hAnsi="宋体" w:cs="宋体" w:eastAsia="宋体" w:hint="default"/>
        </w:rPr>
        <w:t>4</w:t>
      </w:r>
      <w:r>
        <w:rPr/>
        <w:t>）一年内到期的长期应付款</w:t>
      </w:r>
      <w:r>
        <w:rPr>
          <w:w w:val="100"/>
        </w:rPr>
        <w:t> </w:t>
      </w:r>
      <w:r>
        <w:rPr>
          <w:rFonts w:ascii="宋体" w:hAnsi="宋体" w:cs="宋体" w:eastAsia="宋体" w:hint="default"/>
          <w:b w:val="0"/>
          <w:bCs w:val="0"/>
        </w:rPr>
        <w:t>无</w:t>
      </w:r>
    </w:p>
    <w:p>
      <w:pPr>
        <w:pStyle w:val="Heading5"/>
        <w:spacing w:line="398" w:lineRule="auto" w:before="16"/>
        <w:ind w:left="432" w:right="8367"/>
        <w:jc w:val="left"/>
        <w:rPr>
          <w:rFonts w:ascii="宋体" w:hAnsi="宋体" w:cs="宋体" w:eastAsia="宋体" w:hint="default"/>
          <w:b w:val="0"/>
          <w:bCs w:val="0"/>
        </w:rPr>
      </w:pPr>
      <w:r>
        <w:rPr>
          <w:rFonts w:ascii="宋体" w:hAnsi="宋体" w:cs="宋体" w:eastAsia="宋体" w:hint="default"/>
        </w:rPr>
        <w:t>41</w:t>
      </w:r>
      <w:r>
        <w:rPr/>
        <w:t>、其他流动负债</w:t>
      </w:r>
      <w:r>
        <w:rPr>
          <w:spacing w:val="-104"/>
        </w:rPr>
        <w:t> </w:t>
      </w:r>
      <w:r>
        <w:rPr>
          <w:rFonts w:ascii="宋体" w:hAnsi="宋体" w:cs="宋体" w:eastAsia="宋体" w:hint="default"/>
          <w:b w:val="0"/>
          <w:bCs w:val="0"/>
        </w:rPr>
        <w:t>无</w:t>
      </w:r>
    </w:p>
    <w:p>
      <w:pPr>
        <w:pStyle w:val="Heading5"/>
        <w:spacing w:line="231" w:lineRule="exact"/>
        <w:ind w:left="432" w:right="0"/>
        <w:jc w:val="left"/>
        <w:rPr>
          <w:b w:val="0"/>
          <w:bCs w:val="0"/>
        </w:rPr>
      </w:pPr>
      <w:r>
        <w:rPr>
          <w:rFonts w:ascii="宋体" w:hAnsi="宋体" w:cs="宋体" w:eastAsia="宋体" w:hint="default"/>
        </w:rPr>
        <w:t>42</w:t>
      </w:r>
      <w:r>
        <w:rPr/>
        <w:t>、长期借款</w:t>
      </w:r>
      <w:r>
        <w:rPr>
          <w:b w:val="0"/>
          <w:bCs w:val="0"/>
        </w:rPr>
      </w:r>
    </w:p>
    <w:p>
      <w:pPr>
        <w:spacing w:line="240" w:lineRule="auto" w:before="11"/>
        <w:rPr>
          <w:rFonts w:ascii="宋体" w:hAnsi="宋体" w:cs="宋体" w:eastAsia="宋体" w:hint="default"/>
          <w:b/>
          <w:bCs/>
          <w:sz w:val="13"/>
          <w:szCs w:val="13"/>
        </w:rPr>
      </w:pPr>
    </w:p>
    <w:p>
      <w:pPr>
        <w:spacing w:line="321" w:lineRule="auto" w:before="0"/>
        <w:ind w:left="432" w:right="8788"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43</w:t>
      </w:r>
      <w:r>
        <w:rPr>
          <w:rFonts w:ascii="宋体" w:hAnsi="宋体" w:cs="宋体" w:eastAsia="宋体" w:hint="default"/>
          <w:b/>
          <w:bCs/>
          <w:sz w:val="21"/>
          <w:szCs w:val="21"/>
        </w:rPr>
        <w:t>、应付债券</w:t>
      </w:r>
      <w:r>
        <w:rPr>
          <w:rFonts w:ascii="宋体" w:hAnsi="宋体" w:cs="宋体" w:eastAsia="宋体" w:hint="default"/>
          <w:sz w:val="21"/>
          <w:szCs w:val="21"/>
        </w:rPr>
      </w:r>
    </w:p>
    <w:p>
      <w:pPr>
        <w:pStyle w:val="Heading5"/>
        <w:spacing w:line="321" w:lineRule="auto" w:before="112"/>
        <w:ind w:left="432" w:right="8577"/>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44</w:t>
      </w:r>
      <w:r>
        <w:rPr/>
        <w:t>、长期应付款</w:t>
      </w:r>
      <w:r>
        <w:rPr>
          <w:b w:val="0"/>
          <w:bCs w:val="0"/>
        </w:rPr>
      </w:r>
    </w:p>
    <w:p>
      <w:pPr>
        <w:pStyle w:val="Heading5"/>
        <w:spacing w:line="321" w:lineRule="auto" w:before="109"/>
        <w:ind w:left="432" w:right="8577"/>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45</w:t>
      </w:r>
      <w:r>
        <w:rPr/>
        <w:t>、专项应付款</w:t>
      </w:r>
      <w:r>
        <w:rPr>
          <w:b w:val="0"/>
          <w:bCs w:val="0"/>
        </w:rPr>
      </w:r>
    </w:p>
    <w:p>
      <w:pPr>
        <w:pStyle w:val="Heading5"/>
        <w:spacing w:line="321" w:lineRule="auto" w:before="109"/>
        <w:ind w:left="432" w:right="8156"/>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46</w:t>
      </w:r>
      <w:r>
        <w:rPr/>
        <w:t>、其他非流动负债</w:t>
      </w:r>
      <w:r>
        <w:rPr>
          <w:b w:val="0"/>
          <w:bCs w:val="0"/>
        </w:rPr>
      </w:r>
    </w:p>
    <w:p>
      <w:pPr>
        <w:spacing w:line="321" w:lineRule="auto" w:before="109"/>
        <w:ind w:left="432" w:right="9210"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47</w:t>
      </w:r>
      <w:r>
        <w:rPr>
          <w:rFonts w:ascii="宋体" w:hAnsi="宋体" w:cs="宋体" w:eastAsia="宋体" w:hint="default"/>
          <w:b/>
          <w:bCs/>
          <w:sz w:val="21"/>
          <w:szCs w:val="21"/>
        </w:rPr>
        <w:t>、股本</w:t>
      </w:r>
      <w:r>
        <w:rPr>
          <w:rFonts w:ascii="宋体" w:hAnsi="宋体" w:cs="宋体" w:eastAsia="宋体" w:hint="default"/>
          <w:sz w:val="21"/>
          <w:szCs w:val="21"/>
        </w:rPr>
      </w:r>
    </w:p>
    <w:p>
      <w:pPr>
        <w:spacing w:after="0" w:line="321" w:lineRule="auto"/>
        <w:jc w:val="left"/>
        <w:rPr>
          <w:rFonts w:ascii="宋体" w:hAnsi="宋体" w:cs="宋体" w:eastAsia="宋体" w:hint="default"/>
          <w:sz w:val="21"/>
          <w:szCs w:val="21"/>
        </w:rPr>
        <w:sectPr>
          <w:type w:val="continuous"/>
          <w:pgSz w:w="11910" w:h="16840"/>
          <w:pgMar w:top="1100" w:bottom="1160" w:left="700" w:right="700"/>
        </w:sectPr>
      </w:pPr>
    </w:p>
    <w:p>
      <w:pPr>
        <w:spacing w:line="240" w:lineRule="auto" w:before="2"/>
        <w:rPr>
          <w:rFonts w:ascii="宋体" w:hAnsi="宋体" w:cs="宋体" w:eastAsia="宋体" w:hint="default"/>
          <w:b/>
          <w:bCs/>
          <w:sz w:val="20"/>
          <w:szCs w:val="20"/>
        </w:rPr>
      </w:pPr>
      <w:r>
        <w:rPr/>
        <w:pict>
          <v:group style="position:absolute;margin-left:54.84pt;margin-top:28.299982pt;width:485.65pt;height:40.15pt;mso-position-horizontal-relative:page;mso-position-vertical-relative:page;z-index:3232"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40" w:lineRule="auto" w:before="36"/>
        <w:ind w:left="0" w:right="519"/>
        <w:jc w:val="right"/>
      </w:pPr>
      <w:r>
        <w:rPr>
          <w:spacing w:val="-1"/>
        </w:rPr>
        <w:t>单位：元</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81"/>
        <w:gridCol w:w="1476"/>
        <w:gridCol w:w="1669"/>
        <w:gridCol w:w="737"/>
        <w:gridCol w:w="1275"/>
        <w:gridCol w:w="734"/>
        <w:gridCol w:w="1670"/>
        <w:gridCol w:w="1499"/>
      </w:tblGrid>
      <w:tr>
        <w:trPr>
          <w:trHeight w:val="145" w:hRule="exact"/>
        </w:trPr>
        <w:tc>
          <w:tcPr>
            <w:tcW w:w="9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608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2" w:lineRule="exact"/>
              <w:ind w:left="1879" w:right="0"/>
              <w:jc w:val="left"/>
              <w:rPr>
                <w:rFonts w:ascii="宋体" w:hAnsi="宋体" w:cs="宋体" w:eastAsia="宋体" w:hint="default"/>
                <w:sz w:val="21"/>
                <w:szCs w:val="21"/>
              </w:rPr>
            </w:pPr>
            <w:r>
              <w:rPr>
                <w:rFonts w:ascii="宋体" w:hAnsi="宋体" w:cs="宋体" w:eastAsia="宋体" w:hint="default"/>
                <w:sz w:val="21"/>
                <w:szCs w:val="21"/>
              </w:rPr>
              <w:t>本期变动增减（＋、－）</w:t>
            </w:r>
          </w:p>
        </w:tc>
        <w:tc>
          <w:tcPr>
            <w:tcW w:w="14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2" w:hRule="exact"/>
        </w:trPr>
        <w:tc>
          <w:tcPr>
            <w:tcW w:w="981" w:type="dxa"/>
            <w:vMerge w:val="restart"/>
            <w:tcBorders>
              <w:top w:val="nil" w:sz="6" w:space="0" w:color="auto"/>
              <w:left w:val="single" w:sz="4" w:space="0" w:color="000000"/>
              <w:right w:val="single" w:sz="4" w:space="0" w:color="000000"/>
            </w:tcBorders>
            <w:shd w:val="clear" w:color="auto" w:fill="D2D2D2"/>
          </w:tcPr>
          <w:p>
            <w:pPr/>
          </w:p>
        </w:tc>
        <w:tc>
          <w:tcPr>
            <w:tcW w:w="1476"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6084" w:type="dxa"/>
            <w:gridSpan w:val="5"/>
            <w:vMerge/>
            <w:tcBorders>
              <w:left w:val="single" w:sz="4" w:space="0" w:color="000000"/>
              <w:bottom w:val="single" w:sz="4" w:space="0" w:color="000000"/>
              <w:right w:val="single" w:sz="4" w:space="0" w:color="000000"/>
            </w:tcBorders>
            <w:shd w:val="clear" w:color="auto" w:fill="D2D2D2"/>
          </w:tcPr>
          <w:p>
            <w:pPr/>
          </w:p>
        </w:tc>
        <w:tc>
          <w:tcPr>
            <w:tcW w:w="1499"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43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42" w:hRule="exact"/>
        </w:trPr>
        <w:tc>
          <w:tcPr>
            <w:tcW w:w="981" w:type="dxa"/>
            <w:vMerge/>
            <w:tcBorders>
              <w:left w:val="single" w:sz="4" w:space="0" w:color="000000"/>
              <w:bottom w:val="nil" w:sz="6" w:space="0" w:color="auto"/>
              <w:right w:val="single" w:sz="4" w:space="0" w:color="000000"/>
            </w:tcBorders>
            <w:shd w:val="clear" w:color="auto" w:fill="D2D2D2"/>
          </w:tcPr>
          <w:p>
            <w:pPr/>
          </w:p>
        </w:tc>
        <w:tc>
          <w:tcPr>
            <w:tcW w:w="1476" w:type="dxa"/>
            <w:vMerge/>
            <w:tcBorders>
              <w:left w:val="single" w:sz="4" w:space="0" w:color="000000"/>
              <w:bottom w:val="nil" w:sz="6" w:space="0" w:color="auto"/>
              <w:right w:val="single" w:sz="4" w:space="0" w:color="000000"/>
            </w:tcBorders>
            <w:shd w:val="clear" w:color="auto" w:fill="D2D2D2"/>
          </w:tcPr>
          <w:p>
            <w:pPr/>
          </w:p>
        </w:tc>
        <w:tc>
          <w:tcPr>
            <w:tcW w:w="1669"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40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15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1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0"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1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99" w:type="dxa"/>
            <w:vMerge/>
            <w:tcBorders>
              <w:left w:val="single" w:sz="4" w:space="0" w:color="000000"/>
              <w:bottom w:val="nil" w:sz="6" w:space="0" w:color="auto"/>
              <w:right w:val="single" w:sz="4" w:space="0" w:color="000000"/>
            </w:tcBorders>
            <w:shd w:val="clear" w:color="auto" w:fill="D2D2D2"/>
          </w:tcPr>
          <w:p>
            <w:pPr/>
          </w:p>
        </w:tc>
      </w:tr>
      <w:tr>
        <w:trPr>
          <w:trHeight w:val="146" w:hRule="exact"/>
        </w:trPr>
        <w:tc>
          <w:tcPr>
            <w:tcW w:w="9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9"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1670" w:type="dxa"/>
            <w:vMerge/>
            <w:tcBorders>
              <w:left w:val="single" w:sz="4" w:space="0" w:color="000000"/>
              <w:bottom w:val="single" w:sz="4" w:space="0" w:color="000000"/>
              <w:right w:val="single" w:sz="4" w:space="0" w:color="000000"/>
            </w:tcBorders>
            <w:shd w:val="clear" w:color="auto" w:fill="D2D2D2"/>
          </w:tcPr>
          <w:p>
            <w:pPr/>
          </w:p>
        </w:tc>
        <w:tc>
          <w:tcPr>
            <w:tcW w:w="14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76"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sz w:val="21"/>
              </w:rPr>
              <w:t>51,000,000.00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sz w:val="21"/>
              </w:rPr>
              <w:t>17,000,000.00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sz w:val="21"/>
              </w:rPr>
              <w:t>17,000,000.00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68,000,000.00</w:t>
            </w:r>
          </w:p>
        </w:tc>
      </w:tr>
    </w:tbl>
    <w:p>
      <w:pPr>
        <w:pStyle w:val="BodyText"/>
        <w:spacing w:line="273" w:lineRule="exact" w:before="86"/>
        <w:ind w:left="733" w:right="0"/>
        <w:jc w:val="left"/>
      </w:pPr>
      <w:r>
        <w:rPr/>
        <w:t>经公司</w:t>
      </w:r>
      <w:r>
        <w:rPr>
          <w:rFonts w:ascii="宋体" w:hAnsi="宋体" w:cs="宋体" w:eastAsia="宋体" w:hint="default"/>
        </w:rPr>
        <w:t>2011 </w:t>
      </w:r>
      <w:r>
        <w:rPr/>
        <w:t>年第一次临时股东大会审议通过，并经中国证券监督管理委员会证监许可</w:t>
      </w:r>
      <w:r>
        <w:rPr>
          <w:rFonts w:ascii="宋体" w:hAnsi="宋体" w:cs="宋体" w:eastAsia="宋体" w:hint="default"/>
        </w:rPr>
        <w:t>[2011]2143</w:t>
      </w:r>
      <w:r>
        <w:rPr>
          <w:rFonts w:ascii="宋体" w:hAnsi="宋体" w:cs="宋体" w:eastAsia="宋体" w:hint="default"/>
          <w:spacing w:val="-32"/>
        </w:rPr>
        <w:t> </w:t>
      </w:r>
      <w:r>
        <w:rPr/>
        <w:t>号</w:t>
      </w:r>
    </w:p>
    <w:p>
      <w:pPr>
        <w:pStyle w:val="BodyText"/>
        <w:spacing w:line="237" w:lineRule="auto"/>
        <w:ind w:left="312" w:right="306"/>
        <w:jc w:val="both"/>
      </w:pPr>
      <w:r>
        <w:rPr>
          <w:spacing w:val="-2"/>
        </w:rPr>
        <w:t>《关于核准荣科科技股份有限公司首次公开发行股票并在创业板上市的批复》核准，公司于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8</w:t>
      </w:r>
      <w:r>
        <w:rPr>
          <w:spacing w:val="-2"/>
        </w:rPr>
        <w:t>日</w:t>
      </w:r>
      <w:r>
        <w:rPr>
          <w:spacing w:val="-38"/>
        </w:rPr>
        <w:t> </w:t>
      </w:r>
      <w:r>
        <w:rPr/>
        <w:t>向</w:t>
      </w:r>
      <w:r>
        <w:rPr>
          <w:spacing w:val="-78"/>
        </w:rPr>
        <w:t> </w:t>
      </w:r>
      <w:r>
        <w:rPr>
          <w:spacing w:val="11"/>
        </w:rPr>
        <w:t>社会</w:t>
      </w:r>
      <w:r>
        <w:rPr>
          <w:spacing w:val="-78"/>
        </w:rPr>
        <w:t> </w:t>
      </w:r>
      <w:r>
        <w:rPr>
          <w:spacing w:val="11"/>
        </w:rPr>
        <w:t>公开</w:t>
      </w:r>
      <w:r>
        <w:rPr>
          <w:spacing w:val="-78"/>
        </w:rPr>
        <w:t> </w:t>
      </w:r>
      <w:r>
        <w:rPr>
          <w:spacing w:val="11"/>
        </w:rPr>
        <w:t>发行</w:t>
      </w:r>
      <w:r>
        <w:rPr>
          <w:spacing w:val="-78"/>
        </w:rPr>
        <w:t> </w:t>
      </w:r>
      <w:r>
        <w:rPr>
          <w:spacing w:val="11"/>
        </w:rPr>
        <w:t>人民</w:t>
      </w:r>
      <w:r>
        <w:rPr>
          <w:spacing w:val="-78"/>
        </w:rPr>
        <w:t> </w:t>
      </w:r>
      <w:r>
        <w:rPr>
          <w:spacing w:val="11"/>
        </w:rPr>
        <w:t>币普</w:t>
      </w:r>
      <w:r>
        <w:rPr>
          <w:spacing w:val="-78"/>
        </w:rPr>
        <w:t> </w:t>
      </w:r>
      <w:r>
        <w:rPr>
          <w:spacing w:val="11"/>
        </w:rPr>
        <w:t>通股</w:t>
      </w:r>
      <w:r>
        <w:rPr>
          <w:spacing w:val="-78"/>
        </w:rPr>
        <w:t> </w:t>
      </w:r>
      <w:r>
        <w:rPr/>
        <w:t>（</w:t>
      </w:r>
      <w:r>
        <w:rPr>
          <w:spacing w:val="-75"/>
        </w:rPr>
        <w:t> </w:t>
      </w:r>
      <w:r>
        <w:rPr>
          <w:rFonts w:ascii="宋体" w:hAnsi="宋体" w:cs="宋体" w:eastAsia="宋体" w:hint="default"/>
        </w:rPr>
        <w:t>A</w:t>
      </w:r>
      <w:r>
        <w:rPr>
          <w:rFonts w:ascii="宋体" w:hAnsi="宋体" w:cs="宋体" w:eastAsia="宋体" w:hint="default"/>
          <w:spacing w:val="30"/>
        </w:rPr>
        <w:t> </w:t>
      </w:r>
      <w:r>
        <w:rPr>
          <w:spacing w:val="11"/>
        </w:rPr>
        <w:t>股）</w:t>
      </w:r>
      <w:r>
        <w:rPr>
          <w:spacing w:val="61"/>
        </w:rPr>
        <w:t> </w:t>
      </w:r>
      <w:r>
        <w:rPr>
          <w:rFonts w:ascii="宋体" w:hAnsi="宋体" w:cs="宋体" w:eastAsia="宋体" w:hint="default"/>
        </w:rPr>
        <w:t>17,000,000</w:t>
      </w:r>
      <w:r>
        <w:rPr>
          <w:rFonts w:ascii="宋体" w:hAnsi="宋体" w:cs="宋体" w:eastAsia="宋体" w:hint="default"/>
          <w:spacing w:val="30"/>
        </w:rPr>
        <w:t> </w:t>
      </w:r>
      <w:r>
        <w:rPr/>
        <w:t>股</w:t>
      </w:r>
      <w:r>
        <w:rPr>
          <w:spacing w:val="-78"/>
        </w:rPr>
        <w:t> </w:t>
      </w:r>
      <w:r>
        <w:rPr/>
        <w:t>，</w:t>
      </w:r>
      <w:r>
        <w:rPr>
          <w:spacing w:val="-81"/>
        </w:rPr>
        <w:t> </w:t>
      </w:r>
      <w:r>
        <w:rPr/>
        <w:t>每</w:t>
      </w:r>
      <w:r>
        <w:rPr>
          <w:spacing w:val="-78"/>
        </w:rPr>
        <w:t> </w:t>
      </w:r>
      <w:r>
        <w:rPr>
          <w:spacing w:val="11"/>
        </w:rPr>
        <w:t>股面</w:t>
      </w:r>
      <w:r>
        <w:rPr>
          <w:spacing w:val="-78"/>
        </w:rPr>
        <w:t> </w:t>
      </w:r>
      <w:r>
        <w:rPr/>
        <w:t>值</w:t>
      </w:r>
      <w:r>
        <w:rPr>
          <w:spacing w:val="-80"/>
        </w:rPr>
        <w:t> </w:t>
      </w:r>
      <w:r>
        <w:rPr>
          <w:rFonts w:ascii="宋体" w:hAnsi="宋体" w:cs="宋体" w:eastAsia="宋体" w:hint="default"/>
        </w:rPr>
        <w:t>1.00</w:t>
      </w:r>
      <w:r>
        <w:rPr>
          <w:rFonts w:ascii="宋体" w:hAnsi="宋体" w:cs="宋体" w:eastAsia="宋体" w:hint="default"/>
          <w:spacing w:val="30"/>
        </w:rPr>
        <w:t> </w:t>
      </w:r>
      <w:r>
        <w:rPr/>
        <w:t>元</w:t>
      </w:r>
      <w:r>
        <w:rPr>
          <w:spacing w:val="-78"/>
        </w:rPr>
        <w:t> </w:t>
      </w:r>
      <w:r>
        <w:rPr/>
        <w:t>，</w:t>
      </w:r>
      <w:r>
        <w:rPr>
          <w:spacing w:val="-81"/>
        </w:rPr>
        <w:t> </w:t>
      </w:r>
      <w:r>
        <w:rPr/>
        <w:t>共</w:t>
      </w:r>
      <w:r>
        <w:rPr>
          <w:spacing w:val="-78"/>
        </w:rPr>
        <w:t> </w:t>
      </w:r>
      <w:r>
        <w:rPr>
          <w:spacing w:val="11"/>
        </w:rPr>
        <w:t>计增</w:t>
      </w:r>
      <w:r>
        <w:rPr>
          <w:spacing w:val="-78"/>
        </w:rPr>
        <w:t> </w:t>
      </w:r>
      <w:r>
        <w:rPr>
          <w:spacing w:val="11"/>
        </w:rPr>
        <w:t>加注</w:t>
      </w:r>
      <w:r>
        <w:rPr>
          <w:spacing w:val="-78"/>
        </w:rPr>
        <w:t> </w:t>
      </w:r>
      <w:r>
        <w:rPr>
          <w:spacing w:val="14"/>
        </w:rPr>
        <w:t>册资本</w:t>
      </w:r>
      <w:r>
        <w:rPr>
          <w:w w:val="100"/>
        </w:rPr>
        <w:t> </w:t>
      </w:r>
      <w:r>
        <w:rPr>
          <w:rFonts w:ascii="宋体" w:hAnsi="宋体" w:cs="宋体" w:eastAsia="宋体" w:hint="default"/>
        </w:rPr>
        <w:t>17,000,000.00</w:t>
      </w:r>
      <w:r>
        <w:rPr>
          <w:rFonts w:ascii="宋体" w:hAnsi="宋体" w:cs="宋体" w:eastAsia="宋体" w:hint="default"/>
          <w:spacing w:val="24"/>
        </w:rPr>
        <w:t> </w:t>
      </w:r>
      <w:r>
        <w:rPr>
          <w:spacing w:val="-4"/>
        </w:rPr>
        <w:t>元，增资后的注册资本为人民币</w:t>
      </w:r>
      <w:r>
        <w:rPr>
          <w:rFonts w:ascii="宋体" w:hAnsi="宋体" w:cs="宋体" w:eastAsia="宋体" w:hint="default"/>
          <w:spacing w:val="-4"/>
        </w:rPr>
        <w:t>68,000,000.00</w:t>
      </w:r>
      <w:r>
        <w:rPr>
          <w:rFonts w:ascii="宋体" w:hAnsi="宋体" w:cs="宋体" w:eastAsia="宋体" w:hint="default"/>
          <w:spacing w:val="24"/>
        </w:rPr>
        <w:t> </w:t>
      </w:r>
      <w:r>
        <w:rPr>
          <w:spacing w:val="-10"/>
        </w:rPr>
        <w:t>元，该事项业经华普天健会计师事务所（北</w:t>
      </w:r>
      <w:r>
        <w:rPr>
          <w:spacing w:val="-99"/>
        </w:rPr>
        <w:t> </w:t>
      </w:r>
      <w:r>
        <w:rPr>
          <w:spacing w:val="-99"/>
        </w:rPr>
      </w:r>
      <w:r>
        <w:rPr/>
        <w:t>京）有限公司验证并出具会验字（</w:t>
      </w:r>
      <w:r>
        <w:rPr>
          <w:rFonts w:ascii="宋体" w:hAnsi="宋体" w:cs="宋体" w:eastAsia="宋体" w:hint="default"/>
        </w:rPr>
        <w:t>2012</w:t>
      </w:r>
      <w:r>
        <w:rPr/>
        <w:t>）第</w:t>
      </w:r>
      <w:r>
        <w:rPr>
          <w:rFonts w:ascii="宋体" w:hAnsi="宋体" w:cs="宋体" w:eastAsia="宋体" w:hint="default"/>
        </w:rPr>
        <w:t>0345</w:t>
      </w:r>
      <w:r>
        <w:rPr/>
        <w:t>号验资报告。</w:t>
      </w:r>
    </w:p>
    <w:p>
      <w:pPr>
        <w:pStyle w:val="Heading5"/>
        <w:spacing w:line="398" w:lineRule="auto" w:before="119"/>
        <w:ind w:left="312" w:right="8879"/>
        <w:jc w:val="left"/>
        <w:rPr>
          <w:rFonts w:ascii="宋体" w:hAnsi="宋体" w:cs="宋体" w:eastAsia="宋体" w:hint="default"/>
          <w:b w:val="0"/>
          <w:bCs w:val="0"/>
        </w:rPr>
      </w:pPr>
      <w:r>
        <w:rPr>
          <w:rFonts w:ascii="宋体" w:hAnsi="宋体" w:cs="宋体" w:eastAsia="宋体" w:hint="default"/>
        </w:rPr>
        <w:t>48</w:t>
      </w:r>
      <w:r>
        <w:rPr/>
        <w:t>、库存股</w:t>
      </w:r>
      <w:r>
        <w:rPr>
          <w:w w:val="100"/>
        </w:rPr>
        <w:t> </w:t>
      </w:r>
      <w:r>
        <w:rPr>
          <w:rFonts w:ascii="宋体" w:hAnsi="宋体" w:cs="宋体" w:eastAsia="宋体" w:hint="default"/>
          <w:b w:val="0"/>
          <w:bCs w:val="0"/>
        </w:rPr>
        <w:t>无</w:t>
      </w:r>
    </w:p>
    <w:p>
      <w:pPr>
        <w:pStyle w:val="Heading5"/>
        <w:spacing w:line="231" w:lineRule="exact"/>
        <w:ind w:left="312" w:right="0"/>
        <w:jc w:val="both"/>
        <w:rPr>
          <w:b w:val="0"/>
          <w:bCs w:val="0"/>
        </w:rPr>
      </w:pPr>
      <w:r>
        <w:rPr>
          <w:rFonts w:ascii="宋体" w:hAnsi="宋体" w:cs="宋体" w:eastAsia="宋体" w:hint="default"/>
        </w:rPr>
        <w:t>49</w:t>
      </w:r>
      <w:r>
        <w:rPr/>
        <w:t>、专项储备</w:t>
      </w:r>
      <w:r>
        <w:rPr>
          <w:b w:val="0"/>
          <w:bCs w:val="0"/>
        </w:rPr>
      </w:r>
    </w:p>
    <w:p>
      <w:pPr>
        <w:spacing w:line="240" w:lineRule="auto" w:before="11"/>
        <w:rPr>
          <w:rFonts w:ascii="宋体" w:hAnsi="宋体" w:cs="宋体" w:eastAsia="宋体" w:hint="default"/>
          <w:b/>
          <w:bCs/>
          <w:sz w:val="13"/>
          <w:szCs w:val="13"/>
        </w:rPr>
      </w:pPr>
    </w:p>
    <w:p>
      <w:pPr>
        <w:spacing w:line="321" w:lineRule="auto" w:before="0"/>
        <w:ind w:left="312" w:right="8668"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、资本公积</w:t>
      </w:r>
      <w:r>
        <w:rPr>
          <w:rFonts w:ascii="宋体" w:hAnsi="宋体" w:cs="宋体" w:eastAsia="宋体" w:hint="default"/>
          <w:sz w:val="21"/>
          <w:szCs w:val="21"/>
        </w:rPr>
      </w:r>
    </w:p>
    <w:p>
      <w:pPr>
        <w:pStyle w:val="BodyText"/>
        <w:spacing w:line="240" w:lineRule="auto" w:before="112"/>
        <w:ind w:left="0" w:right="520"/>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28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19,404,281.42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145,580,800.00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center"/>
              <w:rPr>
                <w:rFonts w:ascii="宋体" w:hAnsi="宋体" w:cs="宋体" w:eastAsia="宋体" w:hint="default"/>
                <w:sz w:val="21"/>
                <w:szCs w:val="21"/>
              </w:rPr>
            </w:pPr>
            <w:r>
              <w:rPr>
                <w:rFonts w:ascii="宋体"/>
                <w:sz w:val="21"/>
              </w:rPr>
              <w:t>164,985,081.42</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19,404,281.42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145,580,800.00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center"/>
              <w:rPr>
                <w:rFonts w:ascii="宋体" w:hAnsi="宋体" w:cs="宋体" w:eastAsia="宋体" w:hint="default"/>
                <w:sz w:val="21"/>
                <w:szCs w:val="21"/>
              </w:rPr>
            </w:pPr>
            <w:r>
              <w:rPr>
                <w:rFonts w:ascii="宋体"/>
                <w:sz w:val="21"/>
              </w:rPr>
              <w:t>164,985,081.42</w:t>
            </w:r>
          </w:p>
        </w:tc>
      </w:tr>
    </w:tbl>
    <w:p>
      <w:pPr>
        <w:pStyle w:val="BodyText"/>
        <w:spacing w:line="274" w:lineRule="exact" w:before="86"/>
        <w:ind w:left="312" w:right="0"/>
        <w:jc w:val="left"/>
      </w:pPr>
      <w:r>
        <w:rPr/>
        <w:t>资本公积说明</w:t>
      </w:r>
    </w:p>
    <w:p>
      <w:pPr>
        <w:pStyle w:val="BodyText"/>
        <w:spacing w:line="272" w:lineRule="exact" w:before="27"/>
        <w:ind w:left="312" w:right="0" w:firstLine="422"/>
        <w:jc w:val="left"/>
      </w:pPr>
      <w:r>
        <w:rPr/>
        <w:t>公司于</w:t>
      </w:r>
      <w:r>
        <w:rPr>
          <w:rFonts w:ascii="宋体" w:hAnsi="宋体" w:cs="宋体" w:eastAsia="宋体" w:hint="default"/>
        </w:rPr>
        <w:t>2012 </w:t>
      </w:r>
      <w:r>
        <w:rPr/>
        <w:t>年</w:t>
      </w:r>
      <w:r>
        <w:rPr>
          <w:rFonts w:ascii="宋体" w:hAnsi="宋体" w:cs="宋体" w:eastAsia="宋体" w:hint="default"/>
        </w:rPr>
        <w:t>2</w:t>
      </w:r>
      <w:r>
        <w:rPr/>
        <w:t>月</w:t>
      </w:r>
      <w:r>
        <w:rPr>
          <w:rFonts w:ascii="宋体" w:hAnsi="宋体" w:cs="宋体" w:eastAsia="宋体" w:hint="default"/>
        </w:rPr>
        <w:t>8 </w:t>
      </w:r>
      <w:r>
        <w:rPr/>
        <w:t>日向社会公开发行人民币普通股（</w:t>
      </w:r>
      <w:r>
        <w:rPr>
          <w:rFonts w:ascii="宋体" w:hAnsi="宋体" w:cs="宋体" w:eastAsia="宋体" w:hint="default"/>
        </w:rPr>
        <w:t>A </w:t>
      </w:r>
      <w:r>
        <w:rPr/>
        <w:t>股）</w:t>
      </w:r>
      <w:r>
        <w:rPr>
          <w:rFonts w:ascii="宋体" w:hAnsi="宋体" w:cs="宋体" w:eastAsia="宋体" w:hint="default"/>
        </w:rPr>
        <w:t>17,000,000</w:t>
      </w:r>
      <w:r>
        <w:rPr>
          <w:rFonts w:ascii="宋体" w:hAnsi="宋体" w:cs="宋体" w:eastAsia="宋体" w:hint="default"/>
          <w:spacing w:val="-7"/>
        </w:rPr>
        <w:t> </w:t>
      </w:r>
      <w:r>
        <w:rPr/>
        <w:t>股，共募集资金</w:t>
      </w:r>
      <w:r>
        <w:rPr>
          <w:w w:val="100"/>
        </w:rPr>
        <w:t> </w:t>
      </w:r>
      <w:r>
        <w:rPr>
          <w:rFonts w:ascii="宋体" w:hAnsi="宋体" w:cs="宋体" w:eastAsia="宋体" w:hint="default"/>
          <w:spacing w:val="-2"/>
        </w:rPr>
        <w:t>188,870,000.00</w:t>
      </w:r>
      <w:r>
        <w:rPr>
          <w:spacing w:val="-2"/>
        </w:rPr>
        <w:t>元，扣除承销、保荐费用及其他相关发行费用</w:t>
      </w:r>
      <w:r>
        <w:rPr>
          <w:rFonts w:ascii="宋体" w:hAnsi="宋体" w:cs="宋体" w:eastAsia="宋体" w:hint="default"/>
          <w:spacing w:val="-2"/>
        </w:rPr>
        <w:t>26,289,200.00</w:t>
      </w:r>
      <w:r>
        <w:rPr>
          <w:spacing w:val="-2"/>
        </w:rPr>
        <w:t>元，募集资金净额为人民币</w:t>
      </w:r>
    </w:p>
    <w:p>
      <w:pPr>
        <w:pStyle w:val="BodyText"/>
        <w:spacing w:line="272" w:lineRule="exact" w:before="1"/>
        <w:ind w:left="312" w:right="390"/>
        <w:jc w:val="left"/>
      </w:pPr>
      <w:r>
        <w:rPr>
          <w:rFonts w:ascii="宋体" w:hAnsi="宋体" w:cs="宋体" w:eastAsia="宋体" w:hint="default"/>
        </w:rPr>
        <w:t>162,580,800.00 </w:t>
      </w:r>
      <w:r>
        <w:rPr/>
        <w:t>元，其中：注册资本人民币</w:t>
      </w:r>
      <w:r>
        <w:rPr>
          <w:rFonts w:ascii="宋体" w:hAnsi="宋体" w:cs="宋体" w:eastAsia="宋体" w:hint="default"/>
        </w:rPr>
        <w:t>17,000,000.00</w:t>
      </w:r>
      <w:r>
        <w:rPr>
          <w:rFonts w:ascii="宋体" w:hAnsi="宋体" w:cs="宋体" w:eastAsia="宋体" w:hint="default"/>
          <w:spacing w:val="-11"/>
        </w:rPr>
        <w:t> </w:t>
      </w:r>
      <w:r>
        <w:rPr/>
        <w:t>元，股本溢价人民币</w:t>
      </w:r>
      <w:r>
        <w:rPr>
          <w:rFonts w:ascii="宋体" w:hAnsi="宋体" w:cs="宋体" w:eastAsia="宋体" w:hint="default"/>
        </w:rPr>
        <w:t>145,580,800.00</w:t>
      </w:r>
      <w:r>
        <w:rPr/>
        <w:t>元计入</w:t>
      </w:r>
      <w:r>
        <w:rPr>
          <w:w w:val="100"/>
        </w:rPr>
        <w:t> </w:t>
      </w:r>
      <w:r>
        <w:rPr/>
        <w:t>“资本公积”。</w:t>
      </w:r>
    </w:p>
    <w:p>
      <w:pPr>
        <w:pStyle w:val="Heading5"/>
        <w:spacing w:line="240" w:lineRule="auto" w:before="70"/>
        <w:ind w:left="312" w:right="0"/>
        <w:jc w:val="left"/>
        <w:rPr>
          <w:b w:val="0"/>
          <w:bCs w:val="0"/>
        </w:rPr>
      </w:pPr>
      <w:r>
        <w:rPr>
          <w:rFonts w:ascii="宋体" w:hAnsi="宋体" w:cs="宋体" w:eastAsia="宋体" w:hint="default"/>
        </w:rPr>
        <w:t>51</w:t>
      </w:r>
      <w:r>
        <w:rPr/>
        <w:t>、盈余公积</w:t>
      </w:r>
      <w:r>
        <w:rPr>
          <w:b w:val="0"/>
          <w:bCs w:val="0"/>
        </w:rPr>
      </w:r>
    </w:p>
    <w:p>
      <w:pPr>
        <w:spacing w:line="240" w:lineRule="auto" w:before="11"/>
        <w:rPr>
          <w:rFonts w:ascii="宋体" w:hAnsi="宋体" w:cs="宋体" w:eastAsia="宋体" w:hint="default"/>
          <w:b/>
          <w:bCs/>
          <w:sz w:val="13"/>
          <w:szCs w:val="13"/>
        </w:rPr>
      </w:pPr>
    </w:p>
    <w:p>
      <w:pPr>
        <w:pStyle w:val="BodyText"/>
        <w:spacing w:line="240" w:lineRule="auto"/>
        <w:ind w:left="0" w:right="520"/>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28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sz w:val="21"/>
              </w:rPr>
              <w:t>7,369,788.96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5,010,241.02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12,380,029.98</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3" w:lineRule="exact"/>
              <w:ind w:left="569" w:right="0"/>
              <w:jc w:val="left"/>
              <w:rPr>
                <w:rFonts w:ascii="宋体" w:hAnsi="宋体" w:cs="宋体" w:eastAsia="宋体" w:hint="default"/>
                <w:sz w:val="21"/>
                <w:szCs w:val="21"/>
              </w:rPr>
            </w:pPr>
            <w:r>
              <w:rPr>
                <w:rFonts w:ascii="宋体"/>
                <w:sz w:val="21"/>
              </w:rPr>
              <w:t>7,369,788.96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5,010,241.02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12,380,029.98</w:t>
            </w:r>
          </w:p>
        </w:tc>
      </w:tr>
    </w:tbl>
    <w:p>
      <w:pPr>
        <w:pStyle w:val="BodyText"/>
        <w:spacing w:line="394" w:lineRule="exact" w:before="16"/>
        <w:ind w:left="733" w:right="0" w:hanging="421"/>
        <w:jc w:val="left"/>
      </w:pPr>
      <w:r>
        <w:rPr/>
        <w:t>盈余公积说明，用盈余公积转增股本、弥补亏损、分派股利的，应说明有关决议</w:t>
      </w:r>
      <w:r>
        <w:rPr>
          <w:w w:val="100"/>
        </w:rPr>
        <w:t> </w:t>
      </w:r>
      <w:r>
        <w:rPr/>
        <w:t>本报告期盈余公积增加系本公司按《公司法》及《公司章程》有关规定，按本年度净利润</w:t>
      </w:r>
      <w:r>
        <w:rPr>
          <w:rFonts w:ascii="宋体" w:hAnsi="宋体" w:cs="宋体" w:eastAsia="宋体" w:hint="default"/>
        </w:rPr>
        <w:t>10%</w:t>
      </w:r>
      <w:r>
        <w:rPr/>
        <w:t>提取法</w:t>
      </w:r>
    </w:p>
    <w:p>
      <w:pPr>
        <w:pStyle w:val="BodyText"/>
        <w:spacing w:line="223" w:lineRule="exact"/>
        <w:ind w:left="312" w:right="0"/>
        <w:jc w:val="left"/>
      </w:pPr>
      <w:r>
        <w:rPr/>
        <w:t>定盈余公积金。</w:t>
      </w:r>
    </w:p>
    <w:p>
      <w:pPr>
        <w:pStyle w:val="Heading5"/>
        <w:spacing w:line="398" w:lineRule="auto" w:before="94"/>
        <w:ind w:left="312" w:right="8247"/>
        <w:jc w:val="left"/>
        <w:rPr>
          <w:rFonts w:ascii="宋体" w:hAnsi="宋体" w:cs="宋体" w:eastAsia="宋体" w:hint="default"/>
          <w:b w:val="0"/>
          <w:bCs w:val="0"/>
        </w:rPr>
      </w:pPr>
      <w:r>
        <w:rPr>
          <w:rFonts w:ascii="宋体" w:hAnsi="宋体" w:cs="宋体" w:eastAsia="宋体" w:hint="default"/>
        </w:rPr>
        <w:t>52</w:t>
      </w:r>
      <w:r>
        <w:rPr/>
        <w:t>、一般风险准备</w:t>
      </w:r>
      <w:r>
        <w:rPr>
          <w:spacing w:val="-104"/>
        </w:rPr>
        <w:t> </w:t>
      </w:r>
      <w:r>
        <w:rPr>
          <w:rFonts w:ascii="宋体" w:hAnsi="宋体" w:cs="宋体" w:eastAsia="宋体" w:hint="default"/>
          <w:b w:val="0"/>
          <w:bCs w:val="0"/>
        </w:rPr>
        <w:t>无</w:t>
      </w:r>
    </w:p>
    <w:p>
      <w:pPr>
        <w:pStyle w:val="Heading5"/>
        <w:spacing w:line="229" w:lineRule="exact"/>
        <w:ind w:left="312" w:right="0"/>
        <w:jc w:val="left"/>
        <w:rPr>
          <w:b w:val="0"/>
          <w:bCs w:val="0"/>
        </w:rPr>
      </w:pPr>
      <w:r>
        <w:rPr>
          <w:rFonts w:ascii="宋体" w:hAnsi="宋体" w:cs="宋体" w:eastAsia="宋体" w:hint="default"/>
        </w:rPr>
        <w:t>53</w:t>
      </w:r>
      <w:r>
        <w:rPr/>
        <w:t>、未分配利润</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0" w:right="520"/>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3696"/>
        <w:gridCol w:w="3741"/>
        <w:gridCol w:w="2122"/>
      </w:tblGrid>
      <w:tr>
        <w:trPr>
          <w:trHeight w:val="28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66,922,695.76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2" w:lineRule="exact"/>
              <w:ind w:right="12"/>
              <w:jc w:val="right"/>
              <w:rPr>
                <w:rFonts w:ascii="宋体" w:hAnsi="宋体" w:cs="宋体" w:eastAsia="宋体" w:hint="default"/>
                <w:sz w:val="21"/>
                <w:szCs w:val="21"/>
              </w:rPr>
            </w:pPr>
            <w:r>
              <w:rPr>
                <w:rFonts w:ascii="宋体"/>
                <w:spacing w:val="-1"/>
                <w:sz w:val="21"/>
              </w:rPr>
              <w:t>66,922,695.76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49,862,341.25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5,010,241.02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98,174,795.99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0" w:footer="979" w:top="1100" w:bottom="1160" w:left="820" w:right="82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325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72" w:lineRule="exact" w:before="64"/>
        <w:ind w:right="140" w:firstLine="420"/>
        <w:jc w:val="left"/>
      </w:pPr>
      <w:r>
        <w:rPr>
          <w:spacing w:val="2"/>
          <w:w w:val="100"/>
        </w:rPr>
        <w:t>根</w:t>
      </w:r>
      <w:r>
        <w:rPr>
          <w:w w:val="100"/>
        </w:rPr>
        <w:t>据公</w:t>
      </w:r>
      <w:r>
        <w:rPr>
          <w:spacing w:val="2"/>
          <w:w w:val="100"/>
        </w:rPr>
        <w:t>司</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2"/>
          <w:w w:val="100"/>
        </w:rPr>
        <w:t>1</w:t>
      </w:r>
      <w:r>
        <w:rPr>
          <w:w w:val="100"/>
        </w:rPr>
        <w:t>年年</w:t>
      </w:r>
      <w:r>
        <w:rPr>
          <w:spacing w:val="2"/>
          <w:w w:val="100"/>
        </w:rPr>
        <w:t>度</w:t>
      </w:r>
      <w:r>
        <w:rPr>
          <w:w w:val="100"/>
        </w:rPr>
        <w:t>股东</w:t>
      </w:r>
      <w:r>
        <w:rPr>
          <w:spacing w:val="2"/>
          <w:w w:val="100"/>
        </w:rPr>
        <w:t>大</w:t>
      </w:r>
      <w:r>
        <w:rPr>
          <w:w w:val="100"/>
        </w:rPr>
        <w:t>会审</w:t>
      </w:r>
      <w:r>
        <w:rPr>
          <w:spacing w:val="2"/>
          <w:w w:val="100"/>
        </w:rPr>
        <w:t>议</w:t>
      </w:r>
      <w:r>
        <w:rPr>
          <w:w w:val="100"/>
        </w:rPr>
        <w:t>通过</w:t>
      </w:r>
      <w:r>
        <w:rPr>
          <w:spacing w:val="2"/>
          <w:w w:val="100"/>
        </w:rPr>
        <w:t>的</w:t>
      </w:r>
      <w:r>
        <w:rPr>
          <w:spacing w:val="4"/>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1"/>
          <w:w w:val="100"/>
        </w:rPr>
        <w:t>1</w:t>
      </w:r>
      <w:r>
        <w:rPr>
          <w:w w:val="100"/>
        </w:rPr>
        <w:t>年</w:t>
      </w:r>
      <w:r>
        <w:rPr>
          <w:spacing w:val="2"/>
          <w:w w:val="100"/>
        </w:rPr>
        <w:t>年</w:t>
      </w:r>
      <w:r>
        <w:rPr>
          <w:w w:val="100"/>
        </w:rPr>
        <w:t>度利</w:t>
      </w:r>
      <w:r>
        <w:rPr>
          <w:spacing w:val="2"/>
          <w:w w:val="100"/>
        </w:rPr>
        <w:t>润</w:t>
      </w:r>
      <w:r>
        <w:rPr>
          <w:w w:val="100"/>
        </w:rPr>
        <w:t>分配</w:t>
      </w:r>
      <w:r>
        <w:rPr>
          <w:spacing w:val="2"/>
          <w:w w:val="100"/>
        </w:rPr>
        <w:t>方</w:t>
      </w:r>
      <w:r>
        <w:rPr>
          <w:w w:val="100"/>
        </w:rPr>
        <w:t>案</w:t>
      </w:r>
      <w:r>
        <w:rPr>
          <w:spacing w:val="-104"/>
          <w:w w:val="100"/>
        </w:rPr>
        <w:t>》</w:t>
      </w:r>
      <w:r>
        <w:rPr>
          <w:w w:val="100"/>
        </w:rPr>
        <w:t>，以公</w:t>
      </w:r>
      <w:r>
        <w:rPr>
          <w:spacing w:val="2"/>
          <w:w w:val="100"/>
        </w:rPr>
        <w:t>司</w:t>
      </w:r>
      <w:r>
        <w:rPr>
          <w:w w:val="100"/>
        </w:rPr>
        <w:t>首次</w:t>
      </w:r>
      <w:r>
        <w:rPr>
          <w:spacing w:val="2"/>
          <w:w w:val="100"/>
        </w:rPr>
        <w:t>公</w:t>
      </w:r>
      <w:r>
        <w:rPr>
          <w:w w:val="100"/>
        </w:rPr>
        <w:t>开发</w:t>
      </w:r>
      <w:r>
        <w:rPr>
          <w:spacing w:val="2"/>
          <w:w w:val="100"/>
        </w:rPr>
        <w:t>行</w:t>
      </w:r>
      <w:r>
        <w:rPr>
          <w:w w:val="100"/>
        </w:rPr>
        <w:t>后</w:t>
      </w:r>
      <w:r>
        <w:rPr>
          <w:spacing w:val="2"/>
          <w:w w:val="100"/>
        </w:rPr>
        <w:t>的</w:t>
      </w:r>
      <w:r>
        <w:rPr>
          <w:w w:val="100"/>
        </w:rPr>
        <w:t>总</w:t>
      </w:r>
      <w:r>
        <w:rPr>
          <w:w w:val="100"/>
        </w:rPr>
        <w:t> 股本</w:t>
      </w:r>
      <w:r>
        <w:rPr>
          <w:rFonts w:ascii="宋体" w:hAnsi="宋体" w:cs="宋体" w:eastAsia="宋体" w:hint="default"/>
          <w:w w:val="100"/>
        </w:rPr>
        <w:t>6</w:t>
      </w:r>
      <w:r>
        <w:rPr>
          <w:rFonts w:ascii="宋体" w:hAnsi="宋体" w:cs="宋体" w:eastAsia="宋体" w:hint="default"/>
          <w:spacing w:val="-3"/>
          <w:w w:val="100"/>
        </w:rPr>
        <w:t>8</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w w:val="100"/>
        </w:rPr>
        <w:t>股</w:t>
      </w:r>
      <w:r>
        <w:rPr>
          <w:spacing w:val="-3"/>
          <w:w w:val="100"/>
        </w:rPr>
        <w:t>为</w:t>
      </w:r>
      <w:r>
        <w:rPr>
          <w:w w:val="100"/>
        </w:rPr>
        <w:t>基</w:t>
      </w:r>
      <w:r>
        <w:rPr>
          <w:spacing w:val="-3"/>
          <w:w w:val="100"/>
        </w:rPr>
        <w:t>数</w:t>
      </w:r>
      <w:r>
        <w:rPr>
          <w:spacing w:val="-1"/>
          <w:w w:val="100"/>
        </w:rPr>
        <w:t>每</w:t>
      </w:r>
      <w:r>
        <w:rPr>
          <w:rFonts w:ascii="宋体" w:hAnsi="宋体" w:cs="宋体" w:eastAsia="宋体" w:hint="default"/>
          <w:w w:val="100"/>
        </w:rPr>
        <w:t>10</w:t>
      </w:r>
      <w:r>
        <w:rPr>
          <w:spacing w:val="-3"/>
          <w:w w:val="100"/>
        </w:rPr>
        <w:t>股</w:t>
      </w:r>
      <w:r>
        <w:rPr>
          <w:w w:val="100"/>
        </w:rPr>
        <w:t>派</w:t>
      </w:r>
      <w:r>
        <w:rPr>
          <w:spacing w:val="-3"/>
          <w:w w:val="100"/>
        </w:rPr>
        <w:t>现</w:t>
      </w:r>
      <w:r>
        <w:rPr>
          <w:w w:val="100"/>
        </w:rPr>
        <w:t>金</w:t>
      </w:r>
      <w:r>
        <w:rPr>
          <w:spacing w:val="-3"/>
          <w:w w:val="100"/>
        </w:rPr>
        <w:t>红</w:t>
      </w:r>
      <w:r>
        <w:rPr>
          <w:spacing w:val="-1"/>
          <w:w w:val="100"/>
        </w:rPr>
        <w:t>利</w:t>
      </w:r>
      <w:r>
        <w:rPr>
          <w:rFonts w:ascii="宋体" w:hAnsi="宋体" w:cs="宋体" w:eastAsia="宋体" w:hint="default"/>
          <w:w w:val="100"/>
        </w:rPr>
        <w:t>2</w:t>
      </w:r>
      <w:r>
        <w:rPr>
          <w:rFonts w:ascii="宋体" w:hAnsi="宋体" w:cs="宋体" w:eastAsia="宋体" w:hint="default"/>
          <w:spacing w:val="-3"/>
          <w:w w:val="100"/>
        </w:rPr>
        <w:t>.</w:t>
      </w:r>
      <w:r>
        <w:rPr>
          <w:rFonts w:ascii="宋体" w:hAnsi="宋体" w:cs="宋体" w:eastAsia="宋体" w:hint="default"/>
          <w:w w:val="100"/>
        </w:rPr>
        <w:t>0</w:t>
      </w:r>
      <w:r>
        <w:rPr>
          <w:rFonts w:ascii="宋体" w:hAnsi="宋体" w:cs="宋体" w:eastAsia="宋体" w:hint="default"/>
          <w:spacing w:val="-1"/>
          <w:w w:val="100"/>
        </w:rPr>
        <w:t>0</w:t>
      </w:r>
      <w:r>
        <w:rPr>
          <w:spacing w:val="-3"/>
          <w:w w:val="100"/>
        </w:rPr>
        <w:t>元</w:t>
      </w:r>
      <w:r>
        <w:rPr>
          <w:w w:val="100"/>
        </w:rPr>
        <w:t>（含</w:t>
      </w:r>
      <w:r>
        <w:rPr>
          <w:spacing w:val="-3"/>
          <w:w w:val="100"/>
        </w:rPr>
        <w:t>税</w:t>
      </w:r>
      <w:r>
        <w:rPr>
          <w:spacing w:val="-106"/>
          <w:w w:val="100"/>
        </w:rPr>
        <w:t>）</w:t>
      </w:r>
      <w:r>
        <w:rPr>
          <w:spacing w:val="-3"/>
          <w:w w:val="100"/>
        </w:rPr>
        <w:t>，</w:t>
      </w:r>
      <w:r>
        <w:rPr>
          <w:w w:val="100"/>
        </w:rPr>
        <w:t>合</w:t>
      </w:r>
      <w:r>
        <w:rPr>
          <w:spacing w:val="-3"/>
          <w:w w:val="100"/>
        </w:rPr>
        <w:t>计</w:t>
      </w:r>
      <w:r>
        <w:rPr>
          <w:w w:val="100"/>
        </w:rPr>
        <w:t>派</w:t>
      </w:r>
      <w:r>
        <w:rPr>
          <w:spacing w:val="-3"/>
          <w:w w:val="100"/>
        </w:rPr>
        <w:t>发</w:t>
      </w:r>
      <w:r>
        <w:rPr>
          <w:w w:val="100"/>
        </w:rPr>
        <w:t>现金</w:t>
      </w:r>
      <w:r>
        <w:rPr>
          <w:rFonts w:ascii="宋体" w:hAnsi="宋体" w:cs="宋体" w:eastAsia="宋体" w:hint="default"/>
          <w:spacing w:val="-3"/>
          <w:w w:val="100"/>
        </w:rPr>
        <w:t>1,</w:t>
      </w:r>
      <w:r>
        <w:rPr>
          <w:rFonts w:ascii="宋体" w:hAnsi="宋体" w:cs="宋体" w:eastAsia="宋体" w:hint="default"/>
          <w:w w:val="100"/>
        </w:rPr>
        <w:t>36</w:t>
      </w:r>
      <w:r>
        <w:rPr>
          <w:rFonts w:ascii="宋体" w:hAnsi="宋体" w:cs="宋体" w:eastAsia="宋体" w:hint="default"/>
          <w:spacing w:val="-1"/>
          <w:w w:val="100"/>
        </w:rPr>
        <w:t>0</w:t>
      </w:r>
      <w:r>
        <w:rPr>
          <w:spacing w:val="-3"/>
          <w:w w:val="100"/>
        </w:rPr>
        <w:t>万</w:t>
      </w:r>
      <w:r>
        <w:rPr>
          <w:w w:val="100"/>
        </w:rPr>
        <w:t>元。</w:t>
      </w:r>
    </w:p>
    <w:p>
      <w:pPr>
        <w:pStyle w:val="Heading5"/>
        <w:spacing w:line="240" w:lineRule="auto" w:before="94"/>
        <w:ind w:right="142"/>
        <w:jc w:val="left"/>
        <w:rPr>
          <w:b w:val="0"/>
          <w:bCs w:val="0"/>
        </w:rPr>
      </w:pPr>
      <w:r>
        <w:rPr>
          <w:rFonts w:ascii="宋体" w:hAnsi="宋体" w:cs="宋体" w:eastAsia="宋体" w:hint="default"/>
        </w:rPr>
        <w:t>54</w:t>
      </w:r>
      <w:r>
        <w:rPr/>
        <w:t>、营业收入、营业成本</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right="142"/>
        <w:jc w:val="left"/>
        <w:rPr>
          <w:b w:val="0"/>
          <w:bCs w:val="0"/>
        </w:rPr>
      </w:pPr>
      <w:r>
        <w:rPr/>
        <w:t>（</w:t>
      </w:r>
      <w:r>
        <w:rPr>
          <w:rFonts w:ascii="宋体" w:hAnsi="宋体" w:cs="宋体" w:eastAsia="宋体" w:hint="default"/>
        </w:rPr>
        <w:t>1</w:t>
      </w:r>
      <w:r>
        <w:rPr/>
        <w:t>）营业收入、营业成本</w:t>
      </w:r>
      <w:r>
        <w:rPr>
          <w:b w:val="0"/>
          <w:bCs w:val="0"/>
        </w:rPr>
      </w:r>
    </w:p>
    <w:p>
      <w:pPr>
        <w:pStyle w:val="BodyText"/>
        <w:spacing w:line="240" w:lineRule="auto" w:before="99"/>
        <w:ind w:left="0" w:right="360"/>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28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0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334,734,262.56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243,898,174.93</w:t>
            </w:r>
          </w:p>
        </w:tc>
      </w:tr>
      <w:tr>
        <w:trPr>
          <w:trHeight w:val="28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227,461,364.23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159,955,184.29</w:t>
            </w:r>
          </w:p>
        </w:tc>
      </w:tr>
    </w:tbl>
    <w:p>
      <w:pPr>
        <w:pStyle w:val="Heading5"/>
        <w:spacing w:line="240" w:lineRule="auto" w:before="64"/>
        <w:ind w:right="142"/>
        <w:jc w:val="left"/>
        <w:rPr>
          <w:b w:val="0"/>
          <w:bCs w:val="0"/>
        </w:rPr>
      </w:pPr>
      <w:r>
        <w:rPr/>
        <w:t>（</w:t>
      </w:r>
      <w:r>
        <w:rPr>
          <w:rFonts w:ascii="宋体" w:hAnsi="宋体" w:cs="宋体" w:eastAsia="宋体" w:hint="default"/>
        </w:rPr>
        <w:t>2</w:t>
      </w:r>
      <w:r>
        <w:rPr/>
        <w:t>）主营业务（分行业）</w:t>
      </w:r>
      <w:r>
        <w:rPr>
          <w:b w:val="0"/>
          <w:bCs w:val="0"/>
        </w:rPr>
      </w:r>
    </w:p>
    <w:p>
      <w:pPr>
        <w:pStyle w:val="BodyText"/>
        <w:spacing w:line="240" w:lineRule="auto" w:before="97"/>
        <w:ind w:left="0" w:right="360"/>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28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84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142,737,468.81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108,747,471.84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63,862,110.14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48,122,934.52</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社保医疗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36,926,696.44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14,391,396.09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36,310,842.81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14,764,939.51</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电信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21,928,626.32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13,304,079.41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26,035,344.17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19,361,520.17</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电力</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17,682,456.59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13,123,547.30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8,356,597.21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4,973,657.89</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15,475,578.30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8,426,454.75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29,559,039.22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21,236,560.30</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99,983,436.10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69,468,414.84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79,774,241.38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51,495,571.90</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334,734,262.56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227,461,364.23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243,898,174.93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159,955,184.29</w:t>
            </w:r>
          </w:p>
        </w:tc>
      </w:tr>
    </w:tbl>
    <w:p>
      <w:pPr>
        <w:pStyle w:val="Heading5"/>
        <w:spacing w:line="240" w:lineRule="auto" w:before="64"/>
        <w:ind w:right="142"/>
        <w:jc w:val="left"/>
        <w:rPr>
          <w:b w:val="0"/>
          <w:bCs w:val="0"/>
        </w:rPr>
      </w:pPr>
      <w:r>
        <w:rPr/>
        <w:t>（</w:t>
      </w:r>
      <w:r>
        <w:rPr>
          <w:rFonts w:ascii="宋体" w:hAnsi="宋体" w:cs="宋体" w:eastAsia="宋体" w:hint="default"/>
        </w:rPr>
        <w:t>3</w:t>
      </w:r>
      <w:r>
        <w:rPr/>
        <w:t>）主营业务（分产品）</w:t>
      </w:r>
      <w:r>
        <w:rPr>
          <w:b w:val="0"/>
          <w:bCs w:val="0"/>
        </w:rPr>
      </w:r>
    </w:p>
    <w:p>
      <w:pPr>
        <w:pStyle w:val="BodyText"/>
        <w:spacing w:line="240" w:lineRule="auto" w:before="100"/>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28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84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数据中心第三方服务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152,770,005.44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110,771,874.50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138,476,192.89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104,771,205.36</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行业信息化解决方案</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38,792,739.35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7,531,990.22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37,453,788.08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4,177,754.11</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外包服务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142,737,468.81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108,747,471.84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63,862,110.14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48,122,934.52</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434,048.96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410,027.67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4,106,083.82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2,883,290.30</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334,734,262.56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227,461,364.23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243,898,174.93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159,955,184.29</w:t>
            </w:r>
          </w:p>
        </w:tc>
      </w:tr>
    </w:tbl>
    <w:p>
      <w:pPr>
        <w:pStyle w:val="Heading5"/>
        <w:spacing w:line="240" w:lineRule="auto" w:before="64"/>
        <w:ind w:right="142"/>
        <w:jc w:val="left"/>
        <w:rPr>
          <w:b w:val="0"/>
          <w:bCs w:val="0"/>
        </w:rPr>
      </w:pPr>
      <w:r>
        <w:rPr/>
        <w:t>（</w:t>
      </w:r>
      <w:r>
        <w:rPr>
          <w:rFonts w:ascii="宋体" w:hAnsi="宋体" w:cs="宋体" w:eastAsia="宋体" w:hint="default"/>
        </w:rPr>
        <w:t>4</w:t>
      </w:r>
      <w:r>
        <w:rPr/>
        <w:t>）主营业务（分地区）</w:t>
      </w:r>
      <w:r>
        <w:rPr>
          <w:b w:val="0"/>
          <w:bCs w:val="0"/>
        </w:rPr>
      </w:r>
    </w:p>
    <w:p>
      <w:pPr>
        <w:pStyle w:val="BodyText"/>
        <w:spacing w:line="240" w:lineRule="auto" w:before="99"/>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28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84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w:t>
              <w:tab/>
              <w:t>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280,869,522.71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191,127,794.60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210,588,118.22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139,943,292.36</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吉</w:t>
              <w:tab/>
              <w:t>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26,213,789.80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17,344,685.71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8,038,292.72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5,269,372.23</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w:t>
              <w:tab/>
              <w:t>京</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12,965,406.37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9,271,908.54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12,661,410.25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7,229,555.32</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4,779,565.94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3,753,394.01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7,114,527.22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4,935,712.62</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9,905,977.74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5,963,581.37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5,495,826.52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2,577,251.76</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334,734,262.56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227,461,364.23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243,898,174.93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159,955,184.29</w:t>
            </w:r>
          </w:p>
        </w:tc>
      </w:tr>
    </w:tbl>
    <w:p>
      <w:pPr>
        <w:pStyle w:val="Heading5"/>
        <w:spacing w:line="240" w:lineRule="auto" w:before="64"/>
        <w:ind w:right="142"/>
        <w:jc w:val="left"/>
        <w:rPr>
          <w:b w:val="0"/>
          <w:bCs w:val="0"/>
        </w:rPr>
      </w:pPr>
      <w:r>
        <w:rPr/>
        <w:t>（</w:t>
      </w:r>
      <w:r>
        <w:rPr>
          <w:rFonts w:ascii="宋体" w:hAnsi="宋体" w:cs="宋体" w:eastAsia="宋体" w:hint="default"/>
        </w:rPr>
        <w:t>5</w:t>
      </w:r>
      <w:r>
        <w:rPr/>
        <w:t>）公司前五名客户的营业收入情况</w:t>
      </w:r>
      <w:r>
        <w:rPr>
          <w:b w:val="0"/>
          <w:bCs w:val="0"/>
        </w:rPr>
      </w:r>
    </w:p>
    <w:p>
      <w:pPr>
        <w:pStyle w:val="BodyText"/>
        <w:spacing w:line="240" w:lineRule="auto" w:before="99"/>
        <w:ind w:left="0" w:right="14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0"/>
      </w:tblGrid>
      <w:tr>
        <w:trPr>
          <w:trHeight w:val="28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辽宁金汇信息技术服务有限公司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30,831,153.97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9.21%</w:t>
            </w:r>
          </w:p>
        </w:tc>
      </w:tr>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葫芦岛银行股份有限公司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18,717,660.68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5.59%</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中国银行股份有限公司铁岭分行</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16,621,586.33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4.97%</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铁岭市商业银行股份有限公司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14,894,923.07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4.45%</w:t>
            </w:r>
          </w:p>
        </w:tc>
      </w:tr>
    </w:tbl>
    <w:p>
      <w:pPr>
        <w:spacing w:after="0" w:line="241" w:lineRule="exact"/>
        <w:jc w:val="center"/>
        <w:rPr>
          <w:rFonts w:ascii="宋体" w:hAnsi="宋体" w:cs="宋体" w:eastAsia="宋体"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328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404"/>
        <w:gridCol w:w="2976"/>
        <w:gridCol w:w="3190"/>
      </w:tblGrid>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14,419,075.89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2"/>
              <w:jc w:val="right"/>
              <w:rPr>
                <w:rFonts w:ascii="宋体" w:hAnsi="宋体" w:cs="宋体" w:eastAsia="宋体" w:hint="default"/>
                <w:sz w:val="21"/>
                <w:szCs w:val="21"/>
              </w:rPr>
            </w:pPr>
            <w:r>
              <w:rPr>
                <w:rFonts w:ascii="宋体"/>
                <w:sz w:val="21"/>
              </w:rPr>
              <w:t>4.31%</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95,484,399.94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1"/>
              <w:jc w:val="right"/>
              <w:rPr>
                <w:rFonts w:ascii="宋体" w:hAnsi="宋体" w:cs="宋体" w:eastAsia="宋体" w:hint="default"/>
                <w:sz w:val="21"/>
                <w:szCs w:val="21"/>
              </w:rPr>
            </w:pPr>
            <w:r>
              <w:rPr>
                <w:rFonts w:ascii="宋体"/>
                <w:sz w:val="21"/>
              </w:rPr>
              <w:t>28.53%</w:t>
            </w:r>
          </w:p>
        </w:tc>
      </w:tr>
    </w:tbl>
    <w:p>
      <w:pPr>
        <w:pStyle w:val="Heading5"/>
        <w:spacing w:line="400" w:lineRule="auto" w:before="62"/>
        <w:ind w:right="8087"/>
        <w:jc w:val="left"/>
        <w:rPr>
          <w:rFonts w:ascii="宋体" w:hAnsi="宋体" w:cs="宋体" w:eastAsia="宋体" w:hint="default"/>
          <w:b w:val="0"/>
          <w:bCs w:val="0"/>
        </w:rPr>
      </w:pPr>
      <w:r>
        <w:rPr>
          <w:rFonts w:ascii="宋体" w:hAnsi="宋体" w:cs="宋体" w:eastAsia="宋体" w:hint="default"/>
        </w:rPr>
        <w:t>55</w:t>
      </w:r>
      <w:r>
        <w:rPr/>
        <w:t>、合同项目收入</w:t>
      </w:r>
      <w:r>
        <w:rPr>
          <w:spacing w:val="-104"/>
        </w:rPr>
        <w:t> </w:t>
      </w:r>
      <w:r>
        <w:rPr>
          <w:rFonts w:ascii="宋体" w:hAnsi="宋体" w:cs="宋体" w:eastAsia="宋体" w:hint="default"/>
          <w:b w:val="0"/>
          <w:bCs w:val="0"/>
        </w:rPr>
        <w:t>无</w:t>
      </w:r>
    </w:p>
    <w:p>
      <w:pPr>
        <w:pStyle w:val="Heading5"/>
        <w:spacing w:line="226" w:lineRule="exact"/>
        <w:ind w:right="142"/>
        <w:jc w:val="left"/>
        <w:rPr>
          <w:b w:val="0"/>
          <w:bCs w:val="0"/>
        </w:rPr>
      </w:pPr>
      <w:r>
        <w:rPr>
          <w:rFonts w:ascii="宋体" w:hAnsi="宋体" w:cs="宋体" w:eastAsia="宋体" w:hint="default"/>
        </w:rPr>
        <w:t>56</w:t>
      </w:r>
      <w:r>
        <w:rPr/>
        <w:t>、营业税金及附加</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28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0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3,429,264.92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3,511,181.20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746,920.16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891,901.83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320,370.61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383,230.38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w:t>
            </w: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213,580.42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246,992.88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w:t>
            </w: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4,710,136.11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5,033,306.29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r>
    </w:tbl>
    <w:p>
      <w:pPr>
        <w:pStyle w:val="Heading5"/>
        <w:spacing w:line="240" w:lineRule="auto" w:before="62"/>
        <w:ind w:right="142"/>
        <w:jc w:val="left"/>
        <w:rPr>
          <w:b w:val="0"/>
          <w:bCs w:val="0"/>
        </w:rPr>
      </w:pPr>
      <w:r>
        <w:rPr>
          <w:rFonts w:ascii="宋体" w:hAnsi="宋体" w:cs="宋体" w:eastAsia="宋体" w:hint="default"/>
        </w:rPr>
        <w:t>57</w:t>
      </w:r>
      <w:r>
        <w:rPr/>
        <w:t>、销售费用</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28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6,422,803.84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3,900,592.06</w:t>
            </w:r>
          </w:p>
        </w:tc>
      </w:tr>
      <w:tr>
        <w:trPr>
          <w:trHeight w:val="28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1,481,213.26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469,796.20</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2,389,954.40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1,576,046.86</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招投标费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1,008,726.65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829,169.42</w:t>
            </w:r>
          </w:p>
        </w:tc>
      </w:tr>
      <w:tr>
        <w:trPr>
          <w:trHeight w:val="28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488,319.78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613,120.30</w:t>
            </w:r>
          </w:p>
        </w:tc>
      </w:tr>
      <w:tr>
        <w:trPr>
          <w:trHeight w:val="28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业务宣传费广告费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750,055.08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586,413.51</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410,035.62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763,245.63</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12,951,108.63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8,738,383.98</w:t>
            </w:r>
          </w:p>
        </w:tc>
      </w:tr>
    </w:tbl>
    <w:p>
      <w:pPr>
        <w:pStyle w:val="Heading5"/>
        <w:spacing w:line="240" w:lineRule="auto" w:before="62"/>
        <w:ind w:right="142"/>
        <w:jc w:val="left"/>
        <w:rPr>
          <w:b w:val="0"/>
          <w:bCs w:val="0"/>
        </w:rPr>
      </w:pPr>
      <w:r>
        <w:rPr>
          <w:rFonts w:ascii="宋体" w:hAnsi="宋体" w:cs="宋体" w:eastAsia="宋体" w:hint="default"/>
        </w:rPr>
        <w:t>58</w:t>
      </w:r>
      <w:r>
        <w:rPr/>
        <w:t>、管理费用</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36"/>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28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14,589,302.11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9,068,486.58</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3,564,667.48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3,318,467.26</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2,247,969.53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2,368,412.60</w:t>
            </w:r>
          </w:p>
        </w:tc>
      </w:tr>
      <w:tr>
        <w:trPr>
          <w:trHeight w:val="28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736,261.80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444,677.00</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301,361.93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718,954.30</w:t>
            </w:r>
          </w:p>
        </w:tc>
      </w:tr>
      <w:tr>
        <w:trPr>
          <w:trHeight w:val="28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3,325,412.90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2,598,456.79</w:t>
            </w:r>
          </w:p>
        </w:tc>
      </w:tr>
      <w:tr>
        <w:trPr>
          <w:trHeight w:val="28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393,349.75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206,945.46</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394,131.20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1,237,716.65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676,743.55</w:t>
            </w:r>
          </w:p>
        </w:tc>
      </w:tr>
      <w:tr>
        <w:trPr>
          <w:trHeight w:val="28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1,821,606.44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1,798,747.27</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783,683.98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3,180,338.58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1,779,642.65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1,069,457.18</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34,355,445.00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22,269,347.99</w:t>
            </w:r>
          </w:p>
        </w:tc>
      </w:tr>
    </w:tbl>
    <w:p>
      <w:pPr>
        <w:pStyle w:val="Heading5"/>
        <w:spacing w:line="240" w:lineRule="auto" w:before="62"/>
        <w:ind w:right="142"/>
        <w:jc w:val="left"/>
        <w:rPr>
          <w:b w:val="0"/>
          <w:bCs w:val="0"/>
        </w:rPr>
      </w:pPr>
      <w:r>
        <w:rPr>
          <w:rFonts w:ascii="宋体" w:hAnsi="宋体" w:cs="宋体" w:eastAsia="宋体" w:hint="default"/>
        </w:rPr>
        <w:t>59</w:t>
      </w:r>
      <w:r>
        <w:rPr/>
        <w:t>、财务费用</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28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3" w:lineRule="exact"/>
              <w:ind w:left="1898" w:right="0"/>
              <w:jc w:val="left"/>
              <w:rPr>
                <w:rFonts w:ascii="宋体" w:hAnsi="宋体" w:cs="宋体" w:eastAsia="宋体" w:hint="default"/>
                <w:sz w:val="21"/>
                <w:szCs w:val="21"/>
              </w:rPr>
            </w:pPr>
            <w:r>
              <w:rPr>
                <w:rFonts w:ascii="宋体"/>
                <w:sz w:val="21"/>
              </w:rPr>
              <w:t>1,585,480.20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98" w:right="0"/>
              <w:jc w:val="left"/>
              <w:rPr>
                <w:rFonts w:ascii="宋体" w:hAnsi="宋体" w:cs="宋体" w:eastAsia="宋体" w:hint="default"/>
                <w:sz w:val="21"/>
                <w:szCs w:val="21"/>
              </w:rPr>
            </w:pPr>
            <w:r>
              <w:rPr>
                <w:rFonts w:ascii="宋体"/>
                <w:sz w:val="21"/>
              </w:rPr>
              <w:t>1,200,850.00</w:t>
            </w:r>
          </w:p>
        </w:tc>
      </w:tr>
    </w:tbl>
    <w:p>
      <w:pPr>
        <w:spacing w:after="0" w:line="243" w:lineRule="exact"/>
        <w:jc w:val="left"/>
        <w:rPr>
          <w:rFonts w:ascii="宋体" w:hAnsi="宋体" w:cs="宋体" w:eastAsia="宋体" w:hint="default"/>
          <w:sz w:val="21"/>
          <w:szCs w:val="21"/>
        </w:rPr>
        <w:sectPr>
          <w:pgSz w:w="11910" w:h="16840"/>
          <w:pgMar w:header="0" w:footer="979" w:top="1100" w:bottom="1160" w:left="980" w:right="980"/>
        </w:sectPr>
      </w:pP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28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-1,751,205.03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-117,580.24</w:t>
            </w:r>
          </w:p>
        </w:tc>
      </w:tr>
      <w:tr>
        <w:trPr>
          <w:trHeight w:val="28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2,625.57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56,645.77</w:t>
            </w: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-78.30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结算手续费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102,606.30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52,538.74</w:t>
            </w:r>
          </w:p>
        </w:tc>
      </w:tr>
      <w:tr>
        <w:trPr>
          <w:trHeight w:val="28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-60,571.26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1,192,454.27</w:t>
            </w:r>
          </w:p>
        </w:tc>
      </w:tr>
    </w:tbl>
    <w:p>
      <w:pPr>
        <w:pStyle w:val="Heading5"/>
        <w:spacing w:line="400" w:lineRule="auto" w:before="62"/>
        <w:ind w:right="7665"/>
        <w:jc w:val="left"/>
        <w:rPr>
          <w:rFonts w:ascii="宋体" w:hAnsi="宋体" w:cs="宋体" w:eastAsia="宋体" w:hint="default"/>
          <w:b w:val="0"/>
          <w:bCs w:val="0"/>
        </w:rPr>
      </w:pPr>
      <w:r>
        <w:rPr>
          <w:rFonts w:ascii="宋体" w:hAnsi="宋体" w:cs="宋体" w:eastAsia="宋体" w:hint="default"/>
        </w:rPr>
        <w:t>60</w:t>
      </w:r>
      <w:r>
        <w:rPr/>
        <w:t>、公允价值变动收益</w:t>
      </w:r>
      <w:r>
        <w:rPr>
          <w:spacing w:val="-103"/>
        </w:rPr>
        <w:t> </w:t>
      </w:r>
      <w:r>
        <w:rPr>
          <w:rFonts w:ascii="宋体" w:hAnsi="宋体" w:cs="宋体" w:eastAsia="宋体" w:hint="default"/>
          <w:b w:val="0"/>
          <w:bCs w:val="0"/>
        </w:rPr>
        <w:t>无</w:t>
      </w:r>
    </w:p>
    <w:p>
      <w:pPr>
        <w:pStyle w:val="Heading5"/>
        <w:spacing w:line="227" w:lineRule="exact"/>
        <w:ind w:right="142"/>
        <w:jc w:val="left"/>
        <w:rPr>
          <w:b w:val="0"/>
          <w:bCs w:val="0"/>
        </w:rPr>
      </w:pPr>
      <w:r>
        <w:rPr>
          <w:rFonts w:ascii="宋体" w:hAnsi="宋体" w:cs="宋体" w:eastAsia="宋体" w:hint="default"/>
        </w:rPr>
        <w:t>61</w:t>
      </w:r>
      <w:r>
        <w:rPr/>
        <w:t>、投资收益</w:t>
      </w:r>
      <w:r>
        <w:rPr>
          <w:b w:val="0"/>
          <w:bCs w:val="0"/>
        </w:rPr>
      </w:r>
    </w:p>
    <w:p>
      <w:pPr>
        <w:spacing w:line="240" w:lineRule="auto" w:before="11"/>
        <w:rPr>
          <w:rFonts w:ascii="宋体" w:hAnsi="宋体" w:cs="宋体" w:eastAsia="宋体" w:hint="default"/>
          <w:b/>
          <w:bCs/>
          <w:sz w:val="13"/>
          <w:szCs w:val="13"/>
        </w:rPr>
      </w:pPr>
    </w:p>
    <w:p>
      <w:pPr>
        <w:pStyle w:val="Heading5"/>
        <w:spacing w:line="324" w:lineRule="auto"/>
        <w:ind w:right="8087"/>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62</w:t>
      </w:r>
      <w:r>
        <w:rPr/>
        <w:t>、资产减值损失</w:t>
      </w:r>
      <w:r>
        <w:rPr>
          <w:b w:val="0"/>
          <w:bCs w:val="0"/>
        </w:rPr>
      </w:r>
    </w:p>
    <w:p>
      <w:pPr>
        <w:pStyle w:val="BodyText"/>
        <w:spacing w:line="240" w:lineRule="auto" w:before="107"/>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28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8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2,278,001.66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841,033.05</w:t>
            </w:r>
          </w:p>
        </w:tc>
      </w:tr>
      <w:tr>
        <w:trPr>
          <w:trHeight w:val="28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2,278,001.66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841,033.05</w:t>
            </w:r>
          </w:p>
        </w:tc>
      </w:tr>
    </w:tbl>
    <w:p>
      <w:pPr>
        <w:pStyle w:val="Heading5"/>
        <w:spacing w:line="240" w:lineRule="auto" w:before="62"/>
        <w:ind w:right="142"/>
        <w:jc w:val="left"/>
        <w:rPr>
          <w:b w:val="0"/>
          <w:bCs w:val="0"/>
        </w:rPr>
      </w:pPr>
      <w:r>
        <w:rPr>
          <w:rFonts w:ascii="宋体" w:hAnsi="宋体" w:cs="宋体" w:eastAsia="宋体" w:hint="default"/>
        </w:rPr>
        <w:t>63</w:t>
      </w:r>
      <w:r>
        <w:rPr/>
        <w:t>、营业外收入</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right="142"/>
        <w:jc w:val="left"/>
        <w:rPr>
          <w:b w:val="0"/>
          <w:bCs w:val="0"/>
        </w:rPr>
      </w:pPr>
      <w:r>
        <w:rPr/>
        <w:t>（</w:t>
      </w:r>
      <w:r>
        <w:rPr>
          <w:rFonts w:ascii="宋体" w:hAnsi="宋体" w:cs="宋体" w:eastAsia="宋体" w:hint="default"/>
        </w:rPr>
        <w:t>1</w:t>
      </w:r>
      <w:r>
        <w:rPr/>
        <w:t>）营业外收入情况</w:t>
      </w:r>
      <w:r>
        <w:rPr>
          <w:b w:val="0"/>
          <w:bCs w:val="0"/>
        </w:rPr>
      </w:r>
    </w:p>
    <w:p>
      <w:pPr>
        <w:pStyle w:val="BodyText"/>
        <w:spacing w:line="240" w:lineRule="auto" w:before="99"/>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42"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71"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61" w:type="dxa"/>
            <w:vMerge/>
            <w:tcBorders>
              <w:left w:val="single" w:sz="4" w:space="0" w:color="000000"/>
              <w:right w:val="single" w:sz="4" w:space="0" w:color="000000"/>
            </w:tcBorders>
            <w:shd w:val="clear" w:color="auto" w:fill="D2D2D2"/>
          </w:tcPr>
          <w:p>
            <w:pPr/>
          </w:p>
        </w:tc>
      </w:tr>
      <w:tr>
        <w:trPr>
          <w:trHeight w:val="142"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28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110,610.93</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110,610.93</w:t>
            </w:r>
          </w:p>
        </w:tc>
      </w:tr>
      <w:tr>
        <w:trPr>
          <w:trHeight w:val="28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110,610.93</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110,610.93</w:t>
            </w:r>
          </w:p>
        </w:tc>
      </w:tr>
      <w:tr>
        <w:trPr>
          <w:trHeight w:val="28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6,246,727.21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7,663,487.36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4,063,900.00</w:t>
            </w:r>
          </w:p>
        </w:tc>
      </w:tr>
      <w:tr>
        <w:trPr>
          <w:trHeight w:val="28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9,438.91</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9,438.91</w:t>
            </w:r>
          </w:p>
        </w:tc>
      </w:tr>
      <w:tr>
        <w:trPr>
          <w:trHeight w:val="28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6,366,777.05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7,663,487.36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4,183,949.84</w:t>
            </w:r>
          </w:p>
        </w:tc>
      </w:tr>
    </w:tbl>
    <w:p>
      <w:pPr>
        <w:pStyle w:val="Heading5"/>
        <w:spacing w:line="240" w:lineRule="auto" w:before="64"/>
        <w:ind w:right="142"/>
        <w:jc w:val="left"/>
        <w:rPr>
          <w:b w:val="0"/>
          <w:bCs w:val="0"/>
        </w:rPr>
      </w:pPr>
      <w:r>
        <w:rPr/>
        <w:t>（</w:t>
      </w:r>
      <w:r>
        <w:rPr>
          <w:rFonts w:ascii="宋体" w:hAnsi="宋体" w:cs="宋体" w:eastAsia="宋体" w:hint="default"/>
        </w:rPr>
        <w:t>2</w:t>
      </w:r>
      <w:r>
        <w:rPr/>
        <w:t>）政府补助明细</w:t>
      </w:r>
      <w:r>
        <w:rPr>
          <w:b w:val="0"/>
          <w:bCs w:val="0"/>
        </w:rPr>
      </w:r>
    </w:p>
    <w:p>
      <w:pPr>
        <w:pStyle w:val="BodyText"/>
        <w:spacing w:line="240" w:lineRule="auto" w:before="97"/>
        <w:ind w:left="0" w:right="14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28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65"/>
                <w:sz w:val="21"/>
                <w:szCs w:val="21"/>
              </w:rPr>
              <w:t> </w:t>
            </w:r>
            <w:r>
              <w:rPr>
                <w:rFonts w:ascii="宋体" w:hAnsi="宋体" w:cs="宋体" w:eastAsia="宋体" w:hint="default"/>
                <w:sz w:val="21"/>
                <w:szCs w:val="21"/>
              </w:rPr>
              <w:t>SAAS</w:t>
            </w:r>
            <w:r>
              <w:rPr>
                <w:rFonts w:ascii="宋体" w:hAnsi="宋体" w:cs="宋体" w:eastAsia="宋体" w:hint="default"/>
                <w:spacing w:val="-63"/>
                <w:sz w:val="21"/>
                <w:szCs w:val="21"/>
              </w:rPr>
              <w:t> </w:t>
            </w:r>
            <w:r>
              <w:rPr>
                <w:rFonts w:ascii="宋体" w:hAnsi="宋体" w:cs="宋体" w:eastAsia="宋体" w:hint="default"/>
                <w:sz w:val="21"/>
                <w:szCs w:val="21"/>
              </w:rPr>
              <w:t>云服务模式的装备</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制造业技术平台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沈经信发【</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108</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55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上市公司经费补助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2,000,000.00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3,000,000.00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沈财指工【</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1425</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沈财指工【</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1997</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财政贴息</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1,063,900.00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高等学校毕业生培训补贴</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268,884.00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软件产品超税负退税款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2,182,827.21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1,394,603.36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和平国退抵税（</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基于物联网技术的城市智能</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交通系统项目资金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电力行业节能降耗优化管理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技术项目资金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4"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6,246,727.21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7,663,487.36</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r>
    </w:tbl>
    <w:p>
      <w:pPr>
        <w:pStyle w:val="Heading5"/>
        <w:spacing w:line="240" w:lineRule="auto" w:before="62"/>
        <w:ind w:right="142"/>
        <w:jc w:val="left"/>
        <w:rPr>
          <w:b w:val="0"/>
          <w:bCs w:val="0"/>
        </w:rPr>
      </w:pPr>
      <w:r>
        <w:rPr>
          <w:rFonts w:ascii="宋体" w:hAnsi="宋体" w:cs="宋体" w:eastAsia="宋体" w:hint="default"/>
        </w:rPr>
        <w:t>64</w:t>
      </w:r>
      <w:r>
        <w:rPr/>
        <w:t>、营业外支出</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5"/>
        <w:gridCol w:w="1902"/>
      </w:tblGrid>
      <w:tr>
        <w:trPr>
          <w:trHeight w:val="556"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7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15"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bl>
    <w:p>
      <w:pPr>
        <w:spacing w:after="0" w:line="273" w:lineRule="exact"/>
        <w:jc w:val="center"/>
        <w:rPr>
          <w:rFonts w:ascii="宋体" w:hAnsi="宋体" w:cs="宋体" w:eastAsia="宋体" w:hint="default"/>
          <w:sz w:val="21"/>
          <w:szCs w:val="21"/>
        </w:rPr>
        <w:sectPr>
          <w:headerReference w:type="default" r:id="rId45"/>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28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47,000.00</w:t>
            </w:r>
          </w:p>
        </w:tc>
      </w:tr>
      <w:tr>
        <w:trPr>
          <w:trHeight w:val="28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47,000.00</w:t>
            </w:r>
          </w:p>
        </w:tc>
      </w:tr>
      <w:tr>
        <w:trPr>
          <w:trHeight w:val="28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w:t>
            </w:r>
          </w:p>
        </w:tc>
      </w:tr>
      <w:tr>
        <w:trPr>
          <w:trHeight w:val="28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18,764.68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18,764.68</w:t>
            </w:r>
          </w:p>
        </w:tc>
      </w:tr>
      <w:tr>
        <w:trPr>
          <w:trHeight w:val="28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165,764.68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165,764.68</w:t>
            </w:r>
          </w:p>
        </w:tc>
      </w:tr>
    </w:tbl>
    <w:p>
      <w:pPr>
        <w:pStyle w:val="Heading5"/>
        <w:spacing w:line="240" w:lineRule="auto" w:before="62"/>
        <w:ind w:right="142"/>
        <w:jc w:val="left"/>
        <w:rPr>
          <w:b w:val="0"/>
          <w:bCs w:val="0"/>
        </w:rPr>
      </w:pPr>
      <w:r>
        <w:rPr>
          <w:rFonts w:ascii="宋体" w:hAnsi="宋体" w:cs="宋体" w:eastAsia="宋体" w:hint="default"/>
        </w:rPr>
        <w:t>65</w:t>
      </w:r>
      <w:r>
        <w:rPr/>
        <w:t>、所得税费用</w:t>
      </w:r>
      <w:r>
        <w:rPr>
          <w:b w:val="0"/>
          <w:bCs w:val="0"/>
        </w:rPr>
      </w:r>
    </w:p>
    <w:p>
      <w:pPr>
        <w:spacing w:line="240" w:lineRule="auto" w:before="3"/>
        <w:rPr>
          <w:rFonts w:ascii="宋体" w:hAnsi="宋体" w:cs="宋体" w:eastAsia="宋体" w:hint="default"/>
          <w:b/>
          <w:bCs/>
          <w:sz w:val="11"/>
          <w:szCs w:val="11"/>
        </w:rPr>
      </w:pPr>
    </w:p>
    <w:p>
      <w:pPr>
        <w:pStyle w:val="BodyText"/>
        <w:spacing w:line="240" w:lineRule="auto" w:before="36"/>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28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9,788,381.05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8,683,928.09</w:t>
            </w:r>
          </w:p>
        </w:tc>
      </w:tr>
      <w:tr>
        <w:trPr>
          <w:trHeight w:val="28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2" w:lineRule="exact"/>
              <w:ind w:right="17"/>
              <w:jc w:val="right"/>
              <w:rPr>
                <w:rFonts w:ascii="宋体" w:hAnsi="宋体" w:cs="宋体" w:eastAsia="宋体" w:hint="default"/>
                <w:sz w:val="21"/>
                <w:szCs w:val="21"/>
              </w:rPr>
            </w:pPr>
            <w:r>
              <w:rPr>
                <w:rFonts w:ascii="宋体"/>
                <w:spacing w:val="-1"/>
                <w:sz w:val="21"/>
              </w:rPr>
              <w:t>-347,486.17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-19,176.59</w:t>
            </w:r>
          </w:p>
        </w:tc>
      </w:tr>
      <w:tr>
        <w:trPr>
          <w:trHeight w:val="28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9,440,894.88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8,664,751.50</w:t>
            </w:r>
          </w:p>
        </w:tc>
      </w:tr>
    </w:tbl>
    <w:p>
      <w:pPr>
        <w:pStyle w:val="Heading5"/>
        <w:spacing w:line="240" w:lineRule="auto" w:before="62"/>
        <w:ind w:right="142"/>
        <w:jc w:val="left"/>
        <w:rPr>
          <w:b w:val="0"/>
          <w:bCs w:val="0"/>
        </w:rPr>
      </w:pPr>
      <w:r>
        <w:rPr>
          <w:rFonts w:ascii="宋体" w:hAnsi="宋体" w:cs="宋体" w:eastAsia="宋体" w:hint="default"/>
        </w:rPr>
        <w:t>66</w:t>
      </w:r>
      <w:r>
        <w:rPr/>
        <w:t>、基本每股收益和稀释每股收益的计算过程</w:t>
      </w:r>
      <w:r>
        <w:rPr>
          <w:b w:val="0"/>
          <w:bCs w:val="0"/>
        </w:rPr>
      </w:r>
    </w:p>
    <w:p>
      <w:pPr>
        <w:spacing w:line="240" w:lineRule="auto" w:before="11"/>
        <w:rPr>
          <w:rFonts w:ascii="宋体" w:hAnsi="宋体" w:cs="宋体" w:eastAsia="宋体" w:hint="default"/>
          <w:b/>
          <w:bCs/>
          <w:sz w:val="13"/>
          <w:szCs w:val="13"/>
        </w:rPr>
      </w:pPr>
    </w:p>
    <w:p>
      <w:pPr>
        <w:pStyle w:val="BodyText"/>
        <w:spacing w:line="240" w:lineRule="auto"/>
        <w:ind w:right="142" w:firstLine="420"/>
        <w:jc w:val="left"/>
      </w:pPr>
      <w:r>
        <w:rPr>
          <w:spacing w:val="-5"/>
          <w:w w:val="100"/>
        </w:rPr>
        <w:t>根据《公开发行证券的公司信息披露编报规则第</w:t>
      </w:r>
      <w:r>
        <w:rPr>
          <w:rFonts w:ascii="宋体" w:hAnsi="宋体" w:cs="宋体" w:eastAsia="宋体" w:hint="default"/>
          <w:spacing w:val="-5"/>
          <w:w w:val="100"/>
        </w:rPr>
        <w:t>9</w:t>
      </w:r>
      <w:r>
        <w:rPr>
          <w:spacing w:val="-5"/>
          <w:w w:val="100"/>
        </w:rPr>
        <w:t>号—净资产收益率和每股收益的计算及披露》（</w:t>
      </w:r>
      <w:r>
        <w:rPr>
          <w:rFonts w:ascii="宋体" w:hAnsi="宋体" w:cs="宋体" w:eastAsia="宋体" w:hint="default"/>
          <w:spacing w:val="-5"/>
          <w:w w:val="100"/>
        </w:rPr>
        <w:t>2010</w:t>
      </w:r>
      <w:r>
        <w:rPr>
          <w:rFonts w:ascii="宋体" w:hAnsi="宋体" w:cs="宋体" w:eastAsia="宋体" w:hint="default"/>
          <w:w w:val="100"/>
        </w:rPr>
        <w:t> </w:t>
      </w:r>
      <w:r>
        <w:rPr/>
        <w:t>年修订）的规定计算过程如下：</w:t>
      </w:r>
    </w:p>
    <w:p>
      <w:pPr>
        <w:spacing w:line="240" w:lineRule="auto" w:before="7"/>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5881"/>
        <w:gridCol w:w="1892"/>
        <w:gridCol w:w="1680"/>
      </w:tblGrid>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tabs>
                <w:tab w:pos="427" w:val="left" w:leader="none"/>
              </w:tabs>
              <w:spacing w:line="25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一、分子</w:t>
            </w:r>
          </w:p>
        </w:tc>
        <w:tc>
          <w:tcPr>
            <w:tcW w:w="1892"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基本每股收益计算中归属于母公司普通股股东的损益</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87"/>
              <w:jc w:val="right"/>
              <w:rPr>
                <w:rFonts w:ascii="宋体" w:hAnsi="宋体" w:cs="宋体" w:eastAsia="宋体" w:hint="default"/>
                <w:sz w:val="21"/>
                <w:szCs w:val="21"/>
              </w:rPr>
            </w:pPr>
            <w:r>
              <w:rPr>
                <w:rFonts w:ascii="宋体"/>
                <w:spacing w:val="-1"/>
                <w:sz w:val="21"/>
              </w:rPr>
              <w:t>49,862,341.25</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7"/>
              <w:jc w:val="right"/>
              <w:rPr>
                <w:rFonts w:ascii="宋体" w:hAnsi="宋体" w:cs="宋体" w:eastAsia="宋体" w:hint="default"/>
                <w:sz w:val="21"/>
                <w:szCs w:val="21"/>
              </w:rPr>
            </w:pPr>
            <w:r>
              <w:rPr>
                <w:rFonts w:ascii="宋体"/>
                <w:spacing w:val="-1"/>
                <w:sz w:val="21"/>
              </w:rPr>
              <w:t>44,869,022.63</w:t>
            </w:r>
          </w:p>
        </w:tc>
      </w:tr>
      <w:tr>
        <w:trPr>
          <w:trHeight w:val="581"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4" w:right="60" w:firstLine="178"/>
              <w:jc w:val="left"/>
              <w:rPr>
                <w:rFonts w:ascii="宋体" w:hAnsi="宋体" w:cs="宋体" w:eastAsia="宋体" w:hint="default"/>
                <w:sz w:val="21"/>
                <w:szCs w:val="21"/>
              </w:rPr>
            </w:pPr>
            <w:r>
              <w:rPr>
                <w:rFonts w:ascii="宋体" w:hAnsi="宋体" w:cs="宋体" w:eastAsia="宋体" w:hint="default"/>
                <w:b/>
                <w:bCs/>
                <w:sz w:val="21"/>
                <w:szCs w:val="21"/>
              </w:rPr>
              <w:t>基本每股收益计算中归属于母公司普通股股东的损益</w:t>
            </w:r>
            <w:r>
              <w:rPr>
                <w:rFonts w:ascii="宋体" w:hAnsi="宋体" w:cs="宋体" w:eastAsia="宋体" w:hint="default"/>
                <w:b/>
                <w:bCs/>
                <w:sz w:val="21"/>
                <w:szCs w:val="21"/>
              </w:rPr>
              <w:t>(</w:t>
            </w:r>
            <w:r>
              <w:rPr>
                <w:rFonts w:ascii="宋体" w:hAnsi="宋体" w:cs="宋体" w:eastAsia="宋体" w:hint="default"/>
                <w:b/>
                <w:bCs/>
                <w:sz w:val="21"/>
                <w:szCs w:val="21"/>
              </w:rPr>
              <w:t>扣除非</w:t>
            </w:r>
            <w:r>
              <w:rPr>
                <w:rFonts w:ascii="宋体" w:hAnsi="宋体" w:cs="宋体" w:eastAsia="宋体" w:hint="default"/>
                <w:b/>
                <w:bCs/>
                <w:w w:val="100"/>
                <w:sz w:val="21"/>
                <w:szCs w:val="21"/>
              </w:rPr>
              <w:t> </w:t>
            </w:r>
            <w:r>
              <w:rPr>
                <w:rFonts w:ascii="宋体" w:hAnsi="宋体" w:cs="宋体" w:eastAsia="宋体" w:hint="default"/>
                <w:b/>
                <w:bCs/>
                <w:sz w:val="21"/>
                <w:szCs w:val="21"/>
              </w:rPr>
              <w:t>经常性损益）</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7"/>
              <w:jc w:val="right"/>
              <w:rPr>
                <w:rFonts w:ascii="宋体" w:hAnsi="宋体" w:cs="宋体" w:eastAsia="宋体" w:hint="default"/>
                <w:sz w:val="21"/>
                <w:szCs w:val="21"/>
              </w:rPr>
            </w:pPr>
            <w:r>
              <w:rPr>
                <w:rFonts w:ascii="宋体"/>
                <w:spacing w:val="-1"/>
                <w:sz w:val="21"/>
              </w:rPr>
              <w:t>45,122,553.86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57"/>
              <w:jc w:val="right"/>
              <w:rPr>
                <w:rFonts w:ascii="宋体" w:hAnsi="宋体" w:cs="宋体" w:eastAsia="宋体" w:hint="default"/>
                <w:sz w:val="21"/>
                <w:szCs w:val="21"/>
              </w:rPr>
            </w:pPr>
            <w:r>
              <w:rPr>
                <w:rFonts w:ascii="宋体"/>
                <w:spacing w:val="-1"/>
                <w:sz w:val="21"/>
              </w:rPr>
              <w:t>38,161,781.43</w:t>
            </w: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85"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308"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365" w:right="0"/>
              <w:jc w:val="left"/>
              <w:rPr>
                <w:rFonts w:ascii="宋体" w:hAnsi="宋体" w:cs="宋体" w:eastAsia="宋体" w:hint="default"/>
                <w:sz w:val="21"/>
                <w:szCs w:val="21"/>
              </w:rPr>
            </w:pPr>
            <w:r>
              <w:rPr>
                <w:rFonts w:ascii="宋体" w:hAnsi="宋体" w:cs="宋体" w:eastAsia="宋体" w:hint="default"/>
                <w:sz w:val="21"/>
                <w:szCs w:val="21"/>
              </w:rPr>
              <w:t>与稀释性潜在普通股股相关的股利和利息</w:t>
            </w:r>
          </w:p>
        </w:tc>
        <w:tc>
          <w:tcPr>
            <w:tcW w:w="1892"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65" w:right="0"/>
              <w:jc w:val="left"/>
              <w:rPr>
                <w:rFonts w:ascii="宋体" w:hAnsi="宋体" w:cs="宋体" w:eastAsia="宋体" w:hint="default"/>
                <w:sz w:val="21"/>
                <w:szCs w:val="21"/>
              </w:rPr>
            </w:pPr>
            <w:r>
              <w:rPr>
                <w:rFonts w:ascii="宋体" w:hAnsi="宋体" w:cs="宋体" w:eastAsia="宋体" w:hint="default"/>
                <w:sz w:val="21"/>
                <w:szCs w:val="21"/>
              </w:rPr>
              <w:t>因稀释性潜在普通股转换引起的收益或费用上的变化</w:t>
            </w:r>
          </w:p>
        </w:tc>
        <w:tc>
          <w:tcPr>
            <w:tcW w:w="1892"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578"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稀释每股收益核算中归属于母公司普通股股东的损益</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7"/>
              <w:jc w:val="right"/>
              <w:rPr>
                <w:rFonts w:ascii="宋体" w:hAnsi="宋体" w:cs="宋体" w:eastAsia="宋体" w:hint="default"/>
                <w:sz w:val="21"/>
                <w:szCs w:val="21"/>
              </w:rPr>
            </w:pPr>
            <w:r>
              <w:rPr>
                <w:rFonts w:ascii="宋体"/>
                <w:spacing w:val="-1"/>
                <w:sz w:val="21"/>
              </w:rPr>
              <w:t>49,862,341.25</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57"/>
              <w:jc w:val="right"/>
              <w:rPr>
                <w:rFonts w:ascii="宋体" w:hAnsi="宋体" w:cs="宋体" w:eastAsia="宋体" w:hint="default"/>
                <w:sz w:val="21"/>
                <w:szCs w:val="21"/>
              </w:rPr>
            </w:pPr>
            <w:r>
              <w:rPr>
                <w:rFonts w:ascii="宋体"/>
                <w:spacing w:val="-1"/>
                <w:sz w:val="21"/>
              </w:rPr>
              <w:t>44,869,022.63</w:t>
            </w:r>
          </w:p>
        </w:tc>
      </w:tr>
      <w:tr>
        <w:trPr>
          <w:trHeight w:val="581"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4" w:right="60" w:firstLine="178"/>
              <w:jc w:val="left"/>
              <w:rPr>
                <w:rFonts w:ascii="宋体" w:hAnsi="宋体" w:cs="宋体" w:eastAsia="宋体" w:hint="default"/>
                <w:sz w:val="21"/>
                <w:szCs w:val="21"/>
              </w:rPr>
            </w:pPr>
            <w:r>
              <w:rPr>
                <w:rFonts w:ascii="宋体" w:hAnsi="宋体" w:cs="宋体" w:eastAsia="宋体" w:hint="default"/>
                <w:b/>
                <w:bCs/>
                <w:sz w:val="21"/>
                <w:szCs w:val="21"/>
              </w:rPr>
              <w:t>稀释每股收益核算中归属于母公司普通股股东的损益</w:t>
            </w:r>
            <w:r>
              <w:rPr>
                <w:rFonts w:ascii="宋体" w:hAnsi="宋体" w:cs="宋体" w:eastAsia="宋体" w:hint="default"/>
                <w:b/>
                <w:bCs/>
                <w:sz w:val="21"/>
                <w:szCs w:val="21"/>
              </w:rPr>
              <w:t>(</w:t>
            </w:r>
            <w:r>
              <w:rPr>
                <w:rFonts w:ascii="宋体" w:hAnsi="宋体" w:cs="宋体" w:eastAsia="宋体" w:hint="default"/>
                <w:b/>
                <w:bCs/>
                <w:sz w:val="21"/>
                <w:szCs w:val="21"/>
              </w:rPr>
              <w:t>扣除非</w:t>
            </w:r>
            <w:r>
              <w:rPr>
                <w:rFonts w:ascii="宋体" w:hAnsi="宋体" w:cs="宋体" w:eastAsia="宋体" w:hint="default"/>
                <w:b/>
                <w:bCs/>
                <w:w w:val="100"/>
                <w:sz w:val="21"/>
                <w:szCs w:val="21"/>
              </w:rPr>
              <w:t> </w:t>
            </w:r>
            <w:r>
              <w:rPr>
                <w:rFonts w:ascii="宋体" w:hAnsi="宋体" w:cs="宋体" w:eastAsia="宋体" w:hint="default"/>
                <w:b/>
                <w:bCs/>
                <w:sz w:val="21"/>
                <w:szCs w:val="21"/>
              </w:rPr>
              <w:t>经常性损益）</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7"/>
              <w:jc w:val="right"/>
              <w:rPr>
                <w:rFonts w:ascii="宋体" w:hAnsi="宋体" w:cs="宋体" w:eastAsia="宋体" w:hint="default"/>
                <w:sz w:val="21"/>
                <w:szCs w:val="21"/>
              </w:rPr>
            </w:pPr>
            <w:r>
              <w:rPr>
                <w:rFonts w:ascii="宋体"/>
                <w:spacing w:val="-1"/>
                <w:sz w:val="21"/>
              </w:rPr>
              <w:t>45,122,553.86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57"/>
              <w:jc w:val="right"/>
              <w:rPr>
                <w:rFonts w:ascii="宋体" w:hAnsi="宋体" w:cs="宋体" w:eastAsia="宋体" w:hint="default"/>
                <w:sz w:val="21"/>
                <w:szCs w:val="21"/>
              </w:rPr>
            </w:pPr>
            <w:r>
              <w:rPr>
                <w:rFonts w:ascii="宋体"/>
                <w:spacing w:val="-1"/>
                <w:sz w:val="21"/>
              </w:rPr>
              <w:t>38,161,781.43</w:t>
            </w: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二、分母</w:t>
            </w:r>
          </w:p>
        </w:tc>
        <w:tc>
          <w:tcPr>
            <w:tcW w:w="1892"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82" w:right="-9"/>
              <w:jc w:val="left"/>
              <w:rPr>
                <w:rFonts w:ascii="宋体" w:hAnsi="宋体" w:cs="宋体" w:eastAsia="宋体" w:hint="default"/>
                <w:sz w:val="21"/>
                <w:szCs w:val="21"/>
              </w:rPr>
            </w:pPr>
            <w:r>
              <w:rPr>
                <w:rFonts w:ascii="宋体" w:hAnsi="宋体" w:cs="宋体" w:eastAsia="宋体" w:hint="default"/>
                <w:b/>
                <w:bCs/>
                <w:sz w:val="21"/>
                <w:szCs w:val="21"/>
              </w:rPr>
              <w:t>基本每股收益核算中当期发行在外普通股的加权平均数（股）</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84"/>
              <w:jc w:val="right"/>
              <w:rPr>
                <w:rFonts w:ascii="宋体" w:hAnsi="宋体" w:cs="宋体" w:eastAsia="宋体" w:hint="default"/>
                <w:sz w:val="21"/>
                <w:szCs w:val="21"/>
              </w:rPr>
            </w:pPr>
            <w:r>
              <w:rPr>
                <w:rFonts w:ascii="宋体"/>
                <w:spacing w:val="-1"/>
                <w:sz w:val="21"/>
              </w:rPr>
              <w:t>65,166,667.00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55"/>
              <w:jc w:val="right"/>
              <w:rPr>
                <w:rFonts w:ascii="宋体" w:hAnsi="宋体" w:cs="宋体" w:eastAsia="宋体" w:hint="default"/>
                <w:sz w:val="21"/>
                <w:szCs w:val="21"/>
              </w:rPr>
            </w:pPr>
            <w:r>
              <w:rPr>
                <w:rFonts w:ascii="宋体"/>
                <w:spacing w:val="-1"/>
                <w:sz w:val="21"/>
              </w:rPr>
              <w:t>51,000.000.00</w:t>
            </w: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65" w:right="0"/>
              <w:jc w:val="left"/>
              <w:rPr>
                <w:rFonts w:ascii="宋体" w:hAnsi="宋体" w:cs="宋体" w:eastAsia="宋体" w:hint="default"/>
                <w:sz w:val="21"/>
                <w:szCs w:val="21"/>
              </w:rPr>
            </w:pPr>
            <w:r>
              <w:rPr>
                <w:rFonts w:ascii="宋体" w:hAnsi="宋体" w:cs="宋体" w:eastAsia="宋体" w:hint="default"/>
                <w:sz w:val="21"/>
                <w:szCs w:val="21"/>
              </w:rPr>
              <w:t>加：所有稀释性潜在普通股转换成普通股时的加权平均数</w:t>
            </w:r>
          </w:p>
        </w:tc>
        <w:tc>
          <w:tcPr>
            <w:tcW w:w="1892"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稀释每股收益核算中当期发行在外普通股加权平均数（股）</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84"/>
              <w:jc w:val="right"/>
              <w:rPr>
                <w:rFonts w:ascii="宋体" w:hAnsi="宋体" w:cs="宋体" w:eastAsia="宋体" w:hint="default"/>
                <w:sz w:val="21"/>
                <w:szCs w:val="21"/>
              </w:rPr>
            </w:pPr>
            <w:r>
              <w:rPr>
                <w:rFonts w:ascii="宋体"/>
                <w:spacing w:val="-1"/>
                <w:sz w:val="21"/>
              </w:rPr>
              <w:t>65,166,667.00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5"/>
              <w:jc w:val="right"/>
              <w:rPr>
                <w:rFonts w:ascii="宋体" w:hAnsi="宋体" w:cs="宋体" w:eastAsia="宋体" w:hint="default"/>
                <w:sz w:val="21"/>
                <w:szCs w:val="21"/>
              </w:rPr>
            </w:pPr>
            <w:r>
              <w:rPr>
                <w:rFonts w:ascii="宋体"/>
                <w:spacing w:val="-1"/>
                <w:sz w:val="21"/>
              </w:rPr>
              <w:t>51,000,000.00</w:t>
            </w: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left"/>
              <w:rPr>
                <w:rFonts w:ascii="宋体" w:hAnsi="宋体" w:cs="宋体" w:eastAsia="宋体" w:hint="default"/>
                <w:sz w:val="21"/>
                <w:szCs w:val="21"/>
              </w:rPr>
            </w:pPr>
            <w:r>
              <w:rPr>
                <w:rFonts w:ascii="宋体" w:hAnsi="宋体" w:cs="宋体" w:eastAsia="宋体" w:hint="default"/>
                <w:sz w:val="21"/>
                <w:szCs w:val="21"/>
              </w:rPr>
              <w:t>三、每股收益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308"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76"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86"/>
              <w:jc w:val="right"/>
              <w:rPr>
                <w:rFonts w:ascii="宋体" w:hAnsi="宋体" w:cs="宋体" w:eastAsia="宋体" w:hint="default"/>
                <w:sz w:val="21"/>
                <w:szCs w:val="21"/>
              </w:rPr>
            </w:pPr>
            <w:r>
              <w:rPr>
                <w:rFonts w:ascii="宋体"/>
                <w:sz w:val="21"/>
              </w:rPr>
              <w:t>0.7652</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7"/>
              <w:jc w:val="right"/>
              <w:rPr>
                <w:rFonts w:ascii="宋体" w:hAnsi="宋体" w:cs="宋体" w:eastAsia="宋体" w:hint="default"/>
                <w:sz w:val="21"/>
                <w:szCs w:val="21"/>
              </w:rPr>
            </w:pPr>
            <w:r>
              <w:rPr>
                <w:rFonts w:ascii="宋体"/>
                <w:spacing w:val="-1"/>
                <w:sz w:val="21"/>
              </w:rPr>
              <w:t>0.8798</w:t>
            </w: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76"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87"/>
              <w:jc w:val="right"/>
              <w:rPr>
                <w:rFonts w:ascii="宋体" w:hAnsi="宋体" w:cs="宋体" w:eastAsia="宋体" w:hint="default"/>
                <w:sz w:val="21"/>
                <w:szCs w:val="21"/>
              </w:rPr>
            </w:pPr>
            <w:r>
              <w:rPr>
                <w:rFonts w:ascii="宋体"/>
                <w:spacing w:val="-1"/>
                <w:sz w:val="21"/>
              </w:rPr>
              <w:t>0.6924</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7"/>
              <w:jc w:val="right"/>
              <w:rPr>
                <w:rFonts w:ascii="宋体" w:hAnsi="宋体" w:cs="宋体" w:eastAsia="宋体" w:hint="default"/>
                <w:sz w:val="21"/>
                <w:szCs w:val="21"/>
              </w:rPr>
            </w:pPr>
            <w:r>
              <w:rPr>
                <w:rFonts w:ascii="宋体"/>
                <w:spacing w:val="-1"/>
                <w:sz w:val="21"/>
              </w:rPr>
              <w:t>0.7483</w:t>
            </w: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tc>
        <w:tc>
          <w:tcPr>
            <w:tcW w:w="1892"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310"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76"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86"/>
              <w:jc w:val="right"/>
              <w:rPr>
                <w:rFonts w:ascii="宋体" w:hAnsi="宋体" w:cs="宋体" w:eastAsia="宋体" w:hint="default"/>
                <w:sz w:val="21"/>
                <w:szCs w:val="21"/>
              </w:rPr>
            </w:pPr>
            <w:r>
              <w:rPr>
                <w:rFonts w:ascii="宋体"/>
                <w:sz w:val="21"/>
              </w:rPr>
              <w:t>0.7652</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7"/>
              <w:jc w:val="right"/>
              <w:rPr>
                <w:rFonts w:ascii="宋体" w:hAnsi="宋体" w:cs="宋体" w:eastAsia="宋体" w:hint="default"/>
                <w:sz w:val="21"/>
                <w:szCs w:val="21"/>
              </w:rPr>
            </w:pPr>
            <w:r>
              <w:rPr>
                <w:rFonts w:ascii="宋体"/>
                <w:spacing w:val="-2"/>
                <w:sz w:val="21"/>
              </w:rPr>
              <w:t>0.8798</w:t>
            </w:r>
          </w:p>
        </w:tc>
      </w:tr>
      <w:tr>
        <w:trPr>
          <w:trHeight w:val="307" w:hRule="exact"/>
        </w:trPr>
        <w:tc>
          <w:tcPr>
            <w:tcW w:w="58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76"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87"/>
              <w:jc w:val="right"/>
              <w:rPr>
                <w:rFonts w:ascii="宋体" w:hAnsi="宋体" w:cs="宋体" w:eastAsia="宋体" w:hint="default"/>
                <w:sz w:val="21"/>
                <w:szCs w:val="21"/>
              </w:rPr>
            </w:pPr>
            <w:r>
              <w:rPr>
                <w:rFonts w:ascii="宋体"/>
                <w:spacing w:val="-1"/>
                <w:sz w:val="21"/>
              </w:rPr>
              <w:t>0.6924</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57"/>
              <w:jc w:val="right"/>
              <w:rPr>
                <w:rFonts w:ascii="宋体" w:hAnsi="宋体" w:cs="宋体" w:eastAsia="宋体" w:hint="default"/>
                <w:sz w:val="21"/>
                <w:szCs w:val="21"/>
              </w:rPr>
            </w:pPr>
            <w:r>
              <w:rPr>
                <w:rFonts w:ascii="宋体"/>
                <w:spacing w:val="-1"/>
                <w:sz w:val="21"/>
              </w:rPr>
              <w:t>0.7483</w:t>
            </w:r>
          </w:p>
        </w:tc>
      </w:tr>
    </w:tbl>
    <w:p>
      <w:pPr>
        <w:pStyle w:val="Heading5"/>
        <w:spacing w:line="398" w:lineRule="auto" w:before="62"/>
        <w:ind w:right="8087"/>
        <w:jc w:val="left"/>
        <w:rPr>
          <w:rFonts w:ascii="宋体" w:hAnsi="宋体" w:cs="宋体" w:eastAsia="宋体" w:hint="default"/>
          <w:b w:val="0"/>
          <w:bCs w:val="0"/>
        </w:rPr>
      </w:pPr>
      <w:r>
        <w:rPr>
          <w:rFonts w:ascii="宋体" w:hAnsi="宋体" w:cs="宋体" w:eastAsia="宋体" w:hint="default"/>
        </w:rPr>
        <w:t>67</w:t>
      </w:r>
      <w:r>
        <w:rPr/>
        <w:t>、其他综合收益</w:t>
      </w:r>
      <w:r>
        <w:rPr>
          <w:spacing w:val="-104"/>
        </w:rPr>
        <w:t> </w:t>
      </w:r>
      <w:r>
        <w:rPr>
          <w:rFonts w:ascii="宋体" w:hAnsi="宋体" w:cs="宋体" w:eastAsia="宋体" w:hint="default"/>
          <w:b w:val="0"/>
          <w:bCs w:val="0"/>
        </w:rPr>
        <w:t>无</w:t>
      </w:r>
    </w:p>
    <w:p>
      <w:pPr>
        <w:pStyle w:val="Heading5"/>
        <w:spacing w:line="231" w:lineRule="exact"/>
        <w:ind w:right="142"/>
        <w:jc w:val="left"/>
        <w:rPr>
          <w:b w:val="0"/>
          <w:bCs w:val="0"/>
        </w:rPr>
      </w:pPr>
      <w:r>
        <w:rPr>
          <w:rFonts w:ascii="宋体" w:hAnsi="宋体" w:cs="宋体" w:eastAsia="宋体" w:hint="default"/>
        </w:rPr>
        <w:t>68</w:t>
      </w:r>
      <w:r>
        <w:rPr/>
        <w:t>、现金流量表附注</w:t>
      </w:r>
      <w:r>
        <w:rPr>
          <w:b w:val="0"/>
          <w:bCs w:val="0"/>
        </w:rPr>
      </w:r>
    </w:p>
    <w:p>
      <w:pPr>
        <w:spacing w:line="240" w:lineRule="auto" w:before="13"/>
        <w:rPr>
          <w:rFonts w:ascii="宋体" w:hAnsi="宋体" w:cs="宋体" w:eastAsia="宋体" w:hint="default"/>
          <w:b/>
          <w:bCs/>
          <w:sz w:val="14"/>
          <w:szCs w:val="14"/>
        </w:rPr>
      </w:pPr>
    </w:p>
    <w:p>
      <w:pPr>
        <w:pStyle w:val="Heading5"/>
        <w:spacing w:line="240" w:lineRule="auto" w:before="36"/>
        <w:ind w:right="142"/>
        <w:jc w:val="left"/>
        <w:rPr>
          <w:b w:val="0"/>
          <w:bCs w:val="0"/>
        </w:rPr>
      </w:pPr>
      <w:r>
        <w:rPr/>
        <w:t>（</w:t>
      </w:r>
      <w:r>
        <w:rPr>
          <w:rFonts w:ascii="宋体" w:hAnsi="宋体" w:cs="宋体" w:eastAsia="宋体" w:hint="default"/>
        </w:rPr>
        <w:t>1</w:t>
      </w:r>
      <w:r>
        <w:rPr/>
        <w:t>）收到的其他与经营活动有关的现金</w:t>
      </w:r>
      <w:r>
        <w:rPr>
          <w:b w:val="0"/>
          <w:bCs w:val="0"/>
        </w:rPr>
      </w:r>
    </w:p>
    <w:p>
      <w:pPr>
        <w:pStyle w:val="BodyText"/>
        <w:spacing w:line="240" w:lineRule="auto" w:before="99"/>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5585"/>
        <w:gridCol w:w="3972"/>
      </w:tblGrid>
      <w:tr>
        <w:trPr>
          <w:trHeight w:val="28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r>
    </w:tbl>
    <w:p>
      <w:pPr>
        <w:spacing w:after="0" w:line="241" w:lineRule="exact"/>
        <w:jc w:val="center"/>
        <w:rPr>
          <w:rFonts w:ascii="宋体" w:hAnsi="宋体" w:cs="宋体" w:eastAsia="宋体" w:hint="default"/>
          <w:sz w:val="21"/>
          <w:szCs w:val="21"/>
        </w:rPr>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28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1,751,205.03</w:t>
            </w:r>
          </w:p>
        </w:tc>
      </w:tr>
      <w:tr>
        <w:trPr>
          <w:trHeight w:val="28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4,063,900.00</w:t>
            </w:r>
          </w:p>
        </w:tc>
      </w:tr>
      <w:tr>
        <w:trPr>
          <w:trHeight w:val="28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20,762.31</w:t>
            </w:r>
          </w:p>
        </w:tc>
      </w:tr>
      <w:tr>
        <w:trPr>
          <w:trHeight w:val="28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5,835,867.34</w:t>
            </w:r>
          </w:p>
        </w:tc>
      </w:tr>
    </w:tbl>
    <w:p>
      <w:pPr>
        <w:pStyle w:val="Heading5"/>
        <w:spacing w:line="240" w:lineRule="auto" w:before="64"/>
        <w:ind w:right="142"/>
        <w:jc w:val="left"/>
        <w:rPr>
          <w:b w:val="0"/>
          <w:bCs w:val="0"/>
        </w:rPr>
      </w:pPr>
      <w:r>
        <w:rPr/>
        <w:t>（</w:t>
      </w:r>
      <w:r>
        <w:rPr>
          <w:rFonts w:ascii="宋体" w:hAnsi="宋体" w:cs="宋体" w:eastAsia="宋体" w:hint="default"/>
        </w:rPr>
        <w:t>2</w:t>
      </w:r>
      <w:r>
        <w:rPr/>
        <w:t>）支付的其他与经营活动有关的现金</w:t>
      </w:r>
      <w:r>
        <w:rPr>
          <w:b w:val="0"/>
          <w:bCs w:val="0"/>
        </w:rPr>
      </w:r>
    </w:p>
    <w:p>
      <w:pPr>
        <w:pStyle w:val="BodyText"/>
        <w:spacing w:line="240" w:lineRule="auto" w:before="99"/>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28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102,606.30</w:t>
            </w:r>
          </w:p>
        </w:tc>
      </w:tr>
      <w:tr>
        <w:trPr>
          <w:trHeight w:val="28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657,564.04</w:t>
            </w:r>
          </w:p>
        </w:tc>
      </w:tr>
      <w:tr>
        <w:trPr>
          <w:trHeight w:val="28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差旅费、办公费等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11,131,703.50</w:t>
            </w:r>
          </w:p>
        </w:tc>
      </w:tr>
      <w:tr>
        <w:trPr>
          <w:trHeight w:val="28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942,425.00</w:t>
            </w:r>
          </w:p>
        </w:tc>
      </w:tr>
      <w:tr>
        <w:trPr>
          <w:trHeight w:val="28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359,006.16</w:t>
            </w:r>
          </w:p>
        </w:tc>
      </w:tr>
      <w:tr>
        <w:trPr>
          <w:trHeight w:val="28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4,075,287.41</w:t>
            </w:r>
          </w:p>
        </w:tc>
      </w:tr>
      <w:tr>
        <w:trPr>
          <w:trHeight w:val="28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196,389.83</w:t>
            </w:r>
          </w:p>
        </w:tc>
      </w:tr>
      <w:tr>
        <w:trPr>
          <w:trHeight w:val="28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17,464,982.24</w:t>
            </w:r>
          </w:p>
        </w:tc>
      </w:tr>
    </w:tbl>
    <w:p>
      <w:pPr>
        <w:spacing w:after="0" w:line="241" w:lineRule="exact"/>
        <w:jc w:val="right"/>
        <w:rPr>
          <w:rFonts w:ascii="宋体" w:hAnsi="宋体" w:cs="宋体" w:eastAsia="宋体" w:hint="default"/>
          <w:sz w:val="21"/>
          <w:szCs w:val="21"/>
        </w:rPr>
        <w:sectPr>
          <w:pgSz w:w="11910" w:h="16840"/>
          <w:pgMar w:header="566" w:footer="979" w:top="1360" w:bottom="1160" w:left="980" w:right="980"/>
        </w:sectPr>
      </w:pPr>
    </w:p>
    <w:p>
      <w:pPr>
        <w:pStyle w:val="Heading5"/>
        <w:spacing w:line="326" w:lineRule="auto" w:before="64"/>
        <w:ind w:right="0"/>
        <w:jc w:val="left"/>
        <w:rPr>
          <w:rFonts w:ascii="宋体" w:hAnsi="宋体" w:cs="宋体" w:eastAsia="宋体" w:hint="default"/>
          <w:b w:val="0"/>
          <w:bCs w:val="0"/>
        </w:rPr>
      </w:pPr>
      <w:r>
        <w:rPr>
          <w:spacing w:val="-1"/>
        </w:rPr>
        <w:t>（</w:t>
      </w:r>
      <w:r>
        <w:rPr>
          <w:rFonts w:ascii="宋体" w:hAnsi="宋体" w:cs="宋体" w:eastAsia="宋体" w:hint="default"/>
          <w:spacing w:val="-1"/>
        </w:rPr>
        <w:t>3</w:t>
      </w:r>
      <w:r>
        <w:rPr>
          <w:spacing w:val="-1"/>
        </w:rPr>
        <w:t>）收到的其他与投资活动有关的现金</w:t>
      </w:r>
      <w:r>
        <w:rPr>
          <w:spacing w:val="-88"/>
        </w:rPr>
        <w:t> </w:t>
      </w:r>
      <w:r>
        <w:rPr>
          <w:spacing w:val="-88"/>
        </w:rPr>
      </w:r>
      <w:r>
        <w:rPr>
          <w:rFonts w:ascii="宋体" w:hAnsi="宋体" w:cs="宋体" w:eastAsia="宋体" w:hint="default"/>
          <w:b w:val="0"/>
          <w:bCs w:val="0"/>
        </w:rPr>
        <w:t>无</w:t>
      </w:r>
    </w:p>
    <w:p>
      <w:pPr>
        <w:pStyle w:val="Heading5"/>
        <w:spacing w:line="326" w:lineRule="auto" w:before="19"/>
        <w:ind w:right="0"/>
        <w:jc w:val="left"/>
        <w:rPr>
          <w:rFonts w:ascii="宋体" w:hAnsi="宋体" w:cs="宋体" w:eastAsia="宋体" w:hint="default"/>
          <w:b w:val="0"/>
          <w:bCs w:val="0"/>
        </w:rPr>
      </w:pPr>
      <w:r>
        <w:rPr>
          <w:spacing w:val="-1"/>
        </w:rPr>
        <w:t>（</w:t>
      </w:r>
      <w:r>
        <w:rPr>
          <w:rFonts w:ascii="宋体" w:hAnsi="宋体" w:cs="宋体" w:eastAsia="宋体" w:hint="default"/>
          <w:spacing w:val="-1"/>
        </w:rPr>
        <w:t>4</w:t>
      </w:r>
      <w:r>
        <w:rPr>
          <w:spacing w:val="-1"/>
        </w:rPr>
        <w:t>）支付的其他与投资活动有关的现金</w:t>
      </w:r>
      <w:r>
        <w:rPr>
          <w:spacing w:val="-88"/>
        </w:rPr>
        <w:t> </w:t>
      </w:r>
      <w:r>
        <w:rPr>
          <w:spacing w:val="-88"/>
        </w:rPr>
      </w:r>
      <w:r>
        <w:rPr>
          <w:rFonts w:ascii="宋体" w:hAnsi="宋体" w:cs="宋体" w:eastAsia="宋体" w:hint="default"/>
          <w:b w:val="0"/>
          <w:bCs w:val="0"/>
        </w:rPr>
        <w:t>无</w:t>
      </w:r>
    </w:p>
    <w:p>
      <w:pPr>
        <w:pStyle w:val="Heading5"/>
        <w:spacing w:line="324" w:lineRule="auto" w:before="21"/>
        <w:ind w:right="0"/>
        <w:jc w:val="left"/>
        <w:rPr>
          <w:rFonts w:ascii="宋体" w:hAnsi="宋体" w:cs="宋体" w:eastAsia="宋体" w:hint="default"/>
          <w:b w:val="0"/>
          <w:bCs w:val="0"/>
        </w:rPr>
      </w:pPr>
      <w:r>
        <w:rPr>
          <w:spacing w:val="-1"/>
        </w:rPr>
        <w:t>（</w:t>
      </w:r>
      <w:r>
        <w:rPr>
          <w:rFonts w:ascii="宋体" w:hAnsi="宋体" w:cs="宋体" w:eastAsia="宋体" w:hint="default"/>
          <w:spacing w:val="-1"/>
        </w:rPr>
        <w:t>5</w:t>
      </w:r>
      <w:r>
        <w:rPr>
          <w:spacing w:val="-1"/>
        </w:rPr>
        <w:t>）收到的其他与筹资活动有关的现金</w:t>
      </w:r>
      <w:r>
        <w:rPr>
          <w:spacing w:val="-88"/>
        </w:rPr>
        <w:t> </w:t>
      </w:r>
      <w:r>
        <w:rPr>
          <w:spacing w:val="-88"/>
        </w:rPr>
      </w:r>
      <w:r>
        <w:rPr>
          <w:rFonts w:ascii="宋体" w:hAnsi="宋体" w:cs="宋体" w:eastAsia="宋体" w:hint="default"/>
          <w:b w:val="0"/>
          <w:bCs w:val="0"/>
        </w:rPr>
        <w:t>无</w:t>
      </w:r>
    </w:p>
    <w:p>
      <w:pPr>
        <w:pStyle w:val="Heading5"/>
        <w:spacing w:line="240" w:lineRule="auto" w:before="24"/>
        <w:ind w:right="0"/>
        <w:jc w:val="left"/>
        <w:rPr>
          <w:b w:val="0"/>
          <w:bCs w:val="0"/>
        </w:rPr>
      </w:pPr>
      <w:r>
        <w:rPr>
          <w:spacing w:val="-1"/>
        </w:rPr>
        <w:t>（</w:t>
      </w:r>
      <w:r>
        <w:rPr>
          <w:rFonts w:ascii="宋体" w:hAnsi="宋体" w:cs="宋体" w:eastAsia="宋体" w:hint="default"/>
          <w:spacing w:val="-1"/>
        </w:rPr>
        <w:t>6</w:t>
      </w:r>
      <w:r>
        <w:rPr>
          <w:spacing w:val="-1"/>
        </w:rPr>
        <w:t>）支付的其他与筹资活动有关的现金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160" w:left="980" w:right="980"/>
          <w:cols w:num="2" w:equalWidth="0">
            <w:col w:w="3845" w:space="4850"/>
            <w:col w:w="1255"/>
          </w:cols>
        </w:sectPr>
      </w:pPr>
    </w:p>
    <w:p>
      <w:pPr>
        <w:spacing w:line="240" w:lineRule="auto" w:before="4"/>
        <w:rPr>
          <w:rFonts w:ascii="宋体" w:hAnsi="宋体" w:cs="宋体" w:eastAsia="宋体" w:hint="default"/>
          <w:sz w:val="2"/>
          <w:szCs w:val="2"/>
        </w:rPr>
      </w:pPr>
      <w:r>
        <w:rPr/>
        <w:pict>
          <v:group style="position:absolute;margin-left:277.609985pt;margin-top:745.320007pt;width:123.4pt;height:13.6pt;mso-position-horizontal-relative:page;mso-position-vertical-relative:page;z-index:-647512" coordorigin="5552,14906" coordsize="2468,272">
            <v:shape style="position:absolute;left:5552;top:14906;width:2468;height:272" coordorigin="5552,14906" coordsize="2468,272" path="m5552,15178l8020,15178,8020,14906,5552,14906,5552,15178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28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应付票据保证金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49,514,484.59</w:t>
            </w:r>
          </w:p>
        </w:tc>
      </w:tr>
      <w:tr>
        <w:trPr>
          <w:trHeight w:val="28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4,420,506.35</w:t>
            </w:r>
          </w:p>
        </w:tc>
      </w:tr>
      <w:tr>
        <w:trPr>
          <w:trHeight w:val="28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53,934,990.94</w:t>
            </w:r>
          </w:p>
        </w:tc>
      </w:tr>
    </w:tbl>
    <w:p>
      <w:pPr>
        <w:pStyle w:val="Heading5"/>
        <w:spacing w:line="240" w:lineRule="auto" w:before="62"/>
        <w:ind w:right="142"/>
        <w:jc w:val="left"/>
        <w:rPr>
          <w:b w:val="0"/>
          <w:bCs w:val="0"/>
        </w:rPr>
      </w:pPr>
      <w:r>
        <w:rPr>
          <w:rFonts w:ascii="宋体" w:hAnsi="宋体" w:cs="宋体" w:eastAsia="宋体" w:hint="default"/>
        </w:rPr>
        <w:t>69</w:t>
      </w:r>
      <w:r>
        <w:rPr/>
        <w:t>、现金流量表补充资料</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right="142"/>
        <w:jc w:val="left"/>
        <w:rPr>
          <w:b w:val="0"/>
          <w:bCs w:val="0"/>
        </w:rPr>
      </w:pPr>
      <w:r>
        <w:rPr/>
        <w:t>（</w:t>
      </w:r>
      <w:r>
        <w:rPr>
          <w:rFonts w:ascii="宋体" w:hAnsi="宋体" w:cs="宋体" w:eastAsia="宋体" w:hint="default"/>
        </w:rPr>
        <w:t>1</w:t>
      </w:r>
      <w:r>
        <w:rPr/>
        <w:t>）现金流量表补充资料</w:t>
      </w:r>
      <w:r>
        <w:rPr>
          <w:b w:val="0"/>
          <w:bCs w:val="0"/>
        </w:rPr>
      </w:r>
    </w:p>
    <w:p>
      <w:pPr>
        <w:pStyle w:val="BodyText"/>
        <w:spacing w:line="240" w:lineRule="auto" w:before="99"/>
        <w:ind w:left="0" w:right="1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368"/>
        <w:gridCol w:w="548"/>
        <w:gridCol w:w="1985"/>
        <w:gridCol w:w="2657"/>
      </w:tblGrid>
      <w:tr>
        <w:trPr>
          <w:trHeight w:val="28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1"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84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28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1126" w:right="0"/>
              <w:jc w:val="left"/>
              <w:rPr>
                <w:rFonts w:ascii="宋体" w:hAnsi="宋体" w:cs="宋体" w:eastAsia="宋体" w:hint="default"/>
                <w:sz w:val="21"/>
                <w:szCs w:val="21"/>
              </w:rPr>
            </w:pPr>
            <w:r>
              <w:rPr>
                <w:rFonts w:ascii="宋体"/>
                <w:sz w:val="21"/>
              </w:rPr>
              <w:t>49,798,895.68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44,849,900.92</w:t>
            </w:r>
          </w:p>
        </w:tc>
      </w:tr>
      <w:tr>
        <w:trPr>
          <w:trHeight w:val="28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sz w:val="21"/>
              </w:rPr>
              <w:t>2,278,001.66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841,033.05</w:t>
            </w:r>
          </w:p>
        </w:tc>
      </w:tr>
      <w:tr>
        <w:trPr>
          <w:trHeight w:val="55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固定资产折旧、油气资产折耗、生产性生物资产</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5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2"/>
              <w:ind w:left="1231" w:right="0"/>
              <w:jc w:val="left"/>
              <w:rPr>
                <w:rFonts w:ascii="宋体" w:hAnsi="宋体" w:cs="宋体" w:eastAsia="宋体" w:hint="default"/>
                <w:sz w:val="21"/>
                <w:szCs w:val="21"/>
              </w:rPr>
            </w:pPr>
            <w:r>
              <w:rPr>
                <w:rFonts w:ascii="宋体"/>
                <w:sz w:val="21"/>
              </w:rPr>
              <w:t>3,325,412.90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2,598,456.79</w:t>
            </w:r>
          </w:p>
        </w:tc>
      </w:tr>
      <w:tr>
        <w:trPr>
          <w:trHeight w:val="28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1546" w:right="0"/>
              <w:jc w:val="left"/>
              <w:rPr>
                <w:rFonts w:ascii="宋体" w:hAnsi="宋体" w:cs="宋体" w:eastAsia="宋体" w:hint="default"/>
                <w:sz w:val="21"/>
                <w:szCs w:val="21"/>
              </w:rPr>
            </w:pPr>
            <w:r>
              <w:rPr>
                <w:rFonts w:ascii="宋体"/>
                <w:sz w:val="21"/>
              </w:rPr>
              <w:t>81,905.98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1440" w:right="0"/>
              <w:jc w:val="left"/>
              <w:rPr>
                <w:rFonts w:ascii="宋体" w:hAnsi="宋体" w:cs="宋体" w:eastAsia="宋体" w:hint="default"/>
                <w:sz w:val="21"/>
                <w:szCs w:val="21"/>
              </w:rPr>
            </w:pPr>
            <w:r>
              <w:rPr>
                <w:rFonts w:ascii="宋体"/>
                <w:sz w:val="21"/>
              </w:rPr>
              <w:t>443,349.79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215,278.80</w:t>
            </w:r>
          </w:p>
        </w:tc>
      </w:tr>
      <w:tr>
        <w:trPr>
          <w:trHeight w:val="55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5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1"/>
              <w:ind w:left="1440" w:right="0"/>
              <w:jc w:val="left"/>
              <w:rPr>
                <w:rFonts w:ascii="宋体" w:hAnsi="宋体" w:cs="宋体" w:eastAsia="宋体" w:hint="default"/>
                <w:sz w:val="21"/>
                <w:szCs w:val="21"/>
              </w:rPr>
            </w:pPr>
            <w:r>
              <w:rPr>
                <w:rFonts w:ascii="宋体"/>
                <w:sz w:val="21"/>
              </w:rPr>
              <w:t>-63,610.93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5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2" w:lineRule="exact"/>
              <w:ind w:left="1231" w:right="0"/>
              <w:jc w:val="left"/>
              <w:rPr>
                <w:rFonts w:ascii="宋体" w:hAnsi="宋体" w:cs="宋体" w:eastAsia="宋体" w:hint="default"/>
                <w:sz w:val="21"/>
                <w:szCs w:val="21"/>
              </w:rPr>
            </w:pPr>
            <w:r>
              <w:rPr>
                <w:rFonts w:ascii="宋体"/>
                <w:sz w:val="21"/>
              </w:rPr>
              <w:t>1,588,027.47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1,257,495.77</w:t>
            </w:r>
          </w:p>
        </w:tc>
      </w:tr>
      <w:tr>
        <w:trPr>
          <w:trHeight w:val="28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5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1337" w:right="0"/>
              <w:jc w:val="left"/>
              <w:rPr>
                <w:rFonts w:ascii="宋体" w:hAnsi="宋体" w:cs="宋体" w:eastAsia="宋体" w:hint="default"/>
                <w:sz w:val="21"/>
                <w:szCs w:val="21"/>
              </w:rPr>
            </w:pPr>
            <w:r>
              <w:rPr>
                <w:rFonts w:ascii="宋体"/>
                <w:sz w:val="21"/>
              </w:rPr>
              <w:t>-347,486.17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-19,176.59</w:t>
            </w:r>
          </w:p>
        </w:tc>
      </w:tr>
      <w:tr>
        <w:trPr>
          <w:trHeight w:val="28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5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sz w:val="21"/>
              </w:rPr>
              <w:t>-11,319,524.61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-1,662,666.41</w:t>
            </w:r>
          </w:p>
        </w:tc>
      </w:tr>
      <w:tr>
        <w:trPr>
          <w:trHeight w:val="282" w:hRule="exact"/>
        </w:trPr>
        <w:tc>
          <w:tcPr>
            <w:tcW w:w="436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548" w:type="dxa"/>
            <w:tcBorders>
              <w:top w:val="single" w:sz="4" w:space="0" w:color="000000"/>
              <w:left w:val="single" w:sz="10" w:space="0" w:color="FFFFFF"/>
              <w:bottom w:val="single" w:sz="4" w:space="0" w:color="000000"/>
              <w:right w:val="nil" w:sz="6" w:space="0" w:color="auto"/>
            </w:tcBorders>
          </w:tcPr>
          <w:p>
            <w:pPr>
              <w:pStyle w:val="TableParagraph"/>
              <w:spacing w:line="242" w:lineRule="exact"/>
              <w:ind w:left="-16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487" w:right="0"/>
              <w:jc w:val="left"/>
              <w:rPr>
                <w:rFonts w:ascii="宋体" w:hAnsi="宋体" w:cs="宋体" w:eastAsia="宋体" w:hint="default"/>
                <w:sz w:val="21"/>
                <w:szCs w:val="21"/>
              </w:rPr>
            </w:pPr>
            <w:r>
              <w:rPr>
                <w:rFonts w:ascii="宋体"/>
                <w:sz w:val="21"/>
              </w:rPr>
              <w:t>-73,122,124.80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-31,555,829.87</w:t>
            </w:r>
          </w:p>
        </w:tc>
      </w:tr>
    </w:tbl>
    <w:p>
      <w:pPr>
        <w:spacing w:after="0" w:line="242" w:lineRule="exact"/>
        <w:jc w:val="right"/>
        <w:rPr>
          <w:rFonts w:ascii="宋体" w:hAnsi="宋体" w:cs="宋体" w:eastAsia="宋体" w:hint="default"/>
          <w:sz w:val="21"/>
          <w:szCs w:val="21"/>
        </w:rPr>
        <w:sectPr>
          <w:type w:val="continuous"/>
          <w:pgSz w:w="11910" w:h="16840"/>
          <w:pgMar w:top="1100" w:bottom="1160" w:left="980" w:right="980"/>
        </w:sectPr>
      </w:pPr>
    </w:p>
    <w:p>
      <w:pPr>
        <w:spacing w:line="240" w:lineRule="auto" w:before="6"/>
        <w:rPr>
          <w:rFonts w:ascii="宋体" w:hAnsi="宋体" w:cs="宋体" w:eastAsia="宋体" w:hint="default"/>
          <w:sz w:val="5"/>
          <w:szCs w:val="5"/>
        </w:rPr>
      </w:pPr>
    </w:p>
    <w:tbl>
      <w:tblPr>
        <w:tblW w:w="0" w:type="auto"/>
        <w:jc w:val="left"/>
        <w:tblInd w:w="500" w:type="dxa"/>
        <w:tblLayout w:type="fixed"/>
        <w:tblCellMar>
          <w:top w:w="0" w:type="dxa"/>
          <w:left w:w="0" w:type="dxa"/>
          <w:bottom w:w="0" w:type="dxa"/>
          <w:right w:w="0" w:type="dxa"/>
        </w:tblCellMar>
        <w:tblLook w:val="01E0"/>
      </w:tblPr>
      <w:tblGrid>
        <w:gridCol w:w="4368"/>
        <w:gridCol w:w="2534"/>
        <w:gridCol w:w="2657"/>
      </w:tblGrid>
      <w:tr>
        <w:trPr>
          <w:trHeight w:val="284" w:hRule="exact"/>
        </w:trPr>
        <w:tc>
          <w:tcPr>
            <w:tcW w:w="436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534" w:type="dxa"/>
            <w:tcBorders>
              <w:top w:val="single" w:sz="4" w:space="0" w:color="000000"/>
              <w:left w:val="single" w:sz="10" w:space="0" w:color="FFFFFF"/>
              <w:bottom w:val="single" w:sz="4" w:space="0" w:color="000000"/>
              <w:right w:val="single" w:sz="4" w:space="0" w:color="FFFFFF"/>
            </w:tcBorders>
          </w:tcPr>
          <w:p>
            <w:pPr>
              <w:pStyle w:val="TableParagraph"/>
              <w:tabs>
                <w:tab w:pos="1129" w:val="left" w:leader="none"/>
              </w:tabs>
              <w:spacing w:line="241" w:lineRule="exact"/>
              <w:ind w:left="-163" w:right="17"/>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58,037,732.02</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32,883,113.82</w:t>
            </w:r>
          </w:p>
        </w:tc>
      </w:tr>
      <w:tr>
        <w:trPr>
          <w:trHeight w:val="28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30,700,578.99</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49,407,606.28</w:t>
            </w:r>
          </w:p>
        </w:tc>
      </w:tr>
      <w:tr>
        <w:trPr>
          <w:trHeight w:val="28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1" w:lineRule="exact"/>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28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253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1" w:lineRule="exact"/>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28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215,122,942.59</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121,681,553.01</w:t>
            </w:r>
          </w:p>
        </w:tc>
      </w:tr>
      <w:tr>
        <w:trPr>
          <w:trHeight w:val="28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121,681,553.01</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75,193,135.60</w:t>
            </w:r>
          </w:p>
        </w:tc>
      </w:tr>
      <w:tr>
        <w:trPr>
          <w:trHeight w:val="28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34" w:type="dxa"/>
            <w:tcBorders>
              <w:top w:val="single" w:sz="4" w:space="0" w:color="000000"/>
              <w:left w:val="single" w:sz="12" w:space="0" w:color="D2D2D2"/>
              <w:bottom w:val="single" w:sz="4" w:space="0" w:color="000000"/>
              <w:right w:val="single" w:sz="4" w:space="0" w:color="FFFFFF"/>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93,441,389.58</w:t>
            </w:r>
          </w:p>
        </w:tc>
        <w:tc>
          <w:tcPr>
            <w:tcW w:w="2657" w:type="dxa"/>
            <w:tcBorders>
              <w:top w:val="single" w:sz="4" w:space="0" w:color="000000"/>
              <w:left w:val="single" w:sz="4" w:space="0" w:color="FFFFFF"/>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46,488,417.41</w:t>
            </w:r>
          </w:p>
        </w:tc>
      </w:tr>
    </w:tbl>
    <w:p>
      <w:pPr>
        <w:pStyle w:val="Heading5"/>
        <w:spacing w:line="240" w:lineRule="auto" w:before="64"/>
        <w:ind w:left="492" w:right="3564"/>
        <w:jc w:val="left"/>
        <w:rPr>
          <w:b w:val="0"/>
          <w:bCs w:val="0"/>
        </w:rPr>
      </w:pPr>
      <w:r>
        <w:rPr/>
        <w:pict>
          <v:group style="position:absolute;margin-left:277.609985pt;margin-top:-98.920334pt;width:123.4pt;height:13.75pt;mso-position-horizontal-relative:page;mso-position-vertical-relative:paragraph;z-index:-647488" coordorigin="5552,-1978" coordsize="2468,275">
            <v:shape style="position:absolute;left:5552;top:-1978;width:2468;height:275" coordorigin="5552,-1978" coordsize="2468,275" path="m5552,-1704l8020,-1704,8020,-1978,5552,-1978,5552,-1704xe" filled="true" fillcolor="#ffffff" stroked="false">
              <v:path arrowok="t"/>
              <v:fill type="solid"/>
            </v:shape>
            <w10:wrap type="none"/>
          </v:group>
        </w:pict>
      </w:r>
      <w:r>
        <w:rPr/>
        <w:t>（</w:t>
      </w:r>
      <w:r>
        <w:rPr>
          <w:rFonts w:ascii="宋体" w:hAnsi="宋体" w:cs="宋体" w:eastAsia="宋体" w:hint="default"/>
        </w:rPr>
        <w:t>2</w:t>
      </w:r>
      <w:r>
        <w:rPr/>
        <w:t>）本报告期取得或处置子公司及其他营业单位的相关信息</w:t>
      </w:r>
      <w:r>
        <w:rPr>
          <w:b w:val="0"/>
          <w:bCs w:val="0"/>
        </w:rPr>
      </w:r>
    </w:p>
    <w:p>
      <w:pPr>
        <w:pStyle w:val="BodyText"/>
        <w:spacing w:line="240" w:lineRule="auto" w:before="97"/>
        <w:ind w:left="0" w:right="50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489" w:type="dxa"/>
        <w:tblLayout w:type="fixed"/>
        <w:tblCellMar>
          <w:top w:w="0" w:type="dxa"/>
          <w:left w:w="0" w:type="dxa"/>
          <w:bottom w:w="0" w:type="dxa"/>
          <w:right w:w="0" w:type="dxa"/>
        </w:tblCellMar>
        <w:tblLook w:val="01E0"/>
      </w:tblPr>
      <w:tblGrid>
        <w:gridCol w:w="4389"/>
        <w:gridCol w:w="2523"/>
        <w:gridCol w:w="2645"/>
      </w:tblGrid>
      <w:tr>
        <w:trPr>
          <w:trHeight w:val="28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center"/>
              <w:rPr>
                <w:rFonts w:ascii="宋体" w:hAnsi="宋体" w:cs="宋体" w:eastAsia="宋体" w:hint="default"/>
                <w:sz w:val="21"/>
                <w:szCs w:val="21"/>
              </w:rPr>
            </w:pPr>
            <w:r>
              <w:rPr>
                <w:rFonts w:ascii="宋体"/>
                <w:sz w:val="21"/>
              </w:rPr>
              <w:t>--</w:t>
            </w:r>
          </w:p>
        </w:tc>
      </w:tr>
      <w:tr>
        <w:trPr>
          <w:trHeight w:val="284"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center"/>
              <w:rPr>
                <w:rFonts w:ascii="宋体" w:hAnsi="宋体" w:cs="宋体" w:eastAsia="宋体" w:hint="default"/>
                <w:sz w:val="21"/>
                <w:szCs w:val="21"/>
              </w:rPr>
            </w:pPr>
            <w:r>
              <w:rPr>
                <w:rFonts w:ascii="宋体"/>
                <w:sz w:val="21"/>
              </w:rPr>
              <w:t>--</w:t>
            </w:r>
          </w:p>
        </w:tc>
      </w:tr>
    </w:tbl>
    <w:p>
      <w:pPr>
        <w:pStyle w:val="Heading5"/>
        <w:spacing w:line="240" w:lineRule="auto" w:before="64"/>
        <w:ind w:left="492" w:right="3564"/>
        <w:jc w:val="left"/>
        <w:rPr>
          <w:b w:val="0"/>
          <w:bCs w:val="0"/>
        </w:rPr>
      </w:pPr>
      <w:r>
        <w:rPr/>
        <w:t>（</w:t>
      </w:r>
      <w:r>
        <w:rPr>
          <w:rFonts w:ascii="宋体" w:hAnsi="宋体" w:cs="宋体" w:eastAsia="宋体" w:hint="default"/>
        </w:rPr>
        <w:t>3</w:t>
      </w:r>
      <w:r>
        <w:rPr/>
        <w:t>）现金和现金等价物的构成</w:t>
      </w:r>
      <w:r>
        <w:rPr>
          <w:b w:val="0"/>
          <w:bCs w:val="0"/>
        </w:rPr>
      </w:r>
    </w:p>
    <w:p>
      <w:pPr>
        <w:pStyle w:val="BodyText"/>
        <w:spacing w:line="240" w:lineRule="auto" w:before="99"/>
        <w:ind w:left="0" w:right="50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4365"/>
        <w:gridCol w:w="2536"/>
        <w:gridCol w:w="2657"/>
      </w:tblGrid>
      <w:tr>
        <w:trPr>
          <w:trHeight w:val="28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215,122,942.59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121,681,553.01</w:t>
            </w:r>
          </w:p>
        </w:tc>
      </w:tr>
      <w:tr>
        <w:trPr>
          <w:trHeight w:val="28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97,047.36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93,562.69</w:t>
            </w:r>
          </w:p>
        </w:tc>
      </w:tr>
      <w:tr>
        <w:trPr>
          <w:trHeight w:val="28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213,241,285.23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109,358,713.32</w:t>
            </w:r>
          </w:p>
        </w:tc>
      </w:tr>
      <w:tr>
        <w:trPr>
          <w:trHeight w:val="28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1,784,610.00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12,229,277.00</w:t>
            </w:r>
          </w:p>
        </w:tc>
      </w:tr>
      <w:tr>
        <w:trPr>
          <w:trHeight w:val="28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215,122,942.59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121,681,553.01</w:t>
            </w:r>
          </w:p>
        </w:tc>
      </w:tr>
    </w:tbl>
    <w:p>
      <w:pPr>
        <w:pStyle w:val="Heading5"/>
        <w:spacing w:line="400" w:lineRule="auto" w:before="62"/>
        <w:ind w:left="492" w:right="7182"/>
        <w:jc w:val="left"/>
        <w:rPr>
          <w:rFonts w:ascii="宋体" w:hAnsi="宋体" w:cs="宋体" w:eastAsia="宋体" w:hint="default"/>
          <w:b w:val="0"/>
          <w:bCs w:val="0"/>
        </w:rPr>
      </w:pPr>
      <w:r>
        <w:rPr>
          <w:rFonts w:ascii="宋体" w:hAnsi="宋体" w:cs="宋体" w:eastAsia="宋体" w:hint="default"/>
        </w:rPr>
        <w:t>70</w:t>
      </w:r>
      <w:r>
        <w:rPr/>
        <w:t>、所有者权益变动表项目注释</w:t>
      </w:r>
      <w:r>
        <w:rPr>
          <w:w w:val="100"/>
        </w:rPr>
        <w:t> </w:t>
      </w:r>
      <w:r>
        <w:rPr>
          <w:rFonts w:ascii="宋体" w:hAnsi="宋体" w:cs="宋体" w:eastAsia="宋体" w:hint="default"/>
          <w:b w:val="0"/>
          <w:bCs w:val="0"/>
        </w:rPr>
        <w:t>无</w:t>
      </w:r>
    </w:p>
    <w:p>
      <w:pPr>
        <w:spacing w:line="396" w:lineRule="auto" w:before="51"/>
        <w:ind w:left="492" w:right="3564" w:firstLine="0"/>
        <w:jc w:val="left"/>
        <w:rPr>
          <w:rFonts w:ascii="宋体" w:hAnsi="宋体" w:cs="宋体" w:eastAsia="宋体" w:hint="default"/>
          <w:sz w:val="21"/>
          <w:szCs w:val="21"/>
        </w:rPr>
      </w:pPr>
      <w:r>
        <w:rPr>
          <w:rFonts w:ascii="宋体" w:hAnsi="宋体" w:cs="宋体" w:eastAsia="宋体" w:hint="default"/>
          <w:b/>
          <w:bCs/>
          <w:sz w:val="24"/>
          <w:szCs w:val="24"/>
        </w:rPr>
        <w:t>八、资产证券化业务的会计处理</w:t>
      </w:r>
      <w:r>
        <w:rPr>
          <w:rFonts w:ascii="宋体" w:hAnsi="宋体" w:cs="宋体" w:eastAsia="宋体" w:hint="default"/>
          <w:b/>
          <w:bCs/>
          <w:w w:val="99"/>
          <w:sz w:val="24"/>
          <w:szCs w:val="24"/>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、说明资产证券化业务的主要交易安排及其会计处理、破产隔离条款</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无</w:t>
      </w:r>
    </w:p>
    <w:p>
      <w:pPr>
        <w:pStyle w:val="Heading5"/>
        <w:spacing w:line="231" w:lineRule="exact"/>
        <w:ind w:left="492" w:right="3564"/>
        <w:jc w:val="left"/>
        <w:rPr>
          <w:b w:val="0"/>
          <w:bCs w:val="0"/>
        </w:rPr>
      </w:pPr>
      <w:r>
        <w:rPr>
          <w:rFonts w:ascii="宋体" w:hAnsi="宋体" w:cs="宋体" w:eastAsia="宋体" w:hint="default"/>
        </w:rPr>
        <w:t>2</w:t>
      </w:r>
      <w:r>
        <w:rPr/>
        <w:t>、公司不具有控制权但实质上承担其风险的特殊目的主体情况</w:t>
      </w:r>
      <w:r>
        <w:rPr>
          <w:b w:val="0"/>
          <w:bCs w:val="0"/>
        </w:rPr>
      </w:r>
    </w:p>
    <w:p>
      <w:pPr>
        <w:spacing w:line="240" w:lineRule="auto" w:before="11"/>
        <w:rPr>
          <w:rFonts w:ascii="宋体" w:hAnsi="宋体" w:cs="宋体" w:eastAsia="宋体" w:hint="default"/>
          <w:b/>
          <w:bCs/>
          <w:sz w:val="13"/>
          <w:szCs w:val="13"/>
        </w:rPr>
      </w:pPr>
    </w:p>
    <w:p>
      <w:pPr>
        <w:spacing w:line="400" w:lineRule="auto" w:before="0"/>
        <w:ind w:left="492" w:right="7725"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4"/>
          <w:szCs w:val="24"/>
        </w:rPr>
        <w:t>九、关联方及关联交易</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Heading5"/>
        <w:spacing w:line="441" w:lineRule="auto" w:before="88"/>
        <w:ind w:left="492" w:right="7920"/>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2</w:t>
      </w:r>
      <w:r>
        <w:rPr/>
        <w:t>、本企业的子公司情况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36"/>
        <w:ind w:left="0" w:right="508"/>
        <w:jc w:val="right"/>
      </w:pPr>
      <w:r>
        <w:rPr/>
        <w:t>单位：</w:t>
      </w:r>
      <w:r>
        <w:rPr>
          <w:spacing w:val="1"/>
        </w:rPr>
        <w:t> </w:t>
      </w:r>
      <w:r>
        <w:rPr/>
        <w:t>万元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55"/>
        <w:gridCol w:w="1260"/>
        <w:gridCol w:w="958"/>
        <w:gridCol w:w="794"/>
        <w:gridCol w:w="1200"/>
        <w:gridCol w:w="958"/>
        <w:gridCol w:w="955"/>
        <w:gridCol w:w="958"/>
        <w:gridCol w:w="955"/>
        <w:gridCol w:w="1214"/>
      </w:tblGrid>
      <w:tr>
        <w:trPr>
          <w:trHeight w:val="554" w:hRule="exact"/>
        </w:trPr>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8"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left="1" w:right="0"/>
              <w:jc w:val="center"/>
              <w:rPr>
                <w:rFonts w:ascii="宋体" w:hAnsi="宋体" w:cs="宋体" w:eastAsia="宋体" w:hint="default"/>
                <w:sz w:val="21"/>
                <w:szCs w:val="21"/>
              </w:rPr>
            </w:pPr>
            <w:r>
              <w:rPr>
                <w:rFonts w:ascii="宋体"/>
                <w:sz w:val="21"/>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表决权比</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826"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沈阳荣科全</w:t>
            </w:r>
          </w:p>
          <w:p>
            <w:pPr>
              <w:pStyle w:val="TableParagraph"/>
              <w:spacing w:line="272" w:lineRule="exact" w:before="27"/>
              <w:ind w:left="24" w:right="65"/>
              <w:jc w:val="left"/>
              <w:rPr>
                <w:rFonts w:ascii="宋体" w:hAnsi="宋体" w:cs="宋体" w:eastAsia="宋体" w:hint="default"/>
                <w:sz w:val="21"/>
                <w:szCs w:val="21"/>
              </w:rPr>
            </w:pPr>
            <w:r>
              <w:rPr>
                <w:rFonts w:ascii="宋体" w:hAnsi="宋体" w:cs="宋体" w:eastAsia="宋体" w:hint="default"/>
                <w:sz w:val="21"/>
                <w:szCs w:val="21"/>
              </w:rPr>
              <w:t>濠科技有限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w:t>
            </w:r>
          </w:p>
          <w:p>
            <w:pPr>
              <w:pStyle w:val="TableParagraph"/>
              <w:spacing w:line="272" w:lineRule="exact" w:before="27"/>
              <w:ind w:left="23" w:right="79"/>
              <w:jc w:val="left"/>
              <w:rPr>
                <w:rFonts w:ascii="宋体" w:hAnsi="宋体" w:cs="宋体" w:eastAsia="宋体" w:hint="default"/>
                <w:sz w:val="21"/>
                <w:szCs w:val="21"/>
              </w:rPr>
            </w:pPr>
            <w:r>
              <w:rPr>
                <w:rFonts w:ascii="宋体" w:hAnsi="宋体" w:cs="宋体" w:eastAsia="宋体" w:hint="default"/>
                <w:sz w:val="21"/>
                <w:szCs w:val="21"/>
              </w:rPr>
              <w:t>硬件技术</w:t>
            </w:r>
            <w:r>
              <w:rPr>
                <w:rFonts w:ascii="宋体" w:hAnsi="宋体" w:cs="宋体" w:eastAsia="宋体" w:hint="default"/>
                <w:w w:val="100"/>
                <w:sz w:val="21"/>
                <w:szCs w:val="21"/>
              </w:rPr>
              <w:t> </w:t>
            </w:r>
            <w:r>
              <w:rPr>
                <w:rFonts w:ascii="宋体" w:hAnsi="宋体" w:cs="宋体" w:eastAsia="宋体" w:hint="default"/>
                <w:sz w:val="21"/>
                <w:szCs w:val="21"/>
              </w:rPr>
              <w:t>开发等</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500.00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70.00%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70.00%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sz w:val="21"/>
              </w:rPr>
              <w:t>69198274-3</w:t>
            </w:r>
          </w:p>
        </w:tc>
      </w:tr>
      <w:tr>
        <w:trPr>
          <w:trHeight w:val="557"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辽宁荣科金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融服务有限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铁岭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金融技术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咨询服</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center"/>
              <w:rPr>
                <w:rFonts w:ascii="宋体" w:hAnsi="宋体" w:cs="宋体" w:eastAsia="宋体" w:hint="default"/>
                <w:sz w:val="21"/>
                <w:szCs w:val="21"/>
              </w:rPr>
            </w:pPr>
            <w:r>
              <w:rPr>
                <w:rFonts w:ascii="宋体"/>
                <w:sz w:val="21"/>
              </w:rPr>
              <w:t>55819639-9</w:t>
            </w:r>
          </w:p>
        </w:tc>
      </w:tr>
    </w:tbl>
    <w:p>
      <w:pPr>
        <w:spacing w:after="0" w:line="240" w:lineRule="auto"/>
        <w:jc w:val="center"/>
        <w:rPr>
          <w:rFonts w:ascii="宋体" w:hAnsi="宋体" w:cs="宋体" w:eastAsia="宋体" w:hint="default"/>
          <w:sz w:val="21"/>
          <w:szCs w:val="21"/>
        </w:rPr>
        <w:sectPr>
          <w:pgSz w:w="11910" w:h="16840"/>
          <w:pgMar w:header="566" w:footer="979" w:top="1360" w:bottom="1160" w:left="640" w:right="620"/>
        </w:sectPr>
      </w:pP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155"/>
        <w:gridCol w:w="1260"/>
        <w:gridCol w:w="958"/>
        <w:gridCol w:w="794"/>
        <w:gridCol w:w="1200"/>
        <w:gridCol w:w="958"/>
        <w:gridCol w:w="955"/>
        <w:gridCol w:w="958"/>
        <w:gridCol w:w="955"/>
        <w:gridCol w:w="1214"/>
      </w:tblGrid>
      <w:tr>
        <w:trPr>
          <w:trHeight w:val="1100"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务，计算</w:t>
            </w:r>
          </w:p>
          <w:p>
            <w:pPr>
              <w:pStyle w:val="TableParagraph"/>
              <w:spacing w:line="237" w:lineRule="auto" w:before="2"/>
              <w:ind w:left="23" w:right="79"/>
              <w:jc w:val="both"/>
              <w:rPr>
                <w:rFonts w:ascii="宋体" w:hAnsi="宋体" w:cs="宋体" w:eastAsia="宋体" w:hint="default"/>
                <w:sz w:val="21"/>
                <w:szCs w:val="21"/>
              </w:rPr>
            </w:pPr>
            <w:r>
              <w:rPr>
                <w:rFonts w:ascii="宋体" w:hAnsi="宋体" w:cs="宋体" w:eastAsia="宋体" w:hint="default"/>
                <w:sz w:val="21"/>
                <w:szCs w:val="21"/>
              </w:rPr>
              <w:t>机软硬件</w:t>
            </w:r>
            <w:r>
              <w:rPr>
                <w:rFonts w:ascii="宋体" w:hAnsi="宋体" w:cs="宋体" w:eastAsia="宋体" w:hint="default"/>
                <w:w w:val="100"/>
                <w:sz w:val="21"/>
                <w:szCs w:val="21"/>
              </w:rPr>
              <w:t> </w:t>
            </w:r>
            <w:r>
              <w:rPr>
                <w:rFonts w:ascii="宋体" w:hAnsi="宋体" w:cs="宋体" w:eastAsia="宋体" w:hint="default"/>
                <w:sz w:val="21"/>
                <w:szCs w:val="21"/>
              </w:rPr>
              <w:t>技术开发</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北京荣科爱</w:t>
            </w:r>
          </w:p>
          <w:p>
            <w:pPr>
              <w:pStyle w:val="TableParagraph"/>
              <w:spacing w:line="272" w:lineRule="exact" w:before="27"/>
              <w:ind w:left="24" w:right="65"/>
              <w:jc w:val="left"/>
              <w:rPr>
                <w:rFonts w:ascii="宋体" w:hAnsi="宋体" w:cs="宋体" w:eastAsia="宋体" w:hint="default"/>
                <w:sz w:val="21"/>
                <w:szCs w:val="21"/>
              </w:rPr>
            </w:pPr>
            <w:r>
              <w:rPr>
                <w:rFonts w:ascii="宋体" w:hAnsi="宋体" w:cs="宋体" w:eastAsia="宋体" w:hint="default"/>
                <w:sz w:val="21"/>
                <w:szCs w:val="21"/>
              </w:rPr>
              <w:t>信科技有限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技术推广</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56742333-8</w:t>
            </w:r>
          </w:p>
        </w:tc>
      </w:tr>
    </w:tbl>
    <w:p>
      <w:pPr>
        <w:pStyle w:val="Heading5"/>
        <w:spacing w:line="398" w:lineRule="auto" w:before="62"/>
        <w:ind w:left="492" w:right="7092"/>
        <w:jc w:val="left"/>
        <w:rPr>
          <w:rFonts w:ascii="宋体" w:hAnsi="宋体" w:cs="宋体" w:eastAsia="宋体" w:hint="default"/>
          <w:b w:val="0"/>
          <w:bCs w:val="0"/>
        </w:rPr>
      </w:pPr>
      <w:r>
        <w:rPr>
          <w:rFonts w:ascii="宋体" w:hAnsi="宋体" w:cs="宋体" w:eastAsia="宋体" w:hint="default"/>
          <w:spacing w:val="-1"/>
        </w:rPr>
        <w:t>3</w:t>
      </w:r>
      <w:r>
        <w:rPr>
          <w:spacing w:val="-1"/>
        </w:rPr>
        <w:t>、本企业的合营和联营企业情况</w:t>
      </w:r>
      <w:r>
        <w:rPr>
          <w:spacing w:val="-93"/>
        </w:rPr>
        <w:t> </w:t>
      </w:r>
      <w:r>
        <w:rPr>
          <w:spacing w:val="-93"/>
        </w:rPr>
      </w:r>
      <w:r>
        <w:rPr>
          <w:rFonts w:ascii="宋体" w:hAnsi="宋体" w:cs="宋体" w:eastAsia="宋体" w:hint="default"/>
          <w:b w:val="0"/>
          <w:bCs w:val="0"/>
        </w:rPr>
        <w:t>无</w:t>
      </w:r>
    </w:p>
    <w:p>
      <w:pPr>
        <w:pStyle w:val="Heading5"/>
        <w:spacing w:line="231" w:lineRule="exact"/>
        <w:ind w:left="492" w:right="3564"/>
        <w:jc w:val="left"/>
        <w:rPr>
          <w:b w:val="0"/>
          <w:bCs w:val="0"/>
        </w:rPr>
      </w:pPr>
      <w:r>
        <w:rPr>
          <w:rFonts w:ascii="宋体" w:hAnsi="宋体" w:cs="宋体" w:eastAsia="宋体" w:hint="default"/>
        </w:rPr>
        <w:t>4</w:t>
      </w:r>
      <w:r>
        <w:rPr/>
        <w:t>、本企业的其他关联方情况</w:t>
      </w:r>
      <w:r>
        <w:rPr>
          <w:b w:val="0"/>
          <w:bCs w:val="0"/>
        </w:rPr>
      </w:r>
    </w:p>
    <w:p>
      <w:pPr>
        <w:spacing w:line="240" w:lineRule="auto" w:before="6"/>
        <w:rPr>
          <w:rFonts w:ascii="宋体" w:hAnsi="宋体" w:cs="宋体" w:eastAsia="宋体" w:hint="default"/>
          <w:b/>
          <w:bCs/>
          <w:sz w:val="16"/>
          <w:szCs w:val="16"/>
        </w:rPr>
      </w:pPr>
    </w:p>
    <w:tbl>
      <w:tblPr>
        <w:tblW w:w="0" w:type="auto"/>
        <w:jc w:val="left"/>
        <w:tblInd w:w="178" w:type="dxa"/>
        <w:tblLayout w:type="fixed"/>
        <w:tblCellMar>
          <w:top w:w="0" w:type="dxa"/>
          <w:left w:w="0" w:type="dxa"/>
          <w:bottom w:w="0" w:type="dxa"/>
          <w:right w:w="0" w:type="dxa"/>
        </w:tblCellMar>
        <w:tblLook w:val="01E0"/>
      </w:tblPr>
      <w:tblGrid>
        <w:gridCol w:w="3188"/>
        <w:gridCol w:w="3879"/>
        <w:gridCol w:w="3193"/>
      </w:tblGrid>
      <w:tr>
        <w:trPr>
          <w:trHeight w:val="28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本公司法定代表人、总经理、本公司股东</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付艳杰之兄</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62"/>
        <w:ind w:left="492" w:right="3564"/>
        <w:jc w:val="left"/>
        <w:rPr>
          <w:b w:val="0"/>
          <w:bCs w:val="0"/>
        </w:rPr>
      </w:pPr>
      <w:r>
        <w:rPr>
          <w:rFonts w:ascii="宋体" w:hAnsi="宋体" w:cs="宋体" w:eastAsia="宋体" w:hint="default"/>
        </w:rPr>
        <w:t>5</w:t>
      </w:r>
      <w:r>
        <w:rPr/>
        <w:t>、关联方交易</w:t>
      </w:r>
      <w:r>
        <w:rPr>
          <w:b w:val="0"/>
          <w:bCs w:val="0"/>
        </w:rPr>
      </w:r>
    </w:p>
    <w:p>
      <w:pPr>
        <w:spacing w:line="240" w:lineRule="auto" w:before="12"/>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566" w:footer="979" w:top="1360" w:bottom="1160" w:left="640" w:right="620"/>
        </w:sectPr>
      </w:pPr>
    </w:p>
    <w:p>
      <w:pPr>
        <w:pStyle w:val="Heading5"/>
        <w:spacing w:line="326" w:lineRule="auto" w:before="36"/>
        <w:ind w:left="492" w:right="-4"/>
        <w:jc w:val="left"/>
        <w:rPr>
          <w:rFonts w:ascii="宋体" w:hAnsi="宋体" w:cs="宋体" w:eastAsia="宋体" w:hint="default"/>
          <w:b w:val="0"/>
          <w:bCs w:val="0"/>
        </w:rPr>
      </w:pPr>
      <w:r>
        <w:rPr>
          <w:spacing w:val="-1"/>
        </w:rPr>
        <w:t>（</w:t>
      </w:r>
      <w:r>
        <w:rPr>
          <w:rFonts w:ascii="宋体" w:hAnsi="宋体" w:cs="宋体" w:eastAsia="宋体" w:hint="default"/>
          <w:spacing w:val="-1"/>
        </w:rPr>
        <w:t>1</w:t>
      </w:r>
      <w:r>
        <w:rPr>
          <w:spacing w:val="-1"/>
        </w:rPr>
        <w:t>）采购商品、接受劳务情况表</w:t>
      </w:r>
      <w:r>
        <w:rPr>
          <w:spacing w:val="-92"/>
        </w:rPr>
        <w:t> </w:t>
      </w:r>
      <w:r>
        <w:rPr>
          <w:spacing w:val="-92"/>
        </w:rPr>
      </w:r>
      <w:r>
        <w:rPr>
          <w:rFonts w:ascii="宋体" w:hAnsi="宋体" w:cs="宋体" w:eastAsia="宋体" w:hint="default"/>
          <w:b w:val="0"/>
          <w:bCs w:val="0"/>
        </w:rPr>
        <w:t>无</w:t>
      </w:r>
    </w:p>
    <w:p>
      <w:pPr>
        <w:pStyle w:val="Heading5"/>
        <w:spacing w:line="326" w:lineRule="auto" w:before="19"/>
        <w:ind w:left="492" w:right="719"/>
        <w:jc w:val="left"/>
        <w:rPr>
          <w:rFonts w:ascii="宋体" w:hAnsi="宋体" w:cs="宋体" w:eastAsia="宋体" w:hint="default"/>
          <w:b w:val="0"/>
          <w:bCs w:val="0"/>
        </w:rPr>
      </w:pPr>
      <w:r>
        <w:rPr/>
        <w:t>（</w:t>
      </w:r>
      <w:r>
        <w:rPr>
          <w:rFonts w:ascii="宋体" w:hAnsi="宋体" w:cs="宋体" w:eastAsia="宋体" w:hint="default"/>
        </w:rPr>
        <w:t>2</w:t>
      </w:r>
      <w:r>
        <w:rPr/>
        <w:t>）关联托管</w:t>
      </w:r>
      <w:r>
        <w:rPr>
          <w:rFonts w:ascii="宋体" w:hAnsi="宋体" w:cs="宋体" w:eastAsia="宋体" w:hint="default"/>
        </w:rPr>
        <w:t>/</w:t>
      </w:r>
      <w:r>
        <w:rPr/>
        <w:t>承包情况</w:t>
      </w:r>
      <w:r>
        <w:rPr>
          <w:spacing w:val="-104"/>
        </w:rPr>
        <w:t> </w:t>
      </w:r>
      <w:r>
        <w:rPr>
          <w:rFonts w:ascii="宋体" w:hAnsi="宋体" w:cs="宋体" w:eastAsia="宋体" w:hint="default"/>
          <w:b w:val="0"/>
          <w:bCs w:val="0"/>
        </w:rPr>
        <w:t>无</w:t>
      </w:r>
    </w:p>
    <w:p>
      <w:pPr>
        <w:pStyle w:val="Heading5"/>
        <w:spacing w:line="326" w:lineRule="auto" w:before="19"/>
        <w:ind w:left="492" w:right="1246"/>
        <w:jc w:val="left"/>
        <w:rPr>
          <w:rFonts w:ascii="宋体" w:hAnsi="宋体" w:cs="宋体" w:eastAsia="宋体" w:hint="default"/>
          <w:b w:val="0"/>
          <w:bCs w:val="0"/>
        </w:rPr>
      </w:pPr>
      <w:r>
        <w:rPr/>
        <w:t>（</w:t>
      </w:r>
      <w:r>
        <w:rPr>
          <w:rFonts w:ascii="宋体" w:hAnsi="宋体" w:cs="宋体" w:eastAsia="宋体" w:hint="default"/>
        </w:rPr>
        <w:t>3</w:t>
      </w:r>
      <w:r>
        <w:rPr/>
        <w:t>）关联租赁情况</w:t>
      </w:r>
      <w:r>
        <w:rPr>
          <w:spacing w:val="-103"/>
        </w:rPr>
        <w:t> </w:t>
      </w:r>
      <w:r>
        <w:rPr>
          <w:rFonts w:ascii="宋体" w:hAnsi="宋体" w:cs="宋体" w:eastAsia="宋体" w:hint="default"/>
          <w:b w:val="0"/>
          <w:bCs w:val="0"/>
        </w:rPr>
        <w:t>无</w:t>
      </w:r>
    </w:p>
    <w:p>
      <w:pPr>
        <w:pStyle w:val="Heading5"/>
        <w:spacing w:line="240" w:lineRule="auto" w:before="21"/>
        <w:ind w:left="492" w:right="-4"/>
        <w:jc w:val="left"/>
        <w:rPr>
          <w:b w:val="0"/>
          <w:bCs w:val="0"/>
        </w:rPr>
      </w:pPr>
      <w:r>
        <w:rPr/>
        <w:t>（</w:t>
      </w:r>
      <w:r>
        <w:rPr>
          <w:rFonts w:ascii="宋体" w:hAnsi="宋体" w:cs="宋体" w:eastAsia="宋体" w:hint="default"/>
        </w:rPr>
        <w:t>4</w:t>
      </w:r>
      <w:r>
        <w:rPr/>
        <w:t>）关联担保情况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pStyle w:val="BodyText"/>
        <w:spacing w:line="240" w:lineRule="auto"/>
        <w:ind w:left="492" w:right="0"/>
        <w:jc w:val="left"/>
      </w:pPr>
      <w:r>
        <w:rPr/>
        <w:t>单位：</w:t>
      </w:r>
      <w:r>
        <w:rPr>
          <w:spacing w:val="2"/>
        </w:rPr>
        <w:t> </w:t>
      </w:r>
      <w:r>
        <w:rPr/>
        <w:t>元</w:t>
      </w:r>
    </w:p>
    <w:p>
      <w:pPr>
        <w:spacing w:after="0" w:line="240" w:lineRule="auto"/>
        <w:jc w:val="left"/>
        <w:sectPr>
          <w:type w:val="continuous"/>
          <w:pgSz w:w="11910" w:h="16840"/>
          <w:pgMar w:top="1100" w:bottom="1160" w:left="640" w:right="620"/>
          <w:cols w:num="2" w:equalWidth="0">
            <w:col w:w="3552" w:space="5143"/>
            <w:col w:w="1955"/>
          </w:cols>
        </w:sectPr>
      </w:pPr>
    </w:p>
    <w:p>
      <w:pPr>
        <w:spacing w:line="240" w:lineRule="auto" w:before="4"/>
        <w:rPr>
          <w:rFonts w:ascii="宋体" w:hAnsi="宋体" w:cs="宋体" w:eastAsia="宋体" w:hint="default"/>
          <w:sz w:val="2"/>
          <w:szCs w:val="2"/>
        </w:rPr>
      </w:pPr>
    </w:p>
    <w:tbl>
      <w:tblPr>
        <w:tblW w:w="0" w:type="auto"/>
        <w:jc w:val="left"/>
        <w:tblInd w:w="276" w:type="dxa"/>
        <w:tblLayout w:type="fixed"/>
        <w:tblCellMar>
          <w:top w:w="0" w:type="dxa"/>
          <w:left w:w="0" w:type="dxa"/>
          <w:bottom w:w="0" w:type="dxa"/>
          <w:right w:w="0" w:type="dxa"/>
        </w:tblCellMar>
        <w:tblLook w:val="01E0"/>
      </w:tblPr>
      <w:tblGrid>
        <w:gridCol w:w="1157"/>
        <w:gridCol w:w="1594"/>
        <w:gridCol w:w="1594"/>
        <w:gridCol w:w="1726"/>
        <w:gridCol w:w="1786"/>
        <w:gridCol w:w="2228"/>
      </w:tblGrid>
      <w:tr>
        <w:trPr>
          <w:trHeight w:val="283"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8"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崔万涛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荣科科技股份有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80,000,000.00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14</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付永全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荣科科技股份有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80,000,000.00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14</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exact"/>
        <w:ind w:left="492" w:right="3564"/>
        <w:jc w:val="left"/>
      </w:pPr>
      <w:r>
        <w:rPr/>
        <w:t>关联担保情况说明</w:t>
      </w:r>
    </w:p>
    <w:p>
      <w:pPr>
        <w:pStyle w:val="BodyText"/>
        <w:spacing w:line="272" w:lineRule="exact"/>
        <w:ind w:left="913" w:right="0"/>
        <w:jc w:val="left"/>
      </w:pP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14</w:t>
      </w:r>
      <w:r>
        <w:rPr/>
        <w:t>日，崔万涛、付永全分别与浦发银行签订《最高额保证合同》，为公司与浦发银行在自</w:t>
      </w:r>
    </w:p>
    <w:p>
      <w:pPr>
        <w:pStyle w:val="BodyText"/>
        <w:spacing w:line="240" w:lineRule="auto"/>
        <w:ind w:left="492" w:right="0"/>
        <w:jc w:val="left"/>
      </w:pP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14</w:t>
      </w:r>
      <w:r>
        <w:rPr/>
        <w:t>日至</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5</w:t>
      </w:r>
      <w:r>
        <w:rPr/>
        <w:t>日止的期间发生的各类融资业务提供实际担保金额不超过人民币</w:t>
      </w:r>
      <w:r>
        <w:rPr>
          <w:rFonts w:ascii="宋体" w:hAnsi="宋体" w:cs="宋体" w:eastAsia="宋体" w:hint="default"/>
        </w:rPr>
        <w:t>8,000</w:t>
      </w:r>
      <w:r>
        <w:rPr/>
        <w:t>万</w:t>
      </w:r>
      <w:r>
        <w:rPr>
          <w:spacing w:val="69"/>
        </w:rPr>
        <w:t> </w:t>
      </w:r>
      <w:r>
        <w:rPr/>
        <w:t>元连带责任保证。</w:t>
      </w:r>
    </w:p>
    <w:p>
      <w:pPr>
        <w:spacing w:line="240" w:lineRule="auto" w:before="13"/>
        <w:rPr>
          <w:rFonts w:ascii="宋体" w:hAnsi="宋体" w:cs="宋体" w:eastAsia="宋体" w:hint="default"/>
          <w:sz w:val="27"/>
          <w:szCs w:val="27"/>
        </w:rPr>
      </w:pPr>
    </w:p>
    <w:p>
      <w:pPr>
        <w:pStyle w:val="Heading5"/>
        <w:spacing w:line="326" w:lineRule="auto"/>
        <w:ind w:left="492" w:right="8131"/>
        <w:jc w:val="left"/>
        <w:rPr>
          <w:rFonts w:ascii="宋体" w:hAnsi="宋体" w:cs="宋体" w:eastAsia="宋体" w:hint="default"/>
          <w:b w:val="0"/>
          <w:bCs w:val="0"/>
        </w:rPr>
      </w:pPr>
      <w:r>
        <w:rPr/>
        <w:t>（</w:t>
      </w:r>
      <w:r>
        <w:rPr>
          <w:rFonts w:ascii="宋体" w:hAnsi="宋体" w:cs="宋体" w:eastAsia="宋体" w:hint="default"/>
        </w:rPr>
        <w:t>5</w:t>
      </w:r>
      <w:r>
        <w:rPr/>
        <w:t>）关联方资金拆借</w:t>
      </w:r>
      <w:r>
        <w:rPr>
          <w:spacing w:val="-103"/>
        </w:rPr>
        <w:t> </w:t>
      </w:r>
      <w:r>
        <w:rPr>
          <w:rFonts w:ascii="宋体" w:hAnsi="宋体" w:cs="宋体" w:eastAsia="宋体" w:hint="default"/>
          <w:b w:val="0"/>
          <w:bCs w:val="0"/>
        </w:rPr>
        <w:t>无</w:t>
      </w:r>
    </w:p>
    <w:p>
      <w:pPr>
        <w:pStyle w:val="Heading5"/>
        <w:spacing w:line="326" w:lineRule="auto" w:before="21"/>
        <w:ind w:left="492" w:right="6655"/>
        <w:jc w:val="left"/>
        <w:rPr>
          <w:rFonts w:ascii="宋体" w:hAnsi="宋体" w:cs="宋体" w:eastAsia="宋体" w:hint="default"/>
          <w:b w:val="0"/>
          <w:bCs w:val="0"/>
        </w:rPr>
      </w:pPr>
      <w:r>
        <w:rPr/>
        <w:t>（</w:t>
      </w:r>
      <w:r>
        <w:rPr>
          <w:rFonts w:ascii="宋体" w:hAnsi="宋体" w:cs="宋体" w:eastAsia="宋体" w:hint="default"/>
        </w:rPr>
        <w:t>6</w:t>
      </w:r>
      <w:r>
        <w:rPr/>
        <w:t>）关联方资产转让、债务重组情况</w:t>
      </w:r>
      <w:r>
        <w:rPr>
          <w:w w:val="100"/>
        </w:rPr>
        <w:t> </w:t>
      </w:r>
      <w:r>
        <w:rPr>
          <w:rFonts w:ascii="宋体" w:hAnsi="宋体" w:cs="宋体" w:eastAsia="宋体" w:hint="default"/>
          <w:b w:val="0"/>
          <w:bCs w:val="0"/>
        </w:rPr>
        <w:t>无</w:t>
      </w:r>
    </w:p>
    <w:p>
      <w:pPr>
        <w:pStyle w:val="Heading5"/>
        <w:spacing w:line="326" w:lineRule="auto" w:before="19"/>
        <w:ind w:left="492" w:right="8342"/>
        <w:jc w:val="left"/>
        <w:rPr>
          <w:rFonts w:ascii="宋体" w:hAnsi="宋体" w:cs="宋体" w:eastAsia="宋体" w:hint="default"/>
          <w:b w:val="0"/>
          <w:bCs w:val="0"/>
        </w:rPr>
      </w:pPr>
      <w:r>
        <w:rPr/>
        <w:t>（</w:t>
      </w:r>
      <w:r>
        <w:rPr>
          <w:rFonts w:ascii="宋体" w:hAnsi="宋体" w:cs="宋体" w:eastAsia="宋体" w:hint="default"/>
        </w:rPr>
        <w:t>7</w:t>
      </w:r>
      <w:r>
        <w:rPr/>
        <w:t>）其他关联交易</w:t>
      </w:r>
      <w:r>
        <w:rPr>
          <w:spacing w:val="-103"/>
        </w:rPr>
        <w:t> </w:t>
      </w:r>
      <w:r>
        <w:rPr>
          <w:rFonts w:ascii="宋体" w:hAnsi="宋体" w:cs="宋体" w:eastAsia="宋体" w:hint="default"/>
          <w:b w:val="0"/>
          <w:bCs w:val="0"/>
        </w:rPr>
        <w:t>无</w:t>
      </w:r>
    </w:p>
    <w:p>
      <w:pPr>
        <w:pStyle w:val="Heading5"/>
        <w:spacing w:line="400" w:lineRule="auto" w:before="16"/>
        <w:ind w:left="492" w:right="7920"/>
        <w:jc w:val="left"/>
        <w:rPr>
          <w:rFonts w:ascii="宋体" w:hAnsi="宋体" w:cs="宋体" w:eastAsia="宋体" w:hint="default"/>
          <w:b w:val="0"/>
          <w:bCs w:val="0"/>
        </w:rPr>
      </w:pPr>
      <w:r>
        <w:rPr>
          <w:rFonts w:ascii="宋体" w:hAnsi="宋体" w:cs="宋体" w:eastAsia="宋体" w:hint="default"/>
        </w:rPr>
        <w:t>6</w:t>
      </w:r>
      <w:r>
        <w:rPr/>
        <w:t>、关联方应收应付款项</w:t>
      </w:r>
      <w:r>
        <w:rPr>
          <w:spacing w:val="-103"/>
        </w:rPr>
        <w:t> </w:t>
      </w:r>
      <w:r>
        <w:rPr>
          <w:rFonts w:ascii="宋体" w:hAnsi="宋体" w:cs="宋体" w:eastAsia="宋体" w:hint="default"/>
          <w:b w:val="0"/>
          <w:bCs w:val="0"/>
        </w:rPr>
        <w:t>无</w:t>
      </w:r>
    </w:p>
    <w:p>
      <w:pPr>
        <w:spacing w:after="0" w:line="400" w:lineRule="auto"/>
        <w:jc w:val="left"/>
        <w:rPr>
          <w:rFonts w:ascii="宋体" w:hAnsi="宋体" w:cs="宋体" w:eastAsia="宋体" w:hint="default"/>
        </w:rPr>
        <w:sectPr>
          <w:type w:val="continuous"/>
          <w:pgSz w:w="11910" w:h="16840"/>
          <w:pgMar w:top="1100" w:bottom="1160" w:left="640" w:right="620"/>
        </w:sectPr>
      </w:pPr>
    </w:p>
    <w:p>
      <w:pPr>
        <w:spacing w:line="240" w:lineRule="auto" w:before="8"/>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64746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4"/>
        <w:spacing w:line="240" w:lineRule="auto" w:before="26"/>
        <w:ind w:right="0"/>
        <w:jc w:val="left"/>
        <w:rPr>
          <w:b w:val="0"/>
          <w:bCs w:val="0"/>
        </w:rPr>
      </w:pPr>
      <w:r>
        <w:rPr/>
        <w:t>十、股份支付</w:t>
      </w:r>
      <w:r>
        <w:rPr>
          <w:b w:val="0"/>
          <w:bCs w:val="0"/>
        </w:rPr>
      </w:r>
    </w:p>
    <w:p>
      <w:pPr>
        <w:pStyle w:val="BodyText"/>
        <w:spacing w:line="240" w:lineRule="auto" w:before="201"/>
        <w:ind w:right="0"/>
        <w:jc w:val="left"/>
      </w:pPr>
      <w:r>
        <w:rPr>
          <w:w w:val="100"/>
        </w:rPr>
        <w:t>无</w:t>
      </w: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r>
        <w:rPr/>
        <w:t>十一、或有事项</w:t>
      </w:r>
      <w:r>
        <w:rPr>
          <w:b w:val="0"/>
          <w:bCs w:val="0"/>
        </w:rPr>
      </w:r>
    </w:p>
    <w:p>
      <w:pPr>
        <w:spacing w:line="398" w:lineRule="auto" w:before="20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100"/>
          <w:sz w:val="21"/>
          <w:szCs w:val="21"/>
        </w:rPr>
        <w:t> </w:t>
      </w:r>
      <w:r>
        <w:rPr>
          <w:rFonts w:ascii="宋体" w:hAnsi="宋体" w:cs="宋体" w:eastAsia="宋体" w:hint="default"/>
          <w:spacing w:val="-2"/>
          <w:sz w:val="21"/>
          <w:szCs w:val="21"/>
        </w:rPr>
        <w:t>截止资产负债表日，公司无应披露的重大可预见的或有事项。</w:t>
      </w:r>
    </w:p>
    <w:p>
      <w:pPr>
        <w:pStyle w:val="Heading5"/>
        <w:spacing w:line="231" w:lineRule="exact"/>
        <w:ind w:right="0"/>
        <w:jc w:val="left"/>
        <w:rPr>
          <w:b w:val="0"/>
          <w:bCs w:val="0"/>
        </w:rPr>
      </w:pPr>
      <w:r>
        <w:rPr>
          <w:rFonts w:ascii="宋体" w:hAnsi="宋体" w:cs="宋体" w:eastAsia="宋体" w:hint="default"/>
        </w:rPr>
        <w:t>2</w:t>
      </w:r>
      <w:r>
        <w:rPr/>
        <w:t>、为其他单位提供债务担保形成的或有负债及其财务影响</w:t>
      </w:r>
      <w:r>
        <w:rPr>
          <w:b w:val="0"/>
          <w:bCs w:val="0"/>
        </w:rPr>
      </w:r>
    </w:p>
    <w:p>
      <w:pPr>
        <w:spacing w:line="240" w:lineRule="auto" w:before="11"/>
        <w:rPr>
          <w:rFonts w:ascii="宋体" w:hAnsi="宋体" w:cs="宋体" w:eastAsia="宋体" w:hint="default"/>
          <w:b/>
          <w:bCs/>
          <w:sz w:val="13"/>
          <w:szCs w:val="13"/>
        </w:rPr>
      </w:pPr>
    </w:p>
    <w:p>
      <w:pPr>
        <w:spacing w:line="400" w:lineRule="auto" w:before="0"/>
        <w:ind w:left="152" w:right="8107"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4"/>
          <w:szCs w:val="24"/>
        </w:rPr>
        <w:t>十二、承诺事项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sz w:val="21"/>
          <w:szCs w:val="21"/>
        </w:rPr>
      </w:r>
    </w:p>
    <w:p>
      <w:pPr>
        <w:spacing w:line="321" w:lineRule="auto" w:before="40"/>
        <w:ind w:left="152" w:right="4552" w:firstLine="420"/>
        <w:jc w:val="left"/>
        <w:rPr>
          <w:rFonts w:ascii="宋体" w:hAnsi="宋体" w:cs="宋体" w:eastAsia="宋体" w:hint="default"/>
          <w:sz w:val="21"/>
          <w:szCs w:val="21"/>
        </w:rPr>
      </w:pPr>
      <w:r>
        <w:rPr>
          <w:rFonts w:ascii="宋体" w:hAnsi="宋体" w:cs="宋体" w:eastAsia="宋体" w:hint="default"/>
          <w:spacing w:val="-2"/>
          <w:sz w:val="21"/>
          <w:szCs w:val="21"/>
        </w:rPr>
        <w:t>本报告期内，公司无重大承诺事项。</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sz w:val="21"/>
          <w:szCs w:val="21"/>
        </w:rPr>
      </w:r>
    </w:p>
    <w:p>
      <w:pPr>
        <w:spacing w:line="400" w:lineRule="auto" w:before="109"/>
        <w:ind w:left="152" w:right="4552" w:firstLine="420"/>
        <w:jc w:val="left"/>
        <w:rPr>
          <w:rFonts w:ascii="宋体" w:hAnsi="宋体" w:cs="宋体" w:eastAsia="宋体" w:hint="default"/>
          <w:sz w:val="21"/>
          <w:szCs w:val="21"/>
        </w:rPr>
      </w:pPr>
      <w:r>
        <w:rPr>
          <w:rFonts w:ascii="宋体" w:hAnsi="宋体" w:cs="宋体" w:eastAsia="宋体" w:hint="default"/>
          <w:spacing w:val="-2"/>
          <w:w w:val="100"/>
          <w:sz w:val="21"/>
          <w:szCs w:val="21"/>
        </w:rPr>
        <w:t>详见本报告第四节</w:t>
      </w:r>
      <w:r>
        <w:rPr>
          <w:rFonts w:ascii="宋体" w:hAnsi="宋体" w:cs="宋体" w:eastAsia="宋体" w:hint="default"/>
          <w:spacing w:val="10"/>
          <w:w w:val="100"/>
          <w:sz w:val="21"/>
          <w:szCs w:val="21"/>
        </w:rPr>
        <w:t> </w:t>
      </w:r>
      <w:r>
        <w:rPr>
          <w:rFonts w:ascii="宋体" w:hAnsi="宋体" w:cs="宋体" w:eastAsia="宋体" w:hint="default"/>
          <w:spacing w:val="-9"/>
          <w:w w:val="100"/>
          <w:sz w:val="21"/>
          <w:szCs w:val="21"/>
        </w:rPr>
        <w:t>董事会报告之“八、承诺事项”。</w:t>
      </w:r>
      <w:r>
        <w:rPr>
          <w:rFonts w:ascii="宋体" w:hAnsi="宋体" w:cs="宋体" w:eastAsia="宋体" w:hint="default"/>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pStyle w:val="Heading5"/>
        <w:spacing w:line="572" w:lineRule="exact" w:before="83"/>
        <w:ind w:right="6315"/>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2</w:t>
      </w:r>
      <w:r>
        <w:rPr/>
        <w:t>、资产负债表日后利润分配情况说明</w:t>
      </w:r>
      <w:r>
        <w:rPr>
          <w:b w:val="0"/>
          <w:bCs w:val="0"/>
        </w:rPr>
      </w:r>
    </w:p>
    <w:p>
      <w:pPr>
        <w:pStyle w:val="BodyText"/>
        <w:spacing w:line="240" w:lineRule="auto" w:before="98"/>
        <w:ind w:left="0" w:right="380"/>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28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10,200,000.00</w:t>
            </w:r>
          </w:p>
        </w:tc>
      </w:tr>
    </w:tbl>
    <w:p>
      <w:pPr>
        <w:pStyle w:val="Heading5"/>
        <w:spacing w:line="240" w:lineRule="auto" w:before="62"/>
        <w:ind w:right="0"/>
        <w:jc w:val="left"/>
        <w:rPr>
          <w:b w:val="0"/>
          <w:bCs w:val="0"/>
        </w:rPr>
      </w:pPr>
      <w:r>
        <w:rPr>
          <w:rFonts w:ascii="宋体" w:hAnsi="宋体" w:cs="宋体" w:eastAsia="宋体" w:hint="default"/>
        </w:rPr>
        <w:t>3</w:t>
      </w:r>
      <w:r>
        <w:rPr/>
        <w:t>、其他资产负债表日后事项说明</w:t>
      </w:r>
      <w:r>
        <w:rPr>
          <w:b w:val="0"/>
          <w:bCs w:val="0"/>
        </w:rPr>
      </w:r>
    </w:p>
    <w:p>
      <w:pPr>
        <w:spacing w:line="240" w:lineRule="auto" w:before="11"/>
        <w:rPr>
          <w:rFonts w:ascii="宋体" w:hAnsi="宋体" w:cs="宋体" w:eastAsia="宋体" w:hint="default"/>
          <w:b/>
          <w:bCs/>
          <w:sz w:val="13"/>
          <w:szCs w:val="13"/>
        </w:rPr>
      </w:pPr>
    </w:p>
    <w:p>
      <w:pPr>
        <w:pStyle w:val="BodyText"/>
        <w:spacing w:line="282" w:lineRule="exact"/>
        <w:ind w:left="573" w:right="0"/>
        <w:jc w:val="left"/>
      </w:pPr>
      <w:r>
        <w:rPr/>
        <w:t>根据公司</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spacing w:val="-5"/>
        </w:rPr>
        <w:t>日召开的第一届董事会第十九次会议审议通过的《</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8"/>
        </w:rPr>
        <w:t> </w:t>
      </w:r>
      <w:r>
        <w:rPr/>
        <w:t>年年度利润分配及资</w:t>
      </w:r>
    </w:p>
    <w:p>
      <w:pPr>
        <w:pStyle w:val="BodyText"/>
        <w:spacing w:line="272" w:lineRule="exact"/>
        <w:ind w:right="0"/>
        <w:jc w:val="left"/>
      </w:pPr>
      <w:r>
        <w:rPr>
          <w:w w:val="100"/>
        </w:rPr>
        <w:t>本公</w:t>
      </w:r>
      <w:r>
        <w:rPr>
          <w:spacing w:val="-3"/>
          <w:w w:val="100"/>
        </w:rPr>
        <w:t>积</w:t>
      </w:r>
      <w:r>
        <w:rPr>
          <w:w w:val="100"/>
        </w:rPr>
        <w:t>金</w:t>
      </w:r>
      <w:r>
        <w:rPr>
          <w:spacing w:val="-3"/>
          <w:w w:val="100"/>
        </w:rPr>
        <w:t>转</w:t>
      </w:r>
      <w:r>
        <w:rPr>
          <w:w w:val="100"/>
        </w:rPr>
        <w:t>增</w:t>
      </w:r>
      <w:r>
        <w:rPr>
          <w:spacing w:val="-3"/>
          <w:w w:val="100"/>
        </w:rPr>
        <w:t>股</w:t>
      </w:r>
      <w:r>
        <w:rPr>
          <w:w w:val="100"/>
        </w:rPr>
        <w:t>本</w:t>
      </w:r>
      <w:r>
        <w:rPr>
          <w:spacing w:val="-3"/>
          <w:w w:val="100"/>
        </w:rPr>
        <w:t>预</w:t>
      </w:r>
      <w:r>
        <w:rPr>
          <w:w w:val="100"/>
        </w:rPr>
        <w:t>案</w:t>
      </w:r>
      <w:r>
        <w:rPr>
          <w:spacing w:val="-108"/>
          <w:w w:val="100"/>
        </w:rPr>
        <w:t>》</w:t>
      </w:r>
      <w:r>
        <w:rPr>
          <w:spacing w:val="-3"/>
          <w:w w:val="100"/>
        </w:rPr>
        <w:t>，</w:t>
      </w:r>
      <w:r>
        <w:rPr>
          <w:w w:val="100"/>
        </w:rPr>
        <w:t>以资</w:t>
      </w:r>
      <w:r>
        <w:rPr>
          <w:spacing w:val="-3"/>
          <w:w w:val="100"/>
        </w:rPr>
        <w:t>本</w:t>
      </w:r>
      <w:r>
        <w:rPr>
          <w:w w:val="100"/>
        </w:rPr>
        <w:t>公</w:t>
      </w:r>
      <w:r>
        <w:rPr>
          <w:spacing w:val="-3"/>
          <w:w w:val="100"/>
        </w:rPr>
        <w:t>积</w:t>
      </w:r>
      <w:r>
        <w:rPr>
          <w:w w:val="100"/>
        </w:rPr>
        <w:t>金</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股</w:t>
      </w:r>
      <w:r>
        <w:rPr>
          <w:spacing w:val="-3"/>
          <w:w w:val="100"/>
        </w:rPr>
        <w:t>转</w:t>
      </w:r>
      <w:r>
        <w:rPr>
          <w:w w:val="100"/>
        </w:rPr>
        <w:t>增</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股</w:t>
      </w:r>
      <w:r>
        <w:rPr>
          <w:w w:val="100"/>
        </w:rPr>
        <w:t>，</w:t>
      </w:r>
      <w:r>
        <w:rPr>
          <w:spacing w:val="-3"/>
          <w:w w:val="100"/>
        </w:rPr>
        <w:t>合计</w:t>
      </w:r>
      <w:r>
        <w:rPr>
          <w:w w:val="100"/>
        </w:rPr>
        <w:t>转增</w:t>
      </w:r>
      <w:r>
        <w:rPr>
          <w:spacing w:val="-3"/>
          <w:w w:val="100"/>
        </w:rPr>
        <w:t>股</w:t>
      </w:r>
      <w:r>
        <w:rPr>
          <w:w w:val="100"/>
        </w:rPr>
        <w:t>本</w:t>
      </w:r>
      <w:r>
        <w:rPr>
          <w:spacing w:val="-52"/>
        </w:rPr>
        <w:t> </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8,00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rPr>
        <w:t> </w:t>
      </w:r>
      <w:r>
        <w:rPr>
          <w:spacing w:val="-3"/>
          <w:w w:val="100"/>
        </w:rPr>
        <w:t>元，</w:t>
      </w:r>
      <w:r>
        <w:rPr>
          <w:w w:val="100"/>
        </w:rPr>
      </w:r>
    </w:p>
    <w:p>
      <w:pPr>
        <w:pStyle w:val="BodyText"/>
        <w:spacing w:line="274" w:lineRule="exact" w:before="16"/>
        <w:ind w:right="1663"/>
        <w:jc w:val="left"/>
      </w:pPr>
      <w:r>
        <w:rPr/>
        <w:t>转增后公司总股本将变更为</w:t>
      </w:r>
      <w:r>
        <w:rPr>
          <w:spacing w:val="-56"/>
        </w:rPr>
        <w:t> </w:t>
      </w:r>
      <w:r>
        <w:rPr>
          <w:rFonts w:ascii="Times New Roman" w:hAnsi="Times New Roman" w:cs="Times New Roman" w:eastAsia="Times New Roman" w:hint="default"/>
        </w:rPr>
        <w:t>136,000,000.00</w:t>
      </w:r>
      <w:r>
        <w:rPr>
          <w:rFonts w:ascii="Times New Roman" w:hAnsi="Times New Roman" w:cs="Times New Roman" w:eastAsia="Times New Roman" w:hint="default"/>
          <w:spacing w:val="-3"/>
        </w:rPr>
        <w:t> </w:t>
      </w:r>
      <w:r>
        <w:rPr/>
        <w:t>元，此分配预案尚需公司股东大会审议通过。</w:t>
      </w:r>
      <w:r>
        <w:rPr>
          <w:w w:val="100"/>
        </w:rPr>
        <w:t> </w:t>
      </w:r>
      <w:r>
        <w:rPr/>
        <w:t>除以上事项外，公司无其他资产负债表日后事项的非调整事项。</w:t>
      </w:r>
    </w:p>
    <w:p>
      <w:pPr>
        <w:spacing w:line="396" w:lineRule="auto" w:before="166"/>
        <w:ind w:left="152" w:right="7625" w:firstLine="0"/>
        <w:jc w:val="left"/>
        <w:rPr>
          <w:rFonts w:ascii="宋体" w:hAnsi="宋体" w:cs="宋体" w:eastAsia="宋体" w:hint="default"/>
          <w:sz w:val="21"/>
          <w:szCs w:val="21"/>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spacing w:val="-103"/>
          <w:sz w:val="21"/>
          <w:szCs w:val="21"/>
        </w:rPr>
        <w:t> </w:t>
      </w:r>
      <w:r>
        <w:rPr>
          <w:rFonts w:ascii="宋体" w:hAnsi="宋体" w:cs="宋体" w:eastAsia="宋体" w:hint="default"/>
          <w:sz w:val="21"/>
          <w:szCs w:val="21"/>
        </w:rPr>
        <w:t>无</w:t>
      </w:r>
    </w:p>
    <w:p>
      <w:pPr>
        <w:pStyle w:val="Heading5"/>
        <w:spacing w:line="231" w:lineRule="exact"/>
        <w:ind w:right="0"/>
        <w:jc w:val="left"/>
        <w:rPr>
          <w:b w:val="0"/>
          <w:bCs w:val="0"/>
        </w:rPr>
      </w:pPr>
      <w:r>
        <w:rPr>
          <w:rFonts w:ascii="宋体" w:hAnsi="宋体" w:cs="宋体" w:eastAsia="宋体" w:hint="default"/>
        </w:rPr>
        <w:t>2</w:t>
      </w:r>
      <w:r>
        <w:rPr/>
        <w:t>、债务重组</w:t>
      </w:r>
      <w:r>
        <w:rPr>
          <w:b w:val="0"/>
          <w:bCs w:val="0"/>
        </w:rPr>
      </w:r>
    </w:p>
    <w:p>
      <w:pPr>
        <w:spacing w:line="240" w:lineRule="auto" w:before="11"/>
        <w:rPr>
          <w:rFonts w:ascii="宋体" w:hAnsi="宋体" w:cs="宋体" w:eastAsia="宋体" w:hint="default"/>
          <w:b/>
          <w:bCs/>
          <w:sz w:val="13"/>
          <w:szCs w:val="13"/>
        </w:rPr>
      </w:pPr>
    </w:p>
    <w:p>
      <w:pPr>
        <w:spacing w:line="321" w:lineRule="auto" w:before="0"/>
        <w:ind w:left="152" w:right="8634"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324" w:lineRule="auto" w:before="109"/>
        <w:ind w:left="152" w:right="9056"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pStyle w:val="BodyText"/>
        <w:spacing w:line="240" w:lineRule="auto" w:before="107"/>
        <w:ind w:right="0"/>
        <w:jc w:val="left"/>
      </w:pPr>
      <w:r>
        <w:rPr>
          <w:w w:val="100"/>
        </w:rPr>
        <w:t>无</w:t>
      </w:r>
    </w:p>
    <w:p>
      <w:pPr>
        <w:spacing w:after="0" w:line="240" w:lineRule="auto"/>
        <w:jc w:val="left"/>
        <w:sectPr>
          <w:headerReference w:type="default" r:id="rId46"/>
          <w:pgSz w:w="11910" w:h="16840"/>
          <w:pgMar w:header="884" w:footer="979" w:top="1100" w:bottom="1160" w:left="980" w:right="960"/>
        </w:sectPr>
      </w:pPr>
    </w:p>
    <w:p>
      <w:pPr>
        <w:spacing w:line="240" w:lineRule="auto" w:before="2"/>
        <w:rPr>
          <w:rFonts w:ascii="宋体" w:hAnsi="宋体" w:cs="宋体" w:eastAsia="宋体" w:hint="default"/>
          <w:sz w:val="20"/>
          <w:szCs w:val="20"/>
        </w:rPr>
      </w:pPr>
      <w:r>
        <w:rPr/>
        <w:pict>
          <v:group style="position:absolute;margin-left:54.84pt;margin-top:28.299982pt;width:485.65pt;height:40.15pt;mso-position-horizontal-relative:page;mso-position-vertical-relative:page;z-index:337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398" w:lineRule="auto" w:before="36"/>
        <w:ind w:left="392" w:right="5692"/>
        <w:jc w:val="left"/>
        <w:rPr>
          <w:rFonts w:ascii="宋体" w:hAnsi="宋体" w:cs="宋体" w:eastAsia="宋体" w:hint="default"/>
          <w:b w:val="0"/>
          <w:bCs w:val="0"/>
        </w:rPr>
      </w:pPr>
      <w:r>
        <w:rPr>
          <w:rFonts w:ascii="宋体" w:hAnsi="宋体" w:cs="宋体" w:eastAsia="宋体" w:hint="default"/>
        </w:rPr>
        <w:t>5</w:t>
      </w:r>
      <w:r>
        <w:rPr/>
        <w:t>、期末发行在外的、可转换为股份的金融工具</w:t>
      </w:r>
      <w:r>
        <w:rPr>
          <w:w w:val="100"/>
        </w:rPr>
        <w:t> </w:t>
      </w:r>
      <w:r>
        <w:rPr>
          <w:rFonts w:ascii="宋体" w:hAnsi="宋体" w:cs="宋体" w:eastAsia="宋体" w:hint="default"/>
          <w:b w:val="0"/>
          <w:bCs w:val="0"/>
        </w:rPr>
        <w:t>无</w:t>
      </w:r>
    </w:p>
    <w:p>
      <w:pPr>
        <w:pStyle w:val="Heading5"/>
        <w:spacing w:line="231" w:lineRule="exact"/>
        <w:ind w:left="392" w:right="2217"/>
        <w:jc w:val="left"/>
        <w:rPr>
          <w:b w:val="0"/>
          <w:bCs w:val="0"/>
        </w:rPr>
      </w:pPr>
      <w:r>
        <w:rPr>
          <w:rFonts w:ascii="宋体" w:hAnsi="宋体" w:cs="宋体" w:eastAsia="宋体" w:hint="default"/>
        </w:rPr>
        <w:t>6</w:t>
      </w:r>
      <w:r>
        <w:rPr/>
        <w:t>、以公允价值计量的资产和负债</w:t>
      </w:r>
      <w:r>
        <w:rPr>
          <w:b w:val="0"/>
          <w:bCs w:val="0"/>
        </w:rPr>
      </w:r>
    </w:p>
    <w:p>
      <w:pPr>
        <w:spacing w:line="240" w:lineRule="auto" w:before="11"/>
        <w:rPr>
          <w:rFonts w:ascii="宋体" w:hAnsi="宋体" w:cs="宋体" w:eastAsia="宋体" w:hint="default"/>
          <w:b/>
          <w:bCs/>
          <w:sz w:val="13"/>
          <w:szCs w:val="13"/>
        </w:rPr>
      </w:pPr>
    </w:p>
    <w:p>
      <w:pPr>
        <w:pStyle w:val="Heading5"/>
        <w:spacing w:line="321" w:lineRule="auto"/>
        <w:ind w:left="392" w:right="6972"/>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spacing w:val="-1"/>
        </w:rPr>
        <w:t>7</w:t>
      </w:r>
      <w:r>
        <w:rPr>
          <w:spacing w:val="-1"/>
        </w:rPr>
        <w:t>、外币金融资产和外币金融负债</w:t>
      </w:r>
      <w:r>
        <w:rPr>
          <w:b w:val="0"/>
          <w:bCs w:val="0"/>
          <w:spacing w:val="-1"/>
        </w:rPr>
      </w:r>
    </w:p>
    <w:p>
      <w:pPr>
        <w:pStyle w:val="Heading5"/>
        <w:spacing w:line="321" w:lineRule="auto" w:before="112"/>
        <w:ind w:left="392" w:right="6957"/>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8</w:t>
      </w:r>
      <w:r>
        <w:rPr/>
        <w:t>、年金计划主要内容及重大变化</w:t>
      </w:r>
      <w:r>
        <w:rPr>
          <w:b w:val="0"/>
          <w:bCs w:val="0"/>
        </w:rPr>
      </w:r>
    </w:p>
    <w:p>
      <w:pPr>
        <w:spacing w:line="324" w:lineRule="auto" w:before="109"/>
        <w:ind w:left="392" w:right="9276"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107"/>
        <w:ind w:left="707" w:right="7"/>
        <w:jc w:val="left"/>
      </w:pPr>
      <w:r>
        <w:rPr/>
        <w:t>（</w:t>
      </w:r>
      <w:r>
        <w:rPr>
          <w:rFonts w:ascii="宋体" w:hAnsi="宋体" w:cs="宋体" w:eastAsia="宋体" w:hint="default"/>
        </w:rPr>
        <w:t>1</w:t>
      </w:r>
      <w:r>
        <w:rPr/>
        <w:t>）根据</w:t>
      </w:r>
      <w:r>
        <w:rPr>
          <w:spacing w:val="-40"/>
        </w:rPr>
        <w:t> </w:t>
      </w:r>
      <w:r>
        <w:rPr>
          <w:rFonts w:ascii="宋体" w:hAnsi="宋体" w:cs="宋体" w:eastAsia="宋体" w:hint="default"/>
        </w:rPr>
        <w:t>2012</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2"/>
        </w:rPr>
        <w:t> </w:t>
      </w:r>
      <w:r>
        <w:rPr>
          <w:rFonts w:ascii="宋体" w:hAnsi="宋体" w:cs="宋体" w:eastAsia="宋体" w:hint="default"/>
        </w:rPr>
        <w:t>26</w:t>
      </w:r>
      <w:r>
        <w:rPr>
          <w:rFonts w:ascii="宋体" w:hAnsi="宋体" w:cs="宋体" w:eastAsia="宋体" w:hint="default"/>
          <w:spacing w:val="-40"/>
        </w:rPr>
        <w:t> </w:t>
      </w:r>
      <w:r>
        <w:rPr/>
        <w:t>日第一届董事会第十八次会议审议通过的《关于向全资子公司北京荣科爱</w:t>
      </w:r>
    </w:p>
    <w:p>
      <w:pPr>
        <w:pStyle w:val="BodyText"/>
        <w:spacing w:line="237" w:lineRule="auto"/>
        <w:ind w:left="392" w:right="7"/>
        <w:jc w:val="left"/>
      </w:pPr>
      <w:r>
        <w:rPr>
          <w:spacing w:val="-5"/>
          <w:w w:val="100"/>
        </w:rPr>
        <w:t>信科技有限公司增资的议案》，公司决定对其全资子公司北京荣科爱信科技有限公司增加投资</w:t>
      </w:r>
      <w:r>
        <w:rPr>
          <w:spacing w:val="-44"/>
          <w:w w:val="100"/>
        </w:rPr>
        <w:t> </w:t>
      </w:r>
      <w:r>
        <w:rPr>
          <w:rFonts w:ascii="宋体" w:hAnsi="宋体" w:cs="宋体" w:eastAsia="宋体" w:hint="default"/>
          <w:spacing w:val="-1"/>
          <w:w w:val="100"/>
        </w:rPr>
        <w:t>1,900</w:t>
      </w:r>
      <w:r>
        <w:rPr>
          <w:rFonts w:ascii="宋体" w:hAnsi="宋体" w:cs="宋体" w:eastAsia="宋体" w:hint="default"/>
          <w:spacing w:val="-45"/>
          <w:w w:val="100"/>
        </w:rPr>
        <w:t> </w:t>
      </w:r>
      <w:r>
        <w:rPr>
          <w:spacing w:val="-1"/>
          <w:w w:val="100"/>
        </w:rPr>
        <w:t>万元。</w:t>
      </w:r>
      <w:r>
        <w:rPr>
          <w:spacing w:val="-102"/>
          <w:w w:val="100"/>
        </w:rPr>
        <w:t> </w:t>
      </w:r>
      <w:r>
        <w:rPr>
          <w:spacing w:val="-102"/>
          <w:w w:val="100"/>
        </w:rPr>
      </w:r>
      <w:r>
        <w:rPr/>
        <w:t>依据中天衡平国际资产评估有限公司对公司自有的位于北京市海淀区上地三街金隅嘉华大厦</w:t>
      </w:r>
      <w:r>
        <w:rPr>
          <w:spacing w:val="-57"/>
        </w:rPr>
        <w:t> </w:t>
      </w:r>
      <w:r>
        <w:rPr>
          <w:rFonts w:ascii="宋体" w:hAnsi="宋体" w:cs="宋体" w:eastAsia="宋体" w:hint="default"/>
        </w:rPr>
        <w:t>9</w:t>
      </w:r>
      <w:r>
        <w:rPr>
          <w:rFonts w:ascii="宋体" w:hAnsi="宋体" w:cs="宋体" w:eastAsia="宋体" w:hint="default"/>
          <w:spacing w:val="-57"/>
        </w:rPr>
        <w:t> </w:t>
      </w:r>
      <w:r>
        <w:rPr/>
        <w:t>号</w:t>
      </w:r>
      <w:r>
        <w:rPr>
          <w:spacing w:val="-57"/>
        </w:rPr>
        <w:t> </w:t>
      </w:r>
      <w:r>
        <w:rPr>
          <w:rFonts w:ascii="宋体" w:hAnsi="宋体" w:cs="宋体" w:eastAsia="宋体" w:hint="default"/>
        </w:rPr>
        <w:t>A</w:t>
      </w:r>
      <w:r>
        <w:rPr>
          <w:rFonts w:ascii="宋体" w:hAnsi="宋体" w:cs="宋体" w:eastAsia="宋体" w:hint="default"/>
          <w:spacing w:val="-57"/>
        </w:rPr>
        <w:t> </w:t>
      </w:r>
      <w:r>
        <w:rPr/>
        <w:t>座</w:t>
      </w:r>
      <w:r>
        <w:rPr>
          <w:spacing w:val="-60"/>
        </w:rPr>
        <w:t> </w:t>
      </w:r>
      <w:r>
        <w:rPr>
          <w:rFonts w:ascii="宋体" w:hAnsi="宋体" w:cs="宋体" w:eastAsia="宋体" w:hint="default"/>
        </w:rPr>
        <w:t>6</w:t>
      </w:r>
      <w:r>
        <w:rPr>
          <w:rFonts w:ascii="宋体" w:hAnsi="宋体" w:cs="宋体" w:eastAsia="宋体" w:hint="default"/>
          <w:spacing w:val="-60"/>
        </w:rPr>
        <w:t> </w:t>
      </w:r>
      <w:r>
        <w:rPr/>
        <w:t>层</w:t>
      </w:r>
      <w:r>
        <w:rPr>
          <w:w w:val="100"/>
        </w:rPr>
        <w:t> </w:t>
      </w:r>
      <w:r>
        <w:rPr>
          <w:rFonts w:ascii="宋体" w:hAnsi="宋体" w:cs="宋体" w:eastAsia="宋体" w:hint="default"/>
        </w:rPr>
        <w:t>A701</w:t>
      </w:r>
      <w:r>
        <w:rPr>
          <w:rFonts w:ascii="宋体" w:hAnsi="宋体" w:cs="宋体" w:eastAsia="宋体" w:hint="default"/>
          <w:spacing w:val="-45"/>
        </w:rPr>
        <w:t> </w:t>
      </w:r>
      <w:r>
        <w:rPr>
          <w:spacing w:val="-3"/>
        </w:rPr>
        <w:t>室的办公用房进行了评估，评估价值为</w:t>
      </w:r>
      <w:r>
        <w:rPr>
          <w:spacing w:val="-45"/>
        </w:rPr>
        <w:t> </w:t>
      </w:r>
      <w:r>
        <w:rPr>
          <w:rFonts w:ascii="宋体" w:hAnsi="宋体" w:cs="宋体" w:eastAsia="宋体" w:hint="default"/>
        </w:rPr>
        <w:t>1,103</w:t>
      </w:r>
      <w:r>
        <w:rPr>
          <w:rFonts w:ascii="宋体" w:hAnsi="宋体" w:cs="宋体" w:eastAsia="宋体" w:hint="default"/>
          <w:spacing w:val="-45"/>
        </w:rPr>
        <w:t> </w:t>
      </w:r>
      <w:r>
        <w:rPr>
          <w:spacing w:val="-3"/>
        </w:rPr>
        <w:t>万元。据此公司拟以固定资产方式增资</w:t>
      </w:r>
      <w:r>
        <w:rPr>
          <w:spacing w:val="-42"/>
        </w:rPr>
        <w:t> </w:t>
      </w:r>
      <w:r>
        <w:rPr>
          <w:rFonts w:ascii="宋体" w:hAnsi="宋体" w:cs="宋体" w:eastAsia="宋体" w:hint="default"/>
        </w:rPr>
        <w:t>1,103</w:t>
      </w:r>
      <w:r>
        <w:rPr>
          <w:rFonts w:ascii="宋体" w:hAnsi="宋体" w:cs="宋体" w:eastAsia="宋体" w:hint="default"/>
          <w:spacing w:val="-45"/>
        </w:rPr>
        <w:t> </w:t>
      </w:r>
      <w:r>
        <w:rPr>
          <w:spacing w:val="-7"/>
        </w:rPr>
        <w:t>万元，同</w:t>
      </w:r>
    </w:p>
    <w:p>
      <w:pPr>
        <w:pStyle w:val="BodyText"/>
        <w:spacing w:line="272" w:lineRule="exact" w:before="26"/>
        <w:ind w:left="392" w:right="7"/>
        <w:jc w:val="left"/>
      </w:pPr>
      <w:r>
        <w:rPr/>
        <w:t>时以自有资金增资</w:t>
      </w:r>
      <w:r>
        <w:rPr>
          <w:spacing w:val="-44"/>
        </w:rPr>
        <w:t> </w:t>
      </w:r>
      <w:r>
        <w:rPr>
          <w:rFonts w:ascii="宋体" w:hAnsi="宋体" w:cs="宋体" w:eastAsia="宋体" w:hint="default"/>
        </w:rPr>
        <w:t>797</w:t>
      </w:r>
      <w:r>
        <w:rPr>
          <w:rFonts w:ascii="宋体" w:hAnsi="宋体" w:cs="宋体" w:eastAsia="宋体" w:hint="default"/>
          <w:spacing w:val="-44"/>
        </w:rPr>
        <w:t> </w:t>
      </w:r>
      <w:r>
        <w:rPr>
          <w:spacing w:val="-3"/>
        </w:rPr>
        <w:t>万元，此次增资完成后，荣科爱信注册资本将变更为</w:t>
      </w:r>
      <w:r>
        <w:rPr>
          <w:spacing w:val="-46"/>
        </w:rPr>
        <w:t> </w:t>
      </w:r>
      <w:r>
        <w:rPr>
          <w:rFonts w:ascii="宋体" w:hAnsi="宋体" w:cs="宋体" w:eastAsia="宋体" w:hint="default"/>
        </w:rPr>
        <w:t>2,000</w:t>
      </w:r>
      <w:r>
        <w:rPr>
          <w:rFonts w:ascii="宋体" w:hAnsi="宋体" w:cs="宋体" w:eastAsia="宋体" w:hint="default"/>
          <w:spacing w:val="-46"/>
        </w:rPr>
        <w:t> </w:t>
      </w:r>
      <w:r>
        <w:rPr/>
        <w:t>万元。截止本报告报出</w:t>
      </w:r>
      <w:r>
        <w:rPr>
          <w:spacing w:val="-101"/>
        </w:rPr>
        <w:t> </w:t>
      </w:r>
      <w:r>
        <w:rPr>
          <w:spacing w:val="-101"/>
        </w:rPr>
      </w:r>
      <w:r>
        <w:rPr/>
        <w:t>日，该事项尚未完成。</w:t>
      </w:r>
    </w:p>
    <w:p>
      <w:pPr>
        <w:pStyle w:val="BodyText"/>
        <w:spacing w:line="272" w:lineRule="exact" w:before="1"/>
        <w:ind w:left="392" w:right="386" w:firstLine="314"/>
        <w:jc w:val="left"/>
      </w:pPr>
      <w:r>
        <w:rPr>
          <w:spacing w:val="-2"/>
        </w:rPr>
        <w:t>（</w:t>
      </w:r>
      <w:r>
        <w:rPr>
          <w:rFonts w:ascii="宋体" w:hAnsi="宋体" w:cs="宋体" w:eastAsia="宋体" w:hint="default"/>
          <w:spacing w:val="-2"/>
        </w:rPr>
        <w:t>2</w:t>
      </w:r>
      <w:r>
        <w:rPr>
          <w:spacing w:val="-2"/>
        </w:rPr>
        <w:t>）根据本公司与沈阳市和平区机关事务管理局签定的《房屋使用合同》，和平区政府给予本公司政</w:t>
      </w:r>
      <w:r>
        <w:rPr>
          <w:w w:val="100"/>
        </w:rPr>
        <w:t> </w:t>
      </w:r>
      <w:r>
        <w:rPr/>
        <w:t>策扶持，将坐落在沈阳市和平区和平北大街</w:t>
      </w:r>
      <w:r>
        <w:rPr>
          <w:rFonts w:ascii="宋体" w:hAnsi="宋体" w:cs="宋体" w:eastAsia="宋体" w:hint="default"/>
        </w:rPr>
        <w:t>62</w:t>
      </w:r>
      <w:r>
        <w:rPr/>
        <w:t>号的乳业大厦</w:t>
      </w:r>
      <w:r>
        <w:rPr>
          <w:rFonts w:ascii="宋体" w:hAnsi="宋体" w:cs="宋体" w:eastAsia="宋体" w:hint="default"/>
        </w:rPr>
        <w:t>1</w:t>
      </w:r>
      <w:r>
        <w:rPr/>
        <w:t>、</w:t>
      </w:r>
      <w:r>
        <w:rPr>
          <w:rFonts w:ascii="宋体" w:hAnsi="宋体" w:cs="宋体" w:eastAsia="宋体" w:hint="default"/>
        </w:rPr>
        <w:t>3-10</w:t>
      </w:r>
      <w:r>
        <w:rPr/>
        <w:t>层，建筑面积</w:t>
      </w:r>
      <w:r>
        <w:rPr>
          <w:rFonts w:ascii="宋体" w:hAnsi="宋体" w:cs="宋体" w:eastAsia="宋体" w:hint="default"/>
        </w:rPr>
        <w:t>4010</w:t>
      </w:r>
      <w:r>
        <w:rPr/>
        <w:t>平方米提供给本公</w:t>
      </w:r>
    </w:p>
    <w:p>
      <w:pPr>
        <w:pStyle w:val="BodyText"/>
        <w:spacing w:line="249" w:lineRule="exact"/>
        <w:ind w:left="392" w:right="7"/>
        <w:jc w:val="left"/>
      </w:pPr>
      <w:r>
        <w:rPr/>
        <w:t>司免租金使用五年用于金融服务外包业务，使用期限自</w:t>
      </w:r>
      <w:r>
        <w:rPr>
          <w:rFonts w:ascii="宋体" w:hAnsi="宋体" w:cs="宋体" w:eastAsia="宋体" w:hint="default"/>
        </w:rPr>
        <w:t>2009</w:t>
      </w:r>
      <w:r>
        <w:rPr/>
        <w:t>年</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w:t>
      </w:r>
    </w:p>
    <w:p>
      <w:pPr>
        <w:spacing w:line="400" w:lineRule="auto" w:before="44"/>
        <w:ind w:left="392" w:right="5039" w:firstLine="314"/>
        <w:jc w:val="left"/>
        <w:rPr>
          <w:rFonts w:ascii="宋体" w:hAnsi="宋体" w:cs="宋体" w:eastAsia="宋体" w:hint="default"/>
          <w:sz w:val="21"/>
          <w:szCs w:val="21"/>
        </w:rPr>
      </w:pPr>
      <w:r>
        <w:rPr>
          <w:rFonts w:ascii="宋体" w:hAnsi="宋体" w:cs="宋体" w:eastAsia="宋体" w:hint="default"/>
          <w:spacing w:val="-2"/>
          <w:sz w:val="21"/>
          <w:szCs w:val="21"/>
        </w:rPr>
        <w:t>除以上事项外，本报告期公司无其他重要事项。</w:t>
      </w:r>
      <w:r>
        <w:rPr>
          <w:rFonts w:ascii="宋体" w:hAnsi="宋体" w:cs="宋体" w:eastAsia="宋体" w:hint="default"/>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91"/>
        <w:ind w:left="392" w:right="2217"/>
        <w:jc w:val="left"/>
        <w:rPr>
          <w:b w:val="0"/>
          <w:bCs w:val="0"/>
        </w:rPr>
      </w:pPr>
      <w:r>
        <w:rPr/>
        <w:t>（</w:t>
      </w:r>
      <w:r>
        <w:rPr>
          <w:rFonts w:ascii="宋体" w:hAnsi="宋体" w:cs="宋体" w:eastAsia="宋体" w:hint="default"/>
        </w:rPr>
        <w:t>1</w:t>
      </w:r>
      <w:r>
        <w:rPr/>
        <w:t>）应收账款</w:t>
      </w:r>
      <w:r>
        <w:rPr>
          <w:b w:val="0"/>
          <w:bCs w:val="0"/>
        </w:rPr>
      </w:r>
    </w:p>
    <w:p>
      <w:pPr>
        <w:pStyle w:val="BodyText"/>
        <w:spacing w:line="240" w:lineRule="auto" w:before="99"/>
        <w:ind w:left="0" w:right="38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89"/>
        <w:gridCol w:w="1577"/>
        <w:gridCol w:w="530"/>
        <w:gridCol w:w="1327"/>
        <w:gridCol w:w="665"/>
        <w:gridCol w:w="1529"/>
        <w:gridCol w:w="665"/>
        <w:gridCol w:w="1327"/>
        <w:gridCol w:w="667"/>
      </w:tblGrid>
      <w:tr>
        <w:trPr>
          <w:trHeight w:val="276" w:hRule="exact"/>
        </w:trPr>
        <w:tc>
          <w:tcPr>
            <w:tcW w:w="1889" w:type="dxa"/>
            <w:vMerge w:val="restart"/>
            <w:tcBorders>
              <w:top w:val="single" w:sz="4" w:space="0" w:color="000000"/>
              <w:left w:val="single" w:sz="4" w:space="0" w:color="000000"/>
              <w:right w:val="single" w:sz="4" w:space="0" w:color="000000"/>
            </w:tcBorders>
            <w:shd w:val="clear" w:color="auto" w:fill="D2D2D2"/>
          </w:tcPr>
          <w:p>
            <w:pPr/>
          </w:p>
        </w:tc>
        <w:tc>
          <w:tcPr>
            <w:tcW w:w="41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4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21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6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6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4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108" w:type="dxa"/>
            <w:gridSpan w:val="2"/>
            <w:vMerge/>
            <w:tcBorders>
              <w:left w:val="single" w:sz="4" w:space="0" w:color="000000"/>
              <w:bottom w:val="single" w:sz="4" w:space="0" w:color="000000"/>
              <w:right w:val="single" w:sz="4" w:space="0" w:color="000000"/>
            </w:tcBorders>
            <w:shd w:val="clear" w:color="auto" w:fill="D2D2D2"/>
          </w:tcPr>
          <w:p>
            <w:pPr/>
          </w:p>
        </w:tc>
        <w:tc>
          <w:tcPr>
            <w:tcW w:w="1992" w:type="dxa"/>
            <w:gridSpan w:val="2"/>
            <w:vMerge/>
            <w:tcBorders>
              <w:left w:val="single" w:sz="4" w:space="0" w:color="000000"/>
              <w:bottom w:val="single" w:sz="4" w:space="0" w:color="000000"/>
              <w:right w:val="single" w:sz="4" w:space="0" w:color="000000"/>
            </w:tcBorders>
            <w:shd w:val="clear" w:color="auto" w:fill="D2D2D2"/>
          </w:tcPr>
          <w:p>
            <w:pPr/>
          </w:p>
        </w:tc>
        <w:tc>
          <w:tcPr>
            <w:tcW w:w="2194" w:type="dxa"/>
            <w:gridSpan w:val="2"/>
            <w:vMerge/>
            <w:tcBorders>
              <w:left w:val="single" w:sz="4" w:space="0" w:color="000000"/>
              <w:bottom w:val="single" w:sz="4" w:space="0" w:color="000000"/>
              <w:right w:val="single" w:sz="4" w:space="0" w:color="000000"/>
            </w:tcBorders>
            <w:shd w:val="clear" w:color="auto" w:fill="D2D2D2"/>
          </w:tcPr>
          <w:p>
            <w:pPr/>
          </w:p>
        </w:tc>
        <w:tc>
          <w:tcPr>
            <w:tcW w:w="1994" w:type="dxa"/>
            <w:gridSpan w:val="2"/>
            <w:vMerge/>
            <w:tcBorders>
              <w:left w:val="single" w:sz="4" w:space="0" w:color="000000"/>
              <w:bottom w:val="single" w:sz="4" w:space="0" w:color="000000"/>
              <w:right w:val="single" w:sz="4" w:space="0" w:color="000000"/>
            </w:tcBorders>
            <w:shd w:val="clear" w:color="auto" w:fill="D2D2D2"/>
          </w:tcPr>
          <w:p>
            <w:pPr/>
          </w:p>
        </w:tc>
      </w:tr>
      <w:tr>
        <w:trPr>
          <w:trHeight w:val="139" w:hRule="exact"/>
        </w:trPr>
        <w:tc>
          <w:tcPr>
            <w:tcW w:w="1889" w:type="dxa"/>
            <w:vMerge/>
            <w:tcBorders>
              <w:left w:val="single" w:sz="4" w:space="0" w:color="000000"/>
              <w:bottom w:val="single" w:sz="4" w:space="0" w:color="FFFFFF"/>
              <w:right w:val="single" w:sz="4" w:space="0" w:color="000000"/>
            </w:tcBorders>
            <w:shd w:val="clear" w:color="auto" w:fill="D2D2D2"/>
          </w:tcPr>
          <w:p>
            <w:pPr/>
          </w:p>
        </w:tc>
        <w:tc>
          <w:tcPr>
            <w:tcW w:w="157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03" w:right="0"/>
              <w:jc w:val="left"/>
              <w:rPr>
                <w:rFonts w:ascii="宋体" w:hAnsi="宋体" w:cs="宋体" w:eastAsia="宋体" w:hint="default"/>
                <w:sz w:val="21"/>
                <w:szCs w:val="21"/>
              </w:rPr>
            </w:pPr>
            <w:r>
              <w:rPr>
                <w:rFonts w:ascii="宋体"/>
                <w:sz w:val="21"/>
              </w:rPr>
              <w:t>(%)</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70" w:right="0"/>
              <w:jc w:val="left"/>
              <w:rPr>
                <w:rFonts w:ascii="宋体" w:hAnsi="宋体" w:cs="宋体" w:eastAsia="宋体" w:hint="default"/>
                <w:sz w:val="21"/>
                <w:szCs w:val="21"/>
              </w:rPr>
            </w:pPr>
            <w:r>
              <w:rPr>
                <w:rFonts w:ascii="宋体"/>
                <w:sz w:val="21"/>
              </w:rPr>
              <w:t>(%)</w:t>
            </w: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70" w:right="0"/>
              <w:jc w:val="left"/>
              <w:rPr>
                <w:rFonts w:ascii="宋体" w:hAnsi="宋体" w:cs="宋体" w:eastAsia="宋体" w:hint="default"/>
                <w:sz w:val="21"/>
                <w:szCs w:val="21"/>
              </w:rPr>
            </w:pPr>
            <w:r>
              <w:rPr>
                <w:rFonts w:ascii="宋体"/>
                <w:sz w:val="21"/>
              </w:rPr>
              <w:t>(%)</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7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72" w:right="0"/>
              <w:jc w:val="left"/>
              <w:rPr>
                <w:rFonts w:ascii="宋体" w:hAnsi="宋体" w:cs="宋体" w:eastAsia="宋体" w:hint="default"/>
                <w:sz w:val="21"/>
                <w:szCs w:val="21"/>
              </w:rPr>
            </w:pPr>
            <w:r>
              <w:rPr>
                <w:rFonts w:ascii="宋体"/>
                <w:sz w:val="21"/>
              </w:rPr>
              <w:t>(%)</w:t>
            </w:r>
          </w:p>
        </w:tc>
      </w:tr>
      <w:tr>
        <w:trPr>
          <w:trHeight w:val="272" w:hRule="exact"/>
        </w:trPr>
        <w:tc>
          <w:tcPr>
            <w:tcW w:w="1889" w:type="dxa"/>
            <w:vMerge w:val="restart"/>
            <w:tcBorders>
              <w:top w:val="single" w:sz="4" w:space="0" w:color="FFFFFF"/>
              <w:left w:val="single" w:sz="4" w:space="0" w:color="000000"/>
              <w:right w:val="single" w:sz="4" w:space="0" w:color="000000"/>
            </w:tcBorders>
            <w:shd w:val="clear" w:color="auto" w:fill="D2D2D2"/>
          </w:tcPr>
          <w:p>
            <w:pPr/>
          </w:p>
        </w:tc>
        <w:tc>
          <w:tcPr>
            <w:tcW w:w="1577"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38"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vMerge/>
            <w:tcBorders>
              <w:left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7" w:type="dxa"/>
            <w:vMerge/>
            <w:tcBorders>
              <w:left w:val="single" w:sz="4" w:space="0" w:color="000000"/>
              <w:right w:val="single" w:sz="4" w:space="0" w:color="000000"/>
            </w:tcBorders>
            <w:shd w:val="clear" w:color="auto" w:fill="D2D2D2"/>
          </w:tcPr>
          <w:p>
            <w:pPr/>
          </w:p>
        </w:tc>
      </w:tr>
      <w:tr>
        <w:trPr>
          <w:trHeight w:val="142"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r>
      <w:tr>
        <w:trPr>
          <w:trHeight w:val="8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4" w:right="170"/>
              <w:jc w:val="left"/>
              <w:rPr>
                <w:rFonts w:ascii="宋体" w:hAnsi="宋体" w:cs="宋体" w:eastAsia="宋体" w:hint="default"/>
                <w:sz w:val="21"/>
                <w:szCs w:val="21"/>
              </w:rPr>
            </w:pPr>
            <w:r>
              <w:rPr>
                <w:rFonts w:ascii="宋体" w:hAnsi="宋体" w:cs="宋体" w:eastAsia="宋体" w:hint="default"/>
                <w:sz w:val="21"/>
                <w:szCs w:val="21"/>
              </w:rPr>
              <w:t>项计提坏账准备的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17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按账龄段组合的应</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132,060,533.24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sz w:val="21"/>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3,288,593.73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0"/>
              <w:jc w:val="left"/>
              <w:rPr>
                <w:rFonts w:ascii="宋体" w:hAnsi="宋体" w:cs="宋体" w:eastAsia="宋体" w:hint="default"/>
                <w:sz w:val="21"/>
                <w:szCs w:val="21"/>
              </w:rPr>
            </w:pPr>
            <w:r>
              <w:rPr>
                <w:rFonts w:ascii="宋体"/>
                <w:sz w:val="21"/>
              </w:rPr>
              <w:t>2.49%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57,379,471.76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sz w:val="21"/>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1,387,585.56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0"/>
              <w:jc w:val="left"/>
              <w:rPr>
                <w:rFonts w:ascii="宋体" w:hAnsi="宋体" w:cs="宋体" w:eastAsia="宋体" w:hint="default"/>
                <w:sz w:val="21"/>
                <w:szCs w:val="21"/>
              </w:rPr>
            </w:pPr>
            <w:r>
              <w:rPr>
                <w:rFonts w:ascii="宋体"/>
                <w:sz w:val="21"/>
              </w:rPr>
              <w:t>2.42%</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132,060,533.24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sz w:val="21"/>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3,288,593.73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left"/>
              <w:rPr>
                <w:rFonts w:ascii="宋体" w:hAnsi="宋体" w:cs="宋体" w:eastAsia="宋体" w:hint="default"/>
                <w:sz w:val="21"/>
                <w:szCs w:val="21"/>
              </w:rPr>
            </w:pPr>
            <w:r>
              <w:rPr>
                <w:rFonts w:ascii="宋体"/>
                <w:sz w:val="21"/>
              </w:rPr>
              <w:t>2.49%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57,379,471.76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z w:val="21"/>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1,387,585.56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 w:right="0"/>
              <w:jc w:val="left"/>
              <w:rPr>
                <w:rFonts w:ascii="宋体" w:hAnsi="宋体" w:cs="宋体" w:eastAsia="宋体" w:hint="default"/>
                <w:sz w:val="21"/>
                <w:szCs w:val="21"/>
              </w:rPr>
            </w:pPr>
            <w:r>
              <w:rPr>
                <w:rFonts w:ascii="宋体"/>
                <w:sz w:val="21"/>
              </w:rPr>
              <w:t>2.42%</w:t>
            </w:r>
          </w:p>
        </w:tc>
      </w:tr>
      <w:tr>
        <w:trPr>
          <w:trHeight w:val="82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单项金额虽不重大</w:t>
            </w:r>
          </w:p>
          <w:p>
            <w:pPr>
              <w:pStyle w:val="TableParagraph"/>
              <w:spacing w:line="272" w:lineRule="exact" w:before="27"/>
              <w:ind w:left="24" w:right="170"/>
              <w:jc w:val="left"/>
              <w:rPr>
                <w:rFonts w:ascii="宋体" w:hAnsi="宋体" w:cs="宋体" w:eastAsia="宋体" w:hint="default"/>
                <w:sz w:val="21"/>
                <w:szCs w:val="21"/>
              </w:rPr>
            </w:pPr>
            <w:r>
              <w:rPr>
                <w:rFonts w:ascii="宋体" w:hAnsi="宋体" w:cs="宋体" w:eastAsia="宋体" w:hint="default"/>
                <w:sz w:val="21"/>
                <w:szCs w:val="21"/>
              </w:rPr>
              <w:t>但单项计提坏账准</w:t>
            </w:r>
            <w:r>
              <w:rPr>
                <w:rFonts w:ascii="宋体" w:hAnsi="宋体" w:cs="宋体" w:eastAsia="宋体" w:hint="default"/>
                <w:w w:val="100"/>
                <w:sz w:val="21"/>
                <w:szCs w:val="21"/>
              </w:rPr>
              <w:t> </w:t>
            </w:r>
            <w:r>
              <w:rPr>
                <w:rFonts w:ascii="宋体" w:hAnsi="宋体" w:cs="宋体" w:eastAsia="宋体" w:hint="default"/>
                <w:sz w:val="21"/>
                <w:szCs w:val="21"/>
              </w:rPr>
              <w:t>备的应收账款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132,060,533.24</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sz w:val="21"/>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3,288,593.73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sz w:val="21"/>
              </w:rPr>
              <w:t>--</w:t>
            </w:r>
          </w:p>
        </w:tc>
        <w:tc>
          <w:tcPr>
            <w:tcW w:w="1529"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57,379,471.76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sz w:val="21"/>
              </w:rPr>
              <w:t>--</w:t>
            </w:r>
          </w:p>
        </w:tc>
        <w:tc>
          <w:tcPr>
            <w:tcW w:w="1327"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1,387,585.56</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sz w:val="21"/>
              </w:rPr>
              <w:t>--</w:t>
            </w:r>
          </w:p>
        </w:tc>
      </w:tr>
    </w:tbl>
    <w:p>
      <w:pPr>
        <w:pStyle w:val="BodyText"/>
        <w:spacing w:line="240" w:lineRule="exact"/>
        <w:ind w:left="392" w:right="2217"/>
        <w:jc w:val="left"/>
      </w:pPr>
      <w:r>
        <w:rPr/>
        <w:t>应收账款种类的说明</w:t>
      </w:r>
    </w:p>
    <w:p>
      <w:pPr>
        <w:pStyle w:val="BodyText"/>
        <w:spacing w:line="273" w:lineRule="exact"/>
        <w:ind w:left="392" w:right="2217"/>
        <w:jc w:val="left"/>
      </w:pPr>
      <w:r>
        <w:rPr/>
        <w:t>期末单项金额重大并单项计提坏账准备的应收账款</w:t>
      </w:r>
    </w:p>
    <w:p>
      <w:pPr>
        <w:pStyle w:val="BodyText"/>
        <w:spacing w:line="240" w:lineRule="auto"/>
        <w:ind w:left="392" w:right="5039"/>
        <w:jc w:val="left"/>
      </w:pPr>
      <w:r>
        <w:rPr/>
        <w:t>□ 适用 √ 不适用</w:t>
      </w:r>
      <w:r>
        <w:rPr>
          <w:spacing w:val="-104"/>
        </w:rPr>
        <w:t> </w:t>
      </w:r>
      <w:r>
        <w:rPr>
          <w:spacing w:val="-104"/>
        </w:rPr>
      </w:r>
      <w:r>
        <w:rPr>
          <w:spacing w:val="-2"/>
        </w:rPr>
        <w:t>组合中，采用账龄分析法计提坏账准备的应收账款</w:t>
      </w:r>
    </w:p>
    <w:p>
      <w:pPr>
        <w:pStyle w:val="BodyText"/>
        <w:spacing w:line="271" w:lineRule="exact"/>
        <w:ind w:left="392" w:right="2217"/>
        <w:jc w:val="left"/>
      </w:pPr>
      <w:r>
        <w:rPr/>
        <w:t>√ 适用 □</w:t>
      </w:r>
      <w:r>
        <w:rPr>
          <w:spacing w:val="1"/>
        </w:rPr>
        <w:t> </w:t>
      </w:r>
      <w:r>
        <w:rPr/>
        <w:t>不适用</w:t>
      </w:r>
    </w:p>
    <w:p>
      <w:pPr>
        <w:spacing w:after="0" w:line="271" w:lineRule="exact"/>
        <w:jc w:val="left"/>
        <w:sectPr>
          <w:pgSz w:w="11910" w:h="16840"/>
          <w:pgMar w:header="884" w:footer="979" w:top="1100" w:bottom="1160" w:left="740" w:right="740"/>
        </w:sectPr>
      </w:pPr>
    </w:p>
    <w:p>
      <w:pPr>
        <w:spacing w:line="240" w:lineRule="auto" w:before="2"/>
        <w:rPr>
          <w:rFonts w:ascii="宋体" w:hAnsi="宋体" w:cs="宋体" w:eastAsia="宋体" w:hint="default"/>
          <w:sz w:val="20"/>
          <w:szCs w:val="20"/>
        </w:rPr>
      </w:pPr>
    </w:p>
    <w:p>
      <w:pPr>
        <w:pStyle w:val="BodyText"/>
        <w:spacing w:line="240" w:lineRule="auto" w:before="36"/>
        <w:ind w:left="0" w:right="64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53"/>
        <w:gridCol w:w="1995"/>
        <w:gridCol w:w="826"/>
        <w:gridCol w:w="1468"/>
        <w:gridCol w:w="2120"/>
        <w:gridCol w:w="985"/>
        <w:gridCol w:w="1624"/>
      </w:tblGrid>
      <w:tr>
        <w:trPr>
          <w:trHeight w:val="283" w:hRule="exact"/>
        </w:trPr>
        <w:tc>
          <w:tcPr>
            <w:tcW w:w="13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46" w:hRule="exact"/>
        </w:trPr>
        <w:tc>
          <w:tcPr>
            <w:tcW w:w="1353" w:type="dxa"/>
            <w:vMerge w:val="restart"/>
            <w:tcBorders>
              <w:top w:val="nil" w:sz="6" w:space="0" w:color="auto"/>
              <w:left w:val="single" w:sz="4" w:space="0" w:color="000000"/>
              <w:right w:val="single" w:sz="4" w:space="0" w:color="000000"/>
            </w:tcBorders>
            <w:shd w:val="clear" w:color="auto" w:fill="D2D2D2"/>
          </w:tcPr>
          <w:p>
            <w:pPr>
              <w:pStyle w:val="TableParagraph"/>
              <w:spacing w:line="246" w:lineRule="exact"/>
              <w:ind w:right="4"/>
              <w:jc w:val="center"/>
              <w:rPr>
                <w:rFonts w:ascii="宋体" w:hAnsi="宋体" w:cs="宋体" w:eastAsia="宋体" w:hint="default"/>
                <w:sz w:val="21"/>
                <w:szCs w:val="21"/>
              </w:rPr>
            </w:pPr>
            <w:r>
              <w:rPr>
                <w:rFonts w:ascii="宋体" w:hAnsi="宋体" w:cs="宋体" w:eastAsia="宋体" w:hint="default"/>
                <w:sz w:val="21"/>
                <w:szCs w:val="21"/>
              </w:rPr>
              <w:t>账龄</w:t>
            </w:r>
          </w:p>
        </w:tc>
        <w:tc>
          <w:tcPr>
            <w:tcW w:w="28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7" w:hRule="exact"/>
        </w:trPr>
        <w:tc>
          <w:tcPr>
            <w:tcW w:w="1353" w:type="dxa"/>
            <w:vMerge/>
            <w:tcBorders>
              <w:left w:val="single" w:sz="4" w:space="0" w:color="000000"/>
              <w:bottom w:val="nil" w:sz="6" w:space="0" w:color="auto"/>
              <w:right w:val="single" w:sz="4" w:space="0" w:color="000000"/>
            </w:tcBorders>
            <w:shd w:val="clear" w:color="auto" w:fill="D2D2D2"/>
          </w:tcPr>
          <w:p>
            <w:pPr/>
          </w:p>
        </w:tc>
        <w:tc>
          <w:tcPr>
            <w:tcW w:w="2821"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3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105" w:type="dxa"/>
            <w:gridSpan w:val="2"/>
            <w:vMerge/>
            <w:tcBorders>
              <w:left w:val="single" w:sz="4" w:space="0" w:color="000000"/>
              <w:bottom w:val="single" w:sz="4" w:space="0" w:color="000000"/>
              <w:right w:val="single" w:sz="4" w:space="0" w:color="000000"/>
            </w:tcBorders>
            <w:shd w:val="clear" w:color="auto" w:fill="D2D2D2"/>
          </w:tcPr>
          <w:p>
            <w:pPr/>
          </w:p>
        </w:tc>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37" w:hRule="exact"/>
        </w:trPr>
        <w:tc>
          <w:tcPr>
            <w:tcW w:w="1353" w:type="dxa"/>
            <w:vMerge w:val="restart"/>
            <w:tcBorders>
              <w:top w:val="nil" w:sz="6" w:space="0" w:color="auto"/>
              <w:left w:val="single" w:sz="4" w:space="0" w:color="000000"/>
              <w:right w:val="single" w:sz="4" w:space="0" w:color="000000"/>
            </w:tcBorders>
            <w:shd w:val="clear" w:color="auto" w:fill="D2D2D2"/>
          </w:tcPr>
          <w:p>
            <w:pPr/>
          </w:p>
        </w:tc>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68" w:type="dxa"/>
            <w:vMerge/>
            <w:tcBorders>
              <w:left w:val="single" w:sz="4" w:space="0" w:color="000000"/>
              <w:bottom w:val="nil" w:sz="6" w:space="0" w:color="auto"/>
              <w:right w:val="single" w:sz="4" w:space="0" w:color="000000"/>
            </w:tcBorders>
            <w:shd w:val="clear" w:color="auto" w:fill="D2D2D2"/>
          </w:tcPr>
          <w:p>
            <w:pPr/>
          </w:p>
        </w:tc>
        <w:tc>
          <w:tcPr>
            <w:tcW w:w="2120"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24"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353" w:type="dxa"/>
            <w:vMerge/>
            <w:tcBorders>
              <w:left w:val="single" w:sz="4" w:space="0" w:color="000000"/>
              <w:bottom w:val="single" w:sz="4" w:space="0" w:color="000000"/>
              <w:right w:val="single" w:sz="4" w:space="0" w:color="000000"/>
            </w:tcBorders>
            <w:shd w:val="clear" w:color="auto" w:fill="D2D2D2"/>
          </w:tcPr>
          <w:p>
            <w:pPr/>
          </w:p>
        </w:tc>
        <w:tc>
          <w:tcPr>
            <w:tcW w:w="1995"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0" w:type="dxa"/>
            <w:vMerge/>
            <w:tcBorders>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77" w:hRule="exact"/>
        </w:trPr>
        <w:tc>
          <w:tcPr>
            <w:tcW w:w="103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r>
        <w:trPr>
          <w:trHeight w:val="288" w:hRule="exact"/>
        </w:trPr>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1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3" w:right="0"/>
              <w:jc w:val="left"/>
              <w:rPr>
                <w:rFonts w:ascii="宋体" w:hAnsi="宋体" w:cs="宋体" w:eastAsia="宋体" w:hint="default"/>
                <w:sz w:val="21"/>
                <w:szCs w:val="21"/>
              </w:rPr>
            </w:pPr>
            <w:r>
              <w:rPr>
                <w:rFonts w:ascii="宋体"/>
                <w:sz w:val="21"/>
              </w:rPr>
              <w:t>--</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3" w:right="0"/>
              <w:jc w:val="left"/>
              <w:rPr>
                <w:rFonts w:ascii="宋体" w:hAnsi="宋体" w:cs="宋体" w:eastAsia="宋体" w:hint="default"/>
                <w:sz w:val="21"/>
                <w:szCs w:val="21"/>
              </w:rPr>
            </w:pPr>
            <w:r>
              <w:rPr>
                <w:rFonts w:ascii="宋体"/>
                <w:sz w:val="21"/>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3" w:right="0"/>
              <w:jc w:val="left"/>
              <w:rPr>
                <w:rFonts w:ascii="宋体" w:hAnsi="宋体" w:cs="宋体" w:eastAsia="宋体" w:hint="default"/>
                <w:sz w:val="21"/>
                <w:szCs w:val="21"/>
              </w:rPr>
            </w:pPr>
            <w:r>
              <w:rPr>
                <w:rFonts w:ascii="宋体"/>
                <w:sz w:val="21"/>
              </w:rPr>
              <w:t>--</w:t>
            </w: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19" w:right="0"/>
              <w:jc w:val="left"/>
              <w:rPr>
                <w:rFonts w:ascii="宋体" w:hAnsi="宋体" w:cs="宋体" w:eastAsia="宋体" w:hint="default"/>
                <w:sz w:val="21"/>
                <w:szCs w:val="21"/>
              </w:rPr>
            </w:pPr>
            <w:r>
              <w:rPr>
                <w:rFonts w:ascii="宋体"/>
                <w:sz w:val="21"/>
              </w:rPr>
              <w:t>--</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3" w:right="0"/>
              <w:jc w:val="left"/>
              <w:rPr>
                <w:rFonts w:ascii="宋体" w:hAnsi="宋体" w:cs="宋体" w:eastAsia="宋体" w:hint="default"/>
                <w:sz w:val="21"/>
                <w:szCs w:val="21"/>
              </w:rPr>
            </w:pPr>
            <w:r>
              <w:rPr>
                <w:rFonts w:ascii="宋体"/>
                <w:sz w:val="21"/>
              </w:rPr>
              <w:t>--</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3" w:right="0"/>
              <w:jc w:val="left"/>
              <w:rPr>
                <w:rFonts w:ascii="宋体" w:hAnsi="宋体" w:cs="宋体" w:eastAsia="宋体" w:hint="default"/>
                <w:sz w:val="21"/>
                <w:szCs w:val="21"/>
              </w:rPr>
            </w:pPr>
            <w:r>
              <w:rPr>
                <w:rFonts w:ascii="宋体"/>
                <w:sz w:val="21"/>
              </w:rPr>
              <w:t>--</w:t>
            </w:r>
          </w:p>
        </w:tc>
      </w:tr>
      <w:tr>
        <w:trPr>
          <w:trHeight w:val="281" w:hRule="exact"/>
        </w:trPr>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995"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116,554,839.54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
              <w:jc w:val="right"/>
              <w:rPr>
                <w:rFonts w:ascii="宋体" w:hAnsi="宋体" w:cs="宋体" w:eastAsia="宋体" w:hint="default"/>
                <w:sz w:val="21"/>
                <w:szCs w:val="21"/>
              </w:rPr>
            </w:pPr>
            <w:r>
              <w:rPr>
                <w:rFonts w:ascii="宋体"/>
                <w:sz w:val="21"/>
              </w:rPr>
              <w:t>88.26%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2,331,096.79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49,754,601.06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6"/>
              <w:jc w:val="right"/>
              <w:rPr>
                <w:rFonts w:ascii="宋体" w:hAnsi="宋体" w:cs="宋体" w:eastAsia="宋体" w:hint="default"/>
                <w:sz w:val="21"/>
                <w:szCs w:val="21"/>
              </w:rPr>
            </w:pPr>
            <w:r>
              <w:rPr>
                <w:rFonts w:ascii="宋体"/>
                <w:sz w:val="21"/>
              </w:rPr>
              <w:t>86.71%</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995,092.02</w:t>
            </w:r>
          </w:p>
        </w:tc>
      </w:tr>
      <w:tr>
        <w:trPr>
          <w:trHeight w:val="283" w:hRule="exact"/>
        </w:trPr>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95" w:type="dxa"/>
            <w:tcBorders>
              <w:top w:val="single" w:sz="4" w:space="0" w:color="000000"/>
              <w:left w:val="single" w:sz="10" w:space="0" w:color="D2D2D2"/>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14,776,844.70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7"/>
              <w:jc w:val="right"/>
              <w:rPr>
                <w:rFonts w:ascii="宋体" w:hAnsi="宋体" w:cs="宋体" w:eastAsia="宋体" w:hint="default"/>
                <w:sz w:val="21"/>
                <w:szCs w:val="21"/>
              </w:rPr>
            </w:pPr>
            <w:r>
              <w:rPr>
                <w:rFonts w:ascii="宋体"/>
                <w:sz w:val="21"/>
              </w:rPr>
              <w:t>11.19%</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738,842.24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
              <w:jc w:val="right"/>
              <w:rPr>
                <w:rFonts w:ascii="宋体" w:hAnsi="宋体" w:cs="宋体" w:eastAsia="宋体" w:hint="default"/>
                <w:sz w:val="21"/>
                <w:szCs w:val="21"/>
              </w:rPr>
            </w:pPr>
            <w:r>
              <w:rPr>
                <w:rFonts w:ascii="宋体"/>
                <w:spacing w:val="-1"/>
                <w:sz w:val="21"/>
              </w:rPr>
              <w:t>7,579,870.70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6"/>
              <w:jc w:val="right"/>
              <w:rPr>
                <w:rFonts w:ascii="宋体" w:hAnsi="宋体" w:cs="宋体" w:eastAsia="宋体" w:hint="default"/>
                <w:sz w:val="21"/>
                <w:szCs w:val="21"/>
              </w:rPr>
            </w:pPr>
            <w:r>
              <w:rPr>
                <w:rFonts w:ascii="宋体"/>
                <w:sz w:val="21"/>
              </w:rPr>
              <w:t>13.21%</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378,993.54</w:t>
            </w:r>
          </w:p>
        </w:tc>
      </w:tr>
      <w:tr>
        <w:trPr>
          <w:trHeight w:val="283" w:hRule="exact"/>
        </w:trPr>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95"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728,849.00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
              <w:jc w:val="right"/>
              <w:rPr>
                <w:rFonts w:ascii="宋体" w:hAnsi="宋体" w:cs="宋体" w:eastAsia="宋体" w:hint="default"/>
                <w:sz w:val="21"/>
                <w:szCs w:val="21"/>
              </w:rPr>
            </w:pPr>
            <w:r>
              <w:rPr>
                <w:rFonts w:ascii="宋体"/>
                <w:sz w:val="21"/>
              </w:rPr>
              <w:t>0.55%</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218,654.70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45,000.00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sz w:val="21"/>
              </w:rPr>
              <w:t>0.08%</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13,500.00</w:t>
            </w:r>
          </w:p>
        </w:tc>
      </w:tr>
      <w:tr>
        <w:trPr>
          <w:trHeight w:val="281" w:hRule="exact"/>
        </w:trPr>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10" w:space="0" w:color="D2D2D2"/>
              <w:bottom w:val="single" w:sz="4" w:space="0" w:color="000000"/>
              <w:right w:val="single" w:sz="13" w:space="0" w:color="D2D2D2"/>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132,060,533.24</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468"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3,288,593.73</w:t>
            </w:r>
          </w:p>
        </w:tc>
        <w:tc>
          <w:tcPr>
            <w:tcW w:w="2120"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57,379,471.76</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24"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1,387,585.56</w:t>
            </w:r>
          </w:p>
        </w:tc>
      </w:tr>
    </w:tbl>
    <w:p>
      <w:pPr>
        <w:spacing w:after="0" w:line="241" w:lineRule="exact"/>
        <w:jc w:val="right"/>
        <w:rPr>
          <w:rFonts w:ascii="宋体" w:hAnsi="宋体" w:cs="宋体" w:eastAsia="宋体" w:hint="default"/>
          <w:sz w:val="21"/>
          <w:szCs w:val="21"/>
        </w:rPr>
        <w:sectPr>
          <w:pgSz w:w="11910" w:h="16840"/>
          <w:pgMar w:header="884" w:footer="979" w:top="1100" w:bottom="1160" w:left="820" w:right="480"/>
        </w:sectPr>
      </w:pPr>
    </w:p>
    <w:p>
      <w:pPr>
        <w:pStyle w:val="BodyText"/>
        <w:spacing w:line="240" w:lineRule="exact"/>
        <w:ind w:left="312" w:right="1460"/>
        <w:jc w:val="left"/>
      </w:pPr>
      <w:r>
        <w:rPr/>
        <w:t>组合中，采用余额百分比法计提坏账准备的应收账款</w:t>
      </w:r>
    </w:p>
    <w:p>
      <w:pPr>
        <w:pStyle w:val="BodyText"/>
        <w:spacing w:line="272" w:lineRule="exact" w:before="27"/>
        <w:ind w:left="312" w:right="1460"/>
        <w:jc w:val="left"/>
      </w:pPr>
      <w:r>
        <w:rPr/>
        <w:t>□ 适用 √ 不适用</w:t>
      </w:r>
      <w:r>
        <w:rPr>
          <w:spacing w:val="-104"/>
        </w:rPr>
        <w:t> </w:t>
      </w:r>
      <w:r>
        <w:rPr>
          <w:spacing w:val="-104"/>
        </w:rPr>
      </w:r>
      <w:r>
        <w:rPr>
          <w:spacing w:val="-2"/>
        </w:rPr>
        <w:t>组合中，采用其他方法计提坏账准备的应收账款</w:t>
      </w:r>
    </w:p>
    <w:p>
      <w:pPr>
        <w:pStyle w:val="BodyText"/>
        <w:spacing w:line="272" w:lineRule="exact" w:before="1"/>
        <w:ind w:left="312" w:right="1460"/>
        <w:jc w:val="left"/>
      </w:pPr>
      <w:r>
        <w:rPr/>
        <w:t>□ 适用 √ 不适用</w:t>
      </w:r>
      <w:r>
        <w:rPr>
          <w:spacing w:val="-104"/>
        </w:rPr>
        <w:t> </w:t>
      </w:r>
      <w:r>
        <w:rPr>
          <w:spacing w:val="-104"/>
        </w:rPr>
      </w:r>
      <w:r>
        <w:rPr>
          <w:spacing w:val="-2"/>
        </w:rPr>
        <w:t>期末单项金额虽不重大但单项计提坏账准备的应收账款</w:t>
      </w:r>
    </w:p>
    <w:p>
      <w:pPr>
        <w:pStyle w:val="BodyText"/>
        <w:spacing w:line="249" w:lineRule="exact"/>
        <w:ind w:left="312" w:right="1460"/>
        <w:jc w:val="left"/>
      </w:pPr>
      <w:r>
        <w:rPr/>
        <w:t>□ 适用 √</w:t>
      </w:r>
      <w:r>
        <w:rPr>
          <w:spacing w:val="1"/>
        </w:rPr>
        <w:t> </w:t>
      </w:r>
      <w:r>
        <w:rPr/>
        <w:t>不适用</w:t>
      </w:r>
    </w:p>
    <w:p>
      <w:pPr>
        <w:pStyle w:val="Heading5"/>
        <w:spacing w:line="326" w:lineRule="auto" w:before="94"/>
        <w:ind w:left="312" w:right="3521"/>
        <w:jc w:val="left"/>
        <w:rPr>
          <w:rFonts w:ascii="宋体" w:hAnsi="宋体" w:cs="宋体" w:eastAsia="宋体" w:hint="default"/>
          <w:b w:val="0"/>
          <w:bCs w:val="0"/>
        </w:rPr>
      </w:pPr>
      <w:r>
        <w:rPr>
          <w:spacing w:val="-1"/>
        </w:rPr>
        <w:t>（</w:t>
      </w:r>
      <w:r>
        <w:rPr>
          <w:rFonts w:ascii="宋体" w:hAnsi="宋体" w:cs="宋体" w:eastAsia="宋体" w:hint="default"/>
          <w:spacing w:val="-1"/>
        </w:rPr>
        <w:t>2</w:t>
      </w:r>
      <w:r>
        <w:rPr>
          <w:spacing w:val="-1"/>
        </w:rPr>
        <w:t>）本报告期转回或收回的应收账款情况</w:t>
      </w:r>
      <w:r>
        <w:rPr>
          <w:spacing w:val="-87"/>
        </w:rPr>
        <w:t> </w:t>
      </w:r>
      <w:r>
        <w:rPr>
          <w:spacing w:val="-87"/>
        </w:rPr>
      </w:r>
      <w:r>
        <w:rPr>
          <w:rFonts w:ascii="宋体" w:hAnsi="宋体" w:cs="宋体" w:eastAsia="宋体" w:hint="default"/>
          <w:b w:val="0"/>
          <w:bCs w:val="0"/>
        </w:rPr>
        <w:t>无</w:t>
      </w:r>
    </w:p>
    <w:p>
      <w:pPr>
        <w:pStyle w:val="Heading5"/>
        <w:spacing w:line="324" w:lineRule="auto" w:before="21"/>
        <w:ind w:left="312" w:right="3731"/>
        <w:jc w:val="left"/>
        <w:rPr>
          <w:rFonts w:ascii="宋体" w:hAnsi="宋体" w:cs="宋体" w:eastAsia="宋体" w:hint="default"/>
          <w:b w:val="0"/>
          <w:bCs w:val="0"/>
        </w:rPr>
      </w:pPr>
      <w:r>
        <w:rPr>
          <w:spacing w:val="-1"/>
        </w:rPr>
        <w:t>（</w:t>
      </w:r>
      <w:r>
        <w:rPr>
          <w:rFonts w:ascii="宋体" w:hAnsi="宋体" w:cs="宋体" w:eastAsia="宋体" w:hint="default"/>
          <w:spacing w:val="-1"/>
        </w:rPr>
        <w:t>3</w:t>
      </w:r>
      <w:r>
        <w:rPr>
          <w:spacing w:val="-1"/>
        </w:rPr>
        <w:t>）本报告期实际核销的应收账款情况</w:t>
      </w:r>
      <w:r>
        <w:rPr>
          <w:spacing w:val="-88"/>
        </w:rPr>
        <w:t> </w:t>
      </w:r>
      <w:r>
        <w:rPr>
          <w:spacing w:val="-88"/>
        </w:rPr>
      </w:r>
      <w:r>
        <w:rPr>
          <w:rFonts w:ascii="宋体" w:hAnsi="宋体" w:cs="宋体" w:eastAsia="宋体" w:hint="default"/>
          <w:b w:val="0"/>
          <w:bCs w:val="0"/>
        </w:rPr>
        <w:t>无</w:t>
      </w:r>
    </w:p>
    <w:p>
      <w:pPr>
        <w:pStyle w:val="Heading5"/>
        <w:spacing w:line="326" w:lineRule="auto" w:before="23"/>
        <w:ind w:left="312" w:right="-13"/>
        <w:jc w:val="left"/>
        <w:rPr>
          <w:rFonts w:ascii="宋体" w:hAnsi="宋体" w:cs="宋体" w:eastAsia="宋体" w:hint="default"/>
          <w:b w:val="0"/>
          <w:bCs w:val="0"/>
        </w:rPr>
      </w:pPr>
      <w:r>
        <w:rPr/>
        <w:t>（</w:t>
      </w:r>
      <w:r>
        <w:rPr>
          <w:rFonts w:ascii="宋体" w:hAnsi="宋体" w:cs="宋体" w:eastAsia="宋体" w:hint="default"/>
        </w:rPr>
        <w:t>4</w:t>
      </w:r>
      <w:r>
        <w:rPr/>
        <w:t>）本报告期应收账款中持有公司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w w:val="100"/>
        </w:rPr>
        <w:t> </w:t>
      </w:r>
      <w:r>
        <w:rPr>
          <w:rFonts w:ascii="宋体" w:hAnsi="宋体" w:cs="宋体" w:eastAsia="宋体" w:hint="default"/>
          <w:b w:val="0"/>
          <w:bCs w:val="0"/>
        </w:rPr>
        <w:t>无</w:t>
      </w:r>
    </w:p>
    <w:p>
      <w:pPr>
        <w:pStyle w:val="Heading5"/>
        <w:spacing w:line="326" w:lineRule="auto" w:before="19"/>
        <w:ind w:left="312" w:right="3102"/>
        <w:jc w:val="left"/>
        <w:rPr>
          <w:rFonts w:ascii="宋体" w:hAnsi="宋体" w:cs="宋体" w:eastAsia="宋体" w:hint="default"/>
          <w:b w:val="0"/>
          <w:bCs w:val="0"/>
        </w:rPr>
      </w:pPr>
      <w:r>
        <w:rPr>
          <w:spacing w:val="-1"/>
        </w:rPr>
        <w:t>（</w:t>
      </w:r>
      <w:r>
        <w:rPr>
          <w:rFonts w:ascii="宋体" w:hAnsi="宋体" w:cs="宋体" w:eastAsia="宋体" w:hint="default"/>
          <w:spacing w:val="-1"/>
        </w:rPr>
        <w:t>5</w:t>
      </w:r>
      <w:r>
        <w:rPr>
          <w:spacing w:val="-1"/>
        </w:rPr>
        <w:t>）金额较大的其他的应收账款的性质或内容</w:t>
      </w:r>
      <w:r>
        <w:rPr>
          <w:spacing w:val="-84"/>
        </w:rPr>
        <w:t> </w:t>
      </w:r>
      <w:r>
        <w:rPr>
          <w:spacing w:val="-84"/>
        </w:rPr>
      </w:r>
      <w:r>
        <w:rPr>
          <w:rFonts w:ascii="宋体" w:hAnsi="宋体" w:cs="宋体" w:eastAsia="宋体" w:hint="default"/>
          <w:b w:val="0"/>
          <w:bCs w:val="0"/>
        </w:rPr>
        <w:t>无</w:t>
      </w:r>
    </w:p>
    <w:p>
      <w:pPr>
        <w:pStyle w:val="Heading5"/>
        <w:spacing w:line="240" w:lineRule="auto" w:before="19"/>
        <w:ind w:left="312" w:right="1460"/>
        <w:jc w:val="left"/>
        <w:rPr>
          <w:b w:val="0"/>
          <w:bCs w:val="0"/>
        </w:rPr>
      </w:pPr>
      <w:r>
        <w:rPr/>
        <w:t>（</w:t>
      </w:r>
      <w:r>
        <w:rPr>
          <w:rFonts w:ascii="宋体" w:hAnsi="宋体" w:cs="宋体" w:eastAsia="宋体" w:hint="default"/>
        </w:rPr>
        <w:t>6</w:t>
      </w:r>
      <w:r>
        <w:rPr/>
        <w:t>）应收账款中金额前五名单位情况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BodyText"/>
        <w:spacing w:line="240" w:lineRule="auto"/>
        <w:ind w:left="312" w:right="0"/>
        <w:jc w:val="left"/>
      </w:pPr>
      <w:r>
        <w:rPr/>
        <w:t>单位：</w:t>
      </w:r>
      <w:r>
        <w:rPr>
          <w:spacing w:val="2"/>
        </w:rPr>
        <w:t> </w:t>
      </w:r>
      <w:r>
        <w:rPr/>
        <w:t>元</w:t>
      </w:r>
    </w:p>
    <w:p>
      <w:pPr>
        <w:spacing w:after="0" w:line="240" w:lineRule="auto"/>
        <w:jc w:val="left"/>
        <w:sectPr>
          <w:type w:val="continuous"/>
          <w:pgSz w:w="11910" w:h="16840"/>
          <w:pgMar w:top="1100" w:bottom="1160" w:left="820" w:right="480"/>
          <w:cols w:num="2" w:equalWidth="0">
            <w:col w:w="7906" w:space="789"/>
            <w:col w:w="1915"/>
          </w:cols>
        </w:sectPr>
      </w:pPr>
    </w:p>
    <w:p>
      <w:pPr>
        <w:spacing w:line="240" w:lineRule="auto" w:before="7"/>
        <w:rPr>
          <w:rFonts w:ascii="宋体" w:hAnsi="宋体" w:cs="宋体" w:eastAsia="宋体" w:hint="default"/>
          <w:sz w:val="2"/>
          <w:szCs w:val="2"/>
        </w:rPr>
      </w:pPr>
      <w:r>
        <w:rPr/>
        <w:pict>
          <v:group style="position:absolute;margin-left:54.84pt;margin-top:28.299982pt;width:485.65pt;height:40.15pt;mso-position-horizontal-relative:page;mso-position-vertical-relative:page;z-index:340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307" w:type="dxa"/>
        <w:tblLayout w:type="fixed"/>
        <w:tblCellMar>
          <w:top w:w="0" w:type="dxa"/>
          <w:left w:w="0" w:type="dxa"/>
          <w:bottom w:w="0" w:type="dxa"/>
          <w:right w:w="0" w:type="dxa"/>
        </w:tblCellMar>
        <w:tblLook w:val="01E0"/>
      </w:tblPr>
      <w:tblGrid>
        <w:gridCol w:w="2100"/>
        <w:gridCol w:w="1916"/>
        <w:gridCol w:w="1913"/>
        <w:gridCol w:w="1916"/>
        <w:gridCol w:w="1913"/>
      </w:tblGrid>
      <w:tr>
        <w:trPr>
          <w:trHeight w:val="554"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铁岭市商业银行股份</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16,388,600.00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12.41%</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10,043,227.80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7.61%</w:t>
            </w:r>
          </w:p>
        </w:tc>
      </w:tr>
      <w:tr>
        <w:trPr>
          <w:trHeight w:val="555"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中国联合网络通信有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限公司抚顺市分公司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9,009,415.00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6.82%</w:t>
            </w:r>
          </w:p>
        </w:tc>
      </w:tr>
      <w:tr>
        <w:trPr>
          <w:trHeight w:val="281"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辽阳市第二人民医院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4.23%</w:t>
            </w:r>
          </w:p>
        </w:tc>
      </w:tr>
      <w:tr>
        <w:trPr>
          <w:trHeight w:val="828"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中国石油天然气股份</w:t>
            </w:r>
          </w:p>
          <w:p>
            <w:pPr>
              <w:pStyle w:val="TableParagraph"/>
              <w:spacing w:line="272" w:lineRule="exact" w:before="26"/>
              <w:ind w:left="24" w:right="170"/>
              <w:jc w:val="left"/>
              <w:rPr>
                <w:rFonts w:ascii="宋体" w:hAnsi="宋体" w:cs="宋体" w:eastAsia="宋体" w:hint="default"/>
                <w:sz w:val="21"/>
                <w:szCs w:val="21"/>
              </w:rPr>
            </w:pPr>
            <w:r>
              <w:rPr>
                <w:rFonts w:ascii="宋体" w:hAnsi="宋体" w:cs="宋体" w:eastAsia="宋体" w:hint="default"/>
                <w:sz w:val="21"/>
                <w:szCs w:val="21"/>
              </w:rPr>
              <w:t>有限公司抚顺石化分</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3,914,570.00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2.96%</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10" w:space="0" w:color="D2D2D2"/>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44,935,812.80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sz w:val="21"/>
              </w:rPr>
              <w:t>34.03%</w:t>
            </w:r>
          </w:p>
        </w:tc>
      </w:tr>
    </w:tbl>
    <w:p>
      <w:pPr>
        <w:pStyle w:val="Heading5"/>
        <w:spacing w:line="326" w:lineRule="auto" w:before="64"/>
        <w:ind w:left="312" w:right="7849"/>
        <w:jc w:val="left"/>
        <w:rPr>
          <w:rFonts w:ascii="宋体" w:hAnsi="宋体" w:cs="宋体" w:eastAsia="宋体" w:hint="default"/>
          <w:b w:val="0"/>
          <w:bCs w:val="0"/>
        </w:rPr>
      </w:pPr>
      <w:r>
        <w:rPr/>
        <w:t>（</w:t>
      </w:r>
      <w:r>
        <w:rPr>
          <w:rFonts w:ascii="宋体" w:hAnsi="宋体" w:cs="宋体" w:eastAsia="宋体" w:hint="default"/>
        </w:rPr>
        <w:t>7</w:t>
      </w:r>
      <w:r>
        <w:rPr/>
        <w:t>）应收关联方账款情况</w:t>
      </w:r>
      <w:r>
        <w:rPr>
          <w:w w:val="100"/>
        </w:rPr>
        <w:t> </w:t>
      </w:r>
      <w:r>
        <w:rPr>
          <w:rFonts w:ascii="宋体" w:hAnsi="宋体" w:cs="宋体" w:eastAsia="宋体" w:hint="default"/>
          <w:b w:val="0"/>
          <w:bCs w:val="0"/>
        </w:rPr>
        <w:t>无</w:t>
      </w:r>
    </w:p>
    <w:p>
      <w:pPr>
        <w:pStyle w:val="Heading5"/>
        <w:spacing w:line="326" w:lineRule="auto" w:before="19"/>
        <w:ind w:left="312" w:right="5593"/>
        <w:jc w:val="left"/>
        <w:rPr>
          <w:rFonts w:ascii="宋体" w:hAnsi="宋体" w:cs="宋体" w:eastAsia="宋体" w:hint="default"/>
          <w:b w:val="0"/>
          <w:bCs w:val="0"/>
        </w:rPr>
      </w:pPr>
      <w:r>
        <w:rPr>
          <w:spacing w:val="-1"/>
        </w:rPr>
        <w:t>（</w:t>
      </w:r>
      <w:r>
        <w:rPr>
          <w:rFonts w:ascii="宋体" w:hAnsi="宋体" w:cs="宋体" w:eastAsia="宋体" w:hint="default"/>
          <w:spacing w:val="-1"/>
        </w:rPr>
        <w:t>8</w:t>
      </w:r>
      <w:r>
        <w:rPr>
          <w:spacing w:val="-1"/>
        </w:rPr>
        <w:t>）不符合终止确认条件的应收账款的转移金额</w:t>
      </w:r>
      <w:r>
        <w:rPr>
          <w:spacing w:val="-86"/>
        </w:rPr>
        <w:t> </w:t>
      </w:r>
      <w:r>
        <w:rPr>
          <w:spacing w:val="-86"/>
        </w:rPr>
      </w:r>
      <w:r>
        <w:rPr>
          <w:rFonts w:ascii="宋体" w:hAnsi="宋体" w:cs="宋体" w:eastAsia="宋体" w:hint="default"/>
          <w:b w:val="0"/>
          <w:bCs w:val="0"/>
        </w:rPr>
        <w:t>无</w:t>
      </w:r>
    </w:p>
    <w:p>
      <w:pPr>
        <w:pStyle w:val="Heading5"/>
        <w:spacing w:line="326" w:lineRule="auto" w:before="19"/>
        <w:ind w:left="312" w:right="3285"/>
        <w:jc w:val="left"/>
        <w:rPr>
          <w:rFonts w:ascii="宋体" w:hAnsi="宋体" w:cs="宋体" w:eastAsia="宋体" w:hint="default"/>
          <w:b w:val="0"/>
          <w:bCs w:val="0"/>
        </w:rPr>
      </w:pPr>
      <w:r>
        <w:rPr>
          <w:spacing w:val="-1"/>
        </w:rPr>
        <w:t>（</w:t>
      </w:r>
      <w:r>
        <w:rPr>
          <w:rFonts w:ascii="宋体" w:hAnsi="宋体" w:cs="宋体" w:eastAsia="宋体" w:hint="default"/>
          <w:spacing w:val="-1"/>
        </w:rPr>
        <w:t>9</w:t>
      </w:r>
      <w:r>
        <w:rPr>
          <w:spacing w:val="-1"/>
        </w:rPr>
        <w:t>）以应收款项为标的资产进行资产证券化的，需简要说明相关交易安排</w:t>
      </w:r>
      <w:r>
        <w:rPr>
          <w:spacing w:val="-76"/>
        </w:rPr>
        <w:t> </w:t>
      </w:r>
      <w:r>
        <w:rPr>
          <w:spacing w:val="-76"/>
        </w:rPr>
      </w:r>
      <w:r>
        <w:rPr>
          <w:rFonts w:ascii="宋体" w:hAnsi="宋体" w:cs="宋体" w:eastAsia="宋体" w:hint="default"/>
          <w:b w:val="0"/>
          <w:bCs w:val="0"/>
        </w:rPr>
        <w:t>无</w:t>
      </w:r>
    </w:p>
    <w:p>
      <w:pPr>
        <w:spacing w:after="0" w:line="326" w:lineRule="auto"/>
        <w:jc w:val="left"/>
        <w:rPr>
          <w:rFonts w:ascii="宋体" w:hAnsi="宋体" w:cs="宋体" w:eastAsia="宋体" w:hint="default"/>
        </w:rPr>
        <w:sectPr>
          <w:type w:val="continuous"/>
          <w:pgSz w:w="11910" w:h="16840"/>
          <w:pgMar w:top="1100" w:bottom="1160" w:left="820" w:right="480"/>
        </w:sectPr>
      </w:pPr>
    </w:p>
    <w:p>
      <w:pPr>
        <w:spacing w:line="240" w:lineRule="auto" w:before="2"/>
        <w:rPr>
          <w:rFonts w:ascii="宋体" w:hAnsi="宋体" w:cs="宋体" w:eastAsia="宋体" w:hint="default"/>
          <w:sz w:val="20"/>
          <w:szCs w:val="20"/>
        </w:rPr>
      </w:pPr>
    </w:p>
    <w:p>
      <w:pPr>
        <w:pStyle w:val="Heading5"/>
        <w:spacing w:line="240" w:lineRule="auto" w:before="36"/>
        <w:ind w:left="332" w:right="2217"/>
        <w:jc w:val="left"/>
        <w:rPr>
          <w:b w:val="0"/>
          <w:bCs w:val="0"/>
        </w:rPr>
      </w:pP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14"/>
          <w:szCs w:val="14"/>
        </w:rPr>
      </w:pPr>
    </w:p>
    <w:p>
      <w:pPr>
        <w:pStyle w:val="Heading5"/>
        <w:spacing w:line="240" w:lineRule="auto" w:before="36"/>
        <w:ind w:left="332" w:right="2217"/>
        <w:jc w:val="left"/>
        <w:rPr>
          <w:b w:val="0"/>
          <w:bCs w:val="0"/>
        </w:rPr>
      </w:pPr>
      <w:r>
        <w:rPr/>
        <w:t>（</w:t>
      </w:r>
      <w:r>
        <w:rPr>
          <w:rFonts w:ascii="宋体" w:hAnsi="宋体" w:cs="宋体" w:eastAsia="宋体" w:hint="default"/>
        </w:rPr>
        <w:t>1</w:t>
      </w:r>
      <w:r>
        <w:rPr/>
        <w:t>）其他应收款</w:t>
      </w:r>
      <w:r>
        <w:rPr>
          <w:b w:val="0"/>
          <w:bCs w:val="0"/>
        </w:rPr>
      </w:r>
    </w:p>
    <w:p>
      <w:pPr>
        <w:pStyle w:val="BodyText"/>
        <w:spacing w:line="240" w:lineRule="auto" w:before="99"/>
        <w:ind w:left="0" w:right="44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172"/>
        <w:gridCol w:w="1455"/>
        <w:gridCol w:w="576"/>
        <w:gridCol w:w="1320"/>
        <w:gridCol w:w="722"/>
        <w:gridCol w:w="1469"/>
        <w:gridCol w:w="529"/>
        <w:gridCol w:w="1190"/>
        <w:gridCol w:w="754"/>
      </w:tblGrid>
      <w:tr>
        <w:trPr>
          <w:trHeight w:val="281" w:hRule="exact"/>
        </w:trPr>
        <w:tc>
          <w:tcPr>
            <w:tcW w:w="2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0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2172" w:type="dxa"/>
            <w:vMerge/>
            <w:tcBorders>
              <w:left w:val="single" w:sz="4" w:space="0" w:color="000000"/>
              <w:right w:val="single" w:sz="4" w:space="0" w:color="000000"/>
            </w:tcBorders>
            <w:shd w:val="clear" w:color="auto" w:fill="D2D2D2"/>
          </w:tcPr>
          <w:p>
            <w:pPr/>
          </w:p>
        </w:tc>
        <w:tc>
          <w:tcPr>
            <w:tcW w:w="20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2172"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2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27" w:right="0"/>
              <w:jc w:val="left"/>
              <w:rPr>
                <w:rFonts w:ascii="宋体" w:hAnsi="宋体" w:cs="宋体" w:eastAsia="宋体" w:hint="default"/>
                <w:sz w:val="21"/>
                <w:szCs w:val="21"/>
              </w:rPr>
            </w:pPr>
            <w:r>
              <w:rPr>
                <w:rFonts w:ascii="宋体"/>
                <w:sz w:val="21"/>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9" w:right="0"/>
              <w:jc w:val="left"/>
              <w:rPr>
                <w:rFonts w:ascii="宋体" w:hAnsi="宋体" w:cs="宋体" w:eastAsia="宋体" w:hint="default"/>
                <w:sz w:val="21"/>
                <w:szCs w:val="21"/>
              </w:rPr>
            </w:pPr>
            <w:r>
              <w:rPr>
                <w:rFonts w:ascii="宋体"/>
                <w:sz w:val="21"/>
              </w:rPr>
              <w:t>(%)</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03" w:right="0"/>
              <w:jc w:val="left"/>
              <w:rPr>
                <w:rFonts w:ascii="宋体" w:hAnsi="宋体" w:cs="宋体" w:eastAsia="宋体" w:hint="default"/>
                <w:sz w:val="21"/>
                <w:szCs w:val="21"/>
              </w:rPr>
            </w:pPr>
            <w:r>
              <w:rPr>
                <w:rFonts w:ascii="宋体"/>
                <w:sz w:val="21"/>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1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6" w:right="0"/>
              <w:jc w:val="left"/>
              <w:rPr>
                <w:rFonts w:ascii="宋体" w:hAnsi="宋体" w:cs="宋体" w:eastAsia="宋体" w:hint="default"/>
                <w:sz w:val="21"/>
                <w:szCs w:val="21"/>
              </w:rPr>
            </w:pPr>
            <w:r>
              <w:rPr>
                <w:rFonts w:ascii="宋体"/>
                <w:sz w:val="21"/>
              </w:rPr>
              <w:t>(%)</w:t>
            </w:r>
          </w:p>
        </w:tc>
      </w:tr>
      <w:tr>
        <w:trPr>
          <w:trHeight w:val="283" w:hRule="exact"/>
        </w:trPr>
        <w:tc>
          <w:tcPr>
            <w:tcW w:w="1018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55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按账龄段组合的其他应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宋体" w:hAnsi="宋体" w:cs="宋体" w:eastAsia="宋体" w:hint="default"/>
                <w:sz w:val="21"/>
                <w:szCs w:val="21"/>
              </w:rPr>
            </w:pPr>
            <w:r>
              <w:rPr>
                <w:rFonts w:ascii="宋体"/>
                <w:sz w:val="21"/>
              </w:rPr>
              <w:t>12,494,512.24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 w:right="0"/>
              <w:jc w:val="left"/>
              <w:rPr>
                <w:rFonts w:ascii="宋体" w:hAnsi="宋体" w:cs="宋体" w:eastAsia="宋体" w:hint="default"/>
                <w:sz w:val="21"/>
                <w:szCs w:val="21"/>
              </w:rPr>
            </w:pPr>
            <w:r>
              <w:rPr>
                <w:rFonts w:ascii="宋体"/>
                <w:sz w:val="21"/>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908,778.94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9"/>
              <w:jc w:val="right"/>
              <w:rPr>
                <w:rFonts w:ascii="宋体" w:hAnsi="宋体" w:cs="宋体" w:eastAsia="宋体" w:hint="default"/>
                <w:sz w:val="21"/>
                <w:szCs w:val="21"/>
              </w:rPr>
            </w:pPr>
            <w:r>
              <w:rPr>
                <w:rFonts w:ascii="宋体"/>
                <w:sz w:val="21"/>
              </w:rPr>
              <w:t>7.27%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center"/>
              <w:rPr>
                <w:rFonts w:ascii="宋体" w:hAnsi="宋体" w:cs="宋体" w:eastAsia="宋体" w:hint="default"/>
                <w:sz w:val="21"/>
                <w:szCs w:val="21"/>
              </w:rPr>
            </w:pPr>
            <w:r>
              <w:rPr>
                <w:rFonts w:ascii="宋体"/>
                <w:sz w:val="21"/>
              </w:rPr>
              <w:t>29,626,816.87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 w:right="0"/>
              <w:jc w:val="left"/>
              <w:rPr>
                <w:rFonts w:ascii="宋体" w:hAnsi="宋体" w:cs="宋体" w:eastAsia="宋体" w:hint="default"/>
                <w:sz w:val="21"/>
                <w:szCs w:val="21"/>
              </w:rPr>
            </w:pPr>
            <w:r>
              <w:rPr>
                <w:rFonts w:ascii="宋体"/>
                <w:sz w:val="21"/>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4" w:right="0"/>
              <w:jc w:val="center"/>
              <w:rPr>
                <w:rFonts w:ascii="宋体" w:hAnsi="宋体" w:cs="宋体" w:eastAsia="宋体" w:hint="default"/>
                <w:sz w:val="21"/>
                <w:szCs w:val="21"/>
              </w:rPr>
            </w:pPr>
            <w:r>
              <w:rPr>
                <w:rFonts w:ascii="宋体"/>
                <w:sz w:val="21"/>
              </w:rPr>
              <w:t>928,544.14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3.13%</w:t>
            </w:r>
          </w:p>
        </w:tc>
      </w:tr>
      <w:tr>
        <w:trPr>
          <w:trHeight w:val="281" w:hRule="exact"/>
        </w:trPr>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12,494,512.24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sz w:val="21"/>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908,778.94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7.27%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29,626,816.87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sz w:val="21"/>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center"/>
              <w:rPr>
                <w:rFonts w:ascii="宋体" w:hAnsi="宋体" w:cs="宋体" w:eastAsia="宋体" w:hint="default"/>
                <w:sz w:val="21"/>
                <w:szCs w:val="21"/>
              </w:rPr>
            </w:pPr>
            <w:r>
              <w:rPr>
                <w:rFonts w:ascii="宋体"/>
                <w:sz w:val="21"/>
              </w:rPr>
              <w:t>928,544.14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3.13%</w:t>
            </w:r>
          </w:p>
        </w:tc>
      </w:tr>
      <w:tr>
        <w:trPr>
          <w:trHeight w:val="283" w:hRule="exact"/>
        </w:trPr>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12,494,512.24</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sz w:val="21"/>
              </w:rPr>
              <w:t>--</w:t>
            </w:r>
          </w:p>
        </w:tc>
        <w:tc>
          <w:tcPr>
            <w:tcW w:w="1320" w:type="dxa"/>
            <w:tcBorders>
              <w:top w:val="single" w:sz="4" w:space="0" w:color="000000"/>
              <w:left w:val="single" w:sz="4" w:space="0" w:color="000000"/>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908,778.94</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sz w:val="21"/>
              </w:rPr>
              <w:t>--</w:t>
            </w:r>
          </w:p>
        </w:tc>
        <w:tc>
          <w:tcPr>
            <w:tcW w:w="146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42" w:right="0"/>
              <w:jc w:val="center"/>
              <w:rPr>
                <w:rFonts w:ascii="宋体" w:hAnsi="宋体" w:cs="宋体" w:eastAsia="宋体" w:hint="default"/>
                <w:sz w:val="21"/>
                <w:szCs w:val="21"/>
              </w:rPr>
            </w:pPr>
            <w:r>
              <w:rPr>
                <w:rFonts w:ascii="宋体"/>
                <w:sz w:val="21"/>
              </w:rPr>
              <w:t>29,626,816.87</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sz w:val="21"/>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928,544.14</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sz w:val="21"/>
              </w:rPr>
              <w:t>--</w:t>
            </w:r>
          </w:p>
        </w:tc>
      </w:tr>
    </w:tbl>
    <w:p>
      <w:pPr>
        <w:spacing w:after="0" w:line="241" w:lineRule="exact"/>
        <w:jc w:val="left"/>
        <w:rPr>
          <w:rFonts w:ascii="宋体" w:hAnsi="宋体" w:cs="宋体" w:eastAsia="宋体" w:hint="default"/>
          <w:sz w:val="21"/>
          <w:szCs w:val="21"/>
        </w:rPr>
        <w:sectPr>
          <w:footerReference w:type="default" r:id="rId47"/>
          <w:pgSz w:w="11910" w:h="16840"/>
          <w:pgMar w:footer="979" w:header="884" w:top="1100" w:bottom="1160" w:left="800" w:right="680"/>
        </w:sectPr>
      </w:pPr>
    </w:p>
    <w:p>
      <w:pPr>
        <w:pStyle w:val="BodyText"/>
        <w:spacing w:line="240" w:lineRule="exact"/>
        <w:ind w:left="332" w:right="0"/>
        <w:jc w:val="left"/>
      </w:pPr>
      <w:r>
        <w:rPr/>
        <w:t>其他应收款种类的说明</w:t>
      </w:r>
    </w:p>
    <w:p>
      <w:pPr>
        <w:pStyle w:val="BodyText"/>
        <w:spacing w:line="272" w:lineRule="exact"/>
        <w:ind w:left="332" w:right="0"/>
        <w:jc w:val="left"/>
      </w:pPr>
      <w:r>
        <w:rPr>
          <w:spacing w:val="-2"/>
        </w:rPr>
        <w:t>期末单项金额重大并单项计提坏账准备的其他应收款</w:t>
      </w:r>
    </w:p>
    <w:p>
      <w:pPr>
        <w:pStyle w:val="BodyText"/>
        <w:spacing w:line="240" w:lineRule="auto"/>
        <w:ind w:left="332" w:right="0"/>
        <w:jc w:val="left"/>
      </w:pPr>
      <w:r>
        <w:rPr/>
        <w:t>□ 适用 √ 不适用</w:t>
      </w:r>
      <w:r>
        <w:rPr>
          <w:spacing w:val="-104"/>
        </w:rPr>
        <w:t> </w:t>
      </w:r>
      <w:r>
        <w:rPr>
          <w:spacing w:val="-104"/>
        </w:rPr>
      </w:r>
      <w:r>
        <w:rPr>
          <w:spacing w:val="-2"/>
        </w:rPr>
        <w:t>组合中，采用账龄分析法计提坏账准备的其他应收款</w:t>
      </w:r>
    </w:p>
    <w:p>
      <w:pPr>
        <w:pStyle w:val="BodyText"/>
        <w:spacing w:line="271" w:lineRule="exact"/>
        <w:ind w:left="332" w:right="0"/>
        <w:jc w:val="left"/>
      </w:pPr>
      <w:r>
        <w:rPr/>
        <w:t>√ 适用 □</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332" w:right="0"/>
        <w:jc w:val="left"/>
      </w:pPr>
      <w:r>
        <w:rPr/>
        <w:t>单位：</w:t>
      </w:r>
      <w:r>
        <w:rPr>
          <w:spacing w:val="2"/>
        </w:rPr>
        <w:t> </w:t>
      </w:r>
      <w:r>
        <w:rPr/>
        <w:t>元</w:t>
      </w:r>
    </w:p>
    <w:p>
      <w:pPr>
        <w:spacing w:after="0" w:line="240" w:lineRule="auto"/>
        <w:jc w:val="left"/>
        <w:sectPr>
          <w:type w:val="continuous"/>
          <w:pgSz w:w="11910" w:h="16840"/>
          <w:pgMar w:top="1100" w:bottom="1160" w:left="800" w:right="680"/>
          <w:cols w:num="2" w:equalWidth="0">
            <w:col w:w="5168" w:space="3527"/>
            <w:col w:w="1735"/>
          </w:cols>
        </w:sectPr>
      </w:pPr>
    </w:p>
    <w:p>
      <w:pPr>
        <w:spacing w:line="240" w:lineRule="auto" w:before="4"/>
        <w:rPr>
          <w:rFonts w:ascii="宋体" w:hAnsi="宋体" w:cs="宋体" w:eastAsia="宋体" w:hint="default"/>
          <w:sz w:val="2"/>
          <w:szCs w:val="2"/>
        </w:rPr>
      </w:pPr>
    </w:p>
    <w:tbl>
      <w:tblPr>
        <w:tblW w:w="0" w:type="auto"/>
        <w:jc w:val="left"/>
        <w:tblInd w:w="234" w:type="dxa"/>
        <w:tblLayout w:type="fixed"/>
        <w:tblCellMar>
          <w:top w:w="0" w:type="dxa"/>
          <w:left w:w="0" w:type="dxa"/>
          <w:bottom w:w="0" w:type="dxa"/>
          <w:right w:w="0" w:type="dxa"/>
        </w:tblCellMar>
        <w:tblLook w:val="01E0"/>
      </w:tblPr>
      <w:tblGrid>
        <w:gridCol w:w="1251"/>
        <w:gridCol w:w="1799"/>
        <w:gridCol w:w="820"/>
        <w:gridCol w:w="1605"/>
        <w:gridCol w:w="1856"/>
        <w:gridCol w:w="950"/>
        <w:gridCol w:w="1732"/>
      </w:tblGrid>
      <w:tr>
        <w:trPr>
          <w:trHeight w:val="283" w:hRule="exact"/>
        </w:trPr>
        <w:tc>
          <w:tcPr>
            <w:tcW w:w="1251" w:type="dxa"/>
            <w:tcBorders>
              <w:top w:val="single" w:sz="4" w:space="0" w:color="000000"/>
              <w:left w:val="single" w:sz="4" w:space="0" w:color="000000"/>
              <w:bottom w:val="nil" w:sz="6" w:space="0" w:color="auto"/>
              <w:right w:val="single" w:sz="4" w:space="0" w:color="000000"/>
            </w:tcBorders>
            <w:shd w:val="clear" w:color="auto" w:fill="D2D2D2"/>
          </w:tcPr>
          <w:p>
            <w:pPr/>
          </w:p>
        </w:tc>
        <w:tc>
          <w:tcPr>
            <w:tcW w:w="42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46" w:hRule="exact"/>
        </w:trPr>
        <w:tc>
          <w:tcPr>
            <w:tcW w:w="1251" w:type="dxa"/>
            <w:vMerge w:val="restart"/>
            <w:tcBorders>
              <w:top w:val="nil" w:sz="6" w:space="0" w:color="auto"/>
              <w:left w:val="single" w:sz="4" w:space="0" w:color="000000"/>
              <w:right w:val="single" w:sz="4" w:space="0" w:color="000000"/>
            </w:tcBorders>
            <w:shd w:val="clear" w:color="auto" w:fill="D2D2D2"/>
          </w:tcPr>
          <w:p>
            <w:pPr>
              <w:pStyle w:val="TableParagraph"/>
              <w:spacing w:line="246" w:lineRule="exact"/>
              <w:ind w:left="40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6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4" w:hRule="exact"/>
        </w:trPr>
        <w:tc>
          <w:tcPr>
            <w:tcW w:w="1251" w:type="dxa"/>
            <w:vMerge/>
            <w:tcBorders>
              <w:left w:val="single" w:sz="4" w:space="0" w:color="000000"/>
              <w:bottom w:val="nil" w:sz="6" w:space="0" w:color="auto"/>
              <w:right w:val="single" w:sz="4" w:space="0" w:color="000000"/>
            </w:tcBorders>
            <w:shd w:val="clear" w:color="auto" w:fill="D2D2D2"/>
          </w:tcPr>
          <w:p>
            <w:pPr/>
          </w:p>
        </w:tc>
        <w:tc>
          <w:tcPr>
            <w:tcW w:w="2618" w:type="dxa"/>
            <w:gridSpan w:val="2"/>
            <w:vMerge/>
            <w:tcBorders>
              <w:left w:val="single" w:sz="4" w:space="0" w:color="000000"/>
              <w:bottom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06" w:type="dxa"/>
            <w:gridSpan w:val="2"/>
            <w:vMerge/>
            <w:tcBorders>
              <w:left w:val="single" w:sz="4" w:space="0" w:color="000000"/>
              <w:bottom w:val="single" w:sz="4" w:space="0" w:color="000000"/>
              <w:right w:val="single" w:sz="4" w:space="0" w:color="000000"/>
            </w:tcBorders>
            <w:shd w:val="clear" w:color="auto" w:fill="D2D2D2"/>
          </w:tcPr>
          <w:p>
            <w:pPr/>
          </w:p>
        </w:tc>
        <w:tc>
          <w:tcPr>
            <w:tcW w:w="1732"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37" w:hRule="exact"/>
        </w:trPr>
        <w:tc>
          <w:tcPr>
            <w:tcW w:w="1251" w:type="dxa"/>
            <w:vMerge w:val="restart"/>
            <w:tcBorders>
              <w:top w:val="nil" w:sz="6" w:space="0" w:color="auto"/>
              <w:left w:val="single" w:sz="4" w:space="0" w:color="000000"/>
              <w:right w:val="single" w:sz="4" w:space="0" w:color="000000"/>
            </w:tcBorders>
            <w:shd w:val="clear" w:color="auto" w:fill="D2D2D2"/>
          </w:tcPr>
          <w:p>
            <w:pPr/>
          </w:p>
        </w:tc>
        <w:tc>
          <w:tcPr>
            <w:tcW w:w="1799"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0"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05" w:type="dxa"/>
            <w:vMerge/>
            <w:tcBorders>
              <w:left w:val="single" w:sz="4" w:space="0" w:color="000000"/>
              <w:bottom w:val="nil" w:sz="6" w:space="0" w:color="auto"/>
              <w:right w:val="single" w:sz="4" w:space="0" w:color="000000"/>
            </w:tcBorders>
            <w:shd w:val="clear" w:color="auto" w:fill="D2D2D2"/>
          </w:tcPr>
          <w:p>
            <w:pPr/>
          </w:p>
        </w:tc>
        <w:tc>
          <w:tcPr>
            <w:tcW w:w="1856"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950"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32" w:type="dxa"/>
            <w:vMerge/>
            <w:tcBorders>
              <w:left w:val="single" w:sz="4" w:space="0" w:color="000000"/>
              <w:bottom w:val="nil" w:sz="6" w:space="0" w:color="auto"/>
              <w:right w:val="single" w:sz="4" w:space="0" w:color="000000"/>
            </w:tcBorders>
            <w:shd w:val="clear" w:color="auto" w:fill="D2D2D2"/>
          </w:tcPr>
          <w:p>
            <w:pPr/>
          </w:p>
        </w:tc>
      </w:tr>
      <w:tr>
        <w:trPr>
          <w:trHeight w:val="151" w:hRule="exact"/>
        </w:trPr>
        <w:tc>
          <w:tcPr>
            <w:tcW w:w="1251" w:type="dxa"/>
            <w:vMerge/>
            <w:tcBorders>
              <w:left w:val="single" w:sz="4" w:space="0" w:color="000000"/>
              <w:bottom w:val="single" w:sz="4" w:space="0" w:color="000000"/>
              <w:right w:val="single" w:sz="4" w:space="0" w:color="000000"/>
            </w:tcBorders>
            <w:shd w:val="clear" w:color="auto" w:fill="D2D2D2"/>
          </w:tcPr>
          <w:p>
            <w:pPr/>
          </w:p>
        </w:tc>
        <w:tc>
          <w:tcPr>
            <w:tcW w:w="1799" w:type="dxa"/>
            <w:vMerge/>
            <w:tcBorders>
              <w:left w:val="single" w:sz="4" w:space="0" w:color="000000"/>
              <w:bottom w:val="single" w:sz="4" w:space="0" w:color="000000"/>
              <w:right w:val="single" w:sz="4" w:space="0" w:color="000000"/>
            </w:tcBorders>
            <w:shd w:val="clear" w:color="auto" w:fill="D2D2D2"/>
          </w:tcPr>
          <w:p>
            <w:pPr/>
          </w:p>
        </w:tc>
        <w:tc>
          <w:tcPr>
            <w:tcW w:w="820"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6" w:type="dxa"/>
            <w:vMerge/>
            <w:tcBorders>
              <w:left w:val="single" w:sz="4" w:space="0" w:color="000000"/>
              <w:bottom w:val="single" w:sz="4" w:space="0" w:color="000000"/>
              <w:right w:val="single" w:sz="4" w:space="0" w:color="000000"/>
            </w:tcBorders>
            <w:shd w:val="clear" w:color="auto" w:fill="D2D2D2"/>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17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74" w:hRule="exact"/>
        </w:trPr>
        <w:tc>
          <w:tcPr>
            <w:tcW w:w="1001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286" w:hRule="exact"/>
        </w:trPr>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8" w:right="0"/>
              <w:jc w:val="left"/>
              <w:rPr>
                <w:rFonts w:ascii="宋体" w:hAnsi="宋体" w:cs="宋体" w:eastAsia="宋体" w:hint="default"/>
                <w:sz w:val="21"/>
                <w:szCs w:val="21"/>
              </w:rPr>
            </w:pPr>
            <w:r>
              <w:rPr>
                <w:rFonts w:ascii="宋体"/>
                <w:sz w:val="21"/>
              </w:rPr>
              <w:t>--</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3" w:right="0"/>
              <w:jc w:val="left"/>
              <w:rPr>
                <w:rFonts w:ascii="宋体" w:hAnsi="宋体" w:cs="宋体" w:eastAsia="宋体" w:hint="default"/>
                <w:sz w:val="21"/>
                <w:szCs w:val="21"/>
              </w:rPr>
            </w:pPr>
            <w:r>
              <w:rPr>
                <w:rFonts w:ascii="宋体"/>
                <w:sz w:val="21"/>
              </w:rPr>
              <w:t>--</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9" w:right="0"/>
              <w:jc w:val="left"/>
              <w:rPr>
                <w:rFonts w:ascii="宋体" w:hAnsi="宋体" w:cs="宋体" w:eastAsia="宋体" w:hint="default"/>
                <w:sz w:val="21"/>
                <w:szCs w:val="21"/>
              </w:rPr>
            </w:pPr>
            <w:r>
              <w:rPr>
                <w:rFonts w:ascii="宋体"/>
                <w:sz w:val="21"/>
              </w:rPr>
              <w:t>--</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18" w:right="0"/>
              <w:jc w:val="left"/>
              <w:rPr>
                <w:rFonts w:ascii="宋体" w:hAnsi="宋体" w:cs="宋体" w:eastAsia="宋体" w:hint="default"/>
                <w:sz w:val="21"/>
                <w:szCs w:val="21"/>
              </w:rPr>
            </w:pPr>
            <w:r>
              <w:rPr>
                <w:rFonts w:ascii="宋体"/>
                <w:sz w:val="21"/>
              </w:rPr>
              <w:t>--</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3" w:right="0"/>
              <w:jc w:val="left"/>
              <w:rPr>
                <w:rFonts w:ascii="宋体" w:hAnsi="宋体" w:cs="宋体" w:eastAsia="宋体" w:hint="default"/>
                <w:sz w:val="21"/>
                <w:szCs w:val="21"/>
              </w:rPr>
            </w:pPr>
            <w:r>
              <w:rPr>
                <w:rFonts w:ascii="宋体"/>
                <w:sz w:val="21"/>
              </w:rPr>
              <w:t>--</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9" w:right="0"/>
              <w:jc w:val="left"/>
              <w:rPr>
                <w:rFonts w:ascii="宋体" w:hAnsi="宋体" w:cs="宋体" w:eastAsia="宋体" w:hint="default"/>
                <w:sz w:val="21"/>
                <w:szCs w:val="21"/>
              </w:rPr>
            </w:pPr>
            <w:r>
              <w:rPr>
                <w:rFonts w:ascii="宋体"/>
                <w:sz w:val="21"/>
              </w:rPr>
              <w:t>--</w:t>
            </w:r>
          </w:p>
        </w:tc>
      </w:tr>
      <w:tr>
        <w:trPr>
          <w:trHeight w:val="283" w:hRule="exact"/>
        </w:trPr>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79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8"/>
              <w:jc w:val="right"/>
              <w:rPr>
                <w:rFonts w:ascii="宋体" w:hAnsi="宋体" w:cs="宋体" w:eastAsia="宋体" w:hint="default"/>
                <w:sz w:val="21"/>
                <w:szCs w:val="21"/>
              </w:rPr>
            </w:pPr>
            <w:r>
              <w:rPr>
                <w:rFonts w:ascii="宋体"/>
                <w:spacing w:val="-1"/>
                <w:sz w:val="21"/>
              </w:rPr>
              <w:t>8,533,722.24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68.30%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170,674.44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28,376,556.87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z w:val="21"/>
              </w:rPr>
              <w:t>95.78%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566,031.14</w:t>
            </w:r>
          </w:p>
        </w:tc>
      </w:tr>
      <w:tr>
        <w:trPr>
          <w:trHeight w:val="281" w:hRule="exact"/>
        </w:trPr>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9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8"/>
              <w:jc w:val="right"/>
              <w:rPr>
                <w:rFonts w:ascii="宋体" w:hAnsi="宋体" w:cs="宋体" w:eastAsia="宋体" w:hint="default"/>
                <w:sz w:val="21"/>
                <w:szCs w:val="21"/>
              </w:rPr>
            </w:pPr>
            <w:r>
              <w:rPr>
                <w:rFonts w:ascii="宋体"/>
                <w:spacing w:val="-1"/>
                <w:sz w:val="21"/>
              </w:rPr>
              <w:t>2,760,530.00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22.09%</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138,026.50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50,260.00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z w:val="21"/>
              </w:rPr>
              <w:t>0.17%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2,513.00</w:t>
            </w:r>
          </w:p>
        </w:tc>
      </w:tr>
      <w:tr>
        <w:trPr>
          <w:trHeight w:val="283" w:hRule="exact"/>
        </w:trPr>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99" w:type="dxa"/>
            <w:tcBorders>
              <w:top w:val="single" w:sz="4" w:space="0" w:color="000000"/>
              <w:left w:val="single" w:sz="12" w:space="0" w:color="D2D2D2"/>
              <w:bottom w:val="single" w:sz="4" w:space="0" w:color="000000"/>
              <w:right w:val="single" w:sz="4" w:space="0" w:color="000000"/>
            </w:tcBorders>
          </w:tcPr>
          <w:p>
            <w:pPr>
              <w:pStyle w:val="TableParagraph"/>
              <w:spacing w:line="243" w:lineRule="exact"/>
              <w:ind w:right="18"/>
              <w:jc w:val="right"/>
              <w:rPr>
                <w:rFonts w:ascii="宋体" w:hAnsi="宋体" w:cs="宋体" w:eastAsia="宋体" w:hint="default"/>
                <w:sz w:val="21"/>
                <w:szCs w:val="21"/>
              </w:rPr>
            </w:pPr>
            <w:r>
              <w:rPr>
                <w:rFonts w:ascii="宋体"/>
                <w:sz w:val="21"/>
              </w:rPr>
              <w:t>260.00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z w:val="21"/>
              </w:rPr>
              <w:t>0.01%</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78.00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1,200,000.00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z w:val="21"/>
              </w:rPr>
              <w:t>4.05%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360,000.00</w:t>
            </w:r>
          </w:p>
        </w:tc>
      </w:tr>
      <w:tr>
        <w:trPr>
          <w:trHeight w:val="283" w:hRule="exact"/>
        </w:trPr>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799"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right="18"/>
              <w:jc w:val="right"/>
              <w:rPr>
                <w:rFonts w:ascii="宋体" w:hAnsi="宋体" w:cs="宋体" w:eastAsia="宋体" w:hint="default"/>
                <w:sz w:val="21"/>
                <w:szCs w:val="21"/>
              </w:rPr>
            </w:pPr>
            <w:r>
              <w:rPr>
                <w:rFonts w:ascii="宋体"/>
                <w:spacing w:val="-1"/>
                <w:sz w:val="21"/>
              </w:rPr>
              <w:t>1,200,000.00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z w:val="21"/>
              </w:rPr>
              <w:t>9.60%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600,000.00</w:t>
            </w:r>
          </w:p>
        </w:tc>
        <w:tc>
          <w:tcPr>
            <w:tcW w:w="185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9" w:type="dxa"/>
            <w:tcBorders>
              <w:top w:val="single" w:sz="4" w:space="0" w:color="000000"/>
              <w:left w:val="single" w:sz="12" w:space="0" w:color="D2D2D2"/>
              <w:bottom w:val="single" w:sz="4" w:space="0" w:color="000000"/>
              <w:right w:val="single" w:sz="13" w:space="0" w:color="D2D2D2"/>
            </w:tcBorders>
          </w:tcPr>
          <w:p>
            <w:pPr>
              <w:pStyle w:val="TableParagraph"/>
              <w:spacing w:line="241" w:lineRule="exact"/>
              <w:ind w:right="6"/>
              <w:jc w:val="right"/>
              <w:rPr>
                <w:rFonts w:ascii="宋体" w:hAnsi="宋体" w:cs="宋体" w:eastAsia="宋体" w:hint="default"/>
                <w:sz w:val="21"/>
                <w:szCs w:val="21"/>
              </w:rPr>
            </w:pPr>
            <w:r>
              <w:rPr>
                <w:rFonts w:ascii="宋体"/>
                <w:spacing w:val="-1"/>
                <w:sz w:val="21"/>
              </w:rPr>
              <w:t>12,494,512.24</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sz w:val="21"/>
              </w:rPr>
              <w:t>--</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908,778.94</w:t>
            </w:r>
          </w:p>
        </w:tc>
        <w:tc>
          <w:tcPr>
            <w:tcW w:w="1856" w:type="dxa"/>
            <w:tcBorders>
              <w:top w:val="single" w:sz="4" w:space="0" w:color="000000"/>
              <w:left w:val="single" w:sz="4" w:space="0" w:color="000000"/>
              <w:bottom w:val="single" w:sz="4" w:space="0" w:color="000000"/>
              <w:right w:val="single" w:sz="10" w:space="0" w:color="D2D2D2"/>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29,626,816.87</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sz w:val="21"/>
              </w:rPr>
              <w:t>--</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928,544.14</w:t>
            </w:r>
          </w:p>
        </w:tc>
      </w:tr>
    </w:tbl>
    <w:p>
      <w:pPr>
        <w:spacing w:after="0" w:line="241" w:lineRule="exact"/>
        <w:jc w:val="right"/>
        <w:rPr>
          <w:rFonts w:ascii="宋体" w:hAnsi="宋体" w:cs="宋体" w:eastAsia="宋体" w:hint="default"/>
          <w:sz w:val="21"/>
          <w:szCs w:val="21"/>
        </w:rPr>
        <w:sectPr>
          <w:type w:val="continuous"/>
          <w:pgSz w:w="11910" w:h="16840"/>
          <w:pgMar w:top="1100" w:bottom="1160" w:left="800" w:right="680"/>
        </w:sectPr>
      </w:pPr>
    </w:p>
    <w:p>
      <w:pPr>
        <w:pStyle w:val="BodyText"/>
        <w:spacing w:line="239" w:lineRule="exact"/>
        <w:ind w:left="332" w:right="1463"/>
        <w:jc w:val="left"/>
      </w:pPr>
      <w:r>
        <w:rPr/>
        <w:t>组合中，采用余额百分比法计提坏账准备的其他应收款</w:t>
      </w:r>
    </w:p>
    <w:p>
      <w:pPr>
        <w:pStyle w:val="BodyText"/>
        <w:spacing w:line="240" w:lineRule="auto"/>
        <w:ind w:left="332" w:right="1463"/>
        <w:jc w:val="left"/>
      </w:pPr>
      <w:r>
        <w:rPr/>
        <w:t>□ 适用 √ 不适用</w:t>
      </w:r>
      <w:r>
        <w:rPr>
          <w:spacing w:val="-104"/>
        </w:rPr>
        <w:t> </w:t>
      </w:r>
      <w:r>
        <w:rPr>
          <w:spacing w:val="-104"/>
        </w:rPr>
      </w:r>
      <w:r>
        <w:rPr>
          <w:spacing w:val="-2"/>
        </w:rPr>
        <w:t>组合中，采用其他方法计提坏账准备的其他应收款</w:t>
      </w:r>
    </w:p>
    <w:p>
      <w:pPr>
        <w:pStyle w:val="BodyText"/>
        <w:spacing w:line="272" w:lineRule="exact" w:before="24"/>
        <w:ind w:left="332" w:right="1463"/>
        <w:jc w:val="left"/>
      </w:pPr>
      <w:r>
        <w:rPr/>
        <w:t>□ 适用 √ 不适用</w:t>
      </w:r>
      <w:r>
        <w:rPr>
          <w:spacing w:val="-104"/>
        </w:rPr>
        <w:t> </w:t>
      </w:r>
      <w:r>
        <w:rPr>
          <w:spacing w:val="-104"/>
        </w:rPr>
      </w:r>
      <w:r>
        <w:rPr>
          <w:spacing w:val="-2"/>
        </w:rPr>
        <w:t>期末单项金额虽不重大但单项计提坏账准备的其他应收款</w:t>
      </w:r>
    </w:p>
    <w:p>
      <w:pPr>
        <w:pStyle w:val="BodyText"/>
        <w:spacing w:line="249" w:lineRule="exact"/>
        <w:ind w:left="332" w:right="1463"/>
        <w:jc w:val="left"/>
      </w:pPr>
      <w:r>
        <w:rPr/>
        <w:t>□ 适用 √</w:t>
      </w:r>
      <w:r>
        <w:rPr>
          <w:spacing w:val="1"/>
        </w:rPr>
        <w:t> </w:t>
      </w:r>
      <w:r>
        <w:rPr/>
        <w:t>不适用</w:t>
      </w:r>
    </w:p>
    <w:p>
      <w:pPr>
        <w:pStyle w:val="Heading5"/>
        <w:spacing w:line="326" w:lineRule="auto" w:before="95"/>
        <w:ind w:left="332" w:right="3523"/>
        <w:jc w:val="left"/>
        <w:rPr>
          <w:rFonts w:ascii="宋体" w:hAnsi="宋体" w:cs="宋体" w:eastAsia="宋体" w:hint="default"/>
          <w:b w:val="0"/>
          <w:bCs w:val="0"/>
        </w:rPr>
      </w:pPr>
      <w:r>
        <w:rPr>
          <w:spacing w:val="-1"/>
        </w:rPr>
        <w:t>（</w:t>
      </w:r>
      <w:r>
        <w:rPr>
          <w:rFonts w:ascii="宋体" w:hAnsi="宋体" w:cs="宋体" w:eastAsia="宋体" w:hint="default"/>
          <w:spacing w:val="-1"/>
        </w:rPr>
        <w:t>2</w:t>
      </w:r>
      <w:r>
        <w:rPr>
          <w:spacing w:val="-1"/>
        </w:rPr>
        <w:t>）本报告期转回或收回的其他应收款情况</w:t>
      </w:r>
      <w:r>
        <w:rPr>
          <w:spacing w:val="-85"/>
        </w:rPr>
        <w:t> </w:t>
      </w:r>
      <w:r>
        <w:rPr>
          <w:spacing w:val="-85"/>
        </w:rPr>
      </w:r>
      <w:r>
        <w:rPr>
          <w:rFonts w:ascii="宋体" w:hAnsi="宋体" w:cs="宋体" w:eastAsia="宋体" w:hint="default"/>
          <w:b w:val="0"/>
          <w:bCs w:val="0"/>
        </w:rPr>
        <w:t>无</w:t>
      </w:r>
    </w:p>
    <w:p>
      <w:pPr>
        <w:pStyle w:val="Heading5"/>
        <w:spacing w:line="326" w:lineRule="auto" w:before="21"/>
        <w:ind w:left="332" w:right="3732"/>
        <w:jc w:val="left"/>
        <w:rPr>
          <w:rFonts w:ascii="宋体" w:hAnsi="宋体" w:cs="宋体" w:eastAsia="宋体" w:hint="default"/>
          <w:b w:val="0"/>
          <w:bCs w:val="0"/>
        </w:rPr>
      </w:pPr>
      <w:r>
        <w:rPr>
          <w:spacing w:val="-1"/>
        </w:rPr>
        <w:t>（</w:t>
      </w:r>
      <w:r>
        <w:rPr>
          <w:rFonts w:ascii="宋体" w:hAnsi="宋体" w:cs="宋体" w:eastAsia="宋体" w:hint="default"/>
          <w:spacing w:val="-1"/>
        </w:rPr>
        <w:t>3</w:t>
      </w:r>
      <w:r>
        <w:rPr>
          <w:spacing w:val="-1"/>
        </w:rPr>
        <w:t>）本报告期实际核销的其他应收款情况</w:t>
      </w:r>
      <w:r>
        <w:rPr>
          <w:spacing w:val="-87"/>
        </w:rPr>
        <w:t> </w:t>
      </w:r>
      <w:r>
        <w:rPr>
          <w:spacing w:val="-87"/>
        </w:rPr>
      </w:r>
      <w:r>
        <w:rPr>
          <w:rFonts w:ascii="宋体" w:hAnsi="宋体" w:cs="宋体" w:eastAsia="宋体" w:hint="default"/>
          <w:b w:val="0"/>
          <w:bCs w:val="0"/>
        </w:rPr>
        <w:t>无</w:t>
      </w:r>
    </w:p>
    <w:p>
      <w:pPr>
        <w:pStyle w:val="Heading5"/>
        <w:spacing w:line="326" w:lineRule="auto" w:before="19"/>
        <w:ind w:left="332" w:right="-13"/>
        <w:jc w:val="left"/>
        <w:rPr>
          <w:rFonts w:ascii="宋体" w:hAnsi="宋体" w:cs="宋体" w:eastAsia="宋体" w:hint="default"/>
          <w:b w:val="0"/>
          <w:bCs w:val="0"/>
        </w:rPr>
      </w:pPr>
      <w:r>
        <w:rPr/>
        <w:t>（</w:t>
      </w:r>
      <w:r>
        <w:rPr>
          <w:rFonts w:ascii="宋体" w:hAnsi="宋体" w:cs="宋体" w:eastAsia="宋体" w:hint="default"/>
        </w:rPr>
        <w:t>4</w:t>
      </w:r>
      <w:r>
        <w:rPr/>
        <w:t>）本报告期其他应收款中持有公司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w w:val="100"/>
        </w:rPr>
        <w:t> </w:t>
      </w:r>
      <w:r>
        <w:rPr>
          <w:rFonts w:ascii="宋体" w:hAnsi="宋体" w:cs="宋体" w:eastAsia="宋体" w:hint="default"/>
          <w:b w:val="0"/>
          <w:bCs w:val="0"/>
        </w:rPr>
        <w:t>无</w:t>
      </w:r>
    </w:p>
    <w:p>
      <w:pPr>
        <w:pStyle w:val="Heading5"/>
        <w:spacing w:line="326" w:lineRule="auto" w:before="19"/>
        <w:ind w:left="332" w:right="3732"/>
        <w:jc w:val="left"/>
        <w:rPr>
          <w:rFonts w:ascii="宋体" w:hAnsi="宋体" w:cs="宋体" w:eastAsia="宋体" w:hint="default"/>
          <w:b w:val="0"/>
          <w:bCs w:val="0"/>
        </w:rPr>
      </w:pPr>
      <w:r>
        <w:rPr>
          <w:spacing w:val="-1"/>
        </w:rPr>
        <w:t>（</w:t>
      </w:r>
      <w:r>
        <w:rPr>
          <w:rFonts w:ascii="宋体" w:hAnsi="宋体" w:cs="宋体" w:eastAsia="宋体" w:hint="default"/>
          <w:spacing w:val="-1"/>
        </w:rPr>
        <w:t>5</w:t>
      </w:r>
      <w:r>
        <w:rPr>
          <w:spacing w:val="-1"/>
        </w:rPr>
        <w:t>）金额较大的其他应收款的性质或内容</w:t>
      </w:r>
      <w:r>
        <w:rPr>
          <w:spacing w:val="-87"/>
        </w:rPr>
        <w:t> </w:t>
      </w:r>
      <w:r>
        <w:rPr>
          <w:spacing w:val="-87"/>
        </w:rPr>
      </w:r>
      <w:r>
        <w:rPr>
          <w:rFonts w:ascii="宋体" w:hAnsi="宋体" w:cs="宋体" w:eastAsia="宋体" w:hint="default"/>
          <w:b w:val="0"/>
          <w:bCs w:val="0"/>
        </w:rPr>
        <w:t>无</w:t>
      </w:r>
    </w:p>
    <w:p>
      <w:pPr>
        <w:pStyle w:val="Heading5"/>
        <w:spacing w:line="240" w:lineRule="auto" w:before="21"/>
        <w:ind w:left="332" w:right="1463"/>
        <w:jc w:val="left"/>
        <w:rPr>
          <w:b w:val="0"/>
          <w:bCs w:val="0"/>
        </w:rPr>
      </w:pPr>
      <w:r>
        <w:rPr/>
        <w:t>（</w:t>
      </w:r>
      <w:r>
        <w:rPr>
          <w:rFonts w:ascii="宋体" w:hAnsi="宋体" w:cs="宋体" w:eastAsia="宋体" w:hint="default"/>
        </w:rPr>
        <w:t>6</w:t>
      </w:r>
      <w:r>
        <w:rPr/>
        <w:t>）其他应收款金额前五名单位情况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left="332" w:right="0"/>
        <w:jc w:val="left"/>
      </w:pPr>
      <w:r>
        <w:rPr/>
        <w:t>单位：</w:t>
      </w:r>
      <w:r>
        <w:rPr>
          <w:spacing w:val="2"/>
        </w:rPr>
        <w:t> </w:t>
      </w:r>
      <w:r>
        <w:rPr/>
        <w:t>元</w:t>
      </w:r>
    </w:p>
    <w:p>
      <w:pPr>
        <w:spacing w:after="0" w:line="240" w:lineRule="auto"/>
        <w:jc w:val="left"/>
        <w:sectPr>
          <w:type w:val="continuous"/>
          <w:pgSz w:w="11910" w:h="16840"/>
          <w:pgMar w:top="1100" w:bottom="1160" w:left="800" w:right="680"/>
          <w:cols w:num="2" w:equalWidth="0">
            <w:col w:w="8137" w:space="558"/>
            <w:col w:w="1735"/>
          </w:cols>
        </w:sectPr>
      </w:pPr>
    </w:p>
    <w:p>
      <w:pPr>
        <w:spacing w:line="240" w:lineRule="auto" w:before="7"/>
        <w:rPr>
          <w:rFonts w:ascii="宋体" w:hAnsi="宋体" w:cs="宋体" w:eastAsia="宋体" w:hint="default"/>
          <w:sz w:val="2"/>
          <w:szCs w:val="2"/>
        </w:rPr>
      </w:pPr>
      <w:r>
        <w:rPr/>
        <w:pict>
          <v:group style="position:absolute;margin-left:54.84pt;margin-top:28.299982pt;width:485.65pt;height:40.15pt;mso-position-horizontal-relative:page;mso-position-vertical-relative:page;z-index:342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329" w:type="dxa"/>
        <w:tblLayout w:type="fixed"/>
        <w:tblCellMar>
          <w:top w:w="0" w:type="dxa"/>
          <w:left w:w="0" w:type="dxa"/>
          <w:bottom w:w="0" w:type="dxa"/>
          <w:right w:w="0" w:type="dxa"/>
        </w:tblCellMar>
        <w:tblLook w:val="01E0"/>
      </w:tblPr>
      <w:tblGrid>
        <w:gridCol w:w="2099"/>
        <w:gridCol w:w="1916"/>
        <w:gridCol w:w="1913"/>
        <w:gridCol w:w="1916"/>
        <w:gridCol w:w="1913"/>
      </w:tblGrid>
      <w:tr>
        <w:trPr>
          <w:trHeight w:val="283" w:hRule="exact"/>
        </w:trPr>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2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占其他应收款总额</w:t>
            </w:r>
          </w:p>
        </w:tc>
      </w:tr>
    </w:tbl>
    <w:p>
      <w:pPr>
        <w:spacing w:after="0" w:line="241" w:lineRule="exact"/>
        <w:jc w:val="left"/>
        <w:rPr>
          <w:rFonts w:ascii="宋体" w:hAnsi="宋体" w:cs="宋体" w:eastAsia="宋体" w:hint="default"/>
          <w:sz w:val="21"/>
          <w:szCs w:val="21"/>
        </w:rPr>
        <w:sectPr>
          <w:type w:val="continuous"/>
          <w:pgSz w:w="11910" w:h="16840"/>
          <w:pgMar w:top="1100" w:bottom="1160" w:left="800" w:right="680"/>
        </w:sectPr>
      </w:pPr>
    </w:p>
    <w:p>
      <w:pPr>
        <w:spacing w:line="240" w:lineRule="auto" w:before="6"/>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344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100"/>
        <w:gridCol w:w="1916"/>
        <w:gridCol w:w="1913"/>
        <w:gridCol w:w="1916"/>
        <w:gridCol w:w="1913"/>
      </w:tblGrid>
      <w:tr>
        <w:trPr>
          <w:trHeight w:val="284"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辽宁荣科金融服务有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3,320,671.50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26.58%</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沈阳铁路机械学校基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建办公室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10.56%</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辽宁东方瑞德建筑装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饰工程有限公司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5" w:right="0"/>
              <w:jc w:val="left"/>
              <w:rPr>
                <w:rFonts w:ascii="宋体" w:hAnsi="宋体" w:cs="宋体" w:eastAsia="宋体" w:hint="default"/>
                <w:sz w:val="21"/>
                <w:szCs w:val="21"/>
              </w:rPr>
            </w:pPr>
            <w:r>
              <w:rPr>
                <w:rFonts w:ascii="宋体" w:hAnsi="宋体" w:cs="宋体" w:eastAsia="宋体" w:hint="default"/>
                <w:sz w:val="21"/>
                <w:szCs w:val="21"/>
              </w:rPr>
              <w:t>提供装修服务商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9.60%</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沈阳市政府采购中心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579,140.00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4.64%</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中邮通信设备沈阳有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523,000.00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4.19%</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3"/>
              <w:jc w:val="right"/>
              <w:rPr>
                <w:rFonts w:ascii="宋体" w:hAnsi="宋体" w:cs="宋体" w:eastAsia="宋体" w:hint="default"/>
                <w:sz w:val="21"/>
                <w:szCs w:val="21"/>
              </w:rPr>
            </w:pPr>
            <w:r>
              <w:rPr>
                <w:rFonts w:ascii="宋体"/>
                <w:sz w:val="21"/>
              </w:rPr>
              <w:t>--</w:t>
            </w:r>
          </w:p>
        </w:tc>
        <w:tc>
          <w:tcPr>
            <w:tcW w:w="1913" w:type="dxa"/>
            <w:tcBorders>
              <w:top w:val="single" w:sz="4" w:space="0" w:color="000000"/>
              <w:left w:val="single" w:sz="10" w:space="0" w:color="D2D2D2"/>
              <w:bottom w:val="single" w:sz="4" w:space="0" w:color="000000"/>
              <w:right w:val="single" w:sz="13" w:space="0" w:color="D2D2D2"/>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6,942,811.50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55.57%</w:t>
            </w:r>
          </w:p>
        </w:tc>
      </w:tr>
    </w:tbl>
    <w:p>
      <w:pPr>
        <w:pStyle w:val="Heading5"/>
        <w:spacing w:line="240" w:lineRule="auto" w:before="65"/>
        <w:ind w:right="0"/>
        <w:jc w:val="left"/>
        <w:rPr>
          <w:b w:val="0"/>
          <w:bCs w:val="0"/>
        </w:rPr>
      </w:pPr>
      <w:r>
        <w:rPr/>
        <w:t>（</w:t>
      </w:r>
      <w:r>
        <w:rPr>
          <w:rFonts w:ascii="宋体" w:hAnsi="宋体" w:cs="宋体" w:eastAsia="宋体" w:hint="default"/>
        </w:rPr>
        <w:t>7</w:t>
      </w:r>
      <w:r>
        <w:rPr/>
        <w:t>）其他应收关联方账款情况</w:t>
      </w:r>
      <w:r>
        <w:rPr>
          <w:b w:val="0"/>
          <w:bCs w:val="0"/>
        </w:rPr>
      </w:r>
    </w:p>
    <w:p>
      <w:pPr>
        <w:spacing w:line="240" w:lineRule="auto" w:before="2"/>
        <w:rPr>
          <w:rFonts w:ascii="宋体" w:hAnsi="宋体" w:cs="宋体" w:eastAsia="宋体" w:hint="default"/>
          <w:b/>
          <w:bCs/>
          <w:sz w:val="10"/>
          <w:szCs w:val="10"/>
        </w:rPr>
      </w:pPr>
    </w:p>
    <w:tbl>
      <w:tblPr>
        <w:tblW w:w="0" w:type="auto"/>
        <w:jc w:val="left"/>
        <w:tblInd w:w="148" w:type="dxa"/>
        <w:tblLayout w:type="fixed"/>
        <w:tblCellMar>
          <w:top w:w="0" w:type="dxa"/>
          <w:left w:w="0" w:type="dxa"/>
          <w:bottom w:w="0" w:type="dxa"/>
          <w:right w:w="0" w:type="dxa"/>
        </w:tblCellMar>
        <w:tblLook w:val="01E0"/>
      </w:tblPr>
      <w:tblGrid>
        <w:gridCol w:w="2732"/>
        <w:gridCol w:w="2203"/>
        <w:gridCol w:w="2432"/>
        <w:gridCol w:w="2429"/>
      </w:tblGrid>
      <w:tr>
        <w:trPr>
          <w:trHeight w:val="635"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5"/>
              <w:ind w:left="1054" w:right="154" w:hanging="894"/>
              <w:jc w:val="left"/>
              <w:rPr>
                <w:rFonts w:ascii="宋体" w:hAnsi="宋体" w:cs="宋体" w:eastAsia="宋体" w:hint="default"/>
                <w:sz w:val="21"/>
                <w:szCs w:val="21"/>
              </w:rPr>
            </w:pPr>
            <w:r>
              <w:rPr>
                <w:rFonts w:ascii="宋体" w:hAnsi="宋体" w:cs="宋体" w:eastAsia="宋体" w:hint="default"/>
                <w:spacing w:val="-2"/>
                <w:sz w:val="21"/>
                <w:szCs w:val="21"/>
              </w:rPr>
              <w:t>占应收账款总额的比例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w:t>
            </w:r>
          </w:p>
        </w:tc>
      </w:tr>
      <w:tr>
        <w:trPr>
          <w:trHeight w:val="36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辽宁荣科金融服务有限公司</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3,320,671.50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z w:val="21"/>
              </w:rPr>
              <w:t>26.58%</w:t>
            </w:r>
          </w:p>
        </w:tc>
      </w:tr>
      <w:tr>
        <w:trPr>
          <w:trHeight w:val="362"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宋体"/>
                <w:sz w:val="21"/>
              </w:rPr>
              <w:t>--</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1"/>
                <w:sz w:val="21"/>
              </w:rPr>
              <w:t>3,320,671.50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z w:val="21"/>
              </w:rPr>
              <w:t>26.58%</w:t>
            </w:r>
          </w:p>
        </w:tc>
      </w:tr>
    </w:tbl>
    <w:p>
      <w:pPr>
        <w:pStyle w:val="Heading5"/>
        <w:spacing w:line="326" w:lineRule="auto" w:before="64"/>
        <w:ind w:right="5213"/>
        <w:jc w:val="left"/>
        <w:rPr>
          <w:rFonts w:ascii="宋体" w:hAnsi="宋体" w:cs="宋体" w:eastAsia="宋体" w:hint="default"/>
          <w:b w:val="0"/>
          <w:bCs w:val="0"/>
        </w:rPr>
      </w:pPr>
      <w:r>
        <w:rPr>
          <w:spacing w:val="-1"/>
        </w:rPr>
        <w:t>（</w:t>
      </w:r>
      <w:r>
        <w:rPr>
          <w:rFonts w:ascii="宋体" w:hAnsi="宋体" w:cs="宋体" w:eastAsia="宋体" w:hint="default"/>
          <w:spacing w:val="-1"/>
        </w:rPr>
        <w:t>8</w:t>
      </w:r>
      <w:r>
        <w:rPr>
          <w:spacing w:val="-1"/>
        </w:rPr>
        <w:t>）不符合终止确认条件的应收账款的转移金额</w:t>
      </w:r>
      <w:r>
        <w:rPr>
          <w:spacing w:val="-86"/>
        </w:rPr>
        <w:t> </w:t>
      </w:r>
      <w:r>
        <w:rPr>
          <w:spacing w:val="-86"/>
        </w:rPr>
      </w:r>
      <w:r>
        <w:rPr>
          <w:rFonts w:ascii="宋体" w:hAnsi="宋体" w:cs="宋体" w:eastAsia="宋体" w:hint="default"/>
          <w:b w:val="0"/>
          <w:bCs w:val="0"/>
        </w:rPr>
        <w:t>无</w:t>
      </w:r>
    </w:p>
    <w:p>
      <w:pPr>
        <w:pStyle w:val="Heading5"/>
        <w:spacing w:line="326" w:lineRule="auto" w:before="19"/>
        <w:ind w:right="2485"/>
        <w:jc w:val="left"/>
        <w:rPr>
          <w:rFonts w:ascii="宋体" w:hAnsi="宋体" w:cs="宋体" w:eastAsia="宋体" w:hint="default"/>
          <w:b w:val="0"/>
          <w:bCs w:val="0"/>
        </w:rPr>
      </w:pPr>
      <w:r>
        <w:rPr>
          <w:spacing w:val="-1"/>
        </w:rPr>
        <w:t>（</w:t>
      </w:r>
      <w:r>
        <w:rPr>
          <w:rFonts w:ascii="宋体" w:hAnsi="宋体" w:cs="宋体" w:eastAsia="宋体" w:hint="default"/>
          <w:spacing w:val="-1"/>
        </w:rPr>
        <w:t>9</w:t>
      </w:r>
      <w:r>
        <w:rPr>
          <w:spacing w:val="-1"/>
        </w:rPr>
        <w:t>）以其他应收款项为标的资产进行资产证券化的，需简要说明相关交易安排</w:t>
      </w:r>
      <w:r>
        <w:rPr>
          <w:spacing w:val="-77"/>
        </w:rPr>
        <w:t> </w:t>
      </w:r>
      <w:r>
        <w:rPr>
          <w:spacing w:val="-77"/>
        </w:rPr>
      </w:r>
      <w:r>
        <w:rPr>
          <w:rFonts w:ascii="宋体" w:hAnsi="宋体" w:cs="宋体" w:eastAsia="宋体" w:hint="default"/>
          <w:b w:val="0"/>
          <w:bCs w:val="0"/>
        </w:rPr>
        <w:t>无</w:t>
      </w:r>
    </w:p>
    <w:p>
      <w:pPr>
        <w:spacing w:after="0" w:line="326" w:lineRule="auto"/>
        <w:jc w:val="left"/>
        <w:rPr>
          <w:rFonts w:ascii="宋体" w:hAnsi="宋体" w:cs="宋体" w:eastAsia="宋体" w:hint="default"/>
        </w:rPr>
        <w:sectPr>
          <w:footerReference w:type="default" r:id="rId48"/>
          <w:pgSz w:w="11910" w:h="16840"/>
          <w:pgMar w:footer="979" w:header="884" w:top="1100" w:bottom="1160" w:left="980" w:right="860"/>
          <w:pgNumType w:start="101"/>
        </w:sectPr>
      </w:pPr>
    </w:p>
    <w:p>
      <w:pPr>
        <w:pStyle w:val="Heading5"/>
        <w:spacing w:line="240" w:lineRule="auto" w:before="133"/>
        <w:ind w:left="532" w:right="0"/>
        <w:jc w:val="left"/>
        <w:rPr>
          <w:b w:val="0"/>
          <w:bCs w:val="0"/>
        </w:rPr>
      </w:pPr>
      <w:r>
        <w:rPr>
          <w:rFonts w:ascii="宋体" w:hAnsi="宋体" w:cs="宋体" w:eastAsia="宋体" w:hint="default"/>
        </w:rPr>
        <w:t>3</w:t>
      </w:r>
      <w:r>
        <w:rPr/>
        <w:t>、长期股权投资</w:t>
      </w:r>
      <w:r>
        <w:rPr>
          <w:b w:val="0"/>
          <w:bCs w:val="0"/>
        </w:rPr>
      </w:r>
    </w:p>
    <w:p>
      <w:pPr>
        <w:spacing w:line="240" w:lineRule="auto" w:before="1"/>
        <w:rPr>
          <w:rFonts w:ascii="宋体" w:hAnsi="宋体" w:cs="宋体" w:eastAsia="宋体" w:hint="default"/>
          <w:b/>
          <w:bCs/>
          <w:sz w:val="11"/>
          <w:szCs w:val="11"/>
        </w:rPr>
      </w:pPr>
    </w:p>
    <w:p>
      <w:pPr>
        <w:pStyle w:val="BodyText"/>
        <w:spacing w:line="240" w:lineRule="auto" w:before="36"/>
        <w:ind w:left="0" w:right="76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64"/>
        <w:gridCol w:w="502"/>
        <w:gridCol w:w="1421"/>
        <w:gridCol w:w="1316"/>
        <w:gridCol w:w="1423"/>
        <w:gridCol w:w="1421"/>
        <w:gridCol w:w="794"/>
        <w:gridCol w:w="793"/>
        <w:gridCol w:w="941"/>
        <w:gridCol w:w="420"/>
        <w:gridCol w:w="499"/>
        <w:gridCol w:w="420"/>
      </w:tblGrid>
      <w:tr>
        <w:trPr>
          <w:trHeight w:val="1644" w:hRule="exact"/>
        </w:trPr>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5" w:right="58"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5" w:right="31"/>
              <w:jc w:val="left"/>
              <w:rPr>
                <w:rFonts w:ascii="宋体" w:hAnsi="宋体" w:cs="宋体" w:eastAsia="宋体" w:hint="default"/>
                <w:sz w:val="21"/>
                <w:szCs w:val="21"/>
              </w:rPr>
            </w:pPr>
            <w:r>
              <w:rPr>
                <w:rFonts w:ascii="宋体" w:hAnsi="宋体" w:cs="宋体" w:eastAsia="宋体" w:hint="default"/>
                <w:sz w:val="21"/>
                <w:szCs w:val="21"/>
              </w:rPr>
              <w:t>核算</w:t>
            </w:r>
            <w:r>
              <w:rPr>
                <w:rFonts w:ascii="宋体" w:hAnsi="宋体" w:cs="宋体" w:eastAsia="宋体" w:hint="default"/>
                <w:spacing w:val="-103"/>
                <w:sz w:val="21"/>
                <w:szCs w:val="21"/>
              </w:rPr>
              <w:t> </w:t>
            </w:r>
            <w:r>
              <w:rPr>
                <w:rFonts w:ascii="宋体" w:hAnsi="宋体" w:cs="宋体" w:eastAsia="宋体" w:hint="default"/>
                <w:sz w:val="21"/>
                <w:szCs w:val="21"/>
              </w:rPr>
              <w:t>方法</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96" w:right="491"/>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6" w:right="72"/>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3" w:right="19" w:firstLine="52"/>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37" w:lineRule="auto"/>
              <w:ind w:left="23" w:right="62"/>
              <w:jc w:val="both"/>
              <w:rPr>
                <w:rFonts w:ascii="宋体" w:hAnsi="宋体" w:cs="宋体" w:eastAsia="宋体" w:hint="default"/>
                <w:sz w:val="21"/>
                <w:szCs w:val="21"/>
              </w:rPr>
            </w:pPr>
            <w:r>
              <w:rPr>
                <w:rFonts w:ascii="宋体" w:hAnsi="宋体" w:cs="宋体" w:eastAsia="宋体" w:hint="default"/>
                <w:sz w:val="21"/>
                <w:szCs w:val="21"/>
              </w:rPr>
              <w:t>单位持股</w:t>
            </w:r>
            <w:r>
              <w:rPr>
                <w:rFonts w:ascii="宋体" w:hAnsi="宋体" w:cs="宋体" w:eastAsia="宋体" w:hint="default"/>
                <w:w w:val="100"/>
                <w:sz w:val="21"/>
                <w:szCs w:val="21"/>
              </w:rPr>
              <w:t> </w:t>
            </w:r>
            <w:r>
              <w:rPr>
                <w:rFonts w:ascii="宋体" w:hAnsi="宋体" w:cs="宋体" w:eastAsia="宋体" w:hint="default"/>
                <w:sz w:val="21"/>
                <w:szCs w:val="21"/>
              </w:rPr>
              <w:t>比例与表</w:t>
            </w:r>
            <w:r>
              <w:rPr>
                <w:rFonts w:ascii="宋体" w:hAnsi="宋体" w:cs="宋体" w:eastAsia="宋体" w:hint="default"/>
                <w:w w:val="100"/>
                <w:sz w:val="21"/>
                <w:szCs w:val="21"/>
              </w:rPr>
              <w:t> </w:t>
            </w:r>
            <w:r>
              <w:rPr>
                <w:rFonts w:ascii="宋体" w:hAnsi="宋体" w:cs="宋体" w:eastAsia="宋体" w:hint="default"/>
                <w:sz w:val="21"/>
                <w:szCs w:val="21"/>
              </w:rPr>
              <w:t>决权比例</w:t>
            </w:r>
            <w:r>
              <w:rPr>
                <w:rFonts w:ascii="宋体" w:hAnsi="宋体" w:cs="宋体" w:eastAsia="宋体" w:hint="default"/>
                <w:w w:val="100"/>
                <w:sz w:val="21"/>
                <w:szCs w:val="21"/>
              </w:rPr>
              <w:t> </w:t>
            </w:r>
            <w:r>
              <w:rPr>
                <w:rFonts w:ascii="宋体" w:hAnsi="宋体" w:cs="宋体" w:eastAsia="宋体" w:hint="default"/>
                <w:sz w:val="21"/>
                <w:szCs w:val="21"/>
              </w:rPr>
              <w:t>不一致的</w:t>
            </w:r>
            <w:r>
              <w:rPr>
                <w:rFonts w:ascii="宋体" w:hAnsi="宋体" w:cs="宋体" w:eastAsia="宋体" w:hint="default"/>
                <w:w w:val="100"/>
                <w:sz w:val="21"/>
                <w:szCs w:val="21"/>
              </w:rPr>
              <w:t> </w:t>
            </w:r>
            <w:r>
              <w:rPr>
                <w:rFonts w:ascii="宋体" w:hAnsi="宋体" w:cs="宋体" w:eastAsia="宋体" w:hint="default"/>
                <w:sz w:val="21"/>
                <w:szCs w:val="21"/>
              </w:rPr>
              <w:t>说明</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6" w:right="29"/>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r>
      <w:tr>
        <w:trPr>
          <w:trHeight w:val="110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沈阳荣</w:t>
            </w:r>
          </w:p>
          <w:p>
            <w:pPr>
              <w:pStyle w:val="TableParagraph"/>
              <w:spacing w:line="237" w:lineRule="auto"/>
              <w:ind w:left="24" w:right="94"/>
              <w:jc w:val="both"/>
              <w:rPr>
                <w:rFonts w:ascii="宋体" w:hAnsi="宋体" w:cs="宋体" w:eastAsia="宋体" w:hint="default"/>
                <w:sz w:val="21"/>
                <w:szCs w:val="21"/>
              </w:rPr>
            </w:pPr>
            <w:r>
              <w:rPr>
                <w:rFonts w:ascii="宋体" w:hAnsi="宋体" w:cs="宋体" w:eastAsia="宋体" w:hint="default"/>
                <w:sz w:val="21"/>
                <w:szCs w:val="21"/>
              </w:rPr>
              <w:t>科全濠</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43"/>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法</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0" w:right="0"/>
              <w:jc w:val="center"/>
              <w:rPr>
                <w:rFonts w:ascii="宋体" w:hAnsi="宋体" w:cs="宋体" w:eastAsia="宋体" w:hint="default"/>
                <w:sz w:val="21"/>
                <w:szCs w:val="21"/>
              </w:rPr>
            </w:pPr>
            <w:r>
              <w:rPr>
                <w:rFonts w:ascii="宋体"/>
                <w:sz w:val="21"/>
              </w:rPr>
              <w:t>3,500,000.00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3,500,000.00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0" w:right="0"/>
              <w:jc w:val="center"/>
              <w:rPr>
                <w:rFonts w:ascii="宋体" w:hAnsi="宋体" w:cs="宋体" w:eastAsia="宋体" w:hint="default"/>
                <w:sz w:val="21"/>
                <w:szCs w:val="21"/>
              </w:rPr>
            </w:pPr>
            <w:r>
              <w:rPr>
                <w:rFonts w:ascii="宋体"/>
                <w:sz w:val="21"/>
              </w:rPr>
              <w:t>3,500,000.00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70.00%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z w:val="21"/>
              </w:rPr>
              <w:t>70.00%</w:t>
            </w:r>
          </w:p>
        </w:tc>
        <w:tc>
          <w:tcPr>
            <w:tcW w:w="94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辽宁荣</w:t>
            </w:r>
          </w:p>
          <w:p>
            <w:pPr>
              <w:pStyle w:val="TableParagraph"/>
              <w:spacing w:line="237" w:lineRule="auto"/>
              <w:ind w:left="24" w:right="94"/>
              <w:jc w:val="both"/>
              <w:rPr>
                <w:rFonts w:ascii="宋体" w:hAnsi="宋体" w:cs="宋体" w:eastAsia="宋体" w:hint="default"/>
                <w:sz w:val="21"/>
                <w:szCs w:val="21"/>
              </w:rPr>
            </w:pPr>
            <w:r>
              <w:rPr>
                <w:rFonts w:ascii="宋体" w:hAnsi="宋体" w:cs="宋体" w:eastAsia="宋体" w:hint="default"/>
                <w:sz w:val="21"/>
                <w:szCs w:val="21"/>
              </w:rPr>
              <w:t>科金融</w:t>
            </w:r>
            <w:r>
              <w:rPr>
                <w:rFonts w:ascii="宋体" w:hAnsi="宋体" w:cs="宋体" w:eastAsia="宋体" w:hint="default"/>
                <w:spacing w:val="-102"/>
                <w:sz w:val="21"/>
                <w:szCs w:val="21"/>
              </w:rPr>
              <w:t> </w:t>
            </w:r>
            <w:r>
              <w:rPr>
                <w:rFonts w:ascii="宋体" w:hAnsi="宋体" w:cs="宋体" w:eastAsia="宋体" w:hint="default"/>
                <w:sz w:val="21"/>
                <w:szCs w:val="21"/>
              </w:rPr>
              <w:t>服务有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43"/>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法</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30,000,000.00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5,000,000.00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25,000,000.00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30,000,000.00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100.00%</w:t>
            </w:r>
          </w:p>
        </w:tc>
        <w:tc>
          <w:tcPr>
            <w:tcW w:w="94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北京荣</w:t>
            </w:r>
          </w:p>
          <w:p>
            <w:pPr>
              <w:pStyle w:val="TableParagraph"/>
              <w:spacing w:line="272" w:lineRule="exact" w:before="27"/>
              <w:ind w:left="24" w:right="94"/>
              <w:jc w:val="both"/>
              <w:rPr>
                <w:rFonts w:ascii="宋体" w:hAnsi="宋体" w:cs="宋体" w:eastAsia="宋体" w:hint="default"/>
                <w:sz w:val="21"/>
                <w:szCs w:val="21"/>
              </w:rPr>
            </w:pPr>
            <w:r>
              <w:rPr>
                <w:rFonts w:ascii="宋体" w:hAnsi="宋体" w:cs="宋体" w:eastAsia="宋体" w:hint="default"/>
                <w:sz w:val="21"/>
                <w:szCs w:val="21"/>
              </w:rPr>
              <w:t>科爱信</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 w:right="43"/>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法</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0" w:right="0"/>
              <w:jc w:val="center"/>
              <w:rPr>
                <w:rFonts w:ascii="宋体" w:hAnsi="宋体" w:cs="宋体" w:eastAsia="宋体" w:hint="default"/>
                <w:sz w:val="21"/>
                <w:szCs w:val="21"/>
              </w:rPr>
            </w:pPr>
            <w:r>
              <w:rPr>
                <w:rFonts w:ascii="宋体"/>
                <w:sz w:val="21"/>
              </w:rPr>
              <w:t>1,000,000.00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1,000,000.00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0" w:right="0"/>
              <w:jc w:val="center"/>
              <w:rPr>
                <w:rFonts w:ascii="宋体" w:hAnsi="宋体" w:cs="宋体" w:eastAsia="宋体" w:hint="default"/>
                <w:sz w:val="21"/>
                <w:szCs w:val="21"/>
              </w:rPr>
            </w:pPr>
            <w:r>
              <w:rPr>
                <w:rFonts w:ascii="宋体"/>
                <w:sz w:val="21"/>
              </w:rPr>
              <w:t>1,000,000.00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100.00%</w:t>
            </w:r>
          </w:p>
        </w:tc>
        <w:tc>
          <w:tcPr>
            <w:tcW w:w="94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41" w:right="0"/>
              <w:jc w:val="left"/>
              <w:rPr>
                <w:rFonts w:ascii="宋体" w:hAnsi="宋体" w:cs="宋体" w:eastAsia="宋体" w:hint="default"/>
                <w:sz w:val="21"/>
                <w:szCs w:val="21"/>
              </w:rPr>
            </w:pPr>
            <w:r>
              <w:rPr>
                <w:rFonts w:ascii="宋体"/>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34,500,000.00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9,500,000.00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34,500,000.00</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42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3"/>
        <w:ind w:left="953" w:right="0" w:hanging="421"/>
        <w:jc w:val="left"/>
      </w:pPr>
      <w:r>
        <w:rPr/>
        <w:t>长期股权投资的说明</w:t>
      </w:r>
      <w:r>
        <w:rPr>
          <w:w w:val="100"/>
        </w:rPr>
        <w:t> </w:t>
      </w:r>
      <w:r>
        <w:rPr>
          <w:spacing w:val="-2"/>
        </w:rPr>
        <w:t>经公司第一届董事会第十三次会议和第十五次会议审议通过，公司以募集资金向全资子公司——辽宁</w:t>
      </w:r>
    </w:p>
    <w:p>
      <w:pPr>
        <w:pStyle w:val="BodyText"/>
        <w:spacing w:line="247" w:lineRule="exact"/>
        <w:ind w:left="532" w:right="0"/>
        <w:jc w:val="left"/>
      </w:pPr>
      <w:r>
        <w:rPr/>
        <w:t>荣科金融服务有限公司分别增资</w:t>
      </w:r>
      <w:r>
        <w:rPr>
          <w:spacing w:val="-43"/>
        </w:rPr>
        <w:t> </w:t>
      </w:r>
      <w:r>
        <w:rPr>
          <w:rFonts w:ascii="宋体" w:hAnsi="宋体" w:cs="宋体" w:eastAsia="宋体" w:hint="default"/>
        </w:rPr>
        <w:t>1,500</w:t>
      </w:r>
      <w:r>
        <w:rPr>
          <w:rFonts w:ascii="宋体" w:hAnsi="宋体" w:cs="宋体" w:eastAsia="宋体" w:hint="default"/>
          <w:spacing w:val="-44"/>
        </w:rPr>
        <w:t> </w:t>
      </w:r>
      <w:r>
        <w:rPr/>
        <w:t>万元和</w:t>
      </w:r>
      <w:r>
        <w:rPr>
          <w:spacing w:val="-44"/>
        </w:rPr>
        <w:t> </w:t>
      </w:r>
      <w:r>
        <w:rPr>
          <w:rFonts w:ascii="宋体" w:hAnsi="宋体" w:cs="宋体" w:eastAsia="宋体" w:hint="default"/>
        </w:rPr>
        <w:t>1,000</w:t>
      </w:r>
      <w:r>
        <w:rPr>
          <w:rFonts w:ascii="宋体" w:hAnsi="宋体" w:cs="宋体" w:eastAsia="宋体" w:hint="default"/>
          <w:spacing w:val="-44"/>
        </w:rPr>
        <w:t> </w:t>
      </w:r>
      <w:r>
        <w:rPr>
          <w:spacing w:val="-3"/>
        </w:rPr>
        <w:t>万元，两次增资完成后，荣科金融的注册资本由原来</w:t>
      </w:r>
    </w:p>
    <w:p>
      <w:pPr>
        <w:spacing w:line="501" w:lineRule="auto" w:before="0"/>
        <w:ind w:left="532" w:right="4727"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1"/>
          <w:sz w:val="21"/>
          <w:szCs w:val="21"/>
        </w:rPr>
        <w:t> </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z w:val="21"/>
          <w:szCs w:val="21"/>
        </w:rPr>
        <w:t>万元增加到</w:t>
      </w:r>
      <w:r>
        <w:rPr>
          <w:rFonts w:ascii="宋体" w:hAnsi="宋体" w:cs="宋体" w:eastAsia="宋体" w:hint="default"/>
          <w:spacing w:val="-52"/>
          <w:sz w:val="21"/>
          <w:szCs w:val="21"/>
        </w:rPr>
        <w:t>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z w:val="21"/>
          <w:szCs w:val="21"/>
        </w:rPr>
        <w:t>万元，并已完成工商登记变更手续。</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pStyle w:val="Heading5"/>
        <w:spacing w:line="240" w:lineRule="auto" w:before="70"/>
        <w:ind w:left="532" w:right="0"/>
        <w:jc w:val="left"/>
        <w:rPr>
          <w:b w:val="0"/>
          <w:bCs w:val="0"/>
        </w:rPr>
      </w:pPr>
      <w:r>
        <w:rPr/>
        <w:t>（</w:t>
      </w:r>
      <w:r>
        <w:rPr>
          <w:rFonts w:ascii="宋体" w:hAnsi="宋体" w:cs="宋体" w:eastAsia="宋体" w:hint="default"/>
        </w:rPr>
        <w:t>1</w:t>
      </w:r>
      <w:r>
        <w:rPr/>
        <w:t>）营业收入</w:t>
      </w:r>
      <w:r>
        <w:rPr>
          <w:b w:val="0"/>
          <w:bCs w:val="0"/>
        </w:rPr>
      </w:r>
    </w:p>
    <w:p>
      <w:pPr>
        <w:pStyle w:val="BodyText"/>
        <w:spacing w:line="240" w:lineRule="auto" w:before="97"/>
        <w:ind w:left="0" w:right="76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511" w:type="dxa"/>
        <w:tblLayout w:type="fixed"/>
        <w:tblCellMar>
          <w:top w:w="0" w:type="dxa"/>
          <w:left w:w="0" w:type="dxa"/>
          <w:bottom w:w="0" w:type="dxa"/>
          <w:right w:w="0" w:type="dxa"/>
        </w:tblCellMar>
        <w:tblLook w:val="01E0"/>
      </w:tblPr>
      <w:tblGrid>
        <w:gridCol w:w="2537"/>
        <w:gridCol w:w="3512"/>
        <w:gridCol w:w="3637"/>
      </w:tblGrid>
      <w:tr>
        <w:trPr>
          <w:trHeight w:val="283"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512"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323,547,751.52</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233,059,108.72</w:t>
            </w:r>
          </w:p>
        </w:tc>
      </w:tr>
      <w:tr>
        <w:trPr>
          <w:trHeight w:val="281"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12"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323,547,751.52</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233,059,108.72</w:t>
            </w:r>
          </w:p>
        </w:tc>
      </w:tr>
      <w:tr>
        <w:trPr>
          <w:trHeight w:val="284"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512"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219,511,498.55</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153,511,480.02</w:t>
            </w:r>
          </w:p>
        </w:tc>
      </w:tr>
    </w:tbl>
    <w:p>
      <w:pPr>
        <w:pStyle w:val="Heading5"/>
        <w:spacing w:line="240" w:lineRule="auto" w:before="64"/>
        <w:ind w:left="532" w:right="0"/>
        <w:jc w:val="left"/>
        <w:rPr>
          <w:b w:val="0"/>
          <w:bCs w:val="0"/>
        </w:rPr>
      </w:pPr>
      <w:r>
        <w:rPr/>
        <w:t>（</w:t>
      </w:r>
      <w:r>
        <w:rPr>
          <w:rFonts w:ascii="宋体" w:hAnsi="宋体" w:cs="宋体" w:eastAsia="宋体" w:hint="default"/>
        </w:rPr>
        <w:t>2</w:t>
      </w:r>
      <w:r>
        <w:rPr/>
        <w:t>）主营业务（分行业）</w:t>
      </w:r>
      <w:r>
        <w:rPr>
          <w:b w:val="0"/>
          <w:bCs w:val="0"/>
        </w:rPr>
      </w:r>
    </w:p>
    <w:p>
      <w:pPr>
        <w:pStyle w:val="BodyText"/>
        <w:spacing w:line="240" w:lineRule="auto" w:before="99"/>
        <w:ind w:left="0" w:right="76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2292"/>
        <w:gridCol w:w="1885"/>
        <w:gridCol w:w="1884"/>
        <w:gridCol w:w="1887"/>
        <w:gridCol w:w="1750"/>
      </w:tblGrid>
      <w:tr>
        <w:trPr>
          <w:trHeight w:val="283" w:hRule="exact"/>
        </w:trPr>
        <w:tc>
          <w:tcPr>
            <w:tcW w:w="2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72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292" w:type="dxa"/>
            <w:vMerge/>
            <w:tcBorders>
              <w:left w:val="single" w:sz="4" w:space="0" w:color="000000"/>
              <w:bottom w:val="single" w:sz="4" w:space="0" w:color="000000"/>
              <w:right w:val="single" w:sz="4" w:space="0" w:color="000000"/>
            </w:tcBorders>
            <w:shd w:val="clear" w:color="auto" w:fill="D2D2D2"/>
          </w:tcPr>
          <w:p>
            <w:pP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电力</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17,682,456.59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13,123,547.30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8,356,597.21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4,973,657.89</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21,928,626.32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13,304,079.41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26,035,344.17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19,532,460.34</w:t>
            </w:r>
          </w:p>
        </w:tc>
      </w:tr>
      <w:tr>
        <w:trPr>
          <w:trHeight w:val="28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15,475,578.30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8,426,454.75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29,559,039.22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21,236,560.30</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139,706,161.06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107,357,544.69</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54,775,860.59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41,993,756.10</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91,828,232.81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62,908,476.31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78,021,424.72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50,997,285.37</w:t>
            </w:r>
          </w:p>
        </w:tc>
      </w:tr>
      <w:tr>
        <w:trPr>
          <w:trHeight w:val="28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社保医疗</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36,926,696.44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14,391,396.09</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36,310,842.81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14,777,760.02</w:t>
            </w:r>
          </w:p>
        </w:tc>
      </w:tr>
      <w:tr>
        <w:trPr>
          <w:trHeight w:val="284" w:hRule="exact"/>
        </w:trPr>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323,547,751.52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219,511,498.55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233,059,108.72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153,511,480.02</w:t>
            </w:r>
          </w:p>
        </w:tc>
      </w:tr>
    </w:tbl>
    <w:p>
      <w:pPr>
        <w:spacing w:after="0" w:line="243" w:lineRule="exact"/>
        <w:jc w:val="right"/>
        <w:rPr>
          <w:rFonts w:ascii="宋体" w:hAnsi="宋体" w:cs="宋体" w:eastAsia="宋体" w:hint="default"/>
          <w:sz w:val="21"/>
          <w:szCs w:val="21"/>
        </w:rPr>
        <w:sectPr>
          <w:headerReference w:type="default" r:id="rId49"/>
          <w:pgSz w:w="11910" w:h="16840"/>
          <w:pgMar w:header="566" w:footer="979" w:top="1360" w:bottom="1160" w:left="600" w:right="360"/>
        </w:sectPr>
      </w:pPr>
    </w:p>
    <w:p>
      <w:pPr>
        <w:spacing w:line="240" w:lineRule="auto" w:before="12"/>
        <w:rPr>
          <w:rFonts w:ascii="宋体" w:hAnsi="宋体" w:cs="宋体" w:eastAsia="宋体" w:hint="default"/>
          <w:sz w:val="19"/>
          <w:szCs w:val="19"/>
        </w:rPr>
      </w:pPr>
      <w:r>
        <w:rPr/>
        <w:pict>
          <v:group style="position:absolute;margin-left:54.84pt;margin-top:28.299982pt;width:485.65pt;height:40.15pt;mso-position-horizontal-relative:page;mso-position-vertical-relative:page;z-index:-64734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p>
      <w:pPr>
        <w:pStyle w:val="Heading5"/>
        <w:spacing w:line="240" w:lineRule="auto" w:before="36"/>
        <w:ind w:right="0"/>
        <w:jc w:val="left"/>
        <w:rPr>
          <w:b w:val="0"/>
          <w:bCs w:val="0"/>
        </w:rPr>
      </w:pPr>
      <w:r>
        <w:rPr/>
        <w:t>（</w:t>
      </w:r>
      <w:r>
        <w:rPr>
          <w:rFonts w:ascii="宋体" w:hAnsi="宋体" w:cs="宋体" w:eastAsia="宋体" w:hint="default"/>
        </w:rPr>
        <w:t>3</w:t>
      </w:r>
      <w:r>
        <w:rPr/>
        <w:t>）主营业务（分产品）</w:t>
      </w:r>
      <w:r>
        <w:rPr>
          <w:b w:val="0"/>
          <w:bCs w:val="0"/>
        </w:rPr>
      </w:r>
    </w:p>
    <w:p>
      <w:pPr>
        <w:pStyle w:val="BodyText"/>
        <w:spacing w:line="240" w:lineRule="auto" w:before="99"/>
        <w:ind w:left="0" w:right="16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92"/>
        <w:gridCol w:w="1885"/>
        <w:gridCol w:w="1884"/>
        <w:gridCol w:w="1887"/>
        <w:gridCol w:w="1750"/>
      </w:tblGrid>
      <w:tr>
        <w:trPr>
          <w:trHeight w:val="281" w:hRule="exact"/>
        </w:trPr>
        <w:tc>
          <w:tcPr>
            <w:tcW w:w="2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72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292" w:type="dxa"/>
            <w:vMerge/>
            <w:tcBorders>
              <w:left w:val="single" w:sz="4" w:space="0" w:color="000000"/>
              <w:bottom w:val="single" w:sz="4" w:space="0" w:color="000000"/>
              <w:right w:val="single" w:sz="4" w:space="0" w:color="000000"/>
            </w:tcBorders>
            <w:shd w:val="clear" w:color="auto" w:fill="D2D2D2"/>
          </w:tcPr>
          <w:p>
            <w:pP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数据中心第三方服务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144,657,415.63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104,211,935.97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137,473,376.23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104,600,955.67</w:t>
            </w:r>
          </w:p>
        </w:tc>
      </w:tr>
      <w:tr>
        <w:trPr>
          <w:trHeight w:val="28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行业信息化解决方案</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38,750,125.87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7,531,990.22</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36,643,788.08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4,033,477.95</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外包服务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139,706,161.06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107,357,544.69</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54,775,860.59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41,993,756.10</w:t>
            </w:r>
          </w:p>
        </w:tc>
      </w:tr>
      <w:tr>
        <w:trPr>
          <w:trHeight w:val="28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434,048.96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410,027.67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4,166,083.82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2,883,290.30</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323,547,751.52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219,511,498.55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233,059,108.72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153,511,480.02</w:t>
            </w:r>
          </w:p>
        </w:tc>
      </w:tr>
    </w:tbl>
    <w:p>
      <w:pPr>
        <w:pStyle w:val="Heading5"/>
        <w:spacing w:line="240" w:lineRule="auto" w:before="64"/>
        <w:ind w:right="0"/>
        <w:jc w:val="left"/>
        <w:rPr>
          <w:b w:val="0"/>
          <w:bCs w:val="0"/>
        </w:rPr>
      </w:pPr>
      <w:r>
        <w:rPr/>
        <w:t>（</w:t>
      </w:r>
      <w:r>
        <w:rPr>
          <w:rFonts w:ascii="宋体" w:hAnsi="宋体" w:cs="宋体" w:eastAsia="宋体" w:hint="default"/>
        </w:rPr>
        <w:t>4</w:t>
      </w:r>
      <w:r>
        <w:rPr/>
        <w:t>）主营业务（分地区）</w:t>
      </w:r>
      <w:r>
        <w:rPr>
          <w:b w:val="0"/>
          <w:bCs w:val="0"/>
        </w:rPr>
      </w:r>
    </w:p>
    <w:p>
      <w:pPr>
        <w:pStyle w:val="BodyText"/>
        <w:spacing w:line="240" w:lineRule="auto" w:before="99"/>
        <w:ind w:left="0" w:right="168"/>
        <w:jc w:val="right"/>
      </w:pPr>
      <w:r>
        <w:rPr/>
        <w:t>单位：</w:t>
      </w:r>
      <w:r>
        <w:rPr>
          <w:spacing w:val="2"/>
        </w:rPr>
        <w:t> </w:t>
      </w:r>
      <w:r>
        <w:rPr/>
        <w:t>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92"/>
        <w:gridCol w:w="1885"/>
        <w:gridCol w:w="1884"/>
        <w:gridCol w:w="1887"/>
        <w:gridCol w:w="1750"/>
      </w:tblGrid>
      <w:tr>
        <w:trPr>
          <w:trHeight w:val="281" w:hRule="exact"/>
        </w:trPr>
        <w:tc>
          <w:tcPr>
            <w:tcW w:w="2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72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292" w:type="dxa"/>
            <w:vMerge/>
            <w:tcBorders>
              <w:left w:val="single" w:sz="4" w:space="0" w:color="000000"/>
              <w:bottom w:val="single" w:sz="4" w:space="0" w:color="000000"/>
              <w:right w:val="single" w:sz="4" w:space="0" w:color="000000"/>
            </w:tcBorders>
            <w:shd w:val="clear" w:color="auto" w:fill="D2D2D2"/>
          </w:tcPr>
          <w:p>
            <w:pP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w:t>
              <w:tab/>
              <w:t>宁</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278,745,591.02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190,677,822.51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201,561,868.67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133,997,874.62</w:t>
            </w:r>
          </w:p>
        </w:tc>
      </w:tr>
      <w:tr>
        <w:trPr>
          <w:trHeight w:val="28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吉</w:t>
              <w:tab/>
              <w:t>林</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26,213,789.80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17,344,685.71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7,883,641.02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5,221,682.88</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w:t>
              <w:tab/>
              <w:t>京</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5,001,349.26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2,257,826.91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11,674,185.47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7,112,291.59</w:t>
            </w:r>
          </w:p>
        </w:tc>
      </w:tr>
      <w:tr>
        <w:trPr>
          <w:trHeight w:val="28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4,779,565.94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3,753,394.01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7,114,527.22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4,935,712.62</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8,807,455.50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5,477,769.41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4,824,886.34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2,243,918.31</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323,547,751.52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219,511,498.55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233,059,108.72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153,511,480.02</w:t>
            </w:r>
          </w:p>
        </w:tc>
      </w:tr>
    </w:tbl>
    <w:p>
      <w:pPr>
        <w:pStyle w:val="Heading5"/>
        <w:spacing w:line="240" w:lineRule="auto" w:before="64"/>
        <w:ind w:right="0"/>
        <w:jc w:val="left"/>
        <w:rPr>
          <w:b w:val="0"/>
          <w:bCs w:val="0"/>
        </w:rPr>
      </w:pPr>
      <w:r>
        <w:rPr/>
        <w:t>（</w:t>
      </w:r>
      <w:r>
        <w:rPr>
          <w:rFonts w:ascii="宋体" w:hAnsi="宋体" w:cs="宋体" w:eastAsia="宋体" w:hint="default"/>
        </w:rPr>
        <w:t>5</w:t>
      </w:r>
      <w:r>
        <w:rPr/>
        <w:t>）公司前五名客户的营业收入情况</w:t>
      </w:r>
      <w:r>
        <w:rPr>
          <w:b w:val="0"/>
          <w:bCs w:val="0"/>
        </w:rPr>
      </w:r>
    </w:p>
    <w:p>
      <w:pPr>
        <w:pStyle w:val="BodyText"/>
        <w:spacing w:line="240" w:lineRule="auto" w:before="99"/>
        <w:ind w:left="0" w:right="16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813"/>
        <w:gridCol w:w="2939"/>
        <w:gridCol w:w="1946"/>
      </w:tblGrid>
      <w:tr>
        <w:trPr>
          <w:trHeight w:val="555" w:hRule="exact"/>
        </w:trPr>
        <w:tc>
          <w:tcPr>
            <w:tcW w:w="4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833"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占公司全部营业收</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入的比例</w:t>
            </w:r>
            <w:r>
              <w:rPr>
                <w:rFonts w:ascii="宋体" w:hAnsi="宋体" w:cs="宋体" w:eastAsia="宋体" w:hint="default"/>
                <w:sz w:val="21"/>
                <w:szCs w:val="21"/>
              </w:rPr>
              <w:t>(%)</w:t>
            </w:r>
          </w:p>
        </w:tc>
      </w:tr>
      <w:tr>
        <w:trPr>
          <w:trHeight w:val="283"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辽宁金汇信息技术服务有限公司</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30,831,153.97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9.53%</w:t>
            </w:r>
          </w:p>
        </w:tc>
      </w:tr>
      <w:tr>
        <w:trPr>
          <w:trHeight w:val="283"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葫芦岛银行股份有限公司</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18,717,660.68</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5.79%</w:t>
            </w:r>
          </w:p>
        </w:tc>
      </w:tr>
      <w:tr>
        <w:trPr>
          <w:trHeight w:val="281"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中国银行股份有限公司铁岭分行</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16,621,586.33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5.14%</w:t>
            </w:r>
          </w:p>
        </w:tc>
      </w:tr>
      <w:tr>
        <w:trPr>
          <w:trHeight w:val="283"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铁岭市商业银行股份有限公司</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14,894,923.07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4.60%</w:t>
            </w:r>
          </w:p>
        </w:tc>
      </w:tr>
      <w:tr>
        <w:trPr>
          <w:trHeight w:val="283"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14,419,075.89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4.46%</w:t>
            </w:r>
          </w:p>
        </w:tc>
      </w:tr>
      <w:tr>
        <w:trPr>
          <w:trHeight w:val="281" w:hRule="exact"/>
        </w:trPr>
        <w:tc>
          <w:tcPr>
            <w:tcW w:w="4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95,484,399.94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29.52%</w:t>
            </w:r>
          </w:p>
        </w:tc>
      </w:tr>
    </w:tbl>
    <w:p>
      <w:pPr>
        <w:spacing w:line="240" w:lineRule="auto" w:before="7"/>
        <w:rPr>
          <w:rFonts w:ascii="宋体" w:hAnsi="宋体" w:cs="宋体" w:eastAsia="宋体" w:hint="default"/>
          <w:sz w:val="17"/>
          <w:szCs w:val="17"/>
        </w:rPr>
      </w:pPr>
    </w:p>
    <w:p>
      <w:pPr>
        <w:pStyle w:val="Heading5"/>
        <w:spacing w:line="501" w:lineRule="auto" w:before="36"/>
        <w:ind w:right="8634"/>
        <w:jc w:val="left"/>
        <w:rPr>
          <w:rFonts w:ascii="宋体" w:hAnsi="宋体" w:cs="宋体" w:eastAsia="宋体" w:hint="default"/>
          <w:b w:val="0"/>
          <w:bCs w:val="0"/>
        </w:rPr>
      </w:pPr>
      <w:r>
        <w:rPr>
          <w:rFonts w:ascii="宋体" w:hAnsi="宋体" w:cs="宋体" w:eastAsia="宋体" w:hint="default"/>
        </w:rPr>
        <w:t>5</w:t>
      </w:r>
      <w:r>
        <w:rPr/>
        <w:t>、投资收益</w:t>
      </w:r>
      <w:r>
        <w:rPr>
          <w:w w:val="100"/>
        </w:rPr>
        <w:t> </w:t>
      </w:r>
      <w:r>
        <w:rPr>
          <w:rFonts w:ascii="宋体" w:hAnsi="宋体" w:cs="宋体" w:eastAsia="宋体" w:hint="default"/>
          <w:b w:val="0"/>
          <w:bCs w:val="0"/>
        </w:rPr>
        <w:t>无</w:t>
      </w:r>
    </w:p>
    <w:p>
      <w:pPr>
        <w:pStyle w:val="Heading5"/>
        <w:spacing w:line="240" w:lineRule="auto" w:before="70"/>
        <w:ind w:right="0"/>
        <w:jc w:val="left"/>
        <w:rPr>
          <w:b w:val="0"/>
          <w:bCs w:val="0"/>
        </w:rPr>
      </w:pPr>
      <w:r>
        <w:rPr>
          <w:rFonts w:ascii="宋体" w:hAnsi="宋体" w:cs="宋体" w:eastAsia="宋体" w:hint="default"/>
        </w:rPr>
        <w:t>6</w:t>
      </w:r>
      <w:r>
        <w:rPr/>
        <w:t>、现金流量表补充资料</w:t>
      </w:r>
      <w:r>
        <w:rPr>
          <w:b w:val="0"/>
          <w:bCs w:val="0"/>
        </w:rPr>
      </w:r>
    </w:p>
    <w:p>
      <w:pPr>
        <w:spacing w:line="240" w:lineRule="auto" w:before="1"/>
        <w:rPr>
          <w:rFonts w:ascii="宋体" w:hAnsi="宋体" w:cs="宋体" w:eastAsia="宋体" w:hint="default"/>
          <w:b/>
          <w:bCs/>
          <w:sz w:val="20"/>
          <w:szCs w:val="20"/>
        </w:rPr>
      </w:pPr>
    </w:p>
    <w:p>
      <w:pPr>
        <w:pStyle w:val="BodyText"/>
        <w:spacing w:line="240" w:lineRule="auto" w:before="36"/>
        <w:ind w:left="0" w:right="168"/>
        <w:jc w:val="right"/>
      </w:pPr>
      <w:r>
        <w:rPr/>
        <w:t>单位：</w:t>
      </w:r>
      <w:r>
        <w:rPr>
          <w:spacing w:val="2"/>
        </w:rPr>
        <w:t> </w:t>
      </w:r>
      <w:r>
        <w:rPr/>
        <w:t>元</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5229"/>
        <w:gridCol w:w="2268"/>
        <w:gridCol w:w="2180"/>
      </w:tblGrid>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2"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6" w:right="0"/>
              <w:jc w:val="center"/>
              <w:rPr>
                <w:rFonts w:ascii="宋体" w:hAnsi="宋体" w:cs="宋体" w:eastAsia="宋体" w:hint="default"/>
                <w:sz w:val="21"/>
                <w:szCs w:val="21"/>
              </w:rPr>
            </w:pPr>
            <w:r>
              <w:rPr>
                <w:rFonts w:ascii="宋体"/>
                <w:sz w:val="21"/>
              </w:rPr>
              <w:t>--</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2" w:lineRule="exact"/>
              <w:ind w:right="14"/>
              <w:jc w:val="right"/>
              <w:rPr>
                <w:rFonts w:ascii="宋体" w:hAnsi="宋体" w:cs="宋体" w:eastAsia="宋体" w:hint="default"/>
                <w:sz w:val="21"/>
                <w:szCs w:val="21"/>
              </w:rPr>
            </w:pPr>
            <w:r>
              <w:rPr>
                <w:rFonts w:ascii="宋体"/>
                <w:spacing w:val="-1"/>
                <w:sz w:val="21"/>
              </w:rPr>
              <w:t>50,102,410.22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7"/>
              <w:jc w:val="right"/>
              <w:rPr>
                <w:rFonts w:ascii="宋体" w:hAnsi="宋体" w:cs="宋体" w:eastAsia="宋体" w:hint="default"/>
                <w:sz w:val="21"/>
                <w:szCs w:val="21"/>
              </w:rPr>
            </w:pPr>
            <w:r>
              <w:rPr>
                <w:rFonts w:ascii="宋体"/>
                <w:spacing w:val="-1"/>
                <w:sz w:val="21"/>
              </w:rPr>
              <w:t>44,332,103.11</w:t>
            </w:r>
          </w:p>
        </w:tc>
      </w:tr>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1,881,242.97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1,217,085.65</w:t>
            </w:r>
          </w:p>
        </w:tc>
      </w:tr>
      <w:tr>
        <w:trPr>
          <w:trHeight w:val="282"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1,841,722.71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1,492,513.80</w:t>
            </w:r>
          </w:p>
        </w:tc>
      </w:tr>
      <w:tr>
        <w:trPr>
          <w:trHeight w:val="282"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2" w:lineRule="exact"/>
              <w:ind w:right="14"/>
              <w:jc w:val="right"/>
              <w:rPr>
                <w:rFonts w:ascii="宋体" w:hAnsi="宋体" w:cs="宋体" w:eastAsia="宋体" w:hint="default"/>
                <w:sz w:val="21"/>
                <w:szCs w:val="21"/>
              </w:rPr>
            </w:pPr>
            <w:r>
              <w:rPr>
                <w:rFonts w:ascii="宋体"/>
                <w:spacing w:val="-1"/>
                <w:sz w:val="21"/>
              </w:rPr>
              <w:t>81,905.98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443,349.79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215,278.80</w:t>
            </w:r>
          </w:p>
        </w:tc>
      </w:tr>
      <w:tr>
        <w:trPr>
          <w:trHeight w:val="555"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处置固定资产、无形资产和其他长期资产的损失（收益以</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4"/>
              <w:jc w:val="right"/>
              <w:rPr>
                <w:rFonts w:ascii="宋体" w:hAnsi="宋体" w:cs="宋体" w:eastAsia="宋体" w:hint="default"/>
                <w:sz w:val="21"/>
                <w:szCs w:val="21"/>
              </w:rPr>
            </w:pPr>
            <w:r>
              <w:rPr>
                <w:rFonts w:ascii="宋体"/>
                <w:spacing w:val="-1"/>
                <w:sz w:val="21"/>
              </w:rPr>
              <w:t>-63,610.93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914,394.46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475,995.16</w:t>
            </w:r>
          </w:p>
        </w:tc>
      </w:tr>
    </w:tbl>
    <w:p>
      <w:pPr>
        <w:spacing w:after="0" w:line="241" w:lineRule="exact"/>
        <w:jc w:val="right"/>
        <w:rPr>
          <w:rFonts w:ascii="宋体" w:hAnsi="宋体" w:cs="宋体" w:eastAsia="宋体" w:hint="default"/>
          <w:sz w:val="21"/>
          <w:szCs w:val="21"/>
        </w:rPr>
        <w:sectPr>
          <w:headerReference w:type="default" r:id="rId50"/>
          <w:pgSz w:w="11910" w:h="16840"/>
          <w:pgMar w:header="884" w:footer="979" w:top="1100" w:bottom="1160" w:left="980" w:right="960"/>
        </w:sectPr>
      </w:pPr>
    </w:p>
    <w:p>
      <w:pPr>
        <w:spacing w:line="240" w:lineRule="auto" w:before="6"/>
        <w:rPr>
          <w:rFonts w:ascii="宋体" w:hAnsi="宋体" w:cs="宋体" w:eastAsia="宋体" w:hint="default"/>
          <w:sz w:val="25"/>
          <w:szCs w:val="25"/>
        </w:rPr>
      </w:pPr>
      <w:r>
        <w:rPr/>
        <w:pict>
          <v:group style="position:absolute;margin-left:54.84pt;margin-top:28.299982pt;width:485.65pt;height:40.15pt;mso-position-horizontal-relative:page;mso-position-vertical-relative:page;z-index:349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320" w:type="dxa"/>
        <w:tblLayout w:type="fixed"/>
        <w:tblCellMar>
          <w:top w:w="0" w:type="dxa"/>
          <w:left w:w="0" w:type="dxa"/>
          <w:bottom w:w="0" w:type="dxa"/>
          <w:right w:w="0" w:type="dxa"/>
        </w:tblCellMar>
        <w:tblLook w:val="01E0"/>
      </w:tblPr>
      <w:tblGrid>
        <w:gridCol w:w="5229"/>
        <w:gridCol w:w="2268"/>
        <w:gridCol w:w="2180"/>
      </w:tblGrid>
      <w:tr>
        <w:trPr>
          <w:trHeight w:val="284"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-282,186.44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-72,658.45</w:t>
            </w:r>
          </w:p>
        </w:tc>
      </w:tr>
      <w:tr>
        <w:trPr>
          <w:trHeight w:val="281"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-10,843,436.58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-1,647,066.41</w:t>
            </w:r>
          </w:p>
        </w:tc>
      </w:tr>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-70,777,374.41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-36,366,783.39</w:t>
            </w:r>
          </w:p>
        </w:tc>
      </w:tr>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71,163,925.98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23,265,894.54</w:t>
            </w:r>
          </w:p>
        </w:tc>
      </w:tr>
      <w:tr>
        <w:trPr>
          <w:trHeight w:val="281"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44,462,343.75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32,912,362.81</w:t>
            </w:r>
          </w:p>
        </w:tc>
      </w:tr>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6" w:right="0"/>
              <w:jc w:val="center"/>
              <w:rPr>
                <w:rFonts w:ascii="宋体" w:hAnsi="宋体" w:cs="宋体" w:eastAsia="宋体" w:hint="default"/>
                <w:sz w:val="21"/>
                <w:szCs w:val="21"/>
              </w:rPr>
            </w:pPr>
            <w:r>
              <w:rPr>
                <w:rFonts w:ascii="宋体"/>
                <w:sz w:val="21"/>
              </w:rPr>
              <w:t>--</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6" w:right="0"/>
              <w:jc w:val="center"/>
              <w:rPr>
                <w:rFonts w:ascii="宋体" w:hAnsi="宋体" w:cs="宋体" w:eastAsia="宋体" w:hint="default"/>
                <w:sz w:val="21"/>
                <w:szCs w:val="21"/>
              </w:rPr>
            </w:pPr>
            <w:r>
              <w:rPr>
                <w:rFonts w:ascii="宋体"/>
                <w:sz w:val="21"/>
              </w:rPr>
              <w:t>--</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1"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201,380,740.54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102,105,142.19</w:t>
            </w:r>
          </w:p>
        </w:tc>
      </w:tr>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102,105,142.19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66,721,308.78</w:t>
            </w:r>
          </w:p>
        </w:tc>
      </w:tr>
      <w:tr>
        <w:trPr>
          <w:trHeight w:val="283" w:hRule="exact"/>
        </w:trPr>
        <w:tc>
          <w:tcPr>
            <w:tcW w:w="5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99,275,598.35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35,383,833.41</w:t>
            </w:r>
          </w:p>
        </w:tc>
      </w:tr>
    </w:tbl>
    <w:p>
      <w:pPr>
        <w:spacing w:line="240" w:lineRule="auto" w:before="7"/>
        <w:rPr>
          <w:rFonts w:ascii="宋体" w:hAnsi="宋体" w:cs="宋体" w:eastAsia="宋体" w:hint="default"/>
          <w:sz w:val="17"/>
          <w:szCs w:val="17"/>
        </w:rPr>
      </w:pPr>
    </w:p>
    <w:p>
      <w:pPr>
        <w:pStyle w:val="Heading5"/>
        <w:spacing w:line="501" w:lineRule="auto" w:before="36"/>
        <w:ind w:left="312" w:right="5712"/>
        <w:jc w:val="left"/>
        <w:rPr>
          <w:rFonts w:ascii="宋体" w:hAnsi="宋体" w:cs="宋体" w:eastAsia="宋体" w:hint="default"/>
          <w:b w:val="0"/>
          <w:bCs w:val="0"/>
        </w:rPr>
      </w:pPr>
      <w:r>
        <w:rPr>
          <w:rFonts w:ascii="宋体" w:hAnsi="宋体" w:cs="宋体" w:eastAsia="宋体" w:hint="default"/>
        </w:rPr>
        <w:t>7</w:t>
      </w:r>
      <w:r>
        <w:rPr/>
        <w:t>、反向购买下以评估值入账的资产、负债情况</w:t>
      </w:r>
      <w:r>
        <w:rPr>
          <w:w w:val="100"/>
        </w:rPr>
        <w:t> </w:t>
      </w:r>
      <w:r>
        <w:rPr>
          <w:rFonts w:ascii="宋体" w:hAnsi="宋体" w:cs="宋体" w:eastAsia="宋体" w:hint="default"/>
          <w:b w:val="0"/>
          <w:bCs w:val="0"/>
        </w:rPr>
        <w:t>无</w:t>
      </w:r>
    </w:p>
    <w:p>
      <w:pPr>
        <w:pStyle w:val="Heading4"/>
        <w:spacing w:line="277" w:lineRule="exact"/>
        <w:ind w:left="312" w:right="5712"/>
        <w:jc w:val="left"/>
        <w:rPr>
          <w:b w:val="0"/>
          <w:bCs w:val="0"/>
        </w:rPr>
      </w:pPr>
      <w:r>
        <w:rPr/>
        <w:t>十六、补充资料</w:t>
      </w:r>
      <w:r>
        <w:rPr>
          <w:b w:val="0"/>
          <w:bCs w:val="0"/>
        </w:rPr>
      </w:r>
    </w:p>
    <w:p>
      <w:pPr>
        <w:spacing w:line="240" w:lineRule="auto" w:before="1"/>
        <w:rPr>
          <w:rFonts w:ascii="宋体" w:hAnsi="宋体" w:cs="宋体" w:eastAsia="宋体" w:hint="default"/>
          <w:b/>
          <w:bCs/>
          <w:sz w:val="23"/>
          <w:szCs w:val="23"/>
        </w:rPr>
      </w:pPr>
    </w:p>
    <w:p>
      <w:pPr>
        <w:pStyle w:val="Heading5"/>
        <w:spacing w:line="240" w:lineRule="auto"/>
        <w:ind w:left="312" w:right="5712"/>
        <w:jc w:val="left"/>
        <w:rPr>
          <w:b w:val="0"/>
          <w:bCs w:val="0"/>
        </w:rPr>
      </w:pPr>
      <w:r>
        <w:rPr>
          <w:rFonts w:ascii="宋体" w:hAnsi="宋体" w:cs="宋体" w:eastAsia="宋体" w:hint="default"/>
        </w:rPr>
        <w:t>1</w:t>
      </w:r>
      <w:r>
        <w:rPr/>
        <w:t>、净资产收益率及每股收益</w:t>
      </w:r>
      <w:r>
        <w:rPr>
          <w:b w:val="0"/>
          <w:bCs w:val="0"/>
        </w:rPr>
      </w:r>
    </w:p>
    <w:p>
      <w:pPr>
        <w:spacing w:line="240" w:lineRule="auto" w:before="1"/>
        <w:rPr>
          <w:rFonts w:ascii="宋体" w:hAnsi="宋体" w:cs="宋体" w:eastAsia="宋体" w:hint="default"/>
          <w:b/>
          <w:bCs/>
          <w:sz w:val="20"/>
          <w:szCs w:val="20"/>
        </w:rPr>
      </w:pPr>
    </w:p>
    <w:p>
      <w:pPr>
        <w:pStyle w:val="BodyText"/>
        <w:spacing w:line="240" w:lineRule="auto" w:before="36"/>
        <w:ind w:left="0" w:right="408"/>
        <w:jc w:val="right"/>
      </w:pPr>
      <w:r>
        <w:rPr/>
        <w:t>单位：</w:t>
      </w:r>
      <w:r>
        <w:rPr>
          <w:spacing w:val="2"/>
        </w:rPr>
        <w:t> </w:t>
      </w:r>
      <w:r>
        <w:rPr/>
        <w:t>元</w:t>
      </w:r>
    </w:p>
    <w:p>
      <w:pPr>
        <w:spacing w:line="240" w:lineRule="auto" w:before="5"/>
        <w:rPr>
          <w:rFonts w:ascii="宋体" w:hAnsi="宋体" w:cs="宋体" w:eastAsia="宋体" w:hint="default"/>
          <w:sz w:val="2"/>
          <w:szCs w:val="2"/>
        </w:rPr>
      </w:pPr>
    </w:p>
    <w:tbl>
      <w:tblPr>
        <w:tblW w:w="0" w:type="auto"/>
        <w:jc w:val="left"/>
        <w:tblInd w:w="283" w:type="dxa"/>
        <w:tblLayout w:type="fixed"/>
        <w:tblCellMar>
          <w:top w:w="0" w:type="dxa"/>
          <w:left w:w="0" w:type="dxa"/>
          <w:bottom w:w="0" w:type="dxa"/>
          <w:right w:w="0" w:type="dxa"/>
        </w:tblCellMar>
        <w:tblLook w:val="01E0"/>
      </w:tblPr>
      <w:tblGrid>
        <w:gridCol w:w="3529"/>
        <w:gridCol w:w="2760"/>
        <w:gridCol w:w="1916"/>
        <w:gridCol w:w="1495"/>
      </w:tblGrid>
      <w:tr>
        <w:trPr>
          <w:trHeight w:val="145"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3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3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760"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3411" w:type="dxa"/>
            <w:gridSpan w:val="2"/>
            <w:vMerge/>
            <w:tcBorders>
              <w:left w:val="single" w:sz="4" w:space="0" w:color="000000"/>
              <w:bottom w:val="single" w:sz="4" w:space="0" w:color="000000"/>
              <w:right w:val="single" w:sz="4" w:space="0" w:color="000000"/>
            </w:tcBorders>
            <w:shd w:val="clear" w:color="auto" w:fill="D2D2D2"/>
          </w:tcPr>
          <w:p>
            <w:pPr/>
          </w:p>
        </w:tc>
      </w:tr>
      <w:tr>
        <w:trPr>
          <w:trHeight w:val="14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760"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32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495" w:type="dxa"/>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11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146"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495" w:type="dxa"/>
            <w:vMerge/>
            <w:tcBorders>
              <w:left w:val="single" w:sz="4" w:space="0" w:color="000000"/>
              <w:bottom w:val="single" w:sz="4" w:space="0" w:color="000000"/>
              <w:right w:val="single" w:sz="4" w:space="0" w:color="000000"/>
            </w:tcBorders>
            <w:shd w:val="clear" w:color="auto" w:fill="D2D2D2"/>
          </w:tcPr>
          <w:p>
            <w:pPr/>
          </w:p>
        </w:tc>
      </w:tr>
      <w:tr>
        <w:trPr>
          <w:trHeight w:val="281"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760"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0.7652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0.7652</w:t>
            </w:r>
          </w:p>
        </w:tc>
      </w:tr>
      <w:tr>
        <w:trPr>
          <w:trHeight w:val="557"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股股东的净利润</w:t>
            </w:r>
          </w:p>
        </w:tc>
        <w:tc>
          <w:tcPr>
            <w:tcW w:w="2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z w:val="21"/>
              </w:rPr>
              <w:t>15.07%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z w:val="21"/>
              </w:rPr>
              <w:t>0.6924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z w:val="21"/>
              </w:rPr>
              <w:t>0.6924</w:t>
            </w:r>
          </w:p>
        </w:tc>
      </w:tr>
    </w:tbl>
    <w:p>
      <w:pPr>
        <w:spacing w:line="240" w:lineRule="auto" w:before="7"/>
        <w:rPr>
          <w:rFonts w:ascii="宋体" w:hAnsi="宋体" w:cs="宋体" w:eastAsia="宋体" w:hint="default"/>
          <w:sz w:val="17"/>
          <w:szCs w:val="17"/>
        </w:rPr>
      </w:pPr>
    </w:p>
    <w:p>
      <w:pPr>
        <w:pStyle w:val="Heading5"/>
        <w:spacing w:line="240" w:lineRule="auto" w:before="36"/>
        <w:ind w:left="312" w:right="99"/>
        <w:jc w:val="left"/>
        <w:rPr>
          <w:b w:val="0"/>
          <w:bCs w:val="0"/>
        </w:rPr>
      </w:pPr>
      <w:r>
        <w:rPr>
          <w:rFonts w:ascii="宋体" w:hAnsi="宋体" w:cs="宋体" w:eastAsia="宋体" w:hint="default"/>
        </w:rPr>
        <w:t>2</w:t>
      </w:r>
      <w:r>
        <w:rPr/>
        <w:t>、公司主要会计报表项目的异常情况及原因的说明</w:t>
      </w:r>
      <w:r>
        <w:rPr>
          <w:b w:val="0"/>
          <w:bCs w:val="0"/>
        </w:rPr>
      </w:r>
    </w:p>
    <w:p>
      <w:pPr>
        <w:spacing w:line="240" w:lineRule="auto" w:before="12"/>
        <w:rPr>
          <w:rFonts w:ascii="宋体" w:hAnsi="宋体" w:cs="宋体" w:eastAsia="宋体" w:hint="default"/>
          <w:b/>
          <w:bCs/>
          <w:sz w:val="24"/>
          <w:szCs w:val="24"/>
        </w:rPr>
      </w:pPr>
    </w:p>
    <w:p>
      <w:pPr>
        <w:pStyle w:val="BodyText"/>
        <w:spacing w:line="272" w:lineRule="exact"/>
        <w:ind w:left="312" w:right="99" w:firstLine="420"/>
        <w:jc w:val="left"/>
      </w:pPr>
      <w:r>
        <w:rPr/>
        <w:t>比较合并财务报表各科目金额变动幅度超过</w:t>
      </w:r>
      <w:r>
        <w:rPr>
          <w:rFonts w:ascii="宋体" w:hAnsi="宋体" w:cs="宋体" w:eastAsia="宋体" w:hint="default"/>
        </w:rPr>
        <w:t>30%</w:t>
      </w:r>
      <w:r>
        <w:rPr/>
        <w:t>，或占合并财务报表</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日资产总额</w:t>
      </w:r>
      <w:r>
        <w:rPr>
          <w:rFonts w:ascii="宋体" w:hAnsi="宋体" w:cs="宋体" w:eastAsia="宋体" w:hint="default"/>
        </w:rPr>
        <w:t>5%</w:t>
      </w:r>
      <w:r>
        <w:rPr/>
        <w:t>或占</w:t>
      </w:r>
      <w:r>
        <w:rPr>
          <w:spacing w:val="2"/>
          <w:w w:val="100"/>
        </w:rPr>
        <w:t> </w:t>
      </w:r>
      <w:r>
        <w:rPr/>
        <w:t>合并财务报表</w:t>
      </w:r>
      <w:r>
        <w:rPr>
          <w:rFonts w:ascii="宋体" w:hAnsi="宋体" w:cs="宋体" w:eastAsia="宋体" w:hint="default"/>
        </w:rPr>
        <w:t>2012</w:t>
      </w:r>
      <w:r>
        <w:rPr/>
        <w:t>年度利润总额</w:t>
      </w:r>
      <w:r>
        <w:rPr>
          <w:rFonts w:ascii="宋体" w:hAnsi="宋体" w:cs="宋体" w:eastAsia="宋体" w:hint="default"/>
        </w:rPr>
        <w:t>10%</w:t>
      </w:r>
      <w:r>
        <w:rPr/>
        <w:t>以上的主要项目列示如下：</w:t>
      </w:r>
    </w:p>
    <w:p>
      <w:pPr>
        <w:spacing w:line="240" w:lineRule="auto" w:before="10"/>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839"/>
        <w:gridCol w:w="1842"/>
        <w:gridCol w:w="1702"/>
        <w:gridCol w:w="1813"/>
        <w:gridCol w:w="1260"/>
        <w:gridCol w:w="686"/>
      </w:tblGrid>
      <w:tr>
        <w:trPr>
          <w:trHeight w:val="401" w:hRule="exact"/>
        </w:trPr>
        <w:tc>
          <w:tcPr>
            <w:tcW w:w="2839" w:type="dxa"/>
            <w:vMerge w:val="restart"/>
            <w:tcBorders>
              <w:top w:val="single" w:sz="2" w:space="0" w:color="000000"/>
              <w:left w:val="single" w:sz="2" w:space="0" w:color="000000"/>
              <w:right w:val="single" w:sz="2" w:space="0" w:color="000000"/>
            </w:tcBorders>
            <w:shd w:val="clear" w:color="auto" w:fill="D9D9D9"/>
          </w:tcPr>
          <w:p>
            <w:pPr>
              <w:pStyle w:val="TableParagraph"/>
              <w:spacing w:line="240" w:lineRule="auto" w:before="7"/>
              <w:ind w:right="0"/>
              <w:jc w:val="left"/>
              <w:rPr>
                <w:rFonts w:ascii="宋体" w:hAnsi="宋体" w:cs="宋体" w:eastAsia="宋体" w:hint="default"/>
                <w:sz w:val="17"/>
                <w:szCs w:val="17"/>
              </w:rPr>
            </w:pPr>
          </w:p>
          <w:p>
            <w:pPr>
              <w:pStyle w:val="TableParagraph"/>
              <w:tabs>
                <w:tab w:pos="425" w:val="left" w:leader="none"/>
              </w:tabs>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42" w:type="dxa"/>
            <w:vMerge w:val="restart"/>
            <w:tcBorders>
              <w:top w:val="single" w:sz="2" w:space="0" w:color="000000"/>
              <w:left w:val="single" w:sz="2" w:space="0" w:color="000000"/>
              <w:right w:val="single" w:sz="2" w:space="0" w:color="000000"/>
            </w:tcBorders>
            <w:shd w:val="clear" w:color="auto" w:fill="D9D9D9"/>
          </w:tcPr>
          <w:p>
            <w:pPr>
              <w:pStyle w:val="TableParagraph"/>
              <w:spacing w:line="273" w:lineRule="exact" w:before="93"/>
              <w:ind w:right="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年度</w:t>
            </w:r>
          </w:p>
        </w:tc>
        <w:tc>
          <w:tcPr>
            <w:tcW w:w="1702" w:type="dxa"/>
            <w:vMerge w:val="restart"/>
            <w:tcBorders>
              <w:top w:val="single" w:sz="2" w:space="0" w:color="000000"/>
              <w:left w:val="single" w:sz="2" w:space="0" w:color="000000"/>
              <w:right w:val="single" w:sz="2" w:space="0" w:color="000000"/>
            </w:tcBorders>
            <w:shd w:val="clear" w:color="auto" w:fill="D9D9D9"/>
          </w:tcPr>
          <w:p>
            <w:pPr>
              <w:pStyle w:val="TableParagraph"/>
              <w:spacing w:line="273" w:lineRule="exact" w:before="93"/>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年度</w:t>
            </w:r>
          </w:p>
        </w:tc>
        <w:tc>
          <w:tcPr>
            <w:tcW w:w="3073" w:type="dxa"/>
            <w:gridSpan w:val="2"/>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变动情况</w:t>
            </w:r>
          </w:p>
        </w:tc>
        <w:tc>
          <w:tcPr>
            <w:tcW w:w="686" w:type="dxa"/>
            <w:vMerge w:val="restart"/>
            <w:tcBorders>
              <w:top w:val="single" w:sz="2" w:space="0" w:color="000000"/>
              <w:left w:val="single" w:sz="2" w:space="0" w:color="000000"/>
              <w:right w:val="single" w:sz="2" w:space="0" w:color="000000"/>
            </w:tcBorders>
            <w:shd w:val="clear" w:color="auto" w:fill="D9D9D9"/>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403" w:hRule="exact"/>
        </w:trPr>
        <w:tc>
          <w:tcPr>
            <w:tcW w:w="2839" w:type="dxa"/>
            <w:vMerge/>
            <w:tcBorders>
              <w:left w:val="single" w:sz="2" w:space="0" w:color="000000"/>
              <w:bottom w:val="single" w:sz="2" w:space="0" w:color="000000"/>
              <w:right w:val="single" w:sz="2" w:space="0" w:color="000000"/>
            </w:tcBorders>
            <w:shd w:val="clear" w:color="auto" w:fill="D9D9D9"/>
          </w:tcPr>
          <w:p>
            <w:pPr/>
          </w:p>
        </w:tc>
        <w:tc>
          <w:tcPr>
            <w:tcW w:w="1842" w:type="dxa"/>
            <w:vMerge/>
            <w:tcBorders>
              <w:left w:val="single" w:sz="2" w:space="0" w:color="000000"/>
              <w:bottom w:val="single" w:sz="2" w:space="0" w:color="000000"/>
              <w:right w:val="single" w:sz="2" w:space="0" w:color="000000"/>
            </w:tcBorders>
            <w:shd w:val="clear" w:color="auto" w:fill="D9D9D9"/>
          </w:tcPr>
          <w:p>
            <w:pPr/>
          </w:p>
        </w:tc>
        <w:tc>
          <w:tcPr>
            <w:tcW w:w="1702" w:type="dxa"/>
            <w:vMerge/>
            <w:tcBorders>
              <w:left w:val="single" w:sz="2" w:space="0" w:color="000000"/>
              <w:bottom w:val="single" w:sz="2" w:space="0" w:color="000000"/>
              <w:right w:val="single" w:sz="2" w:space="0" w:color="000000"/>
            </w:tcBorders>
            <w:shd w:val="clear" w:color="auto" w:fill="D9D9D9"/>
          </w:tcPr>
          <w:p>
            <w:pPr/>
          </w:p>
        </w:tc>
        <w:tc>
          <w:tcPr>
            <w:tcW w:w="181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tabs>
                <w:tab w:pos="1010" w:val="left" w:leader="none"/>
              </w:tabs>
              <w:spacing w:line="240" w:lineRule="auto" w:before="28"/>
              <w:ind w:left="58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60"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309" w:right="0"/>
              <w:jc w:val="left"/>
              <w:rPr>
                <w:rFonts w:ascii="宋体" w:hAnsi="宋体" w:cs="宋体" w:eastAsia="宋体" w:hint="default"/>
                <w:sz w:val="21"/>
                <w:szCs w:val="21"/>
              </w:rPr>
            </w:pPr>
            <w:r>
              <w:rPr>
                <w:rFonts w:ascii="宋体" w:hAnsi="宋体" w:cs="宋体" w:eastAsia="宋体" w:hint="default"/>
                <w:sz w:val="21"/>
                <w:szCs w:val="21"/>
              </w:rPr>
              <w:t>幅</w:t>
            </w:r>
            <w:r>
              <w:rPr>
                <w:rFonts w:ascii="宋体" w:hAnsi="宋体" w:cs="宋体" w:eastAsia="宋体" w:hint="default"/>
                <w:spacing w:val="3"/>
                <w:sz w:val="21"/>
                <w:szCs w:val="21"/>
              </w:rPr>
              <w:t> </w:t>
            </w:r>
            <w:r>
              <w:rPr>
                <w:rFonts w:ascii="宋体" w:hAnsi="宋体" w:cs="宋体" w:eastAsia="宋体" w:hint="default"/>
                <w:sz w:val="21"/>
                <w:szCs w:val="21"/>
              </w:rPr>
              <w:t>度</w:t>
            </w:r>
            <w:r>
              <w:rPr>
                <w:rFonts w:ascii="宋体" w:hAnsi="宋体" w:cs="宋体" w:eastAsia="宋体" w:hint="default"/>
                <w:sz w:val="21"/>
                <w:szCs w:val="21"/>
              </w:rPr>
              <w:t>%</w:t>
            </w:r>
          </w:p>
        </w:tc>
        <w:tc>
          <w:tcPr>
            <w:tcW w:w="686" w:type="dxa"/>
            <w:vMerge/>
            <w:tcBorders>
              <w:left w:val="single" w:sz="2" w:space="0" w:color="000000"/>
              <w:bottom w:val="single" w:sz="2" w:space="0" w:color="000000"/>
              <w:right w:val="single" w:sz="2" w:space="0" w:color="000000"/>
            </w:tcBorders>
            <w:shd w:val="clear" w:color="auto" w:fill="D9D9D9"/>
          </w:tcPr>
          <w:p>
            <w:pP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264,637,427.18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121,681,553.01</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142,955,874.17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117.48</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1</w:t>
            </w:r>
          </w:p>
        </w:tc>
      </w:tr>
      <w:tr>
        <w:trPr>
          <w:trHeight w:val="404"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1"/>
              <w:jc w:val="right"/>
              <w:rPr>
                <w:rFonts w:ascii="宋体" w:hAnsi="宋体" w:cs="宋体" w:eastAsia="宋体" w:hint="default"/>
                <w:sz w:val="21"/>
                <w:szCs w:val="21"/>
              </w:rPr>
            </w:pPr>
            <w:r>
              <w:rPr>
                <w:rFonts w:ascii="宋体"/>
                <w:spacing w:val="-1"/>
                <w:sz w:val="21"/>
              </w:rPr>
              <w:t>2,042,171.00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1"/>
              <w:jc w:val="right"/>
              <w:rPr>
                <w:rFonts w:ascii="宋体" w:hAnsi="宋体" w:cs="宋体" w:eastAsia="宋体" w:hint="default"/>
                <w:sz w:val="21"/>
                <w:szCs w:val="21"/>
              </w:rPr>
            </w:pPr>
            <w:r>
              <w:rPr>
                <w:rFonts w:ascii="宋体"/>
                <w:spacing w:val="-1"/>
                <w:sz w:val="21"/>
              </w:rPr>
              <w:t>1,408,671.00</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1"/>
              <w:jc w:val="right"/>
              <w:rPr>
                <w:rFonts w:ascii="宋体" w:hAnsi="宋体" w:cs="宋体" w:eastAsia="宋体" w:hint="default"/>
                <w:sz w:val="21"/>
                <w:szCs w:val="21"/>
              </w:rPr>
            </w:pPr>
            <w:r>
              <w:rPr>
                <w:rFonts w:ascii="宋体"/>
                <w:spacing w:val="-1"/>
                <w:sz w:val="21"/>
              </w:rPr>
              <w:t>633,500.00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6"/>
              <w:jc w:val="right"/>
              <w:rPr>
                <w:rFonts w:ascii="宋体" w:hAnsi="宋体" w:cs="宋体" w:eastAsia="宋体" w:hint="default"/>
                <w:sz w:val="21"/>
                <w:szCs w:val="21"/>
              </w:rPr>
            </w:pPr>
            <w:r>
              <w:rPr>
                <w:rFonts w:ascii="宋体"/>
                <w:sz w:val="21"/>
              </w:rPr>
              <w:t>44.97</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w w:val="100"/>
                <w:sz w:val="21"/>
              </w:rPr>
              <w:t>2</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132,289,957.93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57,377,116.20</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74,912,841.73</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130.56</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3</w:t>
            </w:r>
          </w:p>
        </w:tc>
      </w:tr>
      <w:tr>
        <w:trPr>
          <w:trHeight w:val="403"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16,906,189.09</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2,987,347.22</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13,918,841.87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465.93</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4</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24,272,527.74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12,953,003.13</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11,319,524.61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87.39</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5</w:t>
            </w:r>
          </w:p>
        </w:tc>
      </w:tr>
      <w:tr>
        <w:trPr>
          <w:trHeight w:val="403"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19,784,163.73</w:t>
            </w:r>
          </w:p>
        </w:tc>
        <w:tc>
          <w:tcPr>
            <w:tcW w:w="1702" w:type="dxa"/>
            <w:tcBorders>
              <w:top w:val="single" w:sz="2" w:space="0" w:color="000000"/>
              <w:left w:val="single" w:sz="2" w:space="0" w:color="000000"/>
              <w:bottom w:val="single" w:sz="2" w:space="0" w:color="000000"/>
              <w:right w:val="single" w:sz="2" w:space="0" w:color="000000"/>
            </w:tcBorders>
          </w:tcPr>
          <w:p>
            <w:pP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19,784,163.73</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100.00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6</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1,544,452.97</w:t>
            </w:r>
          </w:p>
        </w:tc>
        <w:tc>
          <w:tcPr>
            <w:tcW w:w="1702" w:type="dxa"/>
            <w:tcBorders>
              <w:top w:val="single" w:sz="2" w:space="0" w:color="000000"/>
              <w:left w:val="single" w:sz="2" w:space="0" w:color="000000"/>
              <w:bottom w:val="single" w:sz="2" w:space="0" w:color="000000"/>
              <w:right w:val="single" w:sz="2" w:space="0" w:color="000000"/>
            </w:tcBorders>
          </w:tcPr>
          <w:p>
            <w:pP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1,544,452.97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100.00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7</w:t>
            </w:r>
          </w:p>
        </w:tc>
      </w:tr>
      <w:tr>
        <w:trPr>
          <w:trHeight w:val="403"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337,069.84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780,419.63</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-443,349.79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-56.81</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8</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641,466.80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293,980.63</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347,486.17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118.20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w w:val="100"/>
                <w:sz w:val="21"/>
              </w:rPr>
              <w:t>9</w:t>
            </w:r>
          </w:p>
        </w:tc>
      </w:tr>
      <w:tr>
        <w:trPr>
          <w:trHeight w:val="404"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93,398,670.89</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12,229,277.00</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81,169,393.89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663.73</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10</w:t>
            </w:r>
          </w:p>
        </w:tc>
      </w:tr>
      <w:tr>
        <w:trPr>
          <w:trHeight w:val="403"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41,418,448.90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46,684,240.21</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-5,265,791.31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-11.28</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11</w:t>
            </w:r>
          </w:p>
        </w:tc>
      </w:tr>
    </w:tbl>
    <w:p>
      <w:pPr>
        <w:spacing w:after="0" w:line="240" w:lineRule="auto"/>
        <w:jc w:val="center"/>
        <w:rPr>
          <w:rFonts w:ascii="宋体" w:hAnsi="宋体" w:cs="宋体" w:eastAsia="宋体" w:hint="default"/>
          <w:sz w:val="21"/>
          <w:szCs w:val="21"/>
        </w:rPr>
        <w:sectPr>
          <w:pgSz w:w="11910" w:h="16840"/>
          <w:pgMar w:header="884" w:footer="979" w:top="1100" w:bottom="1160" w:left="820" w:right="720"/>
        </w:sectPr>
      </w:pPr>
    </w:p>
    <w:p>
      <w:pPr>
        <w:spacing w:line="240" w:lineRule="auto" w:before="6"/>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839"/>
        <w:gridCol w:w="1842"/>
        <w:gridCol w:w="1702"/>
        <w:gridCol w:w="1813"/>
        <w:gridCol w:w="1260"/>
        <w:gridCol w:w="686"/>
      </w:tblGrid>
      <w:tr>
        <w:trPr>
          <w:trHeight w:val="404"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4,127,371.13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5,996,727.07</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-1,869,355.94</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-31.17</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12</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1,576,299.32</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2,886,261.96</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-1,309,962.64</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-45.39</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13</w:t>
            </w:r>
          </w:p>
        </w:tc>
      </w:tr>
      <w:tr>
        <w:trPr>
          <w:trHeight w:val="403"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10,830,627.87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8,927,304.52</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1,903,323.35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21.32</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14</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334,734,262.56</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243,898,174.93</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90,836,087.63</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37.24</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15</w:t>
            </w:r>
          </w:p>
        </w:tc>
      </w:tr>
      <w:tr>
        <w:trPr>
          <w:trHeight w:val="403"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227,461,364.23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159,955,184.29</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67,506,179.94</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42.20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15</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12,951,108.63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8,738,383.98</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4,212,724.65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48.21</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16</w:t>
            </w:r>
          </w:p>
        </w:tc>
      </w:tr>
      <w:tr>
        <w:trPr>
          <w:trHeight w:val="403"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34,355,445.00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22,269,347.99</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12,086,097.01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54.27</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17</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-60,571.26</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1,192,454.27</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-1,253,025.53</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-105.08</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18</w:t>
            </w:r>
          </w:p>
        </w:tc>
      </w:tr>
      <w:tr>
        <w:trPr>
          <w:trHeight w:val="404"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1"/>
              <w:jc w:val="right"/>
              <w:rPr>
                <w:rFonts w:ascii="宋体" w:hAnsi="宋体" w:cs="宋体" w:eastAsia="宋体" w:hint="default"/>
                <w:sz w:val="21"/>
                <w:szCs w:val="21"/>
              </w:rPr>
            </w:pPr>
            <w:r>
              <w:rPr>
                <w:rFonts w:ascii="宋体"/>
                <w:spacing w:val="-1"/>
                <w:sz w:val="21"/>
              </w:rPr>
              <w:t>2,278,001.66</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1"/>
              <w:jc w:val="right"/>
              <w:rPr>
                <w:rFonts w:ascii="宋体" w:hAnsi="宋体" w:cs="宋体" w:eastAsia="宋体" w:hint="default"/>
                <w:sz w:val="21"/>
                <w:szCs w:val="21"/>
              </w:rPr>
            </w:pPr>
            <w:r>
              <w:rPr>
                <w:rFonts w:ascii="宋体"/>
                <w:spacing w:val="-1"/>
                <w:sz w:val="21"/>
              </w:rPr>
              <w:t>841,033.05</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1"/>
              <w:jc w:val="right"/>
              <w:rPr>
                <w:rFonts w:ascii="宋体" w:hAnsi="宋体" w:cs="宋体" w:eastAsia="宋体" w:hint="default"/>
                <w:sz w:val="21"/>
                <w:szCs w:val="21"/>
              </w:rPr>
            </w:pPr>
            <w:r>
              <w:rPr>
                <w:rFonts w:ascii="宋体"/>
                <w:spacing w:val="-1"/>
                <w:sz w:val="21"/>
              </w:rPr>
              <w:t>1,436,968.61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3"/>
              <w:jc w:val="right"/>
              <w:rPr>
                <w:rFonts w:ascii="宋体" w:hAnsi="宋体" w:cs="宋体" w:eastAsia="宋体" w:hint="default"/>
                <w:sz w:val="21"/>
                <w:szCs w:val="21"/>
              </w:rPr>
            </w:pPr>
            <w:r>
              <w:rPr>
                <w:rFonts w:ascii="宋体"/>
                <w:sz w:val="21"/>
              </w:rPr>
              <w:t>170.86</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sz w:val="21"/>
              </w:rPr>
              <w:t>19</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6,366,777.05</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7,663,487.36</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-1,296,710.31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-16.92</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20</w:t>
            </w:r>
          </w:p>
        </w:tc>
      </w:tr>
      <w:tr>
        <w:trPr>
          <w:trHeight w:val="403"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165,764.68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17,300.00</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148,464.68</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858.18</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21</w:t>
            </w:r>
          </w:p>
        </w:tc>
      </w:tr>
      <w:tr>
        <w:trPr>
          <w:trHeight w:val="401"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6"/>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-28,373,971.00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-5,961,693.10</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-22,412,277.90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-375.94</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22</w:t>
            </w:r>
          </w:p>
        </w:tc>
      </w:tr>
      <w:tr>
        <w:trPr>
          <w:trHeight w:val="403" w:hRule="exact"/>
        </w:trPr>
        <w:tc>
          <w:tcPr>
            <w:tcW w:w="283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8"/>
              <w:ind w:left="105" w:right="-6"/>
              <w:jc w:val="lef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91,117,328.86</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3,099,150.00</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88,018,178.86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2,840.07</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sz w:val="21"/>
              </w:rPr>
              <w:t>23</w:t>
            </w:r>
          </w:p>
        </w:tc>
      </w:tr>
    </w:tbl>
    <w:p>
      <w:pPr>
        <w:pStyle w:val="BodyText"/>
        <w:spacing w:line="239" w:lineRule="exact"/>
        <w:ind w:left="733" w:right="5712"/>
        <w:jc w:val="left"/>
      </w:pPr>
      <w:r>
        <w:rPr/>
        <w:t>变动说明：</w:t>
      </w:r>
    </w:p>
    <w:p>
      <w:pPr>
        <w:pStyle w:val="BodyText"/>
        <w:spacing w:line="272" w:lineRule="exact"/>
        <w:ind w:left="733" w:right="99"/>
        <w:jc w:val="left"/>
      </w:pPr>
      <w:r>
        <w:rPr>
          <w:rFonts w:ascii="宋体" w:hAnsi="宋体" w:cs="宋体" w:eastAsia="宋体" w:hint="default"/>
        </w:rPr>
        <w:t>1</w:t>
      </w:r>
      <w:r>
        <w:rPr/>
        <w:t>．货币资金较年初增加</w:t>
      </w:r>
      <w:r>
        <w:rPr>
          <w:rFonts w:ascii="宋体" w:hAnsi="宋体" w:cs="宋体" w:eastAsia="宋体" w:hint="default"/>
        </w:rPr>
        <w:t>117.48%</w:t>
      </w:r>
      <w:r>
        <w:rPr/>
        <w:t>，主要系公司首次发行股票募集资金所致。</w:t>
      </w:r>
    </w:p>
    <w:p>
      <w:pPr>
        <w:pStyle w:val="BodyText"/>
        <w:spacing w:line="272" w:lineRule="exact" w:before="27"/>
        <w:ind w:left="312" w:right="99" w:firstLine="420"/>
        <w:jc w:val="left"/>
      </w:pPr>
      <w:r>
        <w:rPr>
          <w:rFonts w:ascii="宋体" w:hAnsi="宋体" w:cs="宋体" w:eastAsia="宋体" w:hint="default"/>
        </w:rPr>
        <w:t>2</w:t>
      </w:r>
      <w:r>
        <w:rPr/>
        <w:t>．应收票据较年初增加</w:t>
      </w:r>
      <w:r>
        <w:rPr>
          <w:rFonts w:ascii="宋体" w:hAnsi="宋体" w:cs="宋体" w:eastAsia="宋体" w:hint="default"/>
        </w:rPr>
        <w:t>44.97%</w:t>
      </w:r>
      <w:r>
        <w:rPr/>
        <w:t>，主要系公司销售以银行承兑汇票方式结算尚未到期收回款项增加所</w:t>
      </w:r>
      <w:r>
        <w:rPr>
          <w:w w:val="100"/>
        </w:rPr>
        <w:t> </w:t>
      </w:r>
      <w:r>
        <w:rPr/>
        <w:t>致。</w:t>
      </w:r>
    </w:p>
    <w:p>
      <w:pPr>
        <w:pStyle w:val="BodyText"/>
        <w:spacing w:line="247" w:lineRule="exact"/>
        <w:ind w:left="733" w:right="99"/>
        <w:jc w:val="left"/>
      </w:pPr>
      <w:r>
        <w:rPr>
          <w:rFonts w:ascii="宋体" w:hAnsi="宋体" w:cs="宋体" w:eastAsia="宋体" w:hint="default"/>
        </w:rPr>
        <w:t>3</w:t>
      </w:r>
      <w:r>
        <w:rPr/>
        <w:t>．应收账款较年初增加</w:t>
      </w:r>
      <w:r>
        <w:rPr>
          <w:rFonts w:ascii="宋体" w:hAnsi="宋体" w:cs="宋体" w:eastAsia="宋体" w:hint="default"/>
        </w:rPr>
        <w:t>130.56%</w:t>
      </w:r>
      <w:r>
        <w:rPr/>
        <w:t>，主要系本年度收入增长所致。</w:t>
      </w:r>
    </w:p>
    <w:p>
      <w:pPr>
        <w:pStyle w:val="BodyText"/>
        <w:spacing w:line="272" w:lineRule="exact" w:before="26"/>
        <w:ind w:left="312" w:right="99" w:firstLine="420"/>
        <w:jc w:val="left"/>
      </w:pPr>
      <w:r>
        <w:rPr>
          <w:rFonts w:ascii="宋体" w:hAnsi="宋体" w:cs="宋体" w:eastAsia="宋体" w:hint="default"/>
          <w:spacing w:val="-2"/>
        </w:rPr>
        <w:t>4</w:t>
      </w:r>
      <w:r>
        <w:rPr>
          <w:spacing w:val="-2"/>
        </w:rPr>
        <w:t>．预付账款较年初余额增加</w:t>
      </w:r>
      <w:r>
        <w:rPr>
          <w:rFonts w:ascii="宋体" w:hAnsi="宋体" w:cs="宋体" w:eastAsia="宋体" w:hint="default"/>
          <w:spacing w:val="-2"/>
        </w:rPr>
        <w:t>465.93%</w:t>
      </w:r>
      <w:r>
        <w:rPr>
          <w:spacing w:val="-2"/>
        </w:rPr>
        <w:t>，主要系公司增加以预付款项方式委托其他单位进行的项目于年</w:t>
      </w:r>
      <w:r>
        <w:rPr>
          <w:w w:val="100"/>
        </w:rPr>
        <w:t> </w:t>
      </w:r>
      <w:r>
        <w:rPr/>
        <w:t>末尚未完成所致。</w:t>
      </w:r>
    </w:p>
    <w:p>
      <w:pPr>
        <w:pStyle w:val="BodyText"/>
        <w:spacing w:line="247" w:lineRule="exact"/>
        <w:ind w:left="733" w:right="99"/>
        <w:jc w:val="left"/>
      </w:pPr>
      <w:r>
        <w:rPr>
          <w:rFonts w:ascii="宋体" w:hAnsi="宋体" w:cs="宋体" w:eastAsia="宋体" w:hint="default"/>
        </w:rPr>
        <w:t>5</w:t>
      </w:r>
      <w:r>
        <w:rPr/>
        <w:t>．存货较年初增加</w:t>
      </w:r>
      <w:r>
        <w:rPr>
          <w:rFonts w:ascii="宋体" w:hAnsi="宋体" w:cs="宋体" w:eastAsia="宋体" w:hint="default"/>
        </w:rPr>
        <w:t>87.39%</w:t>
      </w:r>
      <w:r>
        <w:rPr/>
        <w:t>，主要系随着公司经营规模扩大，于年末尚未完成的跨期项目增加所致。</w:t>
      </w:r>
    </w:p>
    <w:p>
      <w:pPr>
        <w:pStyle w:val="BodyText"/>
        <w:spacing w:line="272" w:lineRule="exact"/>
        <w:ind w:left="733" w:right="99"/>
        <w:jc w:val="left"/>
      </w:pPr>
      <w:r>
        <w:rPr>
          <w:rFonts w:ascii="宋体" w:hAnsi="宋体" w:cs="宋体" w:eastAsia="宋体" w:hint="default"/>
        </w:rPr>
        <w:t>6</w:t>
      </w:r>
      <w:r>
        <w:rPr/>
        <w:t>．在建工程较年初增加</w:t>
      </w:r>
      <w:r>
        <w:rPr>
          <w:rFonts w:ascii="宋体" w:hAnsi="宋体" w:cs="宋体" w:eastAsia="宋体" w:hint="default"/>
        </w:rPr>
        <w:t>100.00%</w:t>
      </w:r>
      <w:r>
        <w:rPr/>
        <w:t>，主要系募集资金投入项目所致。</w:t>
      </w:r>
    </w:p>
    <w:p>
      <w:pPr>
        <w:pStyle w:val="BodyText"/>
        <w:spacing w:line="272" w:lineRule="exact"/>
        <w:ind w:left="733" w:right="99"/>
        <w:jc w:val="left"/>
      </w:pPr>
      <w:r>
        <w:rPr>
          <w:rFonts w:ascii="宋体" w:hAnsi="宋体" w:cs="宋体" w:eastAsia="宋体" w:hint="default"/>
        </w:rPr>
        <w:t>7</w:t>
      </w:r>
      <w:r>
        <w:rPr/>
        <w:t>．无形资产较年初增加</w:t>
      </w:r>
      <w:r>
        <w:rPr>
          <w:rFonts w:ascii="宋体" w:hAnsi="宋体" w:cs="宋体" w:eastAsia="宋体" w:hint="default"/>
        </w:rPr>
        <w:t>100.00%</w:t>
      </w:r>
      <w:r>
        <w:rPr/>
        <w:t>，主要系购置软件所致。</w:t>
      </w:r>
    </w:p>
    <w:p>
      <w:pPr>
        <w:pStyle w:val="BodyText"/>
        <w:spacing w:line="272" w:lineRule="exact"/>
        <w:ind w:left="733" w:right="99"/>
        <w:jc w:val="left"/>
      </w:pPr>
      <w:r>
        <w:rPr>
          <w:rFonts w:ascii="宋体" w:hAnsi="宋体" w:cs="宋体" w:eastAsia="宋体" w:hint="default"/>
        </w:rPr>
        <w:t>8</w:t>
      </w:r>
      <w:r>
        <w:rPr/>
        <w:t>．长期待摊费用较年初减少</w:t>
      </w:r>
      <w:r>
        <w:rPr>
          <w:rFonts w:ascii="宋体" w:hAnsi="宋体" w:cs="宋体" w:eastAsia="宋体" w:hint="default"/>
        </w:rPr>
        <w:t>56.81%</w:t>
      </w:r>
      <w:r>
        <w:rPr/>
        <w:t>，主要系装修费用摊入当期费用所致。</w:t>
      </w:r>
    </w:p>
    <w:p>
      <w:pPr>
        <w:pStyle w:val="BodyText"/>
        <w:spacing w:line="272" w:lineRule="exact"/>
        <w:ind w:left="733" w:right="99"/>
        <w:jc w:val="left"/>
      </w:pPr>
      <w:r>
        <w:rPr>
          <w:rFonts w:ascii="宋体" w:hAnsi="宋体" w:cs="宋体" w:eastAsia="宋体" w:hint="default"/>
        </w:rPr>
        <w:t>9</w:t>
      </w:r>
      <w:r>
        <w:rPr/>
        <w:t>．递延所得税资产较年初增加</w:t>
      </w:r>
      <w:r>
        <w:rPr>
          <w:rFonts w:ascii="宋体" w:hAnsi="宋体" w:cs="宋体" w:eastAsia="宋体" w:hint="default"/>
        </w:rPr>
        <w:t>118.20%</w:t>
      </w:r>
      <w:r>
        <w:rPr/>
        <w:t>，主要系应收款项计提的坏账准备增加所致；</w:t>
      </w:r>
    </w:p>
    <w:p>
      <w:pPr>
        <w:pStyle w:val="BodyText"/>
        <w:spacing w:line="272" w:lineRule="exact"/>
        <w:ind w:left="733" w:right="99"/>
        <w:jc w:val="left"/>
      </w:pPr>
      <w:r>
        <w:rPr>
          <w:rFonts w:ascii="宋体" w:hAnsi="宋体" w:cs="宋体" w:eastAsia="宋体" w:hint="default"/>
        </w:rPr>
        <w:t>10</w:t>
      </w:r>
      <w:r>
        <w:rPr/>
        <w:t>．应付票据较年初增加</w:t>
      </w:r>
      <w:r>
        <w:rPr>
          <w:rFonts w:ascii="宋体" w:hAnsi="宋体" w:cs="宋体" w:eastAsia="宋体" w:hint="default"/>
        </w:rPr>
        <w:t>663.73%</w:t>
      </w:r>
      <w:r>
        <w:rPr/>
        <w:t>，主要系本报告期内开具银行承兑汇票尚未到期所致。</w:t>
      </w:r>
    </w:p>
    <w:p>
      <w:pPr>
        <w:pStyle w:val="BodyText"/>
        <w:spacing w:line="272" w:lineRule="exact"/>
        <w:ind w:left="733" w:right="99"/>
        <w:jc w:val="left"/>
      </w:pPr>
      <w:r>
        <w:rPr>
          <w:rFonts w:ascii="宋体" w:hAnsi="宋体" w:cs="宋体" w:eastAsia="宋体" w:hint="default"/>
        </w:rPr>
        <w:t>11</w:t>
      </w:r>
      <w:r>
        <w:rPr/>
        <w:t>．应付账款较年初减少</w:t>
      </w:r>
      <w:r>
        <w:rPr>
          <w:rFonts w:ascii="宋体" w:hAnsi="宋体" w:cs="宋体" w:eastAsia="宋体" w:hint="default"/>
        </w:rPr>
        <w:t>11.28%</w:t>
      </w:r>
      <w:r>
        <w:rPr/>
        <w:t>，主要系供应商对公司的采购改变结算方式所致。</w:t>
      </w:r>
    </w:p>
    <w:p>
      <w:pPr>
        <w:pStyle w:val="BodyText"/>
        <w:spacing w:line="272" w:lineRule="exact"/>
        <w:ind w:left="733" w:right="99"/>
        <w:jc w:val="left"/>
      </w:pPr>
      <w:r>
        <w:rPr>
          <w:rFonts w:ascii="宋体" w:hAnsi="宋体" w:cs="宋体" w:eastAsia="宋体" w:hint="default"/>
        </w:rPr>
        <w:t>12</w:t>
      </w:r>
      <w:r>
        <w:rPr/>
        <w:t>．预收账款较年初减少</w:t>
      </w:r>
      <w:r>
        <w:rPr>
          <w:rFonts w:ascii="宋体" w:hAnsi="宋体" w:cs="宋体" w:eastAsia="宋体" w:hint="default"/>
        </w:rPr>
        <w:t>31.17%</w:t>
      </w:r>
      <w:r>
        <w:rPr/>
        <w:t>，主要系项目完工确认收入所致。</w:t>
      </w:r>
    </w:p>
    <w:p>
      <w:pPr>
        <w:pStyle w:val="BodyText"/>
        <w:spacing w:line="272" w:lineRule="exact"/>
        <w:ind w:left="733" w:right="99"/>
        <w:jc w:val="left"/>
      </w:pPr>
      <w:r>
        <w:rPr>
          <w:rFonts w:ascii="宋体" w:hAnsi="宋体" w:cs="宋体" w:eastAsia="宋体" w:hint="default"/>
        </w:rPr>
        <w:t>13</w:t>
      </w:r>
      <w:r>
        <w:rPr/>
        <w:t>．应付职工薪酬较年初减少</w:t>
      </w:r>
      <w:r>
        <w:rPr>
          <w:rFonts w:ascii="宋体" w:hAnsi="宋体" w:cs="宋体" w:eastAsia="宋体" w:hint="default"/>
        </w:rPr>
        <w:t>45.39%</w:t>
      </w:r>
      <w:r>
        <w:rPr/>
        <w:t>，主要系本报告期计提职工薪酬影响所致。</w:t>
      </w:r>
    </w:p>
    <w:p>
      <w:pPr>
        <w:pStyle w:val="BodyText"/>
        <w:spacing w:line="273" w:lineRule="exact"/>
        <w:ind w:left="733" w:right="99"/>
        <w:jc w:val="left"/>
      </w:pPr>
      <w:r>
        <w:rPr>
          <w:rFonts w:ascii="宋体" w:hAnsi="宋体" w:cs="宋体" w:eastAsia="宋体" w:hint="default"/>
        </w:rPr>
        <w:t>14</w:t>
      </w:r>
      <w:r>
        <w:rPr/>
        <w:t>．应交税费较年初增加</w:t>
      </w:r>
      <w:r>
        <w:rPr>
          <w:rFonts w:ascii="宋体" w:hAnsi="宋体" w:cs="宋体" w:eastAsia="宋体" w:hint="default"/>
        </w:rPr>
        <w:t>21.32%</w:t>
      </w:r>
      <w:r>
        <w:rPr/>
        <w:t>，主要系本报告期末计提企业所得税及应交增值税增加所致。</w:t>
      </w:r>
    </w:p>
    <w:p>
      <w:pPr>
        <w:pStyle w:val="BodyText"/>
        <w:spacing w:line="272" w:lineRule="exact" w:before="27"/>
        <w:ind w:left="312" w:right="99" w:firstLine="420"/>
        <w:jc w:val="left"/>
      </w:pPr>
      <w:r>
        <w:rPr>
          <w:rFonts w:ascii="宋体" w:hAnsi="宋体" w:cs="宋体" w:eastAsia="宋体" w:hint="default"/>
          <w:spacing w:val="-2"/>
        </w:rPr>
        <w:t>15</w:t>
      </w:r>
      <w:r>
        <w:rPr>
          <w:spacing w:val="-2"/>
        </w:rPr>
        <w:t>．营业收入较上年同期增加</w:t>
      </w:r>
      <w:r>
        <w:rPr>
          <w:rFonts w:ascii="宋体" w:hAnsi="宋体" w:cs="宋体" w:eastAsia="宋体" w:hint="default"/>
          <w:spacing w:val="-2"/>
        </w:rPr>
        <w:t>37.24%</w:t>
      </w:r>
      <w:r>
        <w:rPr>
          <w:spacing w:val="-2"/>
        </w:rPr>
        <w:t>、营业成本较上年同期增加</w:t>
      </w:r>
      <w:r>
        <w:rPr>
          <w:rFonts w:ascii="宋体" w:hAnsi="宋体" w:cs="宋体" w:eastAsia="宋体" w:hint="default"/>
          <w:spacing w:val="-2"/>
        </w:rPr>
        <w:t>42.20%</w:t>
      </w:r>
      <w:r>
        <w:rPr>
          <w:spacing w:val="-2"/>
        </w:rPr>
        <w:t>，主要系本报告期内公司业务</w:t>
      </w:r>
      <w:r>
        <w:rPr>
          <w:w w:val="100"/>
        </w:rPr>
        <w:t> </w:t>
      </w:r>
      <w:r>
        <w:rPr/>
        <w:t>规模扩大所致。</w:t>
      </w:r>
    </w:p>
    <w:p>
      <w:pPr>
        <w:pStyle w:val="BodyText"/>
        <w:spacing w:line="247" w:lineRule="exact"/>
        <w:ind w:left="733" w:right="99"/>
        <w:jc w:val="left"/>
      </w:pPr>
      <w:r>
        <w:rPr>
          <w:rFonts w:ascii="宋体" w:hAnsi="宋体" w:cs="宋体" w:eastAsia="宋体" w:hint="default"/>
        </w:rPr>
        <w:t>16</w:t>
      </w:r>
      <w:r>
        <w:rPr/>
        <w:t>．销售费用较上年同期增加</w:t>
      </w:r>
      <w:r>
        <w:rPr>
          <w:rFonts w:ascii="宋体" w:hAnsi="宋体" w:cs="宋体" w:eastAsia="宋体" w:hint="default"/>
        </w:rPr>
        <w:t>48.21%</w:t>
      </w:r>
      <w:r>
        <w:rPr/>
        <w:t>，主要系本报告期内随着公司业务规模扩大相应费用增加所致。</w:t>
      </w:r>
    </w:p>
    <w:p>
      <w:pPr>
        <w:pStyle w:val="BodyText"/>
        <w:spacing w:line="240" w:lineRule="auto"/>
        <w:ind w:left="312" w:right="99" w:firstLine="420"/>
        <w:jc w:val="left"/>
      </w:pPr>
      <w:r>
        <w:rPr>
          <w:rFonts w:ascii="宋体" w:hAnsi="宋体" w:cs="宋体" w:eastAsia="宋体" w:hint="default"/>
          <w:spacing w:val="-2"/>
        </w:rPr>
        <w:t>17</w:t>
      </w:r>
      <w:r>
        <w:rPr>
          <w:spacing w:val="-2"/>
        </w:rPr>
        <w:t>．管理费用较上年同期增加</w:t>
      </w:r>
      <w:r>
        <w:rPr>
          <w:rFonts w:ascii="宋体" w:hAnsi="宋体" w:cs="宋体" w:eastAsia="宋体" w:hint="default"/>
          <w:spacing w:val="-2"/>
        </w:rPr>
        <w:t>54.27%</w:t>
      </w:r>
      <w:r>
        <w:rPr>
          <w:spacing w:val="-2"/>
        </w:rPr>
        <w:t>，主要系本报告期内职工薪酬增长，以及随着公司业务规模扩大</w:t>
      </w:r>
      <w:r>
        <w:rPr>
          <w:w w:val="100"/>
        </w:rPr>
        <w:t> </w:t>
      </w:r>
      <w:r>
        <w:rPr/>
        <w:t>相应费用增加所致。</w:t>
      </w:r>
    </w:p>
    <w:p>
      <w:pPr>
        <w:pStyle w:val="BodyText"/>
        <w:spacing w:line="271" w:lineRule="exact"/>
        <w:ind w:left="733" w:right="99"/>
        <w:jc w:val="left"/>
      </w:pPr>
      <w:r>
        <w:rPr>
          <w:rFonts w:ascii="宋体" w:hAnsi="宋体" w:cs="宋体" w:eastAsia="宋体" w:hint="default"/>
        </w:rPr>
        <w:t>18</w:t>
      </w:r>
      <w:r>
        <w:rPr/>
        <w:t>．财务费用较上年同期减少</w:t>
      </w:r>
      <w:r>
        <w:rPr>
          <w:rFonts w:ascii="宋体" w:hAnsi="宋体" w:cs="宋体" w:eastAsia="宋体" w:hint="default"/>
        </w:rPr>
        <w:t>105.08%</w:t>
      </w:r>
      <w:r>
        <w:rPr/>
        <w:t>，主要系本报告期内利息收入增加所致。</w:t>
      </w:r>
    </w:p>
    <w:p>
      <w:pPr>
        <w:pStyle w:val="BodyText"/>
        <w:spacing w:line="272" w:lineRule="exact" w:before="27"/>
        <w:ind w:left="312" w:right="99" w:firstLine="420"/>
        <w:jc w:val="left"/>
      </w:pPr>
      <w:r>
        <w:rPr>
          <w:rFonts w:ascii="宋体" w:hAnsi="宋体" w:cs="宋体" w:eastAsia="宋体" w:hint="default"/>
        </w:rPr>
        <w:t>19</w:t>
      </w:r>
      <w:r>
        <w:rPr/>
        <w:t>．资产减值损失较上年同期增加</w:t>
      </w:r>
      <w:r>
        <w:rPr>
          <w:rFonts w:ascii="宋体" w:hAnsi="宋体" w:cs="宋体" w:eastAsia="宋体" w:hint="default"/>
        </w:rPr>
        <w:t>170.86%</w:t>
      </w:r>
      <w:r>
        <w:rPr/>
        <w:t>，主要系本报告期末应收款项余额增加，计提的坏账准备</w:t>
      </w:r>
      <w:r>
        <w:rPr>
          <w:w w:val="100"/>
        </w:rPr>
        <w:t> </w:t>
      </w:r>
      <w:r>
        <w:rPr/>
        <w:t>金额相应增加所致。</w:t>
      </w:r>
    </w:p>
    <w:p>
      <w:pPr>
        <w:pStyle w:val="BodyText"/>
        <w:spacing w:line="247" w:lineRule="exact"/>
        <w:ind w:left="733" w:right="99"/>
        <w:jc w:val="left"/>
      </w:pPr>
      <w:r>
        <w:rPr>
          <w:rFonts w:ascii="宋体" w:hAnsi="宋体" w:cs="宋体" w:eastAsia="宋体" w:hint="default"/>
        </w:rPr>
        <w:t>20</w:t>
      </w:r>
      <w:r>
        <w:rPr/>
        <w:t>．营业外收入较上年同期减少</w:t>
      </w:r>
      <w:r>
        <w:rPr>
          <w:rFonts w:ascii="宋体" w:hAnsi="宋体" w:cs="宋体" w:eastAsia="宋体" w:hint="default"/>
        </w:rPr>
        <w:t>16.92%</w:t>
      </w:r>
      <w:r>
        <w:rPr/>
        <w:t>，主要系本报告期收到的政府补助较上年减少所致；</w:t>
      </w:r>
    </w:p>
    <w:p>
      <w:pPr>
        <w:pStyle w:val="BodyText"/>
        <w:spacing w:line="271" w:lineRule="exact"/>
        <w:ind w:left="733" w:right="99"/>
        <w:jc w:val="left"/>
      </w:pPr>
      <w:r>
        <w:rPr>
          <w:rFonts w:ascii="宋体" w:hAnsi="宋体" w:cs="宋体" w:eastAsia="宋体" w:hint="default"/>
        </w:rPr>
        <w:t>21</w:t>
      </w:r>
      <w:r>
        <w:rPr/>
        <w:t>．营业外支出较上年同期增加</w:t>
      </w:r>
      <w:r>
        <w:rPr>
          <w:rFonts w:ascii="宋体" w:hAnsi="宋体" w:cs="宋体" w:eastAsia="宋体" w:hint="default"/>
        </w:rPr>
        <w:t>858.18%</w:t>
      </w:r>
      <w:r>
        <w:rPr/>
        <w:t>，主要系本报告期捐赠及处置固定资产损失增加所致。</w:t>
      </w:r>
    </w:p>
    <w:p>
      <w:pPr>
        <w:pStyle w:val="BodyText"/>
        <w:spacing w:line="240" w:lineRule="auto"/>
        <w:ind w:left="312" w:right="99" w:firstLine="420"/>
        <w:jc w:val="left"/>
      </w:pPr>
      <w:r>
        <w:rPr>
          <w:rFonts w:ascii="宋体" w:hAnsi="宋体" w:cs="宋体" w:eastAsia="宋体" w:hint="default"/>
        </w:rPr>
        <w:t>22</w:t>
      </w:r>
      <w:r>
        <w:rPr/>
        <w:t>．投资活动产生的现金流量净额较上年同期减少</w:t>
      </w:r>
      <w:r>
        <w:rPr>
          <w:rFonts w:ascii="宋体" w:hAnsi="宋体" w:cs="宋体" w:eastAsia="宋体" w:hint="default"/>
        </w:rPr>
        <w:t>375.94%</w:t>
      </w:r>
      <w:r>
        <w:rPr/>
        <w:t>，主要系本报告期内支付购入固定资产及</w:t>
      </w:r>
      <w:r>
        <w:rPr>
          <w:w w:val="100"/>
        </w:rPr>
        <w:t> </w:t>
      </w:r>
      <w:r>
        <w:rPr/>
        <w:t>在建工程项目款较上年增加所致。</w:t>
      </w:r>
    </w:p>
    <w:p>
      <w:pPr>
        <w:pStyle w:val="BodyText"/>
        <w:spacing w:line="274" w:lineRule="exact" w:before="23"/>
        <w:ind w:left="312" w:right="99" w:firstLine="420"/>
        <w:jc w:val="left"/>
      </w:pPr>
      <w:r>
        <w:rPr>
          <w:rFonts w:ascii="宋体" w:hAnsi="宋体" w:cs="宋体" w:eastAsia="宋体" w:hint="default"/>
        </w:rPr>
        <w:t>23</w:t>
      </w:r>
      <w:r>
        <w:rPr/>
        <w:t>．筹资活动产生的现金流量净额较上年同期增加</w:t>
      </w:r>
      <w:r>
        <w:rPr>
          <w:rFonts w:ascii="宋体" w:hAnsi="宋体" w:cs="宋体" w:eastAsia="宋体" w:hint="default"/>
        </w:rPr>
        <w:t>2,840.07%</w:t>
      </w:r>
      <w:r>
        <w:rPr/>
        <w:t>，主要系本报告期内公司首次发行股票</w:t>
      </w:r>
      <w:r>
        <w:rPr>
          <w:w w:val="100"/>
        </w:rPr>
        <w:t> </w:t>
      </w:r>
      <w:r>
        <w:rPr/>
        <w:t>募集资金所致。</w:t>
      </w:r>
    </w:p>
    <w:p>
      <w:pPr>
        <w:spacing w:after="0" w:line="274" w:lineRule="exact"/>
        <w:jc w:val="left"/>
        <w:sectPr>
          <w:headerReference w:type="default" r:id="rId51"/>
          <w:pgSz w:w="11910" w:h="16840"/>
          <w:pgMar w:header="566" w:footer="979" w:top="1360" w:bottom="1160" w:left="820" w:right="720"/>
        </w:sectPr>
      </w:pPr>
    </w:p>
    <w:p>
      <w:pPr>
        <w:spacing w:line="240" w:lineRule="auto" w:before="0"/>
        <w:rPr>
          <w:rFonts w:ascii="宋体" w:hAnsi="宋体" w:cs="宋体" w:eastAsia="宋体" w:hint="default"/>
          <w:sz w:val="20"/>
          <w:szCs w:val="20"/>
        </w:rPr>
      </w:pPr>
      <w:r>
        <w:rPr/>
        <w:pict>
          <v:group style="position:absolute;margin-left:38.700001pt;margin-top:32.999985pt;width:500.85pt;height:40.15pt;mso-position-horizontal-relative:page;mso-position-vertical-relative:page;z-index:-647296" coordorigin="774,660" coordsize="10017,803">
            <v:group style="position:absolute;left:2754;top:1128;width:8029;height:2" coordorigin="2754,1128" coordsize="8029,2">
              <v:shape style="position:absolute;left:2754;top:1128;width:8029;height:2" coordorigin="2754,1128" coordsize="8029,0" path="m2754,1128l10783,1128e" filled="false" stroked="true" strokeweight=".75pt" strokecolor="#000000">
                <v:path arrowok="t"/>
              </v:shape>
              <v:shape style="position:absolute;left:774;top:660;width:2160;height:803" type="#_x0000_t75" stroked="false">
                <v:imagedata r:id="rId7" o:title=""/>
              </v:shape>
            </v:group>
            <w10:wrap type="none"/>
          </v:group>
        </w:pict>
      </w:r>
    </w:p>
    <w:p>
      <w:pPr>
        <w:spacing w:line="240" w:lineRule="auto" w:before="2"/>
        <w:rPr>
          <w:rFonts w:ascii="宋体" w:hAnsi="宋体" w:cs="宋体" w:eastAsia="宋体" w:hint="default"/>
          <w:sz w:val="20"/>
          <w:szCs w:val="20"/>
        </w:rPr>
      </w:pPr>
    </w:p>
    <w:p>
      <w:pPr>
        <w:pStyle w:val="Heading1"/>
        <w:spacing w:line="240" w:lineRule="auto"/>
        <w:ind w:left="3747" w:right="3411"/>
        <w:jc w:val="center"/>
        <w:rPr>
          <w:b w:val="0"/>
          <w:bCs w:val="0"/>
        </w:rPr>
      </w:pPr>
      <w:bookmarkStart w:name="_bookmark9" w:id="10"/>
      <w:bookmarkEnd w:id="10"/>
      <w:r>
        <w:rPr>
          <w:b w:val="0"/>
          <w:bCs w:val="0"/>
        </w:rPr>
      </w:r>
      <w:r>
        <w:rPr/>
        <w:t>第十节</w:t>
      </w:r>
      <w:r>
        <w:rPr>
          <w:spacing w:val="-6"/>
        </w:rPr>
        <w:t> </w:t>
      </w:r>
      <w:r>
        <w:rPr/>
        <w:t>备查文件目录</w:t>
      </w:r>
      <w:r>
        <w:rPr>
          <w:b w:val="0"/>
          <w:bCs w:val="0"/>
        </w:rPr>
      </w:r>
    </w:p>
    <w:p>
      <w:pPr>
        <w:spacing w:line="240" w:lineRule="auto" w:before="11"/>
        <w:rPr>
          <w:rFonts w:ascii="宋体" w:hAnsi="宋体" w:cs="宋体" w:eastAsia="宋体" w:hint="default"/>
          <w:b/>
          <w:bCs/>
          <w:sz w:val="22"/>
          <w:szCs w:val="22"/>
        </w:rPr>
      </w:pPr>
    </w:p>
    <w:p>
      <w:pPr>
        <w:pStyle w:val="BodyText"/>
        <w:spacing w:line="272" w:lineRule="exact"/>
        <w:ind w:left="953" w:right="0"/>
        <w:jc w:val="left"/>
      </w:pPr>
      <w:r>
        <w:rPr/>
        <w:t>一、经公司法定代表人付永全先生签名的</w:t>
      </w:r>
      <w:r>
        <w:rPr>
          <w:rFonts w:ascii="宋体" w:hAnsi="宋体" w:cs="宋体" w:eastAsia="宋体" w:hint="default"/>
        </w:rPr>
        <w:t>2012</w:t>
      </w:r>
      <w:r>
        <w:rPr/>
        <w:t>年年度报告文本。</w:t>
      </w:r>
      <w:r>
        <w:rPr>
          <w:w w:val="100"/>
        </w:rPr>
        <w:t> </w:t>
      </w:r>
      <w:r>
        <w:rPr>
          <w:spacing w:val="-4"/>
        </w:rPr>
        <w:t>二、载有公司法定代表人付永全先生、主管会计工作负责人冯丽女士、会计机构负责人汤淼云女士签</w:t>
      </w:r>
    </w:p>
    <w:p>
      <w:pPr>
        <w:pStyle w:val="BodyText"/>
        <w:spacing w:line="246" w:lineRule="exact"/>
        <w:ind w:left="472" w:right="0"/>
        <w:jc w:val="left"/>
      </w:pPr>
      <w:r>
        <w:rPr/>
        <w:t>名并盖章的财务报告文本。</w:t>
      </w:r>
    </w:p>
    <w:p>
      <w:pPr>
        <w:pStyle w:val="BodyText"/>
        <w:spacing w:line="237" w:lineRule="auto" w:before="2"/>
        <w:ind w:left="953" w:right="0"/>
        <w:jc w:val="left"/>
      </w:pPr>
      <w:r>
        <w:rPr/>
        <w:t>三、载有会计师事务所盖章、注册会计师签名并盖章的审计报告原件。</w:t>
      </w:r>
      <w:r>
        <w:rPr>
          <w:w w:val="100"/>
        </w:rPr>
        <w:t> </w:t>
      </w:r>
      <w:r>
        <w:rPr>
          <w:spacing w:val="-2"/>
        </w:rPr>
        <w:t>四、报告期内在中国证监会指定网站上公开披露过的所有公司文件的正本及公告的原稿。</w:t>
      </w:r>
      <w:r>
        <w:rPr>
          <w:spacing w:val="-31"/>
        </w:rPr>
        <w:t> </w:t>
      </w:r>
      <w:r>
        <w:rPr>
          <w:spacing w:val="-31"/>
        </w:rPr>
      </w:r>
      <w:r>
        <w:rPr/>
        <w:t>五、其他有关资料。</w:t>
      </w:r>
    </w:p>
    <w:p>
      <w:pPr>
        <w:spacing w:line="240" w:lineRule="auto" w:before="9"/>
        <w:rPr>
          <w:rFonts w:ascii="宋体" w:hAnsi="宋体" w:cs="宋体" w:eastAsia="宋体" w:hint="default"/>
          <w:sz w:val="20"/>
          <w:szCs w:val="20"/>
        </w:rPr>
      </w:pPr>
    </w:p>
    <w:p>
      <w:pPr>
        <w:pStyle w:val="BodyText"/>
        <w:spacing w:line="240" w:lineRule="auto"/>
        <w:ind w:left="998" w:right="0"/>
        <w:jc w:val="left"/>
      </w:pPr>
      <w:r>
        <w:rPr/>
        <w:t>以上备查文件的备置地点：公司证券投资部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715" w:lineRule="auto" w:before="177"/>
        <w:ind w:left="5828" w:right="894"/>
        <w:jc w:val="left"/>
      </w:pPr>
      <w:r>
        <w:rPr>
          <w:spacing w:val="-2"/>
        </w:rPr>
        <w:t>荣科科技股份有限公司董事会</w:t>
      </w:r>
      <w:r>
        <w:rPr>
          <w:spacing w:val="-82"/>
        </w:rPr>
        <w:t> </w:t>
      </w:r>
      <w:r>
        <w:rPr>
          <w:spacing w:val="-82"/>
        </w:rPr>
      </w:r>
      <w:r>
        <w:rPr/>
        <w:t>董事长：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left="6145" w:right="0"/>
        <w:jc w:val="left"/>
      </w:pPr>
      <w:r>
        <w:rPr/>
        <w:t>二〇一三年三月二十五日</w:t>
      </w:r>
    </w:p>
    <w:sectPr>
      <w:headerReference w:type="default" r:id="rId52"/>
      <w:footerReference w:type="default" r:id="rId53"/>
      <w:pgSz w:w="11910" w:h="16840"/>
      <w:pgMar w:header="882" w:footer="1219" w:top="1100" w:bottom="1400" w:left="6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649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49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49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648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648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69.957947pt;width:15.7pt;height:11pt;mso-position-horizontal-relative:page;mso-position-vertical-relative:page;z-index:-648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49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280029pt;margin-top:535.333923pt;width:13.15pt;height:11pt;mso-position-horizontal-relative:page;mso-position-vertical-relative:page;z-index:-649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49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49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49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649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40.579987pt;margin-top:36.604984pt;width:99.25pt;height:13.15pt;mso-position-horizontal-relative:page;mso-position-vertical-relative:page;z-index:-64979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938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9360"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0.579987pt;margin-top:43.204983pt;width:99.25pt;height:13.15pt;mso-position-horizontal-relative:page;mso-position-vertical-relative:page;z-index:-649336"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928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9264"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0.579987pt;margin-top:43.204983pt;width:99.25pt;height:13.15pt;mso-position-horizontal-relative:page;mso-position-vertical-relative:page;z-index:-649240"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921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919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0.579987pt;margin-top:43.204983pt;width:99.25pt;height:13.15pt;mso-position-horizontal-relative:page;mso-position-vertical-relative:page;z-index:-649168"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914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9120"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1.940002pt;margin-top:43.205006pt;width:99.25pt;height:13.15pt;mso-position-horizontal-relative:page;mso-position-vertical-relative:page;z-index:-649096"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0.579987pt;margin-top:43.204983pt;width:99.25pt;height:13.15pt;mso-position-horizontal-relative:page;mso-position-vertical-relative:page;z-index:-649048"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9720"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9696"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897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895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0.579987pt;margin-top:43.204983pt;width:99.25pt;height:13.15pt;mso-position-horizontal-relative:page;mso-position-vertical-relative:page;z-index:-648928"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885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883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0.579987pt;margin-top:43.204983pt;width:99.25pt;height:13.15pt;mso-position-horizontal-relative:page;mso-position-vertical-relative:page;z-index:-648808"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8784"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8760"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1.100006pt;margin-top:43.084984pt;width:78.6pt;height:12.6pt;mso-position-horizontal-relative:page;mso-position-vertical-relative:page;z-index:-64873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3"/>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0.579987pt;margin-top:43.204983pt;width:99.25pt;height:13.15pt;mso-position-horizontal-relative:page;mso-position-vertical-relative:page;z-index:-64967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9648"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9624"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0.579987pt;margin-top:43.204983pt;width:99.25pt;height:13.15pt;mso-position-horizontal-relative:page;mso-position-vertical-relative:page;z-index:-649600"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2pt;width:485.65pt;height:40.15pt;mso-position-horizontal-relative:page;mso-position-vertical-relative:page;z-index:-649576" coordorigin="1097,566" coordsize="9713,803">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40.579987pt;margin-top:43.204983pt;width:99.25pt;height:13.15pt;mso-position-horizontal-relative:page;mso-position-vertical-relative:page;z-index:-64955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300007pt;width:732.25pt;height:40.15pt;mso-position-horizontal-relative:page;mso-position-vertical-relative:page;z-index:-649528" coordorigin="1097,566" coordsize="14645,803">
          <v:group style="position:absolute;left:1104;top:1152;width:14631;height:2" coordorigin="1104,1152" coordsize="14631,2">
            <v:shape style="position:absolute;left:1104;top:1152;width:14631;height:2" coordorigin="1104,1152" coordsize="14631,0" path="m1104,1152l15734,115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687.179993pt;margin-top:43.205006pt;width:99.25pt;height:13.15pt;mso-position-horizontal-relative:page;mso-position-vertical-relative:page;z-index:-649504"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0.579987pt;margin-top:43.204983pt;width:99.25pt;height:13.15pt;mso-position-horizontal-relative:page;mso-position-vertical-relative:page;z-index:-649456"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4"/>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spacing w:before="145"/>
      <w:ind w:left="1657"/>
      <w:outlineLvl w:val="2"/>
    </w:pPr>
    <w:rPr>
      <w:rFonts w:ascii="宋体" w:hAnsi="宋体" w:eastAsia="宋体"/>
      <w:b/>
      <w:bCs/>
      <w:sz w:val="30"/>
      <w:szCs w:val="30"/>
    </w:rPr>
  </w:style>
  <w:style w:styleId="Heading3" w:type="paragraph">
    <w:name w:val="Heading 3"/>
    <w:basedOn w:val="Normal"/>
    <w:uiPriority w:val="1"/>
    <w:qFormat/>
    <w:pPr>
      <w:ind w:left="152"/>
      <w:outlineLvl w:val="3"/>
    </w:pPr>
    <w:rPr>
      <w:rFonts w:ascii="宋体" w:hAnsi="宋体" w:eastAsia="宋体"/>
      <w:b/>
      <w:bCs/>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yperlink" Target="http://www.bringspring.com/" TargetMode="External"/><Relationship Id="rId12" Type="http://schemas.openxmlformats.org/officeDocument/2006/relationships/hyperlink" Target="mailto:zqtz@bringspring.com"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image" Target="media/image3.jpe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4.jpeg"/><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3.xml"/><Relationship Id="rId22" Type="http://schemas.openxmlformats.org/officeDocument/2006/relationships/header" Target="header8.xml"/><Relationship Id="rId23" Type="http://schemas.openxmlformats.org/officeDocument/2006/relationships/footer" Target="footer4.xml"/><Relationship Id="rId24" Type="http://schemas.openxmlformats.org/officeDocument/2006/relationships/header" Target="header9.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image" Target="media/image5.jpeg"/><Relationship Id="rId30" Type="http://schemas.openxmlformats.org/officeDocument/2006/relationships/header" Target="header12.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footer" Target="footer9.xml"/><Relationship Id="rId40" Type="http://schemas.openxmlformats.org/officeDocument/2006/relationships/header" Target="header19.xml"/><Relationship Id="rId41" Type="http://schemas.openxmlformats.org/officeDocument/2006/relationships/footer" Target="footer10.xml"/><Relationship Id="rId42" Type="http://schemas.openxmlformats.org/officeDocument/2006/relationships/header" Target="header20.xml"/><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header" Target="header21.xml"/><Relationship Id="rId46" Type="http://schemas.openxmlformats.org/officeDocument/2006/relationships/header" Target="header22.xml"/><Relationship Id="rId47" Type="http://schemas.openxmlformats.org/officeDocument/2006/relationships/footer" Target="footer13.xml"/><Relationship Id="rId48" Type="http://schemas.openxmlformats.org/officeDocument/2006/relationships/footer" Target="footer14.xml"/><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footer" Target="footer15.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walkinnet</dc:creator>
  <dc:title>时间：11</dc:title>
  <dcterms:created xsi:type="dcterms:W3CDTF">2020-05-04T02:12:14Z</dcterms:created>
  <dcterms:modified xsi:type="dcterms:W3CDTF">2020-05-04T02:12:14Z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2013-03-26T00:00:00Z</vt:filetime>
  </property>
  <property fmtid="{D5CDD505-2E9C-101B-9397-08002B2CF9AE}" pid="3" name="Creator">
    <vt:lpwstr>Microsoft® Word 2010</vt:lpwstr>
  </property>
  <property fmtid="{D5CDD505-2E9C-101B-9397-08002B2CF9AE}" pid="4" name="LastSaved">
    <vt:filetime>2020-05-03T00:00:00Z</vt:filetime>
  </property>
</Properties>
</file>